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57" w:rsidRDefault="00002990">
      <w:pPr>
        <w:spacing w:line="360" w:lineRule="auto"/>
        <w:jc w:val="center"/>
        <w:rPr>
          <w:rFonts w:ascii="Garamond" w:hAnsi="Garamond"/>
        </w:rPr>
      </w:pPr>
      <w:r w:rsidRPr="00461D74">
        <w:rPr>
          <w:rFonts w:ascii="Garamond" w:hAnsi="Garamond"/>
          <w:noProof/>
        </w:rPr>
        <w:drawing>
          <wp:anchor distT="0" distB="0" distL="114300" distR="114300" simplePos="0" relativeHeight="251659264" behindDoc="0" locked="0" layoutInCell="1" allowOverlap="1">
            <wp:simplePos x="0" y="0"/>
            <wp:positionH relativeFrom="column">
              <wp:posOffset>1152736</wp:posOffset>
            </wp:positionH>
            <wp:positionV relativeFrom="paragraph">
              <wp:posOffset>-650875</wp:posOffset>
            </wp:positionV>
            <wp:extent cx="3037629" cy="1109133"/>
            <wp:effectExtent l="19050" t="0" r="0" b="0"/>
            <wp:wrapNone/>
            <wp:docPr id="1" name="Picture 6"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7629" cy="1109133"/>
                    </a:xfrm>
                    <a:prstGeom prst="rect">
                      <a:avLst/>
                    </a:prstGeom>
                    <a:noFill/>
                    <a:ln>
                      <a:noFill/>
                    </a:ln>
                  </pic:spPr>
                </pic:pic>
              </a:graphicData>
            </a:graphic>
          </wp:anchor>
        </w:drawing>
      </w:r>
    </w:p>
    <w:p w:rsidR="00665157" w:rsidRDefault="00665157">
      <w:pPr>
        <w:spacing w:line="360" w:lineRule="auto"/>
        <w:jc w:val="center"/>
        <w:rPr>
          <w:rFonts w:ascii="Garamond" w:hAnsi="Garamond"/>
        </w:rPr>
      </w:pPr>
    </w:p>
    <w:p w:rsidR="00665157" w:rsidRDefault="00665157">
      <w:pPr>
        <w:spacing w:line="360" w:lineRule="auto"/>
        <w:jc w:val="center"/>
        <w:rPr>
          <w:rFonts w:ascii="Garamond" w:hAnsi="Garamond"/>
        </w:rPr>
      </w:pPr>
    </w:p>
    <w:p w:rsidR="00665157" w:rsidRDefault="00665157">
      <w:pPr>
        <w:spacing w:line="360" w:lineRule="auto"/>
        <w:jc w:val="center"/>
        <w:rPr>
          <w:rFonts w:ascii="Garamond" w:hAnsi="Garamond"/>
        </w:rPr>
      </w:pPr>
    </w:p>
    <w:p w:rsidR="00665157" w:rsidRDefault="00763D0E">
      <w:pPr>
        <w:autoSpaceDE w:val="0"/>
        <w:autoSpaceDN w:val="0"/>
        <w:adjustRightInd w:val="0"/>
        <w:spacing w:after="0" w:line="360" w:lineRule="auto"/>
        <w:jc w:val="center"/>
        <w:rPr>
          <w:rFonts w:asciiTheme="majorHAnsi" w:hAnsiTheme="majorHAnsi" w:cstheme="majorHAnsi"/>
          <w:b/>
          <w:sz w:val="24"/>
          <w:szCs w:val="24"/>
        </w:rPr>
      </w:pPr>
      <w:r w:rsidRPr="00461D74">
        <w:rPr>
          <w:rFonts w:asciiTheme="majorHAnsi" w:eastAsia="Times New Roman" w:hAnsiTheme="majorHAnsi" w:cstheme="majorHAnsi"/>
          <w:b/>
          <w:i/>
          <w:iCs/>
          <w:sz w:val="48"/>
          <w:szCs w:val="48"/>
        </w:rPr>
        <w:t>Pragmatist Possibilities for Alasdair MacIntyre's Philosophy</w:t>
      </w:r>
      <w:r w:rsidR="00002990" w:rsidRPr="00461D74">
        <w:rPr>
          <w:rFonts w:asciiTheme="majorHAnsi" w:eastAsia="PMingLiU-ExtB" w:hAnsiTheme="majorHAnsi" w:cstheme="majorHAnsi"/>
          <w:b/>
          <w:i/>
          <w:sz w:val="48"/>
          <w:szCs w:val="48"/>
        </w:rPr>
        <w:br/>
      </w:r>
    </w:p>
    <w:p w:rsidR="00665157" w:rsidRDefault="00665157">
      <w:pPr>
        <w:autoSpaceDE w:val="0"/>
        <w:autoSpaceDN w:val="0"/>
        <w:adjustRightInd w:val="0"/>
        <w:spacing w:after="0" w:line="360" w:lineRule="auto"/>
        <w:jc w:val="center"/>
        <w:rPr>
          <w:rFonts w:asciiTheme="majorHAnsi" w:hAnsiTheme="majorHAnsi" w:cstheme="majorHAnsi"/>
          <w:b/>
          <w:sz w:val="24"/>
          <w:szCs w:val="24"/>
        </w:rPr>
      </w:pPr>
    </w:p>
    <w:p w:rsidR="00665157" w:rsidRDefault="00002990" w:rsidP="002747B3">
      <w:pPr>
        <w:autoSpaceDE w:val="0"/>
        <w:autoSpaceDN w:val="0"/>
        <w:adjustRightInd w:val="0"/>
        <w:spacing w:after="0" w:line="360" w:lineRule="auto"/>
        <w:jc w:val="center"/>
        <w:rPr>
          <w:rFonts w:asciiTheme="majorHAnsi" w:hAnsiTheme="majorHAnsi" w:cstheme="majorHAnsi"/>
          <w:b/>
          <w:sz w:val="28"/>
          <w:szCs w:val="28"/>
        </w:rPr>
      </w:pPr>
      <w:r w:rsidRPr="00461D74">
        <w:rPr>
          <w:rFonts w:asciiTheme="majorHAnsi" w:hAnsiTheme="majorHAnsi" w:cstheme="majorHAnsi"/>
          <w:b/>
          <w:sz w:val="32"/>
          <w:szCs w:val="32"/>
        </w:rPr>
        <w:t>Ahmad Reza Fattah</w:t>
      </w:r>
    </w:p>
    <w:p w:rsidR="00665157" w:rsidRDefault="00665157">
      <w:pPr>
        <w:autoSpaceDE w:val="0"/>
        <w:autoSpaceDN w:val="0"/>
        <w:adjustRightInd w:val="0"/>
        <w:spacing w:after="0" w:line="360" w:lineRule="auto"/>
        <w:rPr>
          <w:rFonts w:asciiTheme="majorHAnsi" w:hAnsiTheme="majorHAnsi" w:cstheme="majorHAnsi"/>
          <w:b/>
          <w:sz w:val="24"/>
          <w:szCs w:val="24"/>
        </w:rPr>
      </w:pPr>
    </w:p>
    <w:p w:rsidR="00665157" w:rsidRDefault="00002990">
      <w:pPr>
        <w:autoSpaceDE w:val="0"/>
        <w:autoSpaceDN w:val="0"/>
        <w:adjustRightInd w:val="0"/>
        <w:spacing w:after="0" w:line="360" w:lineRule="auto"/>
        <w:jc w:val="center"/>
        <w:rPr>
          <w:rFonts w:asciiTheme="majorHAnsi" w:hAnsiTheme="majorHAnsi" w:cstheme="majorHAnsi"/>
          <w:sz w:val="30"/>
          <w:szCs w:val="30"/>
        </w:rPr>
      </w:pPr>
      <w:r w:rsidRPr="00461D74">
        <w:rPr>
          <w:rFonts w:asciiTheme="majorHAnsi" w:hAnsiTheme="majorHAnsi" w:cstheme="majorHAnsi"/>
          <w:sz w:val="30"/>
          <w:szCs w:val="30"/>
        </w:rPr>
        <w:t>A thesis submitted in fulfilment of the requirements for the degree of</w:t>
      </w:r>
    </w:p>
    <w:p w:rsidR="00665157" w:rsidRDefault="00002990">
      <w:pPr>
        <w:spacing w:line="360" w:lineRule="auto"/>
        <w:jc w:val="center"/>
        <w:rPr>
          <w:rFonts w:asciiTheme="majorHAnsi" w:hAnsiTheme="majorHAnsi" w:cstheme="majorHAnsi"/>
          <w:sz w:val="30"/>
          <w:szCs w:val="30"/>
        </w:rPr>
      </w:pPr>
      <w:r w:rsidRPr="00461D74">
        <w:rPr>
          <w:rFonts w:asciiTheme="majorHAnsi" w:hAnsiTheme="majorHAnsi" w:cstheme="majorHAnsi"/>
          <w:sz w:val="30"/>
          <w:szCs w:val="30"/>
        </w:rPr>
        <w:t xml:space="preserve">Doctor of Philosophy </w:t>
      </w:r>
    </w:p>
    <w:p w:rsidR="00665157" w:rsidRDefault="00665157">
      <w:pPr>
        <w:spacing w:line="360" w:lineRule="auto"/>
        <w:jc w:val="center"/>
        <w:rPr>
          <w:rFonts w:asciiTheme="majorHAnsi" w:hAnsiTheme="majorHAnsi" w:cstheme="majorHAnsi"/>
          <w:sz w:val="30"/>
          <w:szCs w:val="30"/>
        </w:rPr>
      </w:pPr>
    </w:p>
    <w:p w:rsidR="00665157" w:rsidRDefault="00002990">
      <w:pPr>
        <w:spacing w:after="0" w:line="360" w:lineRule="auto"/>
        <w:jc w:val="center"/>
        <w:rPr>
          <w:rFonts w:asciiTheme="majorHAnsi" w:hAnsiTheme="majorHAnsi" w:cstheme="majorHAnsi"/>
          <w:sz w:val="30"/>
          <w:szCs w:val="30"/>
        </w:rPr>
      </w:pPr>
      <w:r w:rsidRPr="00461D74">
        <w:rPr>
          <w:rFonts w:asciiTheme="majorHAnsi" w:hAnsiTheme="majorHAnsi" w:cstheme="majorHAnsi"/>
          <w:sz w:val="30"/>
          <w:szCs w:val="30"/>
        </w:rPr>
        <w:t>The University of Sheffield</w:t>
      </w:r>
    </w:p>
    <w:p w:rsidR="00665157" w:rsidRDefault="00002990">
      <w:pPr>
        <w:autoSpaceDE w:val="0"/>
        <w:autoSpaceDN w:val="0"/>
        <w:adjustRightInd w:val="0"/>
        <w:spacing w:after="0" w:line="360" w:lineRule="auto"/>
        <w:jc w:val="center"/>
        <w:rPr>
          <w:rFonts w:asciiTheme="majorHAnsi" w:hAnsiTheme="majorHAnsi" w:cstheme="majorHAnsi"/>
          <w:sz w:val="30"/>
          <w:szCs w:val="30"/>
        </w:rPr>
      </w:pPr>
      <w:r w:rsidRPr="00461D74">
        <w:rPr>
          <w:rFonts w:asciiTheme="majorHAnsi" w:hAnsiTheme="majorHAnsi" w:cstheme="majorHAnsi"/>
          <w:sz w:val="30"/>
          <w:szCs w:val="30"/>
        </w:rPr>
        <w:t>Faculty of Arts and Humanities</w:t>
      </w:r>
    </w:p>
    <w:p w:rsidR="00665157" w:rsidRDefault="00002990">
      <w:pPr>
        <w:spacing w:line="360" w:lineRule="auto"/>
        <w:jc w:val="center"/>
        <w:rPr>
          <w:rFonts w:asciiTheme="majorHAnsi" w:hAnsiTheme="majorHAnsi" w:cstheme="majorHAnsi"/>
          <w:sz w:val="32"/>
          <w:szCs w:val="32"/>
        </w:rPr>
      </w:pPr>
      <w:r w:rsidRPr="00461D74">
        <w:rPr>
          <w:rFonts w:asciiTheme="majorHAnsi" w:hAnsiTheme="majorHAnsi" w:cstheme="majorHAnsi"/>
          <w:sz w:val="30"/>
          <w:szCs w:val="30"/>
        </w:rPr>
        <w:t>Department of Philosophy</w:t>
      </w:r>
    </w:p>
    <w:p w:rsidR="00665157" w:rsidRDefault="002E3937">
      <w:pPr>
        <w:spacing w:line="360" w:lineRule="auto"/>
        <w:jc w:val="center"/>
        <w:rPr>
          <w:rFonts w:asciiTheme="majorHAnsi" w:hAnsiTheme="majorHAnsi" w:cstheme="majorHAnsi"/>
          <w:sz w:val="30"/>
          <w:szCs w:val="30"/>
        </w:rPr>
      </w:pPr>
      <w:r>
        <w:rPr>
          <w:rFonts w:asciiTheme="majorHAnsi" w:hAnsiTheme="majorHAnsi" w:cstheme="majorHAnsi"/>
          <w:sz w:val="30"/>
          <w:szCs w:val="30"/>
        </w:rPr>
        <w:t>June</w:t>
      </w:r>
      <w:r w:rsidR="00002990" w:rsidRPr="00461D74">
        <w:rPr>
          <w:rFonts w:asciiTheme="majorHAnsi" w:hAnsiTheme="majorHAnsi" w:cstheme="majorHAnsi"/>
          <w:sz w:val="30"/>
          <w:szCs w:val="30"/>
        </w:rPr>
        <w:t xml:space="preserve"> 201</w:t>
      </w:r>
      <w:r w:rsidR="00101E0A" w:rsidRPr="00461D74">
        <w:rPr>
          <w:rFonts w:asciiTheme="majorHAnsi" w:hAnsiTheme="majorHAnsi" w:cstheme="majorHAnsi"/>
          <w:sz w:val="30"/>
          <w:szCs w:val="30"/>
        </w:rPr>
        <w:t>8</w:t>
      </w:r>
    </w:p>
    <w:p w:rsidR="00665157" w:rsidRDefault="00665157">
      <w:pPr>
        <w:spacing w:line="360" w:lineRule="auto"/>
        <w:jc w:val="center"/>
        <w:rPr>
          <w:rFonts w:asciiTheme="majorHAnsi" w:hAnsiTheme="majorHAnsi" w:cstheme="majorHAnsi"/>
          <w:sz w:val="30"/>
          <w:szCs w:val="30"/>
        </w:rPr>
      </w:pPr>
    </w:p>
    <w:p w:rsidR="00665157" w:rsidRDefault="00503F14">
      <w:pPr>
        <w:pStyle w:val="Heading1"/>
        <w:spacing w:line="360" w:lineRule="auto"/>
        <w:rPr>
          <w:rFonts w:cstheme="majorHAnsi"/>
        </w:rPr>
      </w:pPr>
      <w:bookmarkStart w:id="0" w:name="_Toc528077784"/>
      <w:r w:rsidRPr="00461D74">
        <w:rPr>
          <w:rFonts w:cstheme="majorHAnsi"/>
        </w:rPr>
        <w:lastRenderedPageBreak/>
        <w:t>Table of Contents</w:t>
      </w:r>
      <w:bookmarkEnd w:id="0"/>
    </w:p>
    <w:sdt>
      <w:sdtPr>
        <w:rPr>
          <w:rFonts w:asciiTheme="minorHAnsi" w:eastAsiaTheme="minorEastAsia" w:hAnsiTheme="minorHAnsi" w:cstheme="majorHAnsi"/>
          <w:b w:val="0"/>
          <w:bCs w:val="0"/>
          <w:color w:val="auto"/>
          <w:sz w:val="22"/>
          <w:szCs w:val="22"/>
          <w:lang w:val="en-CA" w:eastAsia="zh-CN"/>
        </w:rPr>
        <w:id w:val="177857626"/>
        <w:docPartObj>
          <w:docPartGallery w:val="Table of Contents"/>
          <w:docPartUnique/>
        </w:docPartObj>
      </w:sdtPr>
      <w:sdtContent>
        <w:p w:rsidR="00665157" w:rsidRDefault="00665157">
          <w:pPr>
            <w:pStyle w:val="TOCHeading"/>
            <w:spacing w:line="360" w:lineRule="auto"/>
            <w:rPr>
              <w:rFonts w:cstheme="majorHAnsi"/>
            </w:rPr>
          </w:pPr>
        </w:p>
        <w:p w:rsidR="001C62D0" w:rsidRDefault="00AA2A48">
          <w:pPr>
            <w:pStyle w:val="TOC1"/>
            <w:tabs>
              <w:tab w:val="right" w:leader="dot" w:pos="7694"/>
            </w:tabs>
            <w:rPr>
              <w:noProof/>
            </w:rPr>
          </w:pPr>
          <w:r w:rsidRPr="00461D74">
            <w:rPr>
              <w:rFonts w:asciiTheme="majorHAnsi" w:hAnsiTheme="majorHAnsi" w:cstheme="majorHAnsi"/>
              <w:sz w:val="24"/>
              <w:szCs w:val="24"/>
            </w:rPr>
            <w:fldChar w:fldCharType="begin"/>
          </w:r>
          <w:r w:rsidR="00F32EF6" w:rsidRPr="00461D74">
            <w:rPr>
              <w:rFonts w:asciiTheme="majorHAnsi" w:hAnsiTheme="majorHAnsi" w:cstheme="majorHAnsi"/>
              <w:sz w:val="24"/>
              <w:szCs w:val="24"/>
            </w:rPr>
            <w:instrText xml:space="preserve"> TOC \o "1-3" \h \z \u </w:instrText>
          </w:r>
          <w:r w:rsidRPr="00461D74">
            <w:rPr>
              <w:rFonts w:asciiTheme="majorHAnsi" w:hAnsiTheme="majorHAnsi" w:cstheme="majorHAnsi"/>
              <w:sz w:val="24"/>
              <w:szCs w:val="24"/>
            </w:rPr>
            <w:fldChar w:fldCharType="separate"/>
          </w:r>
          <w:r>
            <w:fldChar w:fldCharType="begin"/>
          </w:r>
          <w:r>
            <w:instrText>HYPERLINK \l "_Toc528077784"</w:instrText>
          </w:r>
          <w:r>
            <w:fldChar w:fldCharType="separate"/>
          </w:r>
          <w:r w:rsidR="001C62D0" w:rsidRPr="00EB08F2">
            <w:rPr>
              <w:rStyle w:val="Hyperlink"/>
              <w:rFonts w:cstheme="majorHAnsi"/>
              <w:noProof/>
            </w:rPr>
            <w:t>Table of Contents</w:t>
          </w:r>
          <w:r w:rsidR="001C62D0">
            <w:rPr>
              <w:noProof/>
              <w:webHidden/>
            </w:rPr>
            <w:tab/>
          </w:r>
          <w:r>
            <w:rPr>
              <w:noProof/>
              <w:webHidden/>
            </w:rPr>
            <w:fldChar w:fldCharType="begin"/>
          </w:r>
          <w:r w:rsidR="001C62D0">
            <w:rPr>
              <w:noProof/>
              <w:webHidden/>
            </w:rPr>
            <w:instrText xml:space="preserve"> PAGEREF _Toc528077784 \h </w:instrText>
          </w:r>
          <w:r>
            <w:rPr>
              <w:noProof/>
              <w:webHidden/>
            </w:rPr>
          </w:r>
          <w:r>
            <w:rPr>
              <w:noProof/>
              <w:webHidden/>
            </w:rPr>
            <w:fldChar w:fldCharType="separate"/>
          </w:r>
          <w:r w:rsidR="001C62D0">
            <w:rPr>
              <w:noProof/>
              <w:webHidden/>
            </w:rPr>
            <w:t>2</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"_Toc528077785"</w:instrText>
          </w:r>
          <w:r>
            <w:fldChar w:fldCharType="separate"/>
          </w:r>
          <w:r w:rsidR="001C62D0" w:rsidRPr="00EB08F2">
            <w:rPr>
              <w:rStyle w:val="Hyperlink"/>
              <w:rFonts w:cstheme="majorHAnsi"/>
              <w:noProof/>
            </w:rPr>
            <w:t>Abstract</w:t>
          </w:r>
          <w:r w:rsidR="001C62D0">
            <w:rPr>
              <w:noProof/>
              <w:webHidden/>
            </w:rPr>
            <w:tab/>
          </w:r>
          <w:r>
            <w:rPr>
              <w:noProof/>
              <w:webHidden/>
            </w:rPr>
            <w:fldChar w:fldCharType="begin"/>
          </w:r>
          <w:r w:rsidR="001C62D0">
            <w:rPr>
              <w:noProof/>
              <w:webHidden/>
            </w:rPr>
            <w:instrText xml:space="preserve"> PAGEREF _Toc528077785 \h </w:instrText>
          </w:r>
          <w:r>
            <w:rPr>
              <w:noProof/>
              <w:webHidden/>
            </w:rPr>
          </w:r>
          <w:r>
            <w:rPr>
              <w:noProof/>
              <w:webHidden/>
            </w:rPr>
            <w:fldChar w:fldCharType="separate"/>
          </w:r>
          <w:r w:rsidR="001C62D0">
            <w:rPr>
              <w:noProof/>
              <w:webHidden/>
            </w:rPr>
            <w:t>5</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"_Toc528077786"</w:instrText>
          </w:r>
          <w:r>
            <w:fldChar w:fldCharType="separate"/>
          </w:r>
          <w:r w:rsidR="001C62D0" w:rsidRPr="00EB08F2">
            <w:rPr>
              <w:rStyle w:val="Hyperlink"/>
              <w:rFonts w:cstheme="majorHAnsi"/>
              <w:noProof/>
            </w:rPr>
            <w:t>Acknowledgements</w:t>
          </w:r>
          <w:r w:rsidR="001C62D0">
            <w:rPr>
              <w:noProof/>
              <w:webHidden/>
            </w:rPr>
            <w:tab/>
          </w:r>
          <w:r>
            <w:rPr>
              <w:noProof/>
              <w:webHidden/>
            </w:rPr>
            <w:fldChar w:fldCharType="begin"/>
          </w:r>
          <w:r w:rsidR="001C62D0">
            <w:rPr>
              <w:noProof/>
              <w:webHidden/>
            </w:rPr>
            <w:instrText xml:space="preserve"> PAGEREF _Toc528077786 \h </w:instrText>
          </w:r>
          <w:r>
            <w:rPr>
              <w:noProof/>
              <w:webHidden/>
            </w:rPr>
          </w:r>
          <w:r>
            <w:rPr>
              <w:noProof/>
              <w:webHidden/>
            </w:rPr>
            <w:fldChar w:fldCharType="separate"/>
          </w:r>
          <w:r w:rsidR="001C62D0">
            <w:rPr>
              <w:noProof/>
              <w:webHidden/>
            </w:rPr>
            <w:t>7</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"_Toc528077787"</w:instrText>
          </w:r>
          <w:r>
            <w:fldChar w:fldCharType="separate"/>
          </w:r>
          <w:r w:rsidR="001C62D0" w:rsidRPr="00EB08F2">
            <w:rPr>
              <w:rStyle w:val="Hyperlink"/>
              <w:rFonts w:cstheme="majorHAnsi"/>
              <w:noProof/>
            </w:rPr>
            <w:t>Introduction</w:t>
          </w:r>
          <w:r w:rsidR="001C62D0">
            <w:rPr>
              <w:noProof/>
              <w:webHidden/>
            </w:rPr>
            <w:tab/>
          </w:r>
          <w:r>
            <w:rPr>
              <w:noProof/>
              <w:webHidden/>
            </w:rPr>
            <w:fldChar w:fldCharType="begin"/>
          </w:r>
          <w:r w:rsidR="001C62D0">
            <w:rPr>
              <w:noProof/>
              <w:webHidden/>
            </w:rPr>
            <w:instrText xml:space="preserve"> PAGEREF _Toc528077787 \h </w:instrText>
          </w:r>
          <w:r>
            <w:rPr>
              <w:noProof/>
              <w:webHidden/>
            </w:rPr>
          </w:r>
          <w:r>
            <w:rPr>
              <w:noProof/>
              <w:webHidden/>
            </w:rPr>
            <w:fldChar w:fldCharType="separate"/>
          </w:r>
          <w:r w:rsidR="001C62D0">
            <w:rPr>
              <w:noProof/>
              <w:webHidden/>
            </w:rPr>
            <w:t>9</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"_Toc528077788"</w:instrText>
          </w:r>
          <w:r>
            <w:fldChar w:fldCharType="separate"/>
          </w:r>
          <w:r w:rsidR="001C62D0" w:rsidRPr="00EB08F2">
            <w:rPr>
              <w:rStyle w:val="Hyperlink"/>
              <w:rFonts w:cstheme="majorHAnsi"/>
              <w:noProof/>
            </w:rPr>
            <w:t>Chapter 1: MacIntyre’s Historical Tradition-Guided Account of Moral Inquiry</w:t>
          </w:r>
          <w:r w:rsidR="001C62D0">
            <w:rPr>
              <w:noProof/>
              <w:webHidden/>
            </w:rPr>
            <w:tab/>
          </w:r>
          <w:r>
            <w:rPr>
              <w:noProof/>
              <w:webHidden/>
            </w:rPr>
            <w:fldChar w:fldCharType="begin"/>
          </w:r>
          <w:r w:rsidR="001C62D0">
            <w:rPr>
              <w:noProof/>
              <w:webHidden/>
            </w:rPr>
            <w:instrText xml:space="preserve"> PAGEREF _Toc528077788 \h </w:instrText>
          </w:r>
          <w:r>
            <w:rPr>
              <w:noProof/>
              <w:webHidden/>
            </w:rPr>
          </w:r>
          <w:r>
            <w:rPr>
              <w:noProof/>
              <w:webHidden/>
            </w:rPr>
            <w:fldChar w:fldCharType="separate"/>
          </w:r>
          <w:r w:rsidR="001C62D0">
            <w:rPr>
              <w:noProof/>
              <w:webHidden/>
            </w:rPr>
            <w:t>23</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"_Toc528077789"</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_Toc528077789 \h </w:instrText>
          </w:r>
          <w:r>
            <w:rPr>
              <w:webHidden/>
            </w:rPr>
          </w:r>
          <w:r>
            <w:rPr>
              <w:webHidden/>
            </w:rPr>
            <w:fldChar w:fldCharType="separate"/>
          </w:r>
          <w:r w:rsidR="001C62D0">
            <w:rPr>
              <w:webHidden/>
            </w:rPr>
            <w:t>23</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"_Toc528077790"</w:instrText>
          </w:r>
          <w:r>
            <w:fldChar w:fldCharType="separate"/>
          </w:r>
          <w:r w:rsidR="001C62D0" w:rsidRPr="00EB08F2">
            <w:rPr>
              <w:rStyle w:val="Hyperlink"/>
            </w:rPr>
            <w:t>2. The Enlightenment Project</w:t>
          </w:r>
          <w:r w:rsidR="001C62D0">
            <w:rPr>
              <w:webHidden/>
            </w:rPr>
            <w:tab/>
          </w:r>
          <w:r>
            <w:rPr>
              <w:webHidden/>
            </w:rPr>
            <w:fldChar w:fldCharType="begin"/>
          </w:r>
          <w:r w:rsidR="001C62D0">
            <w:rPr>
              <w:webHidden/>
            </w:rPr>
            <w:instrText xml:space="preserve"> PAGEREF _Toc528077790 \h </w:instrText>
          </w:r>
          <w:r>
            <w:rPr>
              <w:webHidden/>
            </w:rPr>
          </w:r>
          <w:r>
            <w:rPr>
              <w:webHidden/>
            </w:rPr>
            <w:fldChar w:fldCharType="separate"/>
          </w:r>
          <w:r w:rsidR="001C62D0">
            <w:rPr>
              <w:webHidden/>
            </w:rPr>
            <w:t>29</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"_Toc528077791"</w:instrText>
          </w:r>
          <w:r>
            <w:fldChar w:fldCharType="separate"/>
          </w:r>
          <w:r w:rsidR="001C62D0" w:rsidRPr="00EB08F2">
            <w:rPr>
              <w:rStyle w:val="Hyperlink"/>
            </w:rPr>
            <w:t>3. MacIntyre’s Social Teleology as a Resolution of Present-day Moral Conflicts</w:t>
          </w:r>
          <w:r w:rsidR="001C62D0">
            <w:rPr>
              <w:webHidden/>
            </w:rPr>
            <w:tab/>
          </w:r>
          <w:r>
            <w:rPr>
              <w:webHidden/>
            </w:rPr>
            <w:fldChar w:fldCharType="begin"/>
          </w:r>
          <w:r w:rsidR="001C62D0">
            <w:rPr>
              <w:webHidden/>
            </w:rPr>
            <w:instrText xml:space="preserve"> PAGEREF _Toc528077791 \h </w:instrText>
          </w:r>
          <w:r>
            <w:rPr>
              <w:webHidden/>
            </w:rPr>
          </w:r>
          <w:r>
            <w:rPr>
              <w:webHidden/>
            </w:rPr>
            <w:fldChar w:fldCharType="separate"/>
          </w:r>
          <w:r w:rsidR="001C62D0">
            <w:rPr>
              <w:webHidden/>
            </w:rPr>
            <w:t>41</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"_Toc528077792"</w:instrText>
          </w:r>
          <w:r>
            <w:fldChar w:fldCharType="separate"/>
          </w:r>
          <w:r w:rsidR="001C62D0" w:rsidRPr="00EB08F2">
            <w:rPr>
              <w:rStyle w:val="Hyperlink"/>
            </w:rPr>
            <w:t>4. Is Tradition a Theoretical Articulation of Socially Embodied Norms?</w:t>
          </w:r>
          <w:r w:rsidR="001C62D0">
            <w:rPr>
              <w:webHidden/>
            </w:rPr>
            <w:tab/>
          </w:r>
          <w:r>
            <w:rPr>
              <w:webHidden/>
            </w:rPr>
            <w:fldChar w:fldCharType="begin"/>
          </w:r>
          <w:r w:rsidR="001C62D0">
            <w:rPr>
              <w:webHidden/>
            </w:rPr>
            <w:instrText xml:space="preserve"> PAGEREF _Toc528077792 \h </w:instrText>
          </w:r>
          <w:r>
            <w:rPr>
              <w:webHidden/>
            </w:rPr>
          </w:r>
          <w:r>
            <w:rPr>
              <w:webHidden/>
            </w:rPr>
            <w:fldChar w:fldCharType="separate"/>
          </w:r>
          <w:r w:rsidR="001C62D0">
            <w:rPr>
              <w:webHidden/>
            </w:rPr>
            <w:t>51</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"_Toc528077793"</w:instrText>
          </w:r>
          <w:r>
            <w:fldChar w:fldCharType="separate"/>
          </w:r>
          <w:r w:rsidR="001C62D0" w:rsidRPr="00EB08F2">
            <w:rPr>
              <w:rStyle w:val="Hyperlink"/>
            </w:rPr>
            <w:t>5. Aquinas’ Synthesis of Aristotle and Augustine</w:t>
          </w:r>
          <w:r w:rsidR="001C62D0">
            <w:rPr>
              <w:webHidden/>
            </w:rPr>
            <w:tab/>
          </w:r>
          <w:r>
            <w:rPr>
              <w:webHidden/>
            </w:rPr>
            <w:fldChar w:fldCharType="begin"/>
          </w:r>
          <w:r w:rsidR="001C62D0">
            <w:rPr>
              <w:webHidden/>
            </w:rPr>
            <w:instrText xml:space="preserve"> PAGEREF _Toc528077793 \h </w:instrText>
          </w:r>
          <w:r>
            <w:rPr>
              <w:webHidden/>
            </w:rPr>
          </w:r>
          <w:r>
            <w:rPr>
              <w:webHidden/>
            </w:rPr>
            <w:fldChar w:fldCharType="separate"/>
          </w:r>
          <w:r w:rsidR="001C62D0">
            <w:rPr>
              <w:webHidden/>
            </w:rPr>
            <w:t>60</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"_Toc528077794"</w:instrText>
          </w:r>
          <w:r>
            <w:fldChar w:fldCharType="separate"/>
          </w:r>
          <w:r w:rsidR="001C62D0" w:rsidRPr="00EB08F2">
            <w:rPr>
              <w:rStyle w:val="Hyperlink"/>
            </w:rPr>
            <w:t>6. Liberalism: The Dominant Contemporary Tradition</w:t>
          </w:r>
          <w:r w:rsidR="001C62D0">
            <w:rPr>
              <w:webHidden/>
            </w:rPr>
            <w:tab/>
          </w:r>
          <w:r>
            <w:rPr>
              <w:webHidden/>
            </w:rPr>
            <w:fldChar w:fldCharType="begin"/>
          </w:r>
          <w:r w:rsidR="001C62D0">
            <w:rPr>
              <w:webHidden/>
            </w:rPr>
            <w:instrText xml:space="preserve"> PAGEREF _Toc528077794 \h </w:instrText>
          </w:r>
          <w:r>
            <w:rPr>
              <w:webHidden/>
            </w:rPr>
          </w:r>
          <w:r>
            <w:rPr>
              <w:webHidden/>
            </w:rPr>
            <w:fldChar w:fldCharType="separate"/>
          </w:r>
          <w:r w:rsidR="001C62D0">
            <w:rPr>
              <w:webHidden/>
            </w:rPr>
            <w:t>64</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"_Toc528077795"</w:instrText>
          </w:r>
          <w:r>
            <w:fldChar w:fldCharType="separate"/>
          </w:r>
          <w:r w:rsidR="001C62D0" w:rsidRPr="00EB08F2">
            <w:rPr>
              <w:rStyle w:val="Hyperlink"/>
            </w:rPr>
            <w:t>7. Concluding Remarks</w:t>
          </w:r>
          <w:r w:rsidR="001C62D0">
            <w:rPr>
              <w:webHidden/>
            </w:rPr>
            <w:tab/>
          </w:r>
          <w:r>
            <w:rPr>
              <w:webHidden/>
            </w:rPr>
            <w:fldChar w:fldCharType="begin"/>
          </w:r>
          <w:r w:rsidR="001C62D0">
            <w:rPr>
              <w:webHidden/>
            </w:rPr>
            <w:instrText xml:space="preserve"> PAGEREF _Toc528077795 \h </w:instrText>
          </w:r>
          <w:r>
            <w:rPr>
              <w:webHidden/>
            </w:rPr>
          </w:r>
          <w:r>
            <w:rPr>
              <w:webHidden/>
            </w:rPr>
            <w:fldChar w:fldCharType="separate"/>
          </w:r>
          <w:r w:rsidR="001C62D0">
            <w:rPr>
              <w:webHidden/>
            </w:rPr>
            <w:t>75</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"_Toc528077796"</w:instrText>
          </w:r>
          <w:r>
            <w:fldChar w:fldCharType="separate"/>
          </w:r>
          <w:r w:rsidR="001C62D0" w:rsidRPr="00EB08F2">
            <w:rPr>
              <w:rStyle w:val="Hyperlink"/>
              <w:rFonts w:cstheme="majorHAnsi"/>
              <w:noProof/>
            </w:rPr>
            <w:t>Chapter 2: Thomism and Historical Progress in MacIntyre’s Tradition-Guided Inquiry</w:t>
          </w:r>
          <w:r w:rsidR="001C62D0">
            <w:rPr>
              <w:noProof/>
              <w:webHidden/>
            </w:rPr>
            <w:tab/>
          </w:r>
          <w:r>
            <w:rPr>
              <w:noProof/>
              <w:webHidden/>
            </w:rPr>
            <w:fldChar w:fldCharType="begin"/>
          </w:r>
          <w:r w:rsidR="001C62D0">
            <w:rPr>
              <w:noProof/>
              <w:webHidden/>
            </w:rPr>
            <w:instrText xml:space="preserve"> PAGEREF _Toc528077796 \h </w:instrText>
          </w:r>
          <w:r>
            <w:rPr>
              <w:noProof/>
              <w:webHidden/>
            </w:rPr>
          </w:r>
          <w:r>
            <w:rPr>
              <w:noProof/>
              <w:webHidden/>
            </w:rPr>
            <w:fldChar w:fldCharType="separate"/>
          </w:r>
          <w:r w:rsidR="001C62D0">
            <w:rPr>
              <w:noProof/>
              <w:webHidden/>
            </w:rPr>
            <w:t>78</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"_Toc528077797"</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_Toc528077797 \h </w:instrText>
          </w:r>
          <w:r>
            <w:rPr>
              <w:webHidden/>
            </w:rPr>
          </w:r>
          <w:r>
            <w:rPr>
              <w:webHidden/>
            </w:rPr>
            <w:fldChar w:fldCharType="separate"/>
          </w:r>
          <w:r w:rsidR="001C62D0">
            <w:rPr>
              <w:webHidden/>
            </w:rPr>
            <w:t>78</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"_Toc528077798"</w:instrText>
          </w:r>
          <w:r>
            <w:fldChar w:fldCharType="separate"/>
          </w:r>
          <w:r w:rsidR="001C62D0" w:rsidRPr="00EB08F2">
            <w:rPr>
              <w:rStyle w:val="Hyperlink"/>
            </w:rPr>
            <w:t>2. Aspects of Progress</w:t>
          </w:r>
          <w:r w:rsidR="001C62D0">
            <w:rPr>
              <w:webHidden/>
            </w:rPr>
            <w:tab/>
          </w:r>
          <w:r>
            <w:rPr>
              <w:webHidden/>
            </w:rPr>
            <w:fldChar w:fldCharType="begin"/>
          </w:r>
          <w:r w:rsidR="001C62D0">
            <w:rPr>
              <w:webHidden/>
            </w:rPr>
            <w:instrText xml:space="preserve"> PAGEREF _Toc528077798 \h </w:instrText>
          </w:r>
          <w:r>
            <w:rPr>
              <w:webHidden/>
            </w:rPr>
          </w:r>
          <w:r>
            <w:rPr>
              <w:webHidden/>
            </w:rPr>
            <w:fldChar w:fldCharType="separate"/>
          </w:r>
          <w:r w:rsidR="001C62D0">
            <w:rPr>
              <w:webHidden/>
            </w:rPr>
            <w:t>81</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"_Toc528077799"</w:instrText>
          </w:r>
          <w:r>
            <w:fldChar w:fldCharType="separate"/>
          </w:r>
          <w:r w:rsidR="001C62D0" w:rsidRPr="00EB08F2">
            <w:rPr>
              <w:rStyle w:val="Hyperlink"/>
            </w:rPr>
            <w:t>3. The Background to the Decline of Thomism</w:t>
          </w:r>
          <w:r w:rsidR="001C62D0">
            <w:rPr>
              <w:webHidden/>
            </w:rPr>
            <w:tab/>
          </w:r>
          <w:r>
            <w:rPr>
              <w:webHidden/>
            </w:rPr>
            <w:fldChar w:fldCharType="begin"/>
          </w:r>
          <w:r w:rsidR="001C62D0">
            <w:rPr>
              <w:webHidden/>
            </w:rPr>
            <w:instrText xml:space="preserve"> PAGEREF _Toc528077799 \h </w:instrText>
          </w:r>
          <w:r>
            <w:rPr>
              <w:webHidden/>
            </w:rPr>
          </w:r>
          <w:r>
            <w:rPr>
              <w:webHidden/>
            </w:rPr>
            <w:fldChar w:fldCharType="separate"/>
          </w:r>
          <w:r w:rsidR="001C62D0">
            <w:rPr>
              <w:webHidden/>
            </w:rPr>
            <w:t>89</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"_Toc528077800"</w:instrText>
          </w:r>
          <w:r>
            <w:fldChar w:fldCharType="separate"/>
          </w:r>
          <w:r w:rsidR="001C62D0" w:rsidRPr="00EB08F2">
            <w:rPr>
              <w:rStyle w:val="Hyperlink"/>
            </w:rPr>
            <w:t>4. Aristotle and Renaissance Aristotelian</w:t>
          </w:r>
          <w:r w:rsidR="001C62D0">
            <w:rPr>
              <w:webHidden/>
            </w:rPr>
            <w:tab/>
          </w:r>
          <w:r>
            <w:rPr>
              <w:webHidden/>
            </w:rPr>
            <w:fldChar w:fldCharType="begin"/>
          </w:r>
          <w:r w:rsidR="001C62D0">
            <w:rPr>
              <w:webHidden/>
            </w:rPr>
            <w:instrText xml:space="preserve"> PAGEREF _Toc528077800 \h </w:instrText>
          </w:r>
          <w:r>
            <w:rPr>
              <w:webHidden/>
            </w:rPr>
          </w:r>
          <w:r>
            <w:rPr>
              <w:webHidden/>
            </w:rPr>
            <w:fldChar w:fldCharType="separate"/>
          </w:r>
          <w:r w:rsidR="001C62D0">
            <w:rPr>
              <w:webHidden/>
            </w:rPr>
            <w:t>107</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"_Toc528077801"</w:instrText>
          </w:r>
          <w:r>
            <w:fldChar w:fldCharType="separate"/>
          </w:r>
          <w:r w:rsidR="001C62D0" w:rsidRPr="00EB08F2">
            <w:rPr>
              <w:rStyle w:val="Hyperlink"/>
            </w:rPr>
            <w:t>5. Aquinas’ Natural Law and Renaissance Aristotelians</w:t>
          </w:r>
          <w:r w:rsidR="001C62D0">
            <w:rPr>
              <w:webHidden/>
            </w:rPr>
            <w:tab/>
          </w:r>
          <w:r>
            <w:rPr>
              <w:webHidden/>
            </w:rPr>
            <w:fldChar w:fldCharType="begin"/>
          </w:r>
          <w:r w:rsidR="001C62D0">
            <w:rPr>
              <w:webHidden/>
            </w:rPr>
            <w:instrText xml:space="preserve"> PAGEREF _Toc528077801 \h </w:instrText>
          </w:r>
          <w:r>
            <w:rPr>
              <w:webHidden/>
            </w:rPr>
          </w:r>
          <w:r>
            <w:rPr>
              <w:webHidden/>
            </w:rPr>
            <w:fldChar w:fldCharType="separate"/>
          </w:r>
          <w:r w:rsidR="001C62D0">
            <w:rPr>
              <w:webHidden/>
            </w:rPr>
            <w:t>115</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"_Toc528077802"</w:instrText>
          </w:r>
          <w:r>
            <w:fldChar w:fldCharType="separate"/>
          </w:r>
          <w:r w:rsidR="001C62D0" w:rsidRPr="00EB08F2">
            <w:rPr>
              <w:rStyle w:val="Hyperlink"/>
            </w:rPr>
            <w:t>6. Concluding Remarks</w:t>
          </w:r>
          <w:r w:rsidR="001C62D0">
            <w:rPr>
              <w:webHidden/>
            </w:rPr>
            <w:tab/>
          </w:r>
          <w:r>
            <w:rPr>
              <w:webHidden/>
            </w:rPr>
            <w:fldChar w:fldCharType="begin"/>
          </w:r>
          <w:r w:rsidR="001C62D0">
            <w:rPr>
              <w:webHidden/>
            </w:rPr>
            <w:instrText xml:space="preserve"> PAGEREF _Toc528077802 \h </w:instrText>
          </w:r>
          <w:r>
            <w:rPr>
              <w:webHidden/>
            </w:rPr>
          </w:r>
          <w:r>
            <w:rPr>
              <w:webHidden/>
            </w:rPr>
            <w:fldChar w:fldCharType="separate"/>
          </w:r>
          <w:r w:rsidR="001C62D0">
            <w:rPr>
              <w:webHidden/>
            </w:rPr>
            <w:t>131</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"_Toc528077803"</w:instrText>
          </w:r>
          <w:r>
            <w:fldChar w:fldCharType="separate"/>
          </w:r>
          <w:r w:rsidR="001C62D0" w:rsidRPr="00EB08F2">
            <w:rPr>
              <w:rStyle w:val="Hyperlink"/>
              <w:rFonts w:cstheme="majorHAnsi"/>
              <w:noProof/>
            </w:rPr>
            <w:t>Chapter 3: Deweyan Democracy as a Way of Life</w:t>
          </w:r>
          <w:r w:rsidR="001C62D0">
            <w:rPr>
              <w:noProof/>
              <w:webHidden/>
            </w:rPr>
            <w:tab/>
          </w:r>
          <w:r>
            <w:rPr>
              <w:noProof/>
              <w:webHidden/>
            </w:rPr>
            <w:fldChar w:fldCharType="begin"/>
          </w:r>
          <w:r w:rsidR="001C62D0">
            <w:rPr>
              <w:noProof/>
              <w:webHidden/>
            </w:rPr>
            <w:instrText xml:space="preserve"> PAGEREF _Toc528077803 \h </w:instrText>
          </w:r>
          <w:r>
            <w:rPr>
              <w:noProof/>
              <w:webHidden/>
            </w:rPr>
          </w:r>
          <w:r>
            <w:rPr>
              <w:noProof/>
              <w:webHidden/>
            </w:rPr>
            <w:fldChar w:fldCharType="separate"/>
          </w:r>
          <w:r w:rsidR="001C62D0">
            <w:rPr>
              <w:noProof/>
              <w:webHidden/>
            </w:rPr>
            <w:t>134</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"_Toc528077804"</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_Toc528077804 \h </w:instrText>
          </w:r>
          <w:r>
            <w:rPr>
              <w:webHidden/>
            </w:rPr>
          </w:r>
          <w:r>
            <w:rPr>
              <w:webHidden/>
            </w:rPr>
            <w:fldChar w:fldCharType="separate"/>
          </w:r>
          <w:r w:rsidR="001C62D0">
            <w:rPr>
              <w:webHidden/>
            </w:rPr>
            <w:t>134</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"_Toc528077805"</w:instrText>
          </w:r>
          <w:r>
            <w:fldChar w:fldCharType="separate"/>
          </w:r>
          <w:r w:rsidR="001C62D0" w:rsidRPr="00EB08F2">
            <w:rPr>
              <w:rStyle w:val="Hyperlink"/>
            </w:rPr>
            <w:t>2. Deweyan Democracy as Teleology</w:t>
          </w:r>
          <w:r w:rsidR="001C62D0">
            <w:rPr>
              <w:webHidden/>
            </w:rPr>
            <w:tab/>
          </w:r>
          <w:r>
            <w:rPr>
              <w:webHidden/>
            </w:rPr>
            <w:fldChar w:fldCharType="begin"/>
          </w:r>
          <w:r w:rsidR="001C62D0">
            <w:rPr>
              <w:webHidden/>
            </w:rPr>
            <w:instrText xml:space="preserve"> PAGEREF _Toc528077805 \h </w:instrText>
          </w:r>
          <w:r>
            <w:rPr>
              <w:webHidden/>
            </w:rPr>
          </w:r>
          <w:r>
            <w:rPr>
              <w:webHidden/>
            </w:rPr>
            <w:fldChar w:fldCharType="separate"/>
          </w:r>
          <w:r w:rsidR="001C62D0">
            <w:rPr>
              <w:webHidden/>
            </w:rPr>
            <w:t>138</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"_Toc528077806"</w:instrText>
          </w:r>
          <w:r>
            <w:fldChar w:fldCharType="separate"/>
          </w:r>
          <w:r w:rsidR="001C62D0" w:rsidRPr="00EB08F2">
            <w:rPr>
              <w:rStyle w:val="Hyperlink"/>
            </w:rPr>
            <w:t>3. Democracy as a Way of Life</w:t>
          </w:r>
          <w:r w:rsidR="001C62D0">
            <w:rPr>
              <w:webHidden/>
            </w:rPr>
            <w:tab/>
          </w:r>
          <w:r>
            <w:rPr>
              <w:webHidden/>
            </w:rPr>
            <w:fldChar w:fldCharType="begin"/>
          </w:r>
          <w:r w:rsidR="001C62D0">
            <w:rPr>
              <w:webHidden/>
            </w:rPr>
            <w:instrText xml:space="preserve"> PAGEREF _Toc528077806 \h </w:instrText>
          </w:r>
          <w:r>
            <w:rPr>
              <w:webHidden/>
            </w:rPr>
          </w:r>
          <w:r>
            <w:rPr>
              <w:webHidden/>
            </w:rPr>
            <w:fldChar w:fldCharType="separate"/>
          </w:r>
          <w:r w:rsidR="001C62D0">
            <w:rPr>
              <w:webHidden/>
            </w:rPr>
            <w:t>145</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"_Toc528077807"</w:instrText>
          </w:r>
          <w:r>
            <w:fldChar w:fldCharType="separate"/>
          </w:r>
          <w:r w:rsidR="001C62D0" w:rsidRPr="00EB08F2">
            <w:rPr>
              <w:rStyle w:val="Hyperlink"/>
            </w:rPr>
            <w:t>4. Three Possible Objections</w:t>
          </w:r>
          <w:r w:rsidR="001C62D0">
            <w:rPr>
              <w:webHidden/>
            </w:rPr>
            <w:tab/>
          </w:r>
          <w:r>
            <w:rPr>
              <w:webHidden/>
            </w:rPr>
            <w:fldChar w:fldCharType="begin"/>
          </w:r>
          <w:r w:rsidR="001C62D0">
            <w:rPr>
              <w:webHidden/>
            </w:rPr>
            <w:instrText xml:space="preserve"> PAGEREF _Toc528077807 \h </w:instrText>
          </w:r>
          <w:r>
            <w:rPr>
              <w:webHidden/>
            </w:rPr>
          </w:r>
          <w:r>
            <w:rPr>
              <w:webHidden/>
            </w:rPr>
            <w:fldChar w:fldCharType="separate"/>
          </w:r>
          <w:r w:rsidR="001C62D0">
            <w:rPr>
              <w:webHidden/>
            </w:rPr>
            <w:t>151</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"_Toc528077808"</w:instrText>
          </w:r>
          <w:r>
            <w:fldChar w:fldCharType="separate"/>
          </w:r>
          <w:r w:rsidR="001C62D0" w:rsidRPr="00EB08F2">
            <w:rPr>
              <w:rStyle w:val="Hyperlink"/>
              <w:rFonts w:cstheme="majorHAnsi"/>
              <w:noProof/>
            </w:rPr>
            <w:t>4.1 First Objection:</w:t>
          </w:r>
          <w:r w:rsidR="001C62D0">
            <w:rPr>
              <w:noProof/>
              <w:webHidden/>
            </w:rPr>
            <w:tab/>
          </w:r>
          <w:r>
            <w:rPr>
              <w:noProof/>
              <w:webHidden/>
            </w:rPr>
            <w:fldChar w:fldCharType="begin"/>
          </w:r>
          <w:r w:rsidR="001C62D0">
            <w:rPr>
              <w:noProof/>
              <w:webHidden/>
            </w:rPr>
            <w:instrText xml:space="preserve"> PAGEREF _Toc528077808 \h </w:instrText>
          </w:r>
          <w:r>
            <w:rPr>
              <w:noProof/>
              <w:webHidden/>
            </w:rPr>
          </w:r>
          <w:r>
            <w:rPr>
              <w:noProof/>
              <w:webHidden/>
            </w:rPr>
            <w:fldChar w:fldCharType="separate"/>
          </w:r>
          <w:r w:rsidR="001C62D0">
            <w:rPr>
              <w:noProof/>
              <w:webHidden/>
            </w:rPr>
            <w:t>152</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"_Toc528077809"</w:instrText>
          </w:r>
          <w:r>
            <w:fldChar w:fldCharType="separate"/>
          </w:r>
          <w:r w:rsidR="001C62D0" w:rsidRPr="00EB08F2">
            <w:rPr>
              <w:rStyle w:val="Hyperlink"/>
              <w:rFonts w:cstheme="majorHAnsi"/>
              <w:noProof/>
            </w:rPr>
            <w:t>4.2 Second Objection:</w:t>
          </w:r>
          <w:r w:rsidR="001C62D0">
            <w:rPr>
              <w:noProof/>
              <w:webHidden/>
            </w:rPr>
            <w:tab/>
          </w:r>
          <w:r>
            <w:rPr>
              <w:noProof/>
              <w:webHidden/>
            </w:rPr>
            <w:fldChar w:fldCharType="begin"/>
          </w:r>
          <w:r w:rsidR="001C62D0">
            <w:rPr>
              <w:noProof/>
              <w:webHidden/>
            </w:rPr>
            <w:instrText xml:space="preserve"> PAGEREF _Toc528077809 \h </w:instrText>
          </w:r>
          <w:r>
            <w:rPr>
              <w:noProof/>
              <w:webHidden/>
            </w:rPr>
          </w:r>
          <w:r>
            <w:rPr>
              <w:noProof/>
              <w:webHidden/>
            </w:rPr>
            <w:fldChar w:fldCharType="separate"/>
          </w:r>
          <w:r w:rsidR="001C62D0">
            <w:rPr>
              <w:noProof/>
              <w:webHidden/>
            </w:rPr>
            <w:t>159</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"_Toc528077810"</w:instrText>
          </w:r>
          <w:r>
            <w:fldChar w:fldCharType="separate"/>
          </w:r>
          <w:r w:rsidR="001C62D0" w:rsidRPr="00EB08F2">
            <w:rPr>
              <w:rStyle w:val="Hyperlink"/>
              <w:rFonts w:cstheme="majorHAnsi"/>
              <w:noProof/>
            </w:rPr>
            <w:t>4.3 Third Objection:</w:t>
          </w:r>
          <w:r w:rsidR="001C62D0">
            <w:rPr>
              <w:noProof/>
              <w:webHidden/>
            </w:rPr>
            <w:tab/>
          </w:r>
          <w:r>
            <w:rPr>
              <w:noProof/>
              <w:webHidden/>
            </w:rPr>
            <w:fldChar w:fldCharType="begin"/>
          </w:r>
          <w:r w:rsidR="001C62D0">
            <w:rPr>
              <w:noProof/>
              <w:webHidden/>
            </w:rPr>
            <w:instrText xml:space="preserve"> PAGEREF _Toc528077810 \h </w:instrText>
          </w:r>
          <w:r>
            <w:rPr>
              <w:noProof/>
              <w:webHidden/>
            </w:rPr>
          </w:r>
          <w:r>
            <w:rPr>
              <w:noProof/>
              <w:webHidden/>
            </w:rPr>
            <w:fldChar w:fldCharType="separate"/>
          </w:r>
          <w:r w:rsidR="001C62D0">
            <w:rPr>
              <w:noProof/>
              <w:webHidden/>
            </w:rPr>
            <w:t>164</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lastRenderedPageBreak/>
            <w:fldChar w:fldCharType="begin"/>
          </w:r>
          <w:r>
            <w:instrText>HYPERLINK \l "_Toc528077811"</w:instrText>
          </w:r>
          <w:r>
            <w:fldChar w:fldCharType="separate"/>
          </w:r>
          <w:r w:rsidR="001C62D0" w:rsidRPr="00EB08F2">
            <w:rPr>
              <w:rStyle w:val="Hyperlink"/>
            </w:rPr>
            <w:t>5. The Analytic/Synthetic and the Fact/Value distinction</w:t>
          </w:r>
          <w:r w:rsidR="001C62D0">
            <w:rPr>
              <w:webHidden/>
            </w:rPr>
            <w:tab/>
          </w:r>
          <w:r>
            <w:rPr>
              <w:webHidden/>
            </w:rPr>
            <w:fldChar w:fldCharType="begin"/>
          </w:r>
          <w:r w:rsidR="001C62D0">
            <w:rPr>
              <w:webHidden/>
            </w:rPr>
            <w:instrText xml:space="preserve"> PAGEREF _Toc528077811 \h </w:instrText>
          </w:r>
          <w:r>
            <w:rPr>
              <w:webHidden/>
            </w:rPr>
          </w:r>
          <w:r>
            <w:rPr>
              <w:webHidden/>
            </w:rPr>
            <w:fldChar w:fldCharType="separate"/>
          </w:r>
          <w:r w:rsidR="001C62D0">
            <w:rPr>
              <w:webHidden/>
            </w:rPr>
            <w:t>170</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"_Toc528077812"</w:instrText>
          </w:r>
          <w:r>
            <w:fldChar w:fldCharType="separate"/>
          </w:r>
          <w:r w:rsidR="001C62D0" w:rsidRPr="00EB08F2">
            <w:rPr>
              <w:rStyle w:val="Hyperlink"/>
            </w:rPr>
            <w:t>6. The Entanglement of Fact and Value</w:t>
          </w:r>
          <w:r w:rsidR="001C62D0">
            <w:rPr>
              <w:webHidden/>
            </w:rPr>
            <w:tab/>
          </w:r>
          <w:r>
            <w:rPr>
              <w:webHidden/>
            </w:rPr>
            <w:fldChar w:fldCharType="begin"/>
          </w:r>
          <w:r w:rsidR="001C62D0">
            <w:rPr>
              <w:webHidden/>
            </w:rPr>
            <w:instrText xml:space="preserve"> PAGEREF _Toc528077812 \h </w:instrText>
          </w:r>
          <w:r>
            <w:rPr>
              <w:webHidden/>
            </w:rPr>
          </w:r>
          <w:r>
            <w:rPr>
              <w:webHidden/>
            </w:rPr>
            <w:fldChar w:fldCharType="separate"/>
          </w:r>
          <w:r w:rsidR="001C62D0">
            <w:rPr>
              <w:webHidden/>
            </w:rPr>
            <w:t>176</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"_Toc528077813"</w:instrText>
          </w:r>
          <w:r>
            <w:fldChar w:fldCharType="separate"/>
          </w:r>
          <w:r w:rsidR="001C62D0" w:rsidRPr="00EB08F2">
            <w:rPr>
              <w:rStyle w:val="Hyperlink"/>
            </w:rPr>
            <w:t>7. Concluding Remarks</w:t>
          </w:r>
          <w:r w:rsidR="001C62D0">
            <w:rPr>
              <w:webHidden/>
            </w:rPr>
            <w:tab/>
          </w:r>
          <w:r>
            <w:rPr>
              <w:webHidden/>
            </w:rPr>
            <w:fldChar w:fldCharType="begin"/>
          </w:r>
          <w:r w:rsidR="001C62D0">
            <w:rPr>
              <w:webHidden/>
            </w:rPr>
            <w:instrText xml:space="preserve"> PAGEREF _Toc528077813 \h </w:instrText>
          </w:r>
          <w:r>
            <w:rPr>
              <w:webHidden/>
            </w:rPr>
          </w:r>
          <w:r>
            <w:rPr>
              <w:webHidden/>
            </w:rPr>
            <w:fldChar w:fldCharType="separate"/>
          </w:r>
          <w:r w:rsidR="001C62D0">
            <w:rPr>
              <w:webHidden/>
            </w:rPr>
            <w:t>185</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"_Toc528077814"</w:instrText>
          </w:r>
          <w:r>
            <w:fldChar w:fldCharType="separate"/>
          </w:r>
          <w:r w:rsidR="001C62D0" w:rsidRPr="00EB08F2">
            <w:rPr>
              <w:rStyle w:val="Hyperlink"/>
              <w:rFonts w:cstheme="majorHAnsi"/>
              <w:noProof/>
            </w:rPr>
            <w:t>Chapter 4: MacIntyre’s Political Philosophy: Historicity, modern political philosophy, and the Aristotelian Polis</w:t>
          </w:r>
          <w:r w:rsidR="001C62D0">
            <w:rPr>
              <w:noProof/>
              <w:webHidden/>
            </w:rPr>
            <w:tab/>
          </w:r>
          <w:r>
            <w:rPr>
              <w:noProof/>
              <w:webHidden/>
            </w:rPr>
            <w:fldChar w:fldCharType="begin"/>
          </w:r>
          <w:r w:rsidR="001C62D0">
            <w:rPr>
              <w:noProof/>
              <w:webHidden/>
            </w:rPr>
            <w:instrText xml:space="preserve"> PAGEREF _Toc528077814 \h </w:instrText>
          </w:r>
          <w:r>
            <w:rPr>
              <w:noProof/>
              <w:webHidden/>
            </w:rPr>
          </w:r>
          <w:r>
            <w:rPr>
              <w:noProof/>
              <w:webHidden/>
            </w:rPr>
            <w:fldChar w:fldCharType="separate"/>
          </w:r>
          <w:r w:rsidR="001C62D0">
            <w:rPr>
              <w:noProof/>
              <w:webHidden/>
            </w:rPr>
            <w:t>189</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"_Toc528077815"</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_Toc528077815 \h </w:instrText>
          </w:r>
          <w:r>
            <w:rPr>
              <w:webHidden/>
            </w:rPr>
          </w:r>
          <w:r>
            <w:rPr>
              <w:webHidden/>
            </w:rPr>
            <w:fldChar w:fldCharType="separate"/>
          </w:r>
          <w:r w:rsidR="001C62D0">
            <w:rPr>
              <w:webHidden/>
            </w:rPr>
            <w:t>189</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"_Toc528077816"</w:instrText>
          </w:r>
          <w:r>
            <w:fldChar w:fldCharType="separate"/>
          </w:r>
          <w:r w:rsidR="001C62D0" w:rsidRPr="00EB08F2">
            <w:rPr>
              <w:rStyle w:val="Hyperlink"/>
            </w:rPr>
            <w:t>2. MacIntyre’s Revolutionary Thomism</w:t>
          </w:r>
          <w:r w:rsidR="001C62D0">
            <w:rPr>
              <w:webHidden/>
            </w:rPr>
            <w:tab/>
          </w:r>
          <w:r>
            <w:rPr>
              <w:webHidden/>
            </w:rPr>
            <w:fldChar w:fldCharType="begin"/>
          </w:r>
          <w:r w:rsidR="001C62D0">
            <w:rPr>
              <w:webHidden/>
            </w:rPr>
            <w:instrText xml:space="preserve"> PAGEREF _Toc528077816 \h </w:instrText>
          </w:r>
          <w:r>
            <w:rPr>
              <w:webHidden/>
            </w:rPr>
          </w:r>
          <w:r>
            <w:rPr>
              <w:webHidden/>
            </w:rPr>
            <w:fldChar w:fldCharType="separate"/>
          </w:r>
          <w:r w:rsidR="001C62D0">
            <w:rPr>
              <w:webHidden/>
            </w:rPr>
            <w:t>195</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"_Toc528077817"</w:instrText>
          </w:r>
          <w:r>
            <w:fldChar w:fldCharType="separate"/>
          </w:r>
          <w:r w:rsidR="001C62D0" w:rsidRPr="00EB08F2">
            <w:rPr>
              <w:rStyle w:val="Hyperlink"/>
            </w:rPr>
            <w:t>3. MacIntyre’s Political Philosophy</w:t>
          </w:r>
          <w:r w:rsidR="001C62D0">
            <w:rPr>
              <w:webHidden/>
            </w:rPr>
            <w:tab/>
          </w:r>
          <w:r>
            <w:rPr>
              <w:webHidden/>
            </w:rPr>
            <w:fldChar w:fldCharType="begin"/>
          </w:r>
          <w:r w:rsidR="001C62D0">
            <w:rPr>
              <w:webHidden/>
            </w:rPr>
            <w:instrText xml:space="preserve"> PAGEREF _Toc528077817 \h </w:instrText>
          </w:r>
          <w:r>
            <w:rPr>
              <w:webHidden/>
            </w:rPr>
          </w:r>
          <w:r>
            <w:rPr>
              <w:webHidden/>
            </w:rPr>
            <w:fldChar w:fldCharType="separate"/>
          </w:r>
          <w:r w:rsidR="001C62D0">
            <w:rPr>
              <w:webHidden/>
            </w:rPr>
            <w:t>204</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"_Toc528077818"</w:instrText>
          </w:r>
          <w:r>
            <w:fldChar w:fldCharType="separate"/>
          </w:r>
          <w:r w:rsidR="001C62D0" w:rsidRPr="00EB08F2">
            <w:rPr>
              <w:rStyle w:val="Hyperlink"/>
            </w:rPr>
            <w:t>4. Liberal State and Local Politics</w:t>
          </w:r>
          <w:r w:rsidR="001C62D0">
            <w:rPr>
              <w:webHidden/>
            </w:rPr>
            <w:tab/>
          </w:r>
          <w:r>
            <w:rPr>
              <w:webHidden/>
            </w:rPr>
            <w:fldChar w:fldCharType="begin"/>
          </w:r>
          <w:r w:rsidR="001C62D0">
            <w:rPr>
              <w:webHidden/>
            </w:rPr>
            <w:instrText xml:space="preserve"> PAGEREF _Toc528077818 \h </w:instrText>
          </w:r>
          <w:r>
            <w:rPr>
              <w:webHidden/>
            </w:rPr>
          </w:r>
          <w:r>
            <w:rPr>
              <w:webHidden/>
            </w:rPr>
            <w:fldChar w:fldCharType="separate"/>
          </w:r>
          <w:r w:rsidR="001C62D0">
            <w:rPr>
              <w:webHidden/>
            </w:rPr>
            <w:t>218</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"_Toc528077819"</w:instrText>
          </w:r>
          <w:r>
            <w:fldChar w:fldCharType="separate"/>
          </w:r>
          <w:r w:rsidR="001C62D0" w:rsidRPr="00EB08F2">
            <w:rPr>
              <w:rStyle w:val="Hyperlink"/>
              <w:rFonts w:cstheme="majorHAnsi"/>
              <w:iCs/>
              <w:noProof/>
            </w:rPr>
            <w:t>4.1 Is the State a Necessary Condition for Local Politics?</w:t>
          </w:r>
          <w:r w:rsidR="001C62D0">
            <w:rPr>
              <w:noProof/>
              <w:webHidden/>
            </w:rPr>
            <w:tab/>
          </w:r>
          <w:r>
            <w:rPr>
              <w:noProof/>
              <w:webHidden/>
            </w:rPr>
            <w:fldChar w:fldCharType="begin"/>
          </w:r>
          <w:r w:rsidR="001C62D0">
            <w:rPr>
              <w:noProof/>
              <w:webHidden/>
            </w:rPr>
            <w:instrText xml:space="preserve"> PAGEREF _Toc528077819 \h </w:instrText>
          </w:r>
          <w:r>
            <w:rPr>
              <w:noProof/>
              <w:webHidden/>
            </w:rPr>
          </w:r>
          <w:r>
            <w:rPr>
              <w:noProof/>
              <w:webHidden/>
            </w:rPr>
            <w:fldChar w:fldCharType="separate"/>
          </w:r>
          <w:r w:rsidR="001C62D0">
            <w:rPr>
              <w:noProof/>
              <w:webHidden/>
            </w:rPr>
            <w:t>220</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"_Toc528077820"</w:instrText>
          </w:r>
          <w:r>
            <w:fldChar w:fldCharType="separate"/>
          </w:r>
          <w:r w:rsidR="001C62D0" w:rsidRPr="00EB08F2">
            <w:rPr>
              <w:rStyle w:val="Hyperlink"/>
              <w:rFonts w:cstheme="majorHAnsi"/>
              <w:noProof/>
            </w:rPr>
            <w:t xml:space="preserve">4.2 Politics as a Second-order </w:t>
          </w:r>
          <w:r w:rsidR="001C62D0" w:rsidRPr="00EB08F2">
            <w:rPr>
              <w:rStyle w:val="Hyperlink"/>
              <w:rFonts w:cstheme="majorHAnsi"/>
              <w:iCs/>
              <w:noProof/>
            </w:rPr>
            <w:t>Practice</w:t>
          </w:r>
          <w:r w:rsidR="001C62D0">
            <w:rPr>
              <w:noProof/>
              <w:webHidden/>
            </w:rPr>
            <w:tab/>
          </w:r>
          <w:r>
            <w:rPr>
              <w:noProof/>
              <w:webHidden/>
            </w:rPr>
            <w:fldChar w:fldCharType="begin"/>
          </w:r>
          <w:r w:rsidR="001C62D0">
            <w:rPr>
              <w:noProof/>
              <w:webHidden/>
            </w:rPr>
            <w:instrText xml:space="preserve"> PAGEREF _Toc528077820 \h </w:instrText>
          </w:r>
          <w:r>
            <w:rPr>
              <w:noProof/>
              <w:webHidden/>
            </w:rPr>
          </w:r>
          <w:r>
            <w:rPr>
              <w:noProof/>
              <w:webHidden/>
            </w:rPr>
            <w:fldChar w:fldCharType="separate"/>
          </w:r>
          <w:r w:rsidR="001C62D0">
            <w:rPr>
              <w:noProof/>
              <w:webHidden/>
            </w:rPr>
            <w:t>226</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"_Toc528077821"</w:instrText>
          </w:r>
          <w:r>
            <w:fldChar w:fldCharType="separate"/>
          </w:r>
          <w:r w:rsidR="001C62D0" w:rsidRPr="00EB08F2">
            <w:rPr>
              <w:rStyle w:val="Hyperlink"/>
            </w:rPr>
            <w:t>5. Concluding Remarks</w:t>
          </w:r>
          <w:r w:rsidR="001C62D0">
            <w:rPr>
              <w:webHidden/>
            </w:rPr>
            <w:tab/>
          </w:r>
          <w:r>
            <w:rPr>
              <w:webHidden/>
            </w:rPr>
            <w:fldChar w:fldCharType="begin"/>
          </w:r>
          <w:r w:rsidR="001C62D0">
            <w:rPr>
              <w:webHidden/>
            </w:rPr>
            <w:instrText xml:space="preserve"> PAGEREF _Toc528077821 \h </w:instrText>
          </w:r>
          <w:r>
            <w:rPr>
              <w:webHidden/>
            </w:rPr>
          </w:r>
          <w:r>
            <w:rPr>
              <w:webHidden/>
            </w:rPr>
            <w:fldChar w:fldCharType="separate"/>
          </w:r>
          <w:r w:rsidR="001C62D0">
            <w:rPr>
              <w:webHidden/>
            </w:rPr>
            <w:t>231</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"_Toc528077822"</w:instrText>
          </w:r>
          <w:r>
            <w:fldChar w:fldCharType="separate"/>
          </w:r>
          <w:r w:rsidR="001C62D0" w:rsidRPr="00EB08F2">
            <w:rPr>
              <w:rStyle w:val="Hyperlink"/>
              <w:rFonts w:cstheme="majorHAnsi"/>
              <w:noProof/>
            </w:rPr>
            <w:t>Chapter 5: Two Potential Political Strategies – Ideal Theory vs. Traditional Aristotelian-Thomism</w:t>
          </w:r>
          <w:r w:rsidR="001C62D0">
            <w:rPr>
              <w:noProof/>
              <w:webHidden/>
            </w:rPr>
            <w:tab/>
          </w:r>
          <w:r>
            <w:rPr>
              <w:noProof/>
              <w:webHidden/>
            </w:rPr>
            <w:fldChar w:fldCharType="begin"/>
          </w:r>
          <w:r w:rsidR="001C62D0">
            <w:rPr>
              <w:noProof/>
              <w:webHidden/>
            </w:rPr>
            <w:instrText xml:space="preserve"> PAGEREF _Toc528077822 \h </w:instrText>
          </w:r>
          <w:r>
            <w:rPr>
              <w:noProof/>
              <w:webHidden/>
            </w:rPr>
          </w:r>
          <w:r>
            <w:rPr>
              <w:noProof/>
              <w:webHidden/>
            </w:rPr>
            <w:fldChar w:fldCharType="separate"/>
          </w:r>
          <w:r w:rsidR="001C62D0">
            <w:rPr>
              <w:noProof/>
              <w:webHidden/>
            </w:rPr>
            <w:t>234</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"_Toc528077823"</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_Toc528077823 \h </w:instrText>
          </w:r>
          <w:r>
            <w:rPr>
              <w:webHidden/>
            </w:rPr>
          </w:r>
          <w:r>
            <w:rPr>
              <w:webHidden/>
            </w:rPr>
            <w:fldChar w:fldCharType="separate"/>
          </w:r>
          <w:r w:rsidR="001C62D0">
            <w:rPr>
              <w:webHidden/>
            </w:rPr>
            <w:t>234</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"_Toc528077824"</w:instrText>
          </w:r>
          <w:r>
            <w:fldChar w:fldCharType="separate"/>
          </w:r>
          <w:r w:rsidR="001C62D0" w:rsidRPr="00EB08F2">
            <w:rPr>
              <w:rStyle w:val="Hyperlink"/>
            </w:rPr>
            <w:t>2. MacIntyre as an Ideal theorist</w:t>
          </w:r>
          <w:r w:rsidR="001C62D0">
            <w:rPr>
              <w:webHidden/>
            </w:rPr>
            <w:tab/>
          </w:r>
          <w:r>
            <w:rPr>
              <w:webHidden/>
            </w:rPr>
            <w:fldChar w:fldCharType="begin"/>
          </w:r>
          <w:r w:rsidR="001C62D0">
            <w:rPr>
              <w:webHidden/>
            </w:rPr>
            <w:instrText xml:space="preserve"> PAGEREF _Toc528077824 \h </w:instrText>
          </w:r>
          <w:r>
            <w:rPr>
              <w:webHidden/>
            </w:rPr>
          </w:r>
          <w:r>
            <w:rPr>
              <w:webHidden/>
            </w:rPr>
            <w:fldChar w:fldCharType="separate"/>
          </w:r>
          <w:r w:rsidR="001C62D0">
            <w:rPr>
              <w:webHidden/>
            </w:rPr>
            <w:t>237</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"_Toc528077825"</w:instrText>
          </w:r>
          <w:r>
            <w:fldChar w:fldCharType="separate"/>
          </w:r>
          <w:r w:rsidR="001C62D0" w:rsidRPr="00EB08F2">
            <w:rPr>
              <w:rStyle w:val="Hyperlink"/>
              <w:rFonts w:cstheme="majorHAnsi"/>
              <w:noProof/>
            </w:rPr>
            <w:t>2.1 Ideal vs. Real Theory</w:t>
          </w:r>
          <w:r w:rsidR="001C62D0">
            <w:rPr>
              <w:noProof/>
              <w:webHidden/>
            </w:rPr>
            <w:tab/>
          </w:r>
          <w:r>
            <w:rPr>
              <w:noProof/>
              <w:webHidden/>
            </w:rPr>
            <w:fldChar w:fldCharType="begin"/>
          </w:r>
          <w:r w:rsidR="001C62D0">
            <w:rPr>
              <w:noProof/>
              <w:webHidden/>
            </w:rPr>
            <w:instrText xml:space="preserve"> PAGEREF _Toc528077825 \h </w:instrText>
          </w:r>
          <w:r>
            <w:rPr>
              <w:noProof/>
              <w:webHidden/>
            </w:rPr>
          </w:r>
          <w:r>
            <w:rPr>
              <w:noProof/>
              <w:webHidden/>
            </w:rPr>
            <w:fldChar w:fldCharType="separate"/>
          </w:r>
          <w:r w:rsidR="001C62D0">
            <w:rPr>
              <w:noProof/>
              <w:webHidden/>
            </w:rPr>
            <w:t>237</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"_Toc528077826"</w:instrText>
          </w:r>
          <w:r>
            <w:fldChar w:fldCharType="separate"/>
          </w:r>
          <w:r w:rsidR="001C62D0" w:rsidRPr="00EB08F2">
            <w:rPr>
              <w:rStyle w:val="Hyperlink"/>
              <w:rFonts w:cstheme="majorHAnsi"/>
              <w:noProof/>
            </w:rPr>
            <w:t>2.2 MacIntyre’s Politics in the Context of the Ideal vs. Real Theory</w:t>
          </w:r>
          <w:r w:rsidR="001C62D0">
            <w:rPr>
              <w:noProof/>
              <w:webHidden/>
            </w:rPr>
            <w:tab/>
          </w:r>
          <w:r>
            <w:rPr>
              <w:noProof/>
              <w:webHidden/>
            </w:rPr>
            <w:fldChar w:fldCharType="begin"/>
          </w:r>
          <w:r w:rsidR="001C62D0">
            <w:rPr>
              <w:noProof/>
              <w:webHidden/>
            </w:rPr>
            <w:instrText xml:space="preserve"> PAGEREF _Toc528077826 \h </w:instrText>
          </w:r>
          <w:r>
            <w:rPr>
              <w:noProof/>
              <w:webHidden/>
            </w:rPr>
          </w:r>
          <w:r>
            <w:rPr>
              <w:noProof/>
              <w:webHidden/>
            </w:rPr>
            <w:fldChar w:fldCharType="separate"/>
          </w:r>
          <w:r w:rsidR="001C62D0">
            <w:rPr>
              <w:noProof/>
              <w:webHidden/>
            </w:rPr>
            <w:t>240</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"_Toc528077827"</w:instrText>
          </w:r>
          <w:r>
            <w:fldChar w:fldCharType="separate"/>
          </w:r>
          <w:r w:rsidR="001C62D0" w:rsidRPr="00EB08F2">
            <w:rPr>
              <w:rStyle w:val="Hyperlink"/>
              <w:rFonts w:cstheme="majorHAnsi"/>
              <w:noProof/>
            </w:rPr>
            <w:t>2.3 MacIntyre as an Ideal Theorist</w:t>
          </w:r>
          <w:r w:rsidR="001C62D0">
            <w:rPr>
              <w:noProof/>
              <w:webHidden/>
            </w:rPr>
            <w:tab/>
          </w:r>
          <w:r>
            <w:rPr>
              <w:noProof/>
              <w:webHidden/>
            </w:rPr>
            <w:fldChar w:fldCharType="begin"/>
          </w:r>
          <w:r w:rsidR="001C62D0">
            <w:rPr>
              <w:noProof/>
              <w:webHidden/>
            </w:rPr>
            <w:instrText xml:space="preserve"> PAGEREF _Toc528077827 \h </w:instrText>
          </w:r>
          <w:r>
            <w:rPr>
              <w:noProof/>
              <w:webHidden/>
            </w:rPr>
          </w:r>
          <w:r>
            <w:rPr>
              <w:noProof/>
              <w:webHidden/>
            </w:rPr>
            <w:fldChar w:fldCharType="separate"/>
          </w:r>
          <w:r w:rsidR="001C62D0">
            <w:rPr>
              <w:noProof/>
              <w:webHidden/>
            </w:rPr>
            <w:t>244</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"_Toc528077828"</w:instrText>
          </w:r>
          <w:r>
            <w:fldChar w:fldCharType="separate"/>
          </w:r>
          <w:r w:rsidR="001C62D0" w:rsidRPr="00EB08F2">
            <w:rPr>
              <w:rStyle w:val="Hyperlink"/>
              <w:rFonts w:cstheme="majorHAnsi"/>
              <w:noProof/>
            </w:rPr>
            <w:t>2.4 Ideal Theory and Historicism</w:t>
          </w:r>
          <w:r w:rsidR="001C62D0">
            <w:rPr>
              <w:noProof/>
              <w:webHidden/>
            </w:rPr>
            <w:tab/>
          </w:r>
          <w:r>
            <w:rPr>
              <w:noProof/>
              <w:webHidden/>
            </w:rPr>
            <w:fldChar w:fldCharType="begin"/>
          </w:r>
          <w:r w:rsidR="001C62D0">
            <w:rPr>
              <w:noProof/>
              <w:webHidden/>
            </w:rPr>
            <w:instrText xml:space="preserve"> PAGEREF _Toc528077828 \h </w:instrText>
          </w:r>
          <w:r>
            <w:rPr>
              <w:noProof/>
              <w:webHidden/>
            </w:rPr>
          </w:r>
          <w:r>
            <w:rPr>
              <w:noProof/>
              <w:webHidden/>
            </w:rPr>
            <w:fldChar w:fldCharType="separate"/>
          </w:r>
          <w:r w:rsidR="001C62D0">
            <w:rPr>
              <w:noProof/>
              <w:webHidden/>
            </w:rPr>
            <w:t>247</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"_Toc528077829"</w:instrText>
          </w:r>
          <w:r>
            <w:fldChar w:fldCharType="separate"/>
          </w:r>
          <w:r w:rsidR="001C62D0" w:rsidRPr="00EB08F2">
            <w:rPr>
              <w:rStyle w:val="Hyperlink"/>
            </w:rPr>
            <w:t>3. Aristotle, Aquinas and MacIntyre’s local politics</w:t>
          </w:r>
          <w:r w:rsidR="001C62D0">
            <w:rPr>
              <w:webHidden/>
            </w:rPr>
            <w:tab/>
          </w:r>
          <w:r>
            <w:rPr>
              <w:webHidden/>
            </w:rPr>
            <w:fldChar w:fldCharType="begin"/>
          </w:r>
          <w:r w:rsidR="001C62D0">
            <w:rPr>
              <w:webHidden/>
            </w:rPr>
            <w:instrText xml:space="preserve"> PAGEREF _Toc528077829 \h </w:instrText>
          </w:r>
          <w:r>
            <w:rPr>
              <w:webHidden/>
            </w:rPr>
          </w:r>
          <w:r>
            <w:rPr>
              <w:webHidden/>
            </w:rPr>
            <w:fldChar w:fldCharType="separate"/>
          </w:r>
          <w:r w:rsidR="001C62D0">
            <w:rPr>
              <w:webHidden/>
            </w:rPr>
            <w:t>251</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"_Toc528077830"</w:instrText>
          </w:r>
          <w:r>
            <w:fldChar w:fldCharType="separate"/>
          </w:r>
          <w:r w:rsidR="001C62D0" w:rsidRPr="00EB08F2">
            <w:rPr>
              <w:rStyle w:val="Hyperlink"/>
              <w:rFonts w:cstheme="majorHAnsi"/>
              <w:noProof/>
            </w:rPr>
            <w:t>3.1 Aristotle and Aquinas</w:t>
          </w:r>
          <w:r w:rsidR="001C62D0">
            <w:rPr>
              <w:noProof/>
              <w:webHidden/>
            </w:rPr>
            <w:tab/>
          </w:r>
          <w:r>
            <w:rPr>
              <w:noProof/>
              <w:webHidden/>
            </w:rPr>
            <w:fldChar w:fldCharType="begin"/>
          </w:r>
          <w:r w:rsidR="001C62D0">
            <w:rPr>
              <w:noProof/>
              <w:webHidden/>
            </w:rPr>
            <w:instrText xml:space="preserve"> PAGEREF _Toc528077830 \h </w:instrText>
          </w:r>
          <w:r>
            <w:rPr>
              <w:noProof/>
              <w:webHidden/>
            </w:rPr>
          </w:r>
          <w:r>
            <w:rPr>
              <w:noProof/>
              <w:webHidden/>
            </w:rPr>
            <w:fldChar w:fldCharType="separate"/>
          </w:r>
          <w:r w:rsidR="001C62D0">
            <w:rPr>
              <w:noProof/>
              <w:webHidden/>
            </w:rPr>
            <w:t>251</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"_Toc528077831"</w:instrText>
          </w:r>
          <w:r>
            <w:fldChar w:fldCharType="separate"/>
          </w:r>
          <w:r w:rsidR="001C62D0" w:rsidRPr="00EB08F2">
            <w:rPr>
              <w:rStyle w:val="Hyperlink"/>
              <w:rFonts w:cstheme="majorHAnsi"/>
              <w:noProof/>
            </w:rPr>
            <w:t>3.2 Legislation and Sovereignty</w:t>
          </w:r>
          <w:r w:rsidR="001C62D0">
            <w:rPr>
              <w:noProof/>
              <w:webHidden/>
            </w:rPr>
            <w:tab/>
          </w:r>
          <w:r>
            <w:rPr>
              <w:noProof/>
              <w:webHidden/>
            </w:rPr>
            <w:fldChar w:fldCharType="begin"/>
          </w:r>
          <w:r w:rsidR="001C62D0">
            <w:rPr>
              <w:noProof/>
              <w:webHidden/>
            </w:rPr>
            <w:instrText xml:space="preserve"> PAGEREF _Toc528077831 \h </w:instrText>
          </w:r>
          <w:r>
            <w:rPr>
              <w:noProof/>
              <w:webHidden/>
            </w:rPr>
          </w:r>
          <w:r>
            <w:rPr>
              <w:noProof/>
              <w:webHidden/>
            </w:rPr>
            <w:fldChar w:fldCharType="separate"/>
          </w:r>
          <w:r w:rsidR="001C62D0">
            <w:rPr>
              <w:noProof/>
              <w:webHidden/>
            </w:rPr>
            <w:t>254</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"_Toc528077832"</w:instrText>
          </w:r>
          <w:r>
            <w:fldChar w:fldCharType="separate"/>
          </w:r>
          <w:r w:rsidR="001C62D0" w:rsidRPr="00EB08F2">
            <w:rPr>
              <w:rStyle w:val="Hyperlink"/>
              <w:rFonts w:cstheme="majorHAnsi"/>
              <w:noProof/>
            </w:rPr>
            <w:t>3.3 The Common Good and the State</w:t>
          </w:r>
          <w:r w:rsidR="001C62D0">
            <w:rPr>
              <w:noProof/>
              <w:webHidden/>
            </w:rPr>
            <w:tab/>
          </w:r>
          <w:r>
            <w:rPr>
              <w:noProof/>
              <w:webHidden/>
            </w:rPr>
            <w:fldChar w:fldCharType="begin"/>
          </w:r>
          <w:r w:rsidR="001C62D0">
            <w:rPr>
              <w:noProof/>
              <w:webHidden/>
            </w:rPr>
            <w:instrText xml:space="preserve"> PAGEREF _Toc528077832 \h </w:instrText>
          </w:r>
          <w:r>
            <w:rPr>
              <w:noProof/>
              <w:webHidden/>
            </w:rPr>
          </w:r>
          <w:r>
            <w:rPr>
              <w:noProof/>
              <w:webHidden/>
            </w:rPr>
            <w:fldChar w:fldCharType="separate"/>
          </w:r>
          <w:r w:rsidR="001C62D0">
            <w:rPr>
              <w:noProof/>
              <w:webHidden/>
            </w:rPr>
            <w:t>256</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"_Toc528077833"</w:instrText>
          </w:r>
          <w:r>
            <w:fldChar w:fldCharType="separate"/>
          </w:r>
          <w:r w:rsidR="001C62D0" w:rsidRPr="00EB08F2">
            <w:rPr>
              <w:rStyle w:val="Hyperlink"/>
            </w:rPr>
            <w:t>4. Concluding Remarks</w:t>
          </w:r>
          <w:r w:rsidR="001C62D0">
            <w:rPr>
              <w:webHidden/>
            </w:rPr>
            <w:tab/>
          </w:r>
          <w:r>
            <w:rPr>
              <w:webHidden/>
            </w:rPr>
            <w:fldChar w:fldCharType="begin"/>
          </w:r>
          <w:r w:rsidR="001C62D0">
            <w:rPr>
              <w:webHidden/>
            </w:rPr>
            <w:instrText xml:space="preserve"> PAGEREF _Toc528077833 \h </w:instrText>
          </w:r>
          <w:r>
            <w:rPr>
              <w:webHidden/>
            </w:rPr>
          </w:r>
          <w:r>
            <w:rPr>
              <w:webHidden/>
            </w:rPr>
            <w:fldChar w:fldCharType="separate"/>
          </w:r>
          <w:r w:rsidR="001C62D0">
            <w:rPr>
              <w:webHidden/>
            </w:rPr>
            <w:t>261</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"_Toc528077834"</w:instrText>
          </w:r>
          <w:r>
            <w:fldChar w:fldCharType="separate"/>
          </w:r>
          <w:r w:rsidR="001C62D0" w:rsidRPr="00EB08F2">
            <w:rPr>
              <w:rStyle w:val="Hyperlink"/>
              <w:rFonts w:cstheme="majorHAnsi"/>
              <w:noProof/>
            </w:rPr>
            <w:t>Chapter 6: An Alternative Pragmatist Politics</w:t>
          </w:r>
          <w:r w:rsidR="001C62D0">
            <w:rPr>
              <w:noProof/>
              <w:webHidden/>
            </w:rPr>
            <w:tab/>
          </w:r>
          <w:r>
            <w:rPr>
              <w:noProof/>
              <w:webHidden/>
            </w:rPr>
            <w:fldChar w:fldCharType="begin"/>
          </w:r>
          <w:r w:rsidR="001C62D0">
            <w:rPr>
              <w:noProof/>
              <w:webHidden/>
            </w:rPr>
            <w:instrText xml:space="preserve"> PAGEREF _Toc528077834 \h </w:instrText>
          </w:r>
          <w:r>
            <w:rPr>
              <w:noProof/>
              <w:webHidden/>
            </w:rPr>
          </w:r>
          <w:r>
            <w:rPr>
              <w:noProof/>
              <w:webHidden/>
            </w:rPr>
            <w:fldChar w:fldCharType="separate"/>
          </w:r>
          <w:r w:rsidR="001C62D0">
            <w:rPr>
              <w:noProof/>
              <w:webHidden/>
            </w:rPr>
            <w:t>263</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"_Toc528077835"</w:instrText>
          </w:r>
          <w:r>
            <w:fldChar w:fldCharType="separate"/>
          </w:r>
          <w:r w:rsidR="001C62D0" w:rsidRPr="00EB08F2">
            <w:rPr>
              <w:rStyle w:val="Hyperlink"/>
            </w:rPr>
            <w:t>1. Introduction</w:t>
          </w:r>
          <w:r w:rsidR="001C62D0">
            <w:rPr>
              <w:webHidden/>
            </w:rPr>
            <w:tab/>
          </w:r>
          <w:r>
            <w:rPr>
              <w:webHidden/>
            </w:rPr>
            <w:fldChar w:fldCharType="begin"/>
          </w:r>
          <w:r w:rsidR="001C62D0">
            <w:rPr>
              <w:webHidden/>
            </w:rPr>
            <w:instrText xml:space="preserve"> PAGEREF _Toc528077835 \h </w:instrText>
          </w:r>
          <w:r>
            <w:rPr>
              <w:webHidden/>
            </w:rPr>
          </w:r>
          <w:r>
            <w:rPr>
              <w:webHidden/>
            </w:rPr>
            <w:fldChar w:fldCharType="separate"/>
          </w:r>
          <w:r w:rsidR="001C62D0">
            <w:rPr>
              <w:webHidden/>
            </w:rPr>
            <w:t>263</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"_Toc528077836"</w:instrText>
          </w:r>
          <w:r>
            <w:fldChar w:fldCharType="separate"/>
          </w:r>
          <w:r w:rsidR="001C62D0" w:rsidRPr="00EB08F2">
            <w:rPr>
              <w:rStyle w:val="Hyperlink"/>
            </w:rPr>
            <w:t>2. The Problem in MacIntyre’s Political Account</w:t>
          </w:r>
          <w:r w:rsidR="001C62D0">
            <w:rPr>
              <w:webHidden/>
            </w:rPr>
            <w:tab/>
          </w:r>
          <w:r>
            <w:rPr>
              <w:webHidden/>
            </w:rPr>
            <w:fldChar w:fldCharType="begin"/>
          </w:r>
          <w:r w:rsidR="001C62D0">
            <w:rPr>
              <w:webHidden/>
            </w:rPr>
            <w:instrText xml:space="preserve"> PAGEREF _Toc528077836 \h </w:instrText>
          </w:r>
          <w:r>
            <w:rPr>
              <w:webHidden/>
            </w:rPr>
          </w:r>
          <w:r>
            <w:rPr>
              <w:webHidden/>
            </w:rPr>
            <w:fldChar w:fldCharType="separate"/>
          </w:r>
          <w:r w:rsidR="001C62D0">
            <w:rPr>
              <w:webHidden/>
            </w:rPr>
            <w:t>265</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"_Toc528077837"</w:instrText>
          </w:r>
          <w:r>
            <w:fldChar w:fldCharType="separate"/>
          </w:r>
          <w:r w:rsidR="001C62D0" w:rsidRPr="00EB08F2">
            <w:rPr>
              <w:rStyle w:val="Hyperlink"/>
              <w:rFonts w:cstheme="majorHAnsi"/>
              <w:noProof/>
            </w:rPr>
            <w:t>2.1 Some Desiderata</w:t>
          </w:r>
          <w:r w:rsidR="001C62D0">
            <w:rPr>
              <w:noProof/>
              <w:webHidden/>
            </w:rPr>
            <w:tab/>
          </w:r>
          <w:r>
            <w:rPr>
              <w:noProof/>
              <w:webHidden/>
            </w:rPr>
            <w:fldChar w:fldCharType="begin"/>
          </w:r>
          <w:r w:rsidR="001C62D0">
            <w:rPr>
              <w:noProof/>
              <w:webHidden/>
            </w:rPr>
            <w:instrText xml:space="preserve"> PAGEREF _Toc528077837 \h </w:instrText>
          </w:r>
          <w:r>
            <w:rPr>
              <w:noProof/>
              <w:webHidden/>
            </w:rPr>
          </w:r>
          <w:r>
            <w:rPr>
              <w:noProof/>
              <w:webHidden/>
            </w:rPr>
            <w:fldChar w:fldCharType="separate"/>
          </w:r>
          <w:r w:rsidR="001C62D0">
            <w:rPr>
              <w:noProof/>
              <w:webHidden/>
            </w:rPr>
            <w:t>272</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"_Toc528077838"</w:instrText>
          </w:r>
          <w:r>
            <w:fldChar w:fldCharType="separate"/>
          </w:r>
          <w:r w:rsidR="001C62D0" w:rsidRPr="00EB08F2">
            <w:rPr>
              <w:rStyle w:val="Hyperlink"/>
            </w:rPr>
            <w:t>3. Participatory Democracy</w:t>
          </w:r>
          <w:r w:rsidR="001C62D0">
            <w:rPr>
              <w:webHidden/>
            </w:rPr>
            <w:tab/>
          </w:r>
          <w:r>
            <w:rPr>
              <w:webHidden/>
            </w:rPr>
            <w:fldChar w:fldCharType="begin"/>
          </w:r>
          <w:r w:rsidR="001C62D0">
            <w:rPr>
              <w:webHidden/>
            </w:rPr>
            <w:instrText xml:space="preserve"> PAGEREF _Toc528077838 \h </w:instrText>
          </w:r>
          <w:r>
            <w:rPr>
              <w:webHidden/>
            </w:rPr>
          </w:r>
          <w:r>
            <w:rPr>
              <w:webHidden/>
            </w:rPr>
            <w:fldChar w:fldCharType="separate"/>
          </w:r>
          <w:r w:rsidR="001C62D0">
            <w:rPr>
              <w:webHidden/>
            </w:rPr>
            <w:t>275</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"_Toc528077839"</w:instrText>
          </w:r>
          <w:r>
            <w:fldChar w:fldCharType="separate"/>
          </w:r>
          <w:r w:rsidR="001C62D0" w:rsidRPr="00EB08F2">
            <w:rPr>
              <w:rStyle w:val="Hyperlink"/>
            </w:rPr>
            <w:t>4. Pragmatist Political Possibilities</w:t>
          </w:r>
          <w:r w:rsidR="001C62D0">
            <w:rPr>
              <w:webHidden/>
            </w:rPr>
            <w:tab/>
          </w:r>
          <w:r>
            <w:rPr>
              <w:webHidden/>
            </w:rPr>
            <w:fldChar w:fldCharType="begin"/>
          </w:r>
          <w:r w:rsidR="001C62D0">
            <w:rPr>
              <w:webHidden/>
            </w:rPr>
            <w:instrText xml:space="preserve"> PAGEREF _Toc528077839 \h </w:instrText>
          </w:r>
          <w:r>
            <w:rPr>
              <w:webHidden/>
            </w:rPr>
          </w:r>
          <w:r>
            <w:rPr>
              <w:webHidden/>
            </w:rPr>
            <w:fldChar w:fldCharType="separate"/>
          </w:r>
          <w:r w:rsidR="001C62D0">
            <w:rPr>
              <w:webHidden/>
            </w:rPr>
            <w:t>280</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"_Toc528077840"</w:instrText>
          </w:r>
          <w:r>
            <w:fldChar w:fldCharType="separate"/>
          </w:r>
          <w:r w:rsidR="001C62D0" w:rsidRPr="00EB08F2">
            <w:rPr>
              <w:rStyle w:val="Hyperlink"/>
              <w:rFonts w:cstheme="majorHAnsi"/>
              <w:noProof/>
            </w:rPr>
            <w:t>4.1 Cheryl Misak</w:t>
          </w:r>
          <w:r w:rsidR="001C62D0">
            <w:rPr>
              <w:noProof/>
              <w:webHidden/>
            </w:rPr>
            <w:tab/>
          </w:r>
          <w:r>
            <w:rPr>
              <w:noProof/>
              <w:webHidden/>
            </w:rPr>
            <w:fldChar w:fldCharType="begin"/>
          </w:r>
          <w:r w:rsidR="001C62D0">
            <w:rPr>
              <w:noProof/>
              <w:webHidden/>
            </w:rPr>
            <w:instrText xml:space="preserve"> PAGEREF _Toc528077840 \h </w:instrText>
          </w:r>
          <w:r>
            <w:rPr>
              <w:noProof/>
              <w:webHidden/>
            </w:rPr>
          </w:r>
          <w:r>
            <w:rPr>
              <w:noProof/>
              <w:webHidden/>
            </w:rPr>
            <w:fldChar w:fldCharType="separate"/>
          </w:r>
          <w:r w:rsidR="001C62D0">
            <w:rPr>
              <w:noProof/>
              <w:webHidden/>
            </w:rPr>
            <w:t>280</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"_Toc528077841"</w:instrText>
          </w:r>
          <w:r>
            <w:fldChar w:fldCharType="separate"/>
          </w:r>
          <w:r w:rsidR="001C62D0" w:rsidRPr="00EB08F2">
            <w:rPr>
              <w:rStyle w:val="Hyperlink"/>
              <w:rFonts w:cstheme="majorHAnsi"/>
              <w:noProof/>
            </w:rPr>
            <w:t>4.2 Michael Walzer</w:t>
          </w:r>
          <w:r w:rsidR="001C62D0">
            <w:rPr>
              <w:noProof/>
              <w:webHidden/>
            </w:rPr>
            <w:tab/>
          </w:r>
          <w:r>
            <w:rPr>
              <w:noProof/>
              <w:webHidden/>
            </w:rPr>
            <w:fldChar w:fldCharType="begin"/>
          </w:r>
          <w:r w:rsidR="001C62D0">
            <w:rPr>
              <w:noProof/>
              <w:webHidden/>
            </w:rPr>
            <w:instrText xml:space="preserve"> PAGEREF _Toc528077841 \h </w:instrText>
          </w:r>
          <w:r>
            <w:rPr>
              <w:noProof/>
              <w:webHidden/>
            </w:rPr>
          </w:r>
          <w:r>
            <w:rPr>
              <w:noProof/>
              <w:webHidden/>
            </w:rPr>
            <w:fldChar w:fldCharType="separate"/>
          </w:r>
          <w:r w:rsidR="001C62D0">
            <w:rPr>
              <w:noProof/>
              <w:webHidden/>
            </w:rPr>
            <w:t>285</w:t>
          </w:r>
          <w:r>
            <w:rPr>
              <w:noProof/>
              <w:webHidden/>
            </w:rPr>
            <w:fldChar w:fldCharType="end"/>
          </w:r>
          <w:r>
            <w:fldChar w:fldCharType="end"/>
          </w:r>
        </w:p>
        <w:p w:rsidR="001C62D0" w:rsidRDefault="00AA2A48">
          <w:pPr>
            <w:pStyle w:val="TOC3"/>
            <w:tabs>
              <w:tab w:val="right" w:leader="dot" w:pos="7694"/>
            </w:tabs>
            <w:rPr>
              <w:noProof/>
            </w:rPr>
          </w:pPr>
          <w:r>
            <w:lastRenderedPageBreak/>
            <w:fldChar w:fldCharType="begin"/>
          </w:r>
          <w:r>
            <w:instrText>HYPERLINK \l "_Toc528077842"</w:instrText>
          </w:r>
          <w:r>
            <w:fldChar w:fldCharType="separate"/>
          </w:r>
          <w:r w:rsidR="001C62D0" w:rsidRPr="00EB08F2">
            <w:rPr>
              <w:rStyle w:val="Hyperlink"/>
              <w:rFonts w:cstheme="majorHAnsi"/>
              <w:noProof/>
            </w:rPr>
            <w:t>4.3 Honneth’s Dewey</w:t>
          </w:r>
          <w:r w:rsidR="001C62D0">
            <w:rPr>
              <w:noProof/>
              <w:webHidden/>
            </w:rPr>
            <w:tab/>
          </w:r>
          <w:r>
            <w:rPr>
              <w:noProof/>
              <w:webHidden/>
            </w:rPr>
            <w:fldChar w:fldCharType="begin"/>
          </w:r>
          <w:r w:rsidR="001C62D0">
            <w:rPr>
              <w:noProof/>
              <w:webHidden/>
            </w:rPr>
            <w:instrText xml:space="preserve"> PAGEREF _Toc528077842 \h </w:instrText>
          </w:r>
          <w:r>
            <w:rPr>
              <w:noProof/>
              <w:webHidden/>
            </w:rPr>
          </w:r>
          <w:r>
            <w:rPr>
              <w:noProof/>
              <w:webHidden/>
            </w:rPr>
            <w:fldChar w:fldCharType="separate"/>
          </w:r>
          <w:r w:rsidR="001C62D0">
            <w:rPr>
              <w:noProof/>
              <w:webHidden/>
            </w:rPr>
            <w:t>290</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"_Toc528077843"</w:instrText>
          </w:r>
          <w:r>
            <w:fldChar w:fldCharType="separate"/>
          </w:r>
          <w:r w:rsidR="001C62D0" w:rsidRPr="00EB08F2">
            <w:rPr>
              <w:rStyle w:val="Hyperlink"/>
            </w:rPr>
            <w:t>5. Addressing the Worries Generated by MacIntyre’s Politics</w:t>
          </w:r>
          <w:r w:rsidR="001C62D0">
            <w:rPr>
              <w:webHidden/>
            </w:rPr>
            <w:tab/>
          </w:r>
          <w:r>
            <w:rPr>
              <w:webHidden/>
            </w:rPr>
            <w:fldChar w:fldCharType="begin"/>
          </w:r>
          <w:r w:rsidR="001C62D0">
            <w:rPr>
              <w:webHidden/>
            </w:rPr>
            <w:instrText xml:space="preserve"> PAGEREF _Toc528077843 \h </w:instrText>
          </w:r>
          <w:r>
            <w:rPr>
              <w:webHidden/>
            </w:rPr>
          </w:r>
          <w:r>
            <w:rPr>
              <w:webHidden/>
            </w:rPr>
            <w:fldChar w:fldCharType="separate"/>
          </w:r>
          <w:r w:rsidR="001C62D0">
            <w:rPr>
              <w:webHidden/>
            </w:rPr>
            <w:t>295</w:t>
          </w:r>
          <w:r>
            <w:rPr>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"_Toc528077844"</w:instrText>
          </w:r>
          <w:r>
            <w:fldChar w:fldCharType="separate"/>
          </w:r>
          <w:r w:rsidR="001C62D0" w:rsidRPr="00EB08F2">
            <w:rPr>
              <w:rStyle w:val="Hyperlink"/>
            </w:rPr>
            <w:t>6. Charting an Alternative</w:t>
          </w:r>
          <w:r w:rsidR="001C62D0">
            <w:rPr>
              <w:webHidden/>
            </w:rPr>
            <w:tab/>
          </w:r>
          <w:r>
            <w:rPr>
              <w:webHidden/>
            </w:rPr>
            <w:fldChar w:fldCharType="begin"/>
          </w:r>
          <w:r w:rsidR="001C62D0">
            <w:rPr>
              <w:webHidden/>
            </w:rPr>
            <w:instrText xml:space="preserve"> PAGEREF _Toc528077844 \h </w:instrText>
          </w:r>
          <w:r>
            <w:rPr>
              <w:webHidden/>
            </w:rPr>
          </w:r>
          <w:r>
            <w:rPr>
              <w:webHidden/>
            </w:rPr>
            <w:fldChar w:fldCharType="separate"/>
          </w:r>
          <w:r w:rsidR="001C62D0">
            <w:rPr>
              <w:webHidden/>
            </w:rPr>
            <w:t>306</w:t>
          </w:r>
          <w:r>
            <w:rPr>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"_Toc528077845"</w:instrText>
          </w:r>
          <w:r>
            <w:fldChar w:fldCharType="separate"/>
          </w:r>
          <w:r w:rsidR="001C62D0" w:rsidRPr="00EB08F2">
            <w:rPr>
              <w:rStyle w:val="Hyperlink"/>
              <w:rFonts w:cstheme="majorHAnsi"/>
              <w:noProof/>
            </w:rPr>
            <w:t>6.1 MacIntyre’s Reply</w:t>
          </w:r>
          <w:r w:rsidR="001C62D0">
            <w:rPr>
              <w:noProof/>
              <w:webHidden/>
            </w:rPr>
            <w:tab/>
          </w:r>
          <w:r>
            <w:rPr>
              <w:noProof/>
              <w:webHidden/>
            </w:rPr>
            <w:fldChar w:fldCharType="begin"/>
          </w:r>
          <w:r w:rsidR="001C62D0">
            <w:rPr>
              <w:noProof/>
              <w:webHidden/>
            </w:rPr>
            <w:instrText xml:space="preserve"> PAGEREF _Toc528077845 \h </w:instrText>
          </w:r>
          <w:r>
            <w:rPr>
              <w:noProof/>
              <w:webHidden/>
            </w:rPr>
          </w:r>
          <w:r>
            <w:rPr>
              <w:noProof/>
              <w:webHidden/>
            </w:rPr>
            <w:fldChar w:fldCharType="separate"/>
          </w:r>
          <w:r w:rsidR="001C62D0">
            <w:rPr>
              <w:noProof/>
              <w:webHidden/>
            </w:rPr>
            <w:t>306</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"_Toc528077846"</w:instrText>
          </w:r>
          <w:r>
            <w:fldChar w:fldCharType="separate"/>
          </w:r>
          <w:r w:rsidR="001C62D0" w:rsidRPr="00EB08F2">
            <w:rPr>
              <w:rStyle w:val="Hyperlink"/>
              <w:rFonts w:cstheme="majorHAnsi"/>
              <w:noProof/>
            </w:rPr>
            <w:t>6.2 Some Possibilities</w:t>
          </w:r>
          <w:r w:rsidR="001C62D0">
            <w:rPr>
              <w:noProof/>
              <w:webHidden/>
            </w:rPr>
            <w:tab/>
          </w:r>
          <w:r>
            <w:rPr>
              <w:noProof/>
              <w:webHidden/>
            </w:rPr>
            <w:fldChar w:fldCharType="begin"/>
          </w:r>
          <w:r w:rsidR="001C62D0">
            <w:rPr>
              <w:noProof/>
              <w:webHidden/>
            </w:rPr>
            <w:instrText xml:space="preserve"> PAGEREF _Toc528077846 \h </w:instrText>
          </w:r>
          <w:r>
            <w:rPr>
              <w:noProof/>
              <w:webHidden/>
            </w:rPr>
          </w:r>
          <w:r>
            <w:rPr>
              <w:noProof/>
              <w:webHidden/>
            </w:rPr>
            <w:fldChar w:fldCharType="separate"/>
          </w:r>
          <w:r w:rsidR="001C62D0">
            <w:rPr>
              <w:noProof/>
              <w:webHidden/>
            </w:rPr>
            <w:t>310</w:t>
          </w:r>
          <w:r>
            <w:rPr>
              <w:noProof/>
              <w:webHidden/>
            </w:rPr>
            <w:fldChar w:fldCharType="end"/>
          </w:r>
          <w:r>
            <w:fldChar w:fldCharType="end"/>
          </w:r>
        </w:p>
        <w:p w:rsidR="001C62D0" w:rsidRDefault="00AA2A48">
          <w:pPr>
            <w:pStyle w:val="TOC3"/>
            <w:tabs>
              <w:tab w:val="right" w:leader="dot" w:pos="7694"/>
            </w:tabs>
            <w:rPr>
              <w:noProof/>
            </w:rPr>
          </w:pPr>
          <w:r>
            <w:fldChar w:fldCharType="begin"/>
          </w:r>
          <w:r>
            <w:instrText>HYPERLINK \l "_Toc528077847"</w:instrText>
          </w:r>
          <w:r>
            <w:fldChar w:fldCharType="separate"/>
          </w:r>
          <w:r w:rsidR="001C62D0" w:rsidRPr="00EB08F2">
            <w:rPr>
              <w:rStyle w:val="Hyperlink"/>
              <w:rFonts w:cstheme="majorHAnsi"/>
              <w:noProof/>
            </w:rPr>
            <w:t>6.3 Political History and Practical Formulations</w:t>
          </w:r>
          <w:r w:rsidR="001C62D0">
            <w:rPr>
              <w:noProof/>
              <w:webHidden/>
            </w:rPr>
            <w:tab/>
          </w:r>
          <w:r>
            <w:rPr>
              <w:noProof/>
              <w:webHidden/>
            </w:rPr>
            <w:fldChar w:fldCharType="begin"/>
          </w:r>
          <w:r w:rsidR="001C62D0">
            <w:rPr>
              <w:noProof/>
              <w:webHidden/>
            </w:rPr>
            <w:instrText xml:space="preserve"> PAGEREF _Toc528077847 \h </w:instrText>
          </w:r>
          <w:r>
            <w:rPr>
              <w:noProof/>
              <w:webHidden/>
            </w:rPr>
          </w:r>
          <w:r>
            <w:rPr>
              <w:noProof/>
              <w:webHidden/>
            </w:rPr>
            <w:fldChar w:fldCharType="separate"/>
          </w:r>
          <w:r w:rsidR="001C62D0">
            <w:rPr>
              <w:noProof/>
              <w:webHidden/>
            </w:rPr>
            <w:t>315</w:t>
          </w:r>
          <w:r>
            <w:rPr>
              <w:noProof/>
              <w:webHidden/>
            </w:rPr>
            <w:fldChar w:fldCharType="end"/>
          </w:r>
          <w:r>
            <w:fldChar w:fldCharType="end"/>
          </w:r>
        </w:p>
        <w:p w:rsidR="001C62D0" w:rsidRDefault="00AA2A48">
          <w:pPr>
            <w:pStyle w:val="TOC2"/>
            <w:rPr>
              <w:rFonts w:asciiTheme="minorHAnsi" w:eastAsiaTheme="minorEastAsia" w:hAnsiTheme="minorHAnsi" w:cstheme="minorBidi"/>
              <w:bCs w:val="0"/>
            </w:rPr>
          </w:pPr>
          <w:r>
            <w:fldChar w:fldCharType="begin"/>
          </w:r>
          <w:r>
            <w:instrText>HYPERLINK \l "_Toc528077848"</w:instrText>
          </w:r>
          <w:r>
            <w:fldChar w:fldCharType="separate"/>
          </w:r>
          <w:r w:rsidR="001C62D0" w:rsidRPr="00EB08F2">
            <w:rPr>
              <w:rStyle w:val="Hyperlink"/>
            </w:rPr>
            <w:t>7. Concluding Remarks</w:t>
          </w:r>
          <w:r w:rsidR="001C62D0">
            <w:rPr>
              <w:webHidden/>
            </w:rPr>
            <w:tab/>
          </w:r>
          <w:r>
            <w:rPr>
              <w:webHidden/>
            </w:rPr>
            <w:fldChar w:fldCharType="begin"/>
          </w:r>
          <w:r w:rsidR="001C62D0">
            <w:rPr>
              <w:webHidden/>
            </w:rPr>
            <w:instrText xml:space="preserve"> PAGEREF _Toc528077848 \h </w:instrText>
          </w:r>
          <w:r>
            <w:rPr>
              <w:webHidden/>
            </w:rPr>
          </w:r>
          <w:r>
            <w:rPr>
              <w:webHidden/>
            </w:rPr>
            <w:fldChar w:fldCharType="separate"/>
          </w:r>
          <w:r w:rsidR="001C62D0">
            <w:rPr>
              <w:webHidden/>
            </w:rPr>
            <w:t>319</w:t>
          </w:r>
          <w:r>
            <w:rPr>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"_Toc528077849"</w:instrText>
          </w:r>
          <w:r>
            <w:fldChar w:fldCharType="separate"/>
          </w:r>
          <w:r w:rsidR="001C62D0" w:rsidRPr="00EB08F2">
            <w:rPr>
              <w:rStyle w:val="Hyperlink"/>
              <w:rFonts w:cstheme="majorHAnsi"/>
              <w:noProof/>
            </w:rPr>
            <w:t>Conclusion</w:t>
          </w:r>
          <w:r w:rsidR="001C62D0">
            <w:rPr>
              <w:noProof/>
              <w:webHidden/>
            </w:rPr>
            <w:tab/>
          </w:r>
          <w:r>
            <w:rPr>
              <w:noProof/>
              <w:webHidden/>
            </w:rPr>
            <w:fldChar w:fldCharType="begin"/>
          </w:r>
          <w:r w:rsidR="001C62D0">
            <w:rPr>
              <w:noProof/>
              <w:webHidden/>
            </w:rPr>
            <w:instrText xml:space="preserve"> PAGEREF _Toc528077849 \h </w:instrText>
          </w:r>
          <w:r>
            <w:rPr>
              <w:noProof/>
              <w:webHidden/>
            </w:rPr>
          </w:r>
          <w:r>
            <w:rPr>
              <w:noProof/>
              <w:webHidden/>
            </w:rPr>
            <w:fldChar w:fldCharType="separate"/>
          </w:r>
          <w:r w:rsidR="001C62D0">
            <w:rPr>
              <w:noProof/>
              <w:webHidden/>
            </w:rPr>
            <w:t>321</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"_Toc528077850"</w:instrText>
          </w:r>
          <w:r>
            <w:fldChar w:fldCharType="separate"/>
          </w:r>
          <w:r w:rsidR="001C62D0" w:rsidRPr="00EB08F2">
            <w:rPr>
              <w:rStyle w:val="Hyperlink"/>
              <w:rFonts w:cstheme="majorHAnsi"/>
              <w:noProof/>
            </w:rPr>
            <w:t>Appendix</w:t>
          </w:r>
          <w:r w:rsidR="001C62D0">
            <w:rPr>
              <w:noProof/>
              <w:webHidden/>
            </w:rPr>
            <w:tab/>
          </w:r>
          <w:r>
            <w:rPr>
              <w:noProof/>
              <w:webHidden/>
            </w:rPr>
            <w:fldChar w:fldCharType="begin"/>
          </w:r>
          <w:r w:rsidR="001C62D0">
            <w:rPr>
              <w:noProof/>
              <w:webHidden/>
            </w:rPr>
            <w:instrText xml:space="preserve"> PAGEREF _Toc528077850 \h </w:instrText>
          </w:r>
          <w:r>
            <w:rPr>
              <w:noProof/>
              <w:webHidden/>
            </w:rPr>
          </w:r>
          <w:r>
            <w:rPr>
              <w:noProof/>
              <w:webHidden/>
            </w:rPr>
            <w:fldChar w:fldCharType="separate"/>
          </w:r>
          <w:r w:rsidR="001C62D0">
            <w:rPr>
              <w:noProof/>
              <w:webHidden/>
            </w:rPr>
            <w:t>325</w:t>
          </w:r>
          <w:r>
            <w:rPr>
              <w:noProof/>
              <w:webHidden/>
            </w:rPr>
            <w:fldChar w:fldCharType="end"/>
          </w:r>
          <w:r>
            <w:fldChar w:fldCharType="end"/>
          </w:r>
        </w:p>
        <w:p w:rsidR="001C62D0" w:rsidRDefault="00AA2A48">
          <w:pPr>
            <w:pStyle w:val="TOC1"/>
            <w:tabs>
              <w:tab w:val="right" w:leader="dot" w:pos="7694"/>
            </w:tabs>
            <w:rPr>
              <w:noProof/>
            </w:rPr>
          </w:pPr>
          <w:r>
            <w:fldChar w:fldCharType="begin"/>
          </w:r>
          <w:r>
            <w:instrText>HYPERLINK \l "_Toc528077851"</w:instrText>
          </w:r>
          <w:r>
            <w:fldChar w:fldCharType="separate"/>
          </w:r>
          <w:r w:rsidR="001C62D0" w:rsidRPr="00EB08F2">
            <w:rPr>
              <w:rStyle w:val="Hyperlink"/>
              <w:rFonts w:cstheme="majorHAnsi"/>
              <w:noProof/>
            </w:rPr>
            <w:t>Bibliography</w:t>
          </w:r>
          <w:r w:rsidR="001C62D0">
            <w:rPr>
              <w:noProof/>
              <w:webHidden/>
            </w:rPr>
            <w:tab/>
          </w:r>
          <w:r>
            <w:rPr>
              <w:noProof/>
              <w:webHidden/>
            </w:rPr>
            <w:fldChar w:fldCharType="begin"/>
          </w:r>
          <w:r w:rsidR="001C62D0">
            <w:rPr>
              <w:noProof/>
              <w:webHidden/>
            </w:rPr>
            <w:instrText xml:space="preserve"> PAGEREF _Toc528077851 \h </w:instrText>
          </w:r>
          <w:r>
            <w:rPr>
              <w:noProof/>
              <w:webHidden/>
            </w:rPr>
          </w:r>
          <w:r>
            <w:rPr>
              <w:noProof/>
              <w:webHidden/>
            </w:rPr>
            <w:fldChar w:fldCharType="separate"/>
          </w:r>
          <w:r w:rsidR="001C62D0">
            <w:rPr>
              <w:noProof/>
              <w:webHidden/>
            </w:rPr>
            <w:t>326</w:t>
          </w:r>
          <w:r>
            <w:rPr>
              <w:noProof/>
              <w:webHidden/>
            </w:rPr>
            <w:fldChar w:fldCharType="end"/>
          </w:r>
          <w:r>
            <w:fldChar w:fldCharType="end"/>
          </w:r>
        </w:p>
        <w:p w:rsidR="00665157" w:rsidRDefault="00AA2A48">
          <w:pPr>
            <w:spacing w:line="360" w:lineRule="auto"/>
            <w:rPr>
              <w:rFonts w:ascii="Garamond" w:hAnsi="Garamond"/>
            </w:rPr>
          </w:pPr>
          <w:r w:rsidRPr="00461D74">
            <w:rPr>
              <w:rFonts w:asciiTheme="majorHAnsi" w:hAnsiTheme="majorHAnsi" w:cstheme="majorHAnsi"/>
              <w:sz w:val="24"/>
              <w:szCs w:val="24"/>
            </w:rPr>
            <w:fldChar w:fldCharType="end"/>
          </w:r>
        </w:p>
      </w:sdtContent>
    </w:sdt>
    <w:p w:rsidR="00665157" w:rsidRDefault="00665157">
      <w:pPr>
        <w:spacing w:line="360" w:lineRule="auto"/>
        <w:jc w:val="center"/>
        <w:rPr>
          <w:rFonts w:ascii="Garamond" w:hAnsi="Garamond"/>
        </w:rPr>
      </w:pPr>
    </w:p>
    <w:p w:rsidR="00665157" w:rsidRDefault="00D333B6">
      <w:pPr>
        <w:spacing w:line="360" w:lineRule="auto"/>
        <w:rPr>
          <w:rFonts w:ascii="Garamond" w:eastAsiaTheme="majorEastAsia" w:hAnsi="Garamond" w:cstheme="majorBidi"/>
          <w:b/>
          <w:bCs/>
          <w:color w:val="2F5496" w:themeColor="accent1" w:themeShade="BF"/>
          <w:sz w:val="28"/>
          <w:szCs w:val="28"/>
          <w:lang w:val="en-GB"/>
        </w:rPr>
      </w:pPr>
      <w:r w:rsidRPr="00461D74">
        <w:rPr>
          <w:rFonts w:ascii="Garamond" w:hAnsi="Garamond"/>
        </w:rPr>
        <w:br w:type="page"/>
      </w:r>
    </w:p>
    <w:p w:rsidR="001F14F5" w:rsidRPr="00461D74" w:rsidRDefault="007F2A50" w:rsidP="00164E4D">
      <w:pPr>
        <w:pStyle w:val="Heading1"/>
        <w:spacing w:line="360" w:lineRule="auto"/>
        <w:jc w:val="both"/>
        <w:rPr>
          <w:rFonts w:cstheme="majorHAnsi"/>
        </w:rPr>
      </w:pPr>
      <w:bookmarkStart w:id="1" w:name="_Toc528077785"/>
      <w:r w:rsidRPr="00461D74">
        <w:rPr>
          <w:rFonts w:cstheme="majorHAnsi"/>
        </w:rPr>
        <w:lastRenderedPageBreak/>
        <w:t>Abstract</w:t>
      </w:r>
      <w:bookmarkEnd w:id="1"/>
    </w:p>
    <w:p w:rsidR="0023076E" w:rsidRPr="00461D74" w:rsidRDefault="0023076E" w:rsidP="00164E4D">
      <w:pPr>
        <w:spacing w:line="360" w:lineRule="auto"/>
        <w:rPr>
          <w:rFonts w:ascii="Garamond" w:hAnsi="Garamond"/>
          <w:sz w:val="24"/>
          <w:szCs w:val="24"/>
        </w:rPr>
      </w:pPr>
    </w:p>
    <w:p w:rsidR="00FB1F7C" w:rsidRPr="005F5386" w:rsidRDefault="00FB1F7C" w:rsidP="00355AC9">
      <w:pPr>
        <w:spacing w:line="360" w:lineRule="auto"/>
        <w:jc w:val="both"/>
        <w:rPr>
          <w:rFonts w:ascii="Garamond" w:eastAsia="DengXian" w:hAnsi="Garamond" w:cs="Times New Roman"/>
          <w:sz w:val="24"/>
          <w:szCs w:val="24"/>
        </w:rPr>
      </w:pPr>
      <w:r>
        <w:rPr>
          <w:rFonts w:ascii="Garamond" w:eastAsia="DengXian" w:hAnsi="Garamond" w:cs="Times New Roman"/>
          <w:sz w:val="24"/>
          <w:szCs w:val="24"/>
        </w:rPr>
        <w:t xml:space="preserve">This thesis argues </w:t>
      </w:r>
      <w:r w:rsidRPr="005F5386">
        <w:rPr>
          <w:rFonts w:ascii="Garamond" w:eastAsia="DengXian" w:hAnsi="Garamond" w:cs="Times New Roman"/>
          <w:sz w:val="24"/>
          <w:szCs w:val="24"/>
        </w:rPr>
        <w:t xml:space="preserve">that Alasdair MacIntyre’s Thomistic turn generates two important difficulties that appear to destabilise his overall position. First, it appears that </w:t>
      </w:r>
      <w:r>
        <w:rPr>
          <w:rFonts w:ascii="Garamond" w:eastAsia="DengXian" w:hAnsi="Garamond" w:cs="Times New Roman"/>
          <w:sz w:val="24"/>
          <w:szCs w:val="24"/>
        </w:rPr>
        <w:t xml:space="preserve">on the basis of </w:t>
      </w:r>
      <w:r w:rsidRPr="005F5386">
        <w:rPr>
          <w:rFonts w:ascii="Garamond" w:eastAsia="DengXian" w:hAnsi="Garamond" w:cs="Times New Roman"/>
          <w:sz w:val="24"/>
          <w:szCs w:val="24"/>
        </w:rPr>
        <w:t>MacIntyre</w:t>
      </w:r>
      <w:r>
        <w:rPr>
          <w:rFonts w:ascii="Garamond" w:eastAsia="DengXian" w:hAnsi="Garamond" w:cs="Times New Roman"/>
          <w:sz w:val="24"/>
          <w:szCs w:val="24"/>
        </w:rPr>
        <w:t xml:space="preserve"> own</w:t>
      </w:r>
      <w:r w:rsidRPr="005F5386">
        <w:rPr>
          <w:rFonts w:ascii="Garamond" w:eastAsia="DengXian" w:hAnsi="Garamond" w:cs="Times New Roman"/>
          <w:sz w:val="24"/>
          <w:szCs w:val="24"/>
        </w:rPr>
        <w:t xml:space="preserve"> historical, context-dependent, and developmental account of </w:t>
      </w:r>
      <w:r>
        <w:rPr>
          <w:rFonts w:ascii="Garamond" w:eastAsia="DengXian" w:hAnsi="Garamond" w:cs="Times New Roman"/>
          <w:sz w:val="24"/>
          <w:szCs w:val="24"/>
        </w:rPr>
        <w:t xml:space="preserve">how </w:t>
      </w:r>
      <w:r w:rsidRPr="005F5386">
        <w:rPr>
          <w:rFonts w:ascii="Garamond" w:eastAsia="DengXian" w:hAnsi="Garamond" w:cs="Times New Roman"/>
          <w:sz w:val="24"/>
          <w:szCs w:val="24"/>
        </w:rPr>
        <w:t>tradition</w:t>
      </w:r>
      <w:r>
        <w:rPr>
          <w:rFonts w:ascii="Garamond" w:eastAsia="DengXian" w:hAnsi="Garamond" w:cs="Times New Roman"/>
          <w:sz w:val="24"/>
          <w:szCs w:val="24"/>
        </w:rPr>
        <w:t xml:space="preserve">s develop, </w:t>
      </w:r>
      <w:r w:rsidRPr="005F5386">
        <w:rPr>
          <w:rFonts w:ascii="Garamond" w:eastAsia="DengXian" w:hAnsi="Garamond" w:cs="Times New Roman"/>
          <w:sz w:val="24"/>
          <w:szCs w:val="24"/>
        </w:rPr>
        <w:t xml:space="preserve"> Aristotelian-Thomism was in fact sidelined in the course of the various episodes in social-intellectual history</w:t>
      </w:r>
      <w:r>
        <w:rPr>
          <w:rFonts w:ascii="Garamond" w:eastAsia="DengXian" w:hAnsi="Garamond" w:cs="Times New Roman"/>
          <w:sz w:val="24"/>
          <w:szCs w:val="24"/>
        </w:rPr>
        <w:t>, making it hard to see how he can claim that it should be revived,  now</w:t>
      </w:r>
      <w:bookmarkStart w:id="2" w:name="_GoBack"/>
      <w:bookmarkEnd w:id="2"/>
      <w:r>
        <w:rPr>
          <w:rFonts w:ascii="Garamond" w:eastAsia="DengXian" w:hAnsi="Garamond" w:cs="Times New Roman"/>
          <w:sz w:val="24"/>
          <w:szCs w:val="24"/>
        </w:rPr>
        <w:t xml:space="preserve"> that it has been surpassed as a tradition</w:t>
      </w:r>
      <w:r w:rsidRPr="005F5386">
        <w:rPr>
          <w:rFonts w:ascii="Garamond" w:eastAsia="DengXian" w:hAnsi="Garamond" w:cs="Times New Roman"/>
          <w:sz w:val="24"/>
          <w:szCs w:val="24"/>
        </w:rPr>
        <w:t xml:space="preserve">. Second, MacIntyre’s commitment to maintaining a </w:t>
      </w:r>
      <w:r>
        <w:rPr>
          <w:rFonts w:ascii="Garamond" w:eastAsia="DengXian" w:hAnsi="Garamond" w:cs="Times New Roman"/>
          <w:sz w:val="24"/>
          <w:szCs w:val="24"/>
        </w:rPr>
        <w:t xml:space="preserve">close link between </w:t>
      </w:r>
      <w:r w:rsidRPr="005F5386">
        <w:rPr>
          <w:rFonts w:ascii="Garamond" w:eastAsia="DengXian" w:hAnsi="Garamond" w:cs="Times New Roman"/>
          <w:sz w:val="24"/>
          <w:szCs w:val="24"/>
        </w:rPr>
        <w:t xml:space="preserve">moral </w:t>
      </w:r>
      <w:r>
        <w:rPr>
          <w:rFonts w:ascii="Garamond" w:eastAsia="DengXian" w:hAnsi="Garamond" w:cs="Times New Roman"/>
          <w:sz w:val="24"/>
          <w:szCs w:val="24"/>
        </w:rPr>
        <w:t xml:space="preserve">thinking and </w:t>
      </w:r>
      <w:r w:rsidRPr="005F5386">
        <w:rPr>
          <w:rFonts w:ascii="Garamond" w:eastAsia="DengXian" w:hAnsi="Garamond" w:cs="Times New Roman"/>
          <w:sz w:val="24"/>
          <w:szCs w:val="24"/>
        </w:rPr>
        <w:t>the wider social-political context</w:t>
      </w:r>
      <w:r>
        <w:rPr>
          <w:rFonts w:ascii="Garamond" w:eastAsia="DengXian" w:hAnsi="Garamond" w:cs="Times New Roman"/>
          <w:sz w:val="24"/>
          <w:szCs w:val="24"/>
        </w:rPr>
        <w:t xml:space="preserve"> also makes it hard to see how a pre-modern outlook like Aristotelian-Thomism can have a place in the social and political order of the modern world</w:t>
      </w:r>
      <w:r w:rsidRPr="005F5386">
        <w:rPr>
          <w:rFonts w:ascii="Garamond" w:eastAsia="DengXian" w:hAnsi="Garamond" w:cs="Times New Roman"/>
          <w:sz w:val="24"/>
          <w:szCs w:val="24"/>
        </w:rPr>
        <w:t>.</w:t>
      </w:r>
    </w:p>
    <w:p w:rsidR="00FB1F7C" w:rsidRPr="005F5386" w:rsidRDefault="00FB1F7C" w:rsidP="00355AC9">
      <w:pPr>
        <w:spacing w:line="360" w:lineRule="auto"/>
        <w:jc w:val="both"/>
        <w:rPr>
          <w:rFonts w:ascii="Garamond" w:eastAsia="DengXian" w:hAnsi="Garamond" w:cs="Times New Roman"/>
          <w:sz w:val="24"/>
          <w:szCs w:val="24"/>
        </w:rPr>
      </w:pPr>
      <w:r w:rsidRPr="005F5386">
        <w:rPr>
          <w:rFonts w:ascii="Garamond" w:eastAsia="DengXian" w:hAnsi="Garamond" w:cs="Times New Roman"/>
          <w:sz w:val="24"/>
          <w:szCs w:val="24"/>
        </w:rPr>
        <w:tab/>
      </w:r>
      <w:r>
        <w:rPr>
          <w:rFonts w:ascii="Garamond" w:eastAsia="DengXian" w:hAnsi="Garamond" w:cs="Times New Roman"/>
          <w:sz w:val="24"/>
          <w:szCs w:val="24"/>
        </w:rPr>
        <w:t xml:space="preserve">On the </w:t>
      </w:r>
      <w:r w:rsidRPr="005F5386">
        <w:rPr>
          <w:rFonts w:ascii="Garamond" w:eastAsia="DengXian" w:hAnsi="Garamond" w:cs="Times New Roman"/>
          <w:sz w:val="24"/>
          <w:szCs w:val="24"/>
        </w:rPr>
        <w:t xml:space="preserve">first difficulty, I consider whether MacIntyre </w:t>
      </w:r>
      <w:r>
        <w:rPr>
          <w:rFonts w:ascii="Garamond" w:eastAsia="DengXian" w:hAnsi="Garamond" w:cs="Times New Roman"/>
          <w:sz w:val="24"/>
          <w:szCs w:val="24"/>
        </w:rPr>
        <w:t>might</w:t>
      </w:r>
      <w:r w:rsidRPr="005F5386">
        <w:rPr>
          <w:rFonts w:ascii="Garamond" w:eastAsia="DengXian" w:hAnsi="Garamond" w:cs="Times New Roman"/>
          <w:sz w:val="24"/>
          <w:szCs w:val="24"/>
        </w:rPr>
        <w:t xml:space="preserve"> argue </w:t>
      </w:r>
      <w:r>
        <w:rPr>
          <w:rFonts w:ascii="Garamond" w:eastAsia="DengXian" w:hAnsi="Garamond" w:cs="Times New Roman"/>
          <w:sz w:val="24"/>
          <w:szCs w:val="24"/>
        </w:rPr>
        <w:t xml:space="preserve">that the </w:t>
      </w:r>
      <w:r w:rsidRPr="005F5386">
        <w:rPr>
          <w:rFonts w:ascii="Garamond" w:eastAsia="DengXian" w:hAnsi="Garamond" w:cs="Times New Roman"/>
          <w:sz w:val="24"/>
          <w:szCs w:val="24"/>
        </w:rPr>
        <w:t xml:space="preserve">marginalisation of Thomism </w:t>
      </w:r>
      <w:r>
        <w:rPr>
          <w:rFonts w:ascii="Garamond" w:eastAsia="DengXian" w:hAnsi="Garamond" w:cs="Times New Roman"/>
          <w:sz w:val="24"/>
          <w:szCs w:val="24"/>
        </w:rPr>
        <w:t xml:space="preserve">was a mistake, </w:t>
      </w:r>
      <w:r w:rsidRPr="005F5386">
        <w:rPr>
          <w:rFonts w:ascii="Garamond" w:eastAsia="DengXian" w:hAnsi="Garamond" w:cs="Times New Roman"/>
          <w:sz w:val="24"/>
          <w:szCs w:val="24"/>
        </w:rPr>
        <w:t xml:space="preserve">while simultaneously offering good reasons </w:t>
      </w:r>
      <w:r>
        <w:rPr>
          <w:rFonts w:ascii="Garamond" w:eastAsia="DengXian" w:hAnsi="Garamond" w:cs="Times New Roman"/>
          <w:sz w:val="24"/>
          <w:szCs w:val="24"/>
        </w:rPr>
        <w:t>why it should be revived</w:t>
      </w:r>
      <w:r w:rsidRPr="005F5386">
        <w:rPr>
          <w:rFonts w:ascii="Garamond" w:eastAsia="DengXian" w:hAnsi="Garamond" w:cs="Times New Roman"/>
          <w:sz w:val="24"/>
          <w:szCs w:val="24"/>
        </w:rPr>
        <w:t xml:space="preserve">. I nevertheless propose that MacIntyre’s resolution to this problem is ultimately unsuccessful, because it seems that Aristotelian-Thomism, and especially its teleology, were sidelined as part of a complex set of social-historical and intellectual episodes. I then </w:t>
      </w:r>
      <w:r>
        <w:rPr>
          <w:rFonts w:ascii="Garamond" w:eastAsia="DengXian" w:hAnsi="Garamond" w:cs="Times New Roman"/>
          <w:sz w:val="24"/>
          <w:szCs w:val="24"/>
        </w:rPr>
        <w:t xml:space="preserve">suggest that </w:t>
      </w:r>
      <w:proofErr w:type="gramStart"/>
      <w:r w:rsidRPr="005F5386">
        <w:rPr>
          <w:rFonts w:ascii="Garamond" w:eastAsia="DengXian" w:hAnsi="Garamond" w:cs="Times New Roman"/>
          <w:sz w:val="24"/>
          <w:szCs w:val="24"/>
        </w:rPr>
        <w:t>a pragmatist</w:t>
      </w:r>
      <w:proofErr w:type="gramEnd"/>
      <w:r w:rsidRPr="005F5386">
        <w:rPr>
          <w:rFonts w:ascii="Garamond" w:eastAsia="DengXian" w:hAnsi="Garamond" w:cs="Times New Roman"/>
          <w:sz w:val="24"/>
          <w:szCs w:val="24"/>
        </w:rPr>
        <w:t xml:space="preserve"> inspired Deweyan teleology</w:t>
      </w:r>
      <w:r>
        <w:rPr>
          <w:rFonts w:ascii="Garamond" w:eastAsia="DengXian" w:hAnsi="Garamond" w:cs="Times New Roman"/>
          <w:sz w:val="24"/>
          <w:szCs w:val="24"/>
        </w:rPr>
        <w:t xml:space="preserve"> might offer MacIntyre</w:t>
      </w:r>
      <w:r w:rsidRPr="005F5386">
        <w:rPr>
          <w:rFonts w:ascii="Garamond" w:eastAsia="DengXian" w:hAnsi="Garamond" w:cs="Times New Roman"/>
          <w:sz w:val="24"/>
          <w:szCs w:val="24"/>
        </w:rPr>
        <w:t xml:space="preserve"> a </w:t>
      </w:r>
      <w:r>
        <w:rPr>
          <w:rFonts w:ascii="Garamond" w:eastAsia="DengXian" w:hAnsi="Garamond" w:cs="Times New Roman"/>
          <w:sz w:val="24"/>
          <w:szCs w:val="24"/>
        </w:rPr>
        <w:t>more promising approach</w:t>
      </w:r>
      <w:r w:rsidRPr="005F5386">
        <w:rPr>
          <w:rFonts w:ascii="Garamond" w:eastAsia="DengXian" w:hAnsi="Garamond" w:cs="Times New Roman"/>
          <w:sz w:val="24"/>
          <w:szCs w:val="24"/>
        </w:rPr>
        <w:t>.</w:t>
      </w:r>
    </w:p>
    <w:p w:rsidR="00FB1F7C" w:rsidRDefault="00FB1F7C" w:rsidP="00355AC9">
      <w:pPr>
        <w:spacing w:line="360" w:lineRule="auto"/>
        <w:ind w:firstLine="720"/>
        <w:jc w:val="both"/>
      </w:pPr>
      <w:r w:rsidRPr="005F5386">
        <w:rPr>
          <w:rFonts w:ascii="Garamond" w:eastAsia="DengXian" w:hAnsi="Garamond" w:cs="Times New Roman"/>
          <w:sz w:val="24"/>
          <w:szCs w:val="24"/>
        </w:rPr>
        <w:t xml:space="preserve">Moving on to the second difficulty, I examine whether MacIntyre’s blend of a Marxist inspired social critique of the liberal state and its corresponding politics, together with his communal rendition of an Aristotelian-Thomist politics, </w:t>
      </w:r>
      <w:r>
        <w:rPr>
          <w:rFonts w:ascii="Garamond" w:eastAsia="DengXian" w:hAnsi="Garamond" w:cs="Times New Roman"/>
          <w:sz w:val="24"/>
          <w:szCs w:val="24"/>
        </w:rPr>
        <w:t>might make the latter viable in the modern world.</w:t>
      </w:r>
      <w:r w:rsidRPr="005F5386">
        <w:rPr>
          <w:rFonts w:ascii="Garamond" w:eastAsia="DengXian" w:hAnsi="Garamond" w:cs="Times New Roman"/>
          <w:sz w:val="24"/>
          <w:szCs w:val="24"/>
        </w:rPr>
        <w:t xml:space="preserve"> However, I argue that MacIntyre’s political account is</w:t>
      </w:r>
      <w:r>
        <w:rPr>
          <w:rFonts w:ascii="Garamond" w:eastAsia="DengXian" w:hAnsi="Garamond" w:cs="Times New Roman"/>
          <w:sz w:val="24"/>
          <w:szCs w:val="24"/>
        </w:rPr>
        <w:t xml:space="preserve"> still not</w:t>
      </w:r>
      <w:r w:rsidRPr="005F5386">
        <w:rPr>
          <w:rFonts w:ascii="Garamond" w:eastAsia="DengXian" w:hAnsi="Garamond" w:cs="Times New Roman"/>
          <w:sz w:val="24"/>
          <w:szCs w:val="24"/>
        </w:rPr>
        <w:t xml:space="preserve"> sufficiently sensitive to our historical situation</w:t>
      </w:r>
      <w:r>
        <w:rPr>
          <w:rFonts w:ascii="Garamond" w:eastAsia="DengXian" w:hAnsi="Garamond" w:cs="Times New Roman"/>
          <w:sz w:val="24"/>
          <w:szCs w:val="24"/>
        </w:rPr>
        <w:t>, and particularly the significance of the modern state</w:t>
      </w:r>
      <w:r w:rsidRPr="005F5386">
        <w:rPr>
          <w:rFonts w:ascii="Garamond" w:eastAsia="DengXian" w:hAnsi="Garamond" w:cs="Times New Roman"/>
          <w:sz w:val="24"/>
          <w:szCs w:val="24"/>
        </w:rPr>
        <w:t xml:space="preserve">. I </w:t>
      </w:r>
      <w:r>
        <w:rPr>
          <w:rFonts w:ascii="Garamond" w:eastAsia="DengXian" w:hAnsi="Garamond" w:cs="Times New Roman"/>
          <w:sz w:val="24"/>
          <w:szCs w:val="24"/>
        </w:rPr>
        <w:t xml:space="preserve">again </w:t>
      </w:r>
      <w:r w:rsidRPr="005F5386">
        <w:rPr>
          <w:rFonts w:ascii="Garamond" w:eastAsia="DengXian" w:hAnsi="Garamond" w:cs="Times New Roman"/>
          <w:sz w:val="24"/>
          <w:szCs w:val="24"/>
        </w:rPr>
        <w:t xml:space="preserve">suggest that a </w:t>
      </w:r>
      <w:r>
        <w:rPr>
          <w:rFonts w:ascii="Garamond" w:eastAsia="DengXian" w:hAnsi="Garamond" w:cs="Times New Roman"/>
          <w:sz w:val="24"/>
          <w:szCs w:val="24"/>
        </w:rPr>
        <w:t>p</w:t>
      </w:r>
      <w:r w:rsidRPr="005F5386">
        <w:rPr>
          <w:rFonts w:ascii="Garamond" w:eastAsia="DengXian" w:hAnsi="Garamond" w:cs="Times New Roman"/>
          <w:sz w:val="24"/>
          <w:szCs w:val="24"/>
        </w:rPr>
        <w:t>ragmatist</w:t>
      </w:r>
      <w:r>
        <w:rPr>
          <w:rFonts w:ascii="Garamond" w:eastAsia="DengXian" w:hAnsi="Garamond" w:cs="Times New Roman"/>
          <w:sz w:val="24"/>
          <w:szCs w:val="24"/>
        </w:rPr>
        <w:t xml:space="preserve"> approach</w:t>
      </w:r>
      <w:r w:rsidRPr="005F5386">
        <w:rPr>
          <w:rFonts w:ascii="Garamond" w:eastAsia="DengXian" w:hAnsi="Garamond" w:cs="Times New Roman"/>
          <w:sz w:val="24"/>
          <w:szCs w:val="24"/>
        </w:rPr>
        <w:t xml:space="preserve">, because it remains sensitive to our particular socio-historical context, can </w:t>
      </w:r>
      <w:r>
        <w:rPr>
          <w:rFonts w:ascii="Garamond" w:eastAsia="DengXian" w:hAnsi="Garamond" w:cs="Times New Roman"/>
          <w:sz w:val="24"/>
          <w:szCs w:val="24"/>
        </w:rPr>
        <w:t>better resolve this</w:t>
      </w:r>
      <w:r w:rsidRPr="005F5386">
        <w:rPr>
          <w:rFonts w:ascii="Garamond" w:eastAsia="DengXian" w:hAnsi="Garamond" w:cs="Times New Roman"/>
          <w:sz w:val="24"/>
          <w:szCs w:val="24"/>
        </w:rPr>
        <w:t xml:space="preserve"> </w:t>
      </w:r>
      <w:r w:rsidRPr="005F5386">
        <w:rPr>
          <w:rFonts w:ascii="Garamond" w:eastAsia="DengXian" w:hAnsi="Garamond" w:cs="Times New Roman"/>
          <w:sz w:val="24"/>
          <w:szCs w:val="24"/>
        </w:rPr>
        <w:lastRenderedPageBreak/>
        <w:t xml:space="preserve">second difficulty, </w:t>
      </w:r>
      <w:r>
        <w:rPr>
          <w:rFonts w:ascii="Garamond" w:eastAsia="DengXian" w:hAnsi="Garamond" w:cs="Times New Roman"/>
          <w:sz w:val="24"/>
          <w:szCs w:val="24"/>
        </w:rPr>
        <w:t xml:space="preserve">in a way that still incorporates some of the insights to be found in MacIntyre’s </w:t>
      </w:r>
      <w:r w:rsidRPr="005F5386">
        <w:rPr>
          <w:rFonts w:ascii="Garamond" w:eastAsia="DengXian" w:hAnsi="Garamond" w:cs="Times New Roman"/>
          <w:sz w:val="24"/>
          <w:szCs w:val="24"/>
        </w:rPr>
        <w:t>Aristotelian-Thomism.</w:t>
      </w:r>
    </w:p>
    <w:p w:rsidR="00D14FA1" w:rsidRPr="00461D74" w:rsidRDefault="00D14FA1" w:rsidP="00164E4D">
      <w:pPr>
        <w:spacing w:line="360" w:lineRule="auto"/>
        <w:ind w:firstLine="720"/>
        <w:rPr>
          <w:rFonts w:ascii="Garamond" w:hAnsi="Garamond"/>
          <w:sz w:val="24"/>
          <w:szCs w:val="24"/>
        </w:rPr>
      </w:pPr>
    </w:p>
    <w:p w:rsidR="004D3A89" w:rsidRDefault="0023076E">
      <w:pPr>
        <w:spacing w:line="360" w:lineRule="auto"/>
        <w:rPr>
          <w:rFonts w:ascii="Garamond" w:eastAsiaTheme="majorEastAsia" w:hAnsi="Garamond" w:cstheme="majorBidi"/>
          <w:b/>
          <w:bCs/>
          <w:color w:val="2F5496" w:themeColor="accent1" w:themeShade="BF"/>
          <w:sz w:val="28"/>
          <w:szCs w:val="28"/>
          <w:lang w:val="en-GB"/>
        </w:rPr>
      </w:pPr>
      <w:r w:rsidRPr="00461D74">
        <w:rPr>
          <w:rFonts w:ascii="Garamond" w:hAnsi="Garamond"/>
        </w:rPr>
        <w:br w:type="page"/>
      </w:r>
    </w:p>
    <w:p w:rsidR="001F14F5" w:rsidRPr="00461D74" w:rsidRDefault="001F14F5" w:rsidP="00561A96">
      <w:pPr>
        <w:pStyle w:val="Heading1"/>
        <w:spacing w:line="360" w:lineRule="auto"/>
        <w:jc w:val="both"/>
        <w:rPr>
          <w:rFonts w:cstheme="majorHAnsi"/>
        </w:rPr>
      </w:pPr>
      <w:bookmarkStart w:id="3" w:name="_Toc528077786"/>
      <w:r w:rsidRPr="00461D74">
        <w:rPr>
          <w:rFonts w:cstheme="majorHAnsi"/>
        </w:rPr>
        <w:lastRenderedPageBreak/>
        <w:t>Acknowledgement</w:t>
      </w:r>
      <w:r w:rsidR="007F2A50" w:rsidRPr="00461D74">
        <w:rPr>
          <w:rFonts w:cstheme="majorHAnsi"/>
        </w:rPr>
        <w:t>s</w:t>
      </w:r>
      <w:bookmarkEnd w:id="3"/>
    </w:p>
    <w:p w:rsidR="00D839E7" w:rsidRDefault="00D839E7" w:rsidP="00561A96">
      <w:pPr>
        <w:spacing w:line="360" w:lineRule="auto"/>
        <w:rPr>
          <w:rFonts w:ascii="Garamond" w:hAnsi="Garamond"/>
          <w:sz w:val="24"/>
          <w:szCs w:val="24"/>
          <w:lang w:val="en-GB"/>
        </w:rPr>
      </w:pPr>
    </w:p>
    <w:p w:rsidR="00E535C8" w:rsidRDefault="004D2594" w:rsidP="00355AC9">
      <w:pPr>
        <w:spacing w:line="360" w:lineRule="auto"/>
        <w:jc w:val="both"/>
        <w:rPr>
          <w:rFonts w:ascii="Garamond" w:hAnsi="Garamond"/>
          <w:sz w:val="24"/>
          <w:szCs w:val="24"/>
          <w:lang w:val="en-GB"/>
        </w:rPr>
      </w:pPr>
      <w:r>
        <w:rPr>
          <w:rFonts w:ascii="Garamond" w:hAnsi="Garamond"/>
          <w:sz w:val="24"/>
          <w:szCs w:val="24"/>
          <w:lang w:val="en-GB"/>
        </w:rPr>
        <w:t xml:space="preserve">The writing of this thesis has been equal parts difficult and challenging, as well as supremely gratifying. For me, at least, it has been a most rewarding experience of my life. Undertaking this challenge was made possible by the support of the many wonderful people who have encouraged me during the last four years that I have spent completing </w:t>
      </w:r>
      <w:r w:rsidR="002E1621">
        <w:rPr>
          <w:rFonts w:ascii="Garamond" w:hAnsi="Garamond"/>
          <w:sz w:val="24"/>
          <w:szCs w:val="24"/>
          <w:lang w:val="en-GB"/>
        </w:rPr>
        <w:t>this work.</w:t>
      </w:r>
    </w:p>
    <w:p w:rsidR="00B2798A" w:rsidRDefault="00B2798A" w:rsidP="00355AC9">
      <w:pPr>
        <w:spacing w:line="360" w:lineRule="auto"/>
        <w:ind w:firstLine="720"/>
        <w:jc w:val="both"/>
        <w:rPr>
          <w:rFonts w:ascii="Garamond" w:hAnsi="Garamond"/>
          <w:sz w:val="24"/>
          <w:szCs w:val="24"/>
          <w:lang w:val="en-GB"/>
        </w:rPr>
      </w:pPr>
      <w:r w:rsidRPr="00B2798A">
        <w:rPr>
          <w:rFonts w:ascii="Garamond" w:hAnsi="Garamond"/>
          <w:sz w:val="24"/>
          <w:szCs w:val="24"/>
        </w:rPr>
        <w:t>The</w:t>
      </w:r>
      <w:r>
        <w:rPr>
          <w:rFonts w:ascii="Garamond" w:hAnsi="Garamond"/>
          <w:sz w:val="24"/>
          <w:szCs w:val="24"/>
        </w:rPr>
        <w:t xml:space="preserve"> physicists</w:t>
      </w:r>
      <w:r w:rsidRPr="00B2798A">
        <w:rPr>
          <w:rFonts w:ascii="Garamond" w:hAnsi="Garamond"/>
          <w:sz w:val="24"/>
          <w:szCs w:val="24"/>
        </w:rPr>
        <w:t xml:space="preserve"> say that the universe exists </w:t>
      </w:r>
      <w:r w:rsidR="00774CA8">
        <w:rPr>
          <w:rFonts w:ascii="Garamond" w:hAnsi="Garamond"/>
          <w:sz w:val="24"/>
          <w:szCs w:val="24"/>
        </w:rPr>
        <w:t>in the sense that it does</w:t>
      </w:r>
      <w:r>
        <w:rPr>
          <w:rFonts w:ascii="Garamond" w:hAnsi="Garamond"/>
          <w:sz w:val="24"/>
          <w:szCs w:val="24"/>
        </w:rPr>
        <w:t xml:space="preserve"> </w:t>
      </w:r>
      <w:r w:rsidR="005F14FF">
        <w:rPr>
          <w:rFonts w:ascii="Garamond" w:hAnsi="Garamond"/>
          <w:sz w:val="24"/>
          <w:szCs w:val="24"/>
        </w:rPr>
        <w:t xml:space="preserve">in </w:t>
      </w:r>
      <w:r w:rsidR="00774CA8">
        <w:rPr>
          <w:rFonts w:ascii="Garamond" w:hAnsi="Garamond"/>
          <w:sz w:val="24"/>
          <w:szCs w:val="24"/>
        </w:rPr>
        <w:t>virtue</w:t>
      </w:r>
      <w:r w:rsidRPr="00B2798A">
        <w:rPr>
          <w:rFonts w:ascii="Garamond" w:hAnsi="Garamond"/>
          <w:sz w:val="24"/>
          <w:szCs w:val="24"/>
        </w:rPr>
        <w:t xml:space="preserve"> </w:t>
      </w:r>
      <w:r>
        <w:rPr>
          <w:rFonts w:ascii="Garamond" w:hAnsi="Garamond"/>
          <w:sz w:val="24"/>
          <w:szCs w:val="24"/>
        </w:rPr>
        <w:t xml:space="preserve">of </w:t>
      </w:r>
      <w:r w:rsidRPr="00B2798A">
        <w:rPr>
          <w:rFonts w:ascii="Garamond" w:hAnsi="Garamond"/>
          <w:sz w:val="24"/>
          <w:szCs w:val="24"/>
        </w:rPr>
        <w:t>the cosmological constant</w:t>
      </w:r>
      <w:r w:rsidR="00774CA8">
        <w:rPr>
          <w:rFonts w:ascii="Garamond" w:hAnsi="Garamond"/>
          <w:sz w:val="24"/>
          <w:szCs w:val="24"/>
        </w:rPr>
        <w:t>;</w:t>
      </w:r>
      <w:r>
        <w:rPr>
          <w:rFonts w:ascii="Garamond" w:hAnsi="Garamond"/>
          <w:sz w:val="24"/>
          <w:szCs w:val="24"/>
        </w:rPr>
        <w:t xml:space="preserve"> more </w:t>
      </w:r>
      <w:r w:rsidR="00774CA8">
        <w:rPr>
          <w:rFonts w:ascii="Garamond" w:hAnsi="Garamond"/>
          <w:sz w:val="24"/>
          <w:szCs w:val="24"/>
        </w:rPr>
        <w:t>specifically,</w:t>
      </w:r>
      <w:r>
        <w:rPr>
          <w:rFonts w:ascii="Garamond" w:hAnsi="Garamond"/>
          <w:sz w:val="24"/>
          <w:szCs w:val="24"/>
        </w:rPr>
        <w:t xml:space="preserve"> </w:t>
      </w:r>
      <w:r w:rsidRPr="00B2798A">
        <w:rPr>
          <w:rFonts w:ascii="Garamond" w:hAnsi="Garamond"/>
          <w:sz w:val="24"/>
          <w:szCs w:val="24"/>
        </w:rPr>
        <w:t xml:space="preserve">the mathematical equations </w:t>
      </w:r>
      <w:r>
        <w:rPr>
          <w:rFonts w:ascii="Garamond" w:hAnsi="Garamond"/>
          <w:sz w:val="24"/>
          <w:szCs w:val="24"/>
        </w:rPr>
        <w:t>that</w:t>
      </w:r>
      <w:r w:rsidRPr="00B2798A">
        <w:rPr>
          <w:rFonts w:ascii="Garamond" w:hAnsi="Garamond"/>
          <w:sz w:val="24"/>
          <w:szCs w:val="24"/>
        </w:rPr>
        <w:t xml:space="preserve"> </w:t>
      </w:r>
      <w:r>
        <w:rPr>
          <w:rFonts w:ascii="Garamond" w:hAnsi="Garamond"/>
          <w:sz w:val="24"/>
          <w:szCs w:val="24"/>
        </w:rPr>
        <w:t xml:space="preserve">describe </w:t>
      </w:r>
      <w:r w:rsidR="00774CA8">
        <w:rPr>
          <w:rFonts w:ascii="Garamond" w:hAnsi="Garamond"/>
          <w:sz w:val="24"/>
          <w:szCs w:val="24"/>
        </w:rPr>
        <w:t>it</w:t>
      </w:r>
      <w:r w:rsidRPr="00B2798A">
        <w:rPr>
          <w:rFonts w:ascii="Garamond" w:hAnsi="Garamond"/>
          <w:sz w:val="24"/>
          <w:szCs w:val="24"/>
        </w:rPr>
        <w:t xml:space="preserve"> </w:t>
      </w:r>
      <w:r w:rsidR="00774CA8">
        <w:rPr>
          <w:rFonts w:ascii="Garamond" w:hAnsi="Garamond"/>
          <w:sz w:val="24"/>
          <w:szCs w:val="24"/>
        </w:rPr>
        <w:t xml:space="preserve">have to account for a precision or </w:t>
      </w:r>
      <w:r w:rsidR="005F14FF">
        <w:rPr>
          <w:rFonts w:ascii="Garamond" w:hAnsi="Garamond"/>
          <w:sz w:val="24"/>
          <w:szCs w:val="24"/>
        </w:rPr>
        <w:t>fine</w:t>
      </w:r>
      <w:r w:rsidR="00774CA8">
        <w:rPr>
          <w:rFonts w:ascii="Garamond" w:hAnsi="Garamond"/>
          <w:sz w:val="24"/>
          <w:szCs w:val="24"/>
        </w:rPr>
        <w:t xml:space="preserve"> tuning</w:t>
      </w:r>
      <w:r w:rsidRPr="00B2798A">
        <w:rPr>
          <w:rFonts w:ascii="Garamond" w:hAnsi="Garamond"/>
          <w:sz w:val="24"/>
          <w:szCs w:val="24"/>
        </w:rPr>
        <w:t xml:space="preserve"> to 12</w:t>
      </w:r>
      <w:r>
        <w:rPr>
          <w:rFonts w:ascii="Garamond" w:hAnsi="Garamond"/>
          <w:sz w:val="24"/>
          <w:szCs w:val="24"/>
        </w:rPr>
        <w:t>2</w:t>
      </w:r>
      <w:r w:rsidRPr="00B2798A">
        <w:rPr>
          <w:rFonts w:ascii="Garamond" w:hAnsi="Garamond"/>
          <w:sz w:val="24"/>
          <w:szCs w:val="24"/>
        </w:rPr>
        <w:t xml:space="preserve"> decimal places, otherwise </w:t>
      </w:r>
      <w:r w:rsidR="005F14FF">
        <w:rPr>
          <w:rFonts w:ascii="Garamond" w:hAnsi="Garamond"/>
          <w:sz w:val="24"/>
          <w:szCs w:val="24"/>
        </w:rPr>
        <w:t>the universe could not</w:t>
      </w:r>
      <w:r w:rsidRPr="00B2798A">
        <w:rPr>
          <w:rFonts w:ascii="Garamond" w:hAnsi="Garamond"/>
          <w:sz w:val="24"/>
          <w:szCs w:val="24"/>
        </w:rPr>
        <w:t xml:space="preserve"> support galaxies, stars and ultimately life. Bob is sort of </w:t>
      </w:r>
      <w:r w:rsidR="005F14FF">
        <w:rPr>
          <w:rFonts w:ascii="Garamond" w:hAnsi="Garamond"/>
          <w:sz w:val="24"/>
          <w:szCs w:val="24"/>
        </w:rPr>
        <w:t xml:space="preserve">like </w:t>
      </w:r>
      <w:r w:rsidRPr="00B2798A">
        <w:rPr>
          <w:rFonts w:ascii="Garamond" w:hAnsi="Garamond"/>
          <w:sz w:val="24"/>
          <w:szCs w:val="24"/>
        </w:rPr>
        <w:t xml:space="preserve">the </w:t>
      </w:r>
      <w:r w:rsidR="005F14FF">
        <w:rPr>
          <w:rFonts w:ascii="Garamond" w:hAnsi="Garamond"/>
          <w:sz w:val="24"/>
          <w:szCs w:val="24"/>
        </w:rPr>
        <w:t xml:space="preserve">human version of the </w:t>
      </w:r>
      <w:r w:rsidRPr="00B2798A">
        <w:rPr>
          <w:rFonts w:ascii="Garamond" w:hAnsi="Garamond"/>
          <w:sz w:val="24"/>
          <w:szCs w:val="24"/>
        </w:rPr>
        <w:t>cosmological</w:t>
      </w:r>
      <w:r w:rsidR="005F14FF">
        <w:rPr>
          <w:rFonts w:ascii="Garamond" w:hAnsi="Garamond"/>
          <w:sz w:val="24"/>
          <w:szCs w:val="24"/>
        </w:rPr>
        <w:t xml:space="preserve"> constant</w:t>
      </w:r>
      <w:r w:rsidR="00774CA8">
        <w:rPr>
          <w:rFonts w:ascii="Garamond" w:hAnsi="Garamond"/>
          <w:sz w:val="24"/>
          <w:szCs w:val="24"/>
        </w:rPr>
        <w:t>,</w:t>
      </w:r>
      <w:r w:rsidRPr="00B2798A">
        <w:rPr>
          <w:rFonts w:ascii="Garamond" w:hAnsi="Garamond"/>
          <w:sz w:val="24"/>
          <w:szCs w:val="24"/>
        </w:rPr>
        <w:t xml:space="preserve"> and this thesis</w:t>
      </w:r>
      <w:r>
        <w:rPr>
          <w:rFonts w:ascii="Garamond" w:hAnsi="Garamond"/>
          <w:sz w:val="24"/>
          <w:szCs w:val="24"/>
        </w:rPr>
        <w:t xml:space="preserve"> is complete</w:t>
      </w:r>
      <w:r w:rsidR="00774CA8">
        <w:rPr>
          <w:rFonts w:ascii="Garamond" w:hAnsi="Garamond"/>
          <w:sz w:val="24"/>
          <w:szCs w:val="24"/>
        </w:rPr>
        <w:t xml:space="preserve"> – seemingly on a knife’s edge – </w:t>
      </w:r>
      <w:r w:rsidRPr="00B2798A">
        <w:rPr>
          <w:rFonts w:ascii="Garamond" w:hAnsi="Garamond"/>
          <w:sz w:val="24"/>
          <w:szCs w:val="24"/>
        </w:rPr>
        <w:t>precisely because without the force of this constant (Bob) there would be no thesis to speak of.</w:t>
      </w:r>
      <w:r w:rsidR="005F14FF">
        <w:rPr>
          <w:rFonts w:ascii="Garamond" w:hAnsi="Garamond"/>
          <w:sz w:val="24"/>
          <w:szCs w:val="24"/>
        </w:rPr>
        <w:t xml:space="preserve"> </w:t>
      </w:r>
      <w:r w:rsidR="005F14FF">
        <w:rPr>
          <w:rFonts w:ascii="Garamond" w:hAnsi="Garamond"/>
          <w:sz w:val="24"/>
          <w:szCs w:val="24"/>
          <w:lang w:val="en-GB"/>
        </w:rPr>
        <w:t xml:space="preserve">Therefore </w:t>
      </w:r>
      <w:r w:rsidR="00774CA8">
        <w:rPr>
          <w:rFonts w:ascii="Garamond" w:hAnsi="Garamond"/>
          <w:sz w:val="24"/>
          <w:szCs w:val="24"/>
          <w:lang w:val="en-GB"/>
        </w:rPr>
        <w:t>I owe</w:t>
      </w:r>
      <w:r w:rsidR="005F14FF">
        <w:rPr>
          <w:rFonts w:ascii="Garamond" w:hAnsi="Garamond"/>
          <w:sz w:val="24"/>
          <w:szCs w:val="24"/>
          <w:lang w:val="en-GB"/>
        </w:rPr>
        <w:t xml:space="preserve"> </w:t>
      </w:r>
      <w:r w:rsidR="00774CA8">
        <w:rPr>
          <w:rFonts w:ascii="Garamond" w:hAnsi="Garamond"/>
          <w:sz w:val="24"/>
          <w:szCs w:val="24"/>
          <w:lang w:val="en-GB"/>
        </w:rPr>
        <w:t xml:space="preserve">my </w:t>
      </w:r>
      <w:r w:rsidR="005F14FF">
        <w:rPr>
          <w:rFonts w:ascii="Garamond" w:hAnsi="Garamond"/>
          <w:sz w:val="24"/>
          <w:szCs w:val="24"/>
          <w:lang w:val="en-GB"/>
        </w:rPr>
        <w:t>greatest gratitude to Bob Stern, my primary supervisor, who has offered me guidance</w:t>
      </w:r>
      <w:r w:rsidR="005648F3">
        <w:rPr>
          <w:rFonts w:ascii="Garamond" w:hAnsi="Garamond"/>
          <w:sz w:val="24"/>
          <w:szCs w:val="24"/>
          <w:lang w:val="en-GB"/>
        </w:rPr>
        <w:t xml:space="preserve"> and support</w:t>
      </w:r>
      <w:r w:rsidR="005F14FF">
        <w:rPr>
          <w:rFonts w:ascii="Garamond" w:hAnsi="Garamond"/>
          <w:sz w:val="24"/>
          <w:szCs w:val="24"/>
          <w:lang w:val="en-GB"/>
        </w:rPr>
        <w:t xml:space="preserve"> in my Master’s degree in philosophy, and </w:t>
      </w:r>
      <w:r w:rsidR="0017273D">
        <w:rPr>
          <w:rFonts w:ascii="Garamond" w:hAnsi="Garamond"/>
          <w:sz w:val="24"/>
          <w:szCs w:val="24"/>
          <w:lang w:val="en-GB"/>
        </w:rPr>
        <w:t xml:space="preserve">has generously coach and mentored me in the completion of </w:t>
      </w:r>
      <w:r w:rsidR="005F14FF">
        <w:rPr>
          <w:rFonts w:ascii="Garamond" w:hAnsi="Garamond"/>
          <w:sz w:val="24"/>
          <w:szCs w:val="24"/>
          <w:lang w:val="en-GB"/>
        </w:rPr>
        <w:t xml:space="preserve">this PhD thesis. It is difficult to express my thanks to Bob, for no thought nor sequence of words fashioned into a number of sentences can </w:t>
      </w:r>
      <w:r w:rsidR="0017273D">
        <w:rPr>
          <w:rFonts w:ascii="Garamond" w:hAnsi="Garamond"/>
          <w:sz w:val="24"/>
          <w:szCs w:val="24"/>
          <w:lang w:val="en-GB"/>
        </w:rPr>
        <w:t xml:space="preserve">fully </w:t>
      </w:r>
      <w:r w:rsidR="005F14FF">
        <w:rPr>
          <w:rFonts w:ascii="Garamond" w:hAnsi="Garamond"/>
          <w:sz w:val="24"/>
          <w:szCs w:val="24"/>
          <w:lang w:val="en-GB"/>
        </w:rPr>
        <w:t>express my deep show of appreciation to, and my respect for, him.</w:t>
      </w:r>
    </w:p>
    <w:p w:rsidR="00B2798A" w:rsidRDefault="00774CA8" w:rsidP="00355AC9">
      <w:pPr>
        <w:spacing w:line="360" w:lineRule="auto"/>
        <w:ind w:firstLine="720"/>
        <w:jc w:val="both"/>
        <w:rPr>
          <w:rFonts w:ascii="Garamond" w:hAnsi="Garamond"/>
          <w:sz w:val="24"/>
          <w:szCs w:val="24"/>
          <w:lang w:val="en-GB"/>
        </w:rPr>
      </w:pPr>
      <w:r>
        <w:rPr>
          <w:rFonts w:ascii="Garamond" w:hAnsi="Garamond"/>
          <w:sz w:val="24"/>
          <w:szCs w:val="24"/>
          <w:lang w:val="en-GB"/>
        </w:rPr>
        <w:t xml:space="preserve">In addition, </w:t>
      </w:r>
      <w:r w:rsidR="005F14FF">
        <w:rPr>
          <w:rFonts w:ascii="Garamond" w:hAnsi="Garamond"/>
          <w:sz w:val="24"/>
          <w:szCs w:val="24"/>
          <w:lang w:val="en-GB"/>
        </w:rPr>
        <w:t xml:space="preserve">Chris Bennett, my secondary supervisor, </w:t>
      </w:r>
      <w:r w:rsidR="00D839E7">
        <w:rPr>
          <w:rFonts w:ascii="Garamond" w:hAnsi="Garamond"/>
          <w:sz w:val="24"/>
          <w:szCs w:val="24"/>
          <w:lang w:val="en-GB"/>
        </w:rPr>
        <w:t xml:space="preserve">is not only an excellent </w:t>
      </w:r>
      <w:r w:rsidR="0017273D">
        <w:rPr>
          <w:rFonts w:ascii="Garamond" w:hAnsi="Garamond"/>
          <w:sz w:val="24"/>
          <w:szCs w:val="24"/>
          <w:lang w:val="en-GB"/>
        </w:rPr>
        <w:t>human being</w:t>
      </w:r>
      <w:r w:rsidR="00B5512D">
        <w:rPr>
          <w:rFonts w:ascii="Garamond" w:hAnsi="Garamond"/>
          <w:sz w:val="24"/>
          <w:szCs w:val="24"/>
          <w:lang w:val="en-GB"/>
        </w:rPr>
        <w:t>:</w:t>
      </w:r>
      <w:r w:rsidR="00D839E7">
        <w:rPr>
          <w:rFonts w:ascii="Garamond" w:hAnsi="Garamond"/>
          <w:sz w:val="24"/>
          <w:szCs w:val="24"/>
          <w:lang w:val="en-GB"/>
        </w:rPr>
        <w:t xml:space="preserve"> he has </w:t>
      </w:r>
      <w:r w:rsidR="00B5512D">
        <w:rPr>
          <w:rFonts w:ascii="Garamond" w:hAnsi="Garamond"/>
          <w:sz w:val="24"/>
          <w:szCs w:val="24"/>
          <w:lang w:val="en-GB"/>
        </w:rPr>
        <w:t xml:space="preserve">also </w:t>
      </w:r>
      <w:r w:rsidR="00D839E7">
        <w:rPr>
          <w:rFonts w:ascii="Garamond" w:hAnsi="Garamond"/>
          <w:sz w:val="24"/>
          <w:szCs w:val="24"/>
          <w:lang w:val="en-GB"/>
        </w:rPr>
        <w:t>been a</w:t>
      </w:r>
      <w:r w:rsidR="005F14FF">
        <w:rPr>
          <w:rFonts w:ascii="Garamond" w:hAnsi="Garamond"/>
          <w:sz w:val="24"/>
          <w:szCs w:val="24"/>
          <w:lang w:val="en-GB"/>
        </w:rPr>
        <w:t xml:space="preserve"> </w:t>
      </w:r>
      <w:r w:rsidR="00D839E7">
        <w:rPr>
          <w:rFonts w:ascii="Garamond" w:hAnsi="Garamond"/>
          <w:sz w:val="24"/>
          <w:szCs w:val="24"/>
          <w:lang w:val="en-GB"/>
        </w:rPr>
        <w:t>formidable</w:t>
      </w:r>
      <w:r w:rsidR="005F14FF">
        <w:rPr>
          <w:rFonts w:ascii="Garamond" w:hAnsi="Garamond"/>
          <w:sz w:val="24"/>
          <w:szCs w:val="24"/>
          <w:lang w:val="en-GB"/>
        </w:rPr>
        <w:t xml:space="preserve"> guide, mentor, and overall influence, in my time at Sheffield. And without Chris’ guidance, support, encouragement and the right amount of resistance as well as reassurance, I could not have reached this point in my studies.</w:t>
      </w:r>
      <w:r w:rsidR="002351B2">
        <w:rPr>
          <w:rFonts w:ascii="Garamond" w:hAnsi="Garamond"/>
          <w:sz w:val="24"/>
          <w:szCs w:val="24"/>
          <w:lang w:val="en-GB"/>
        </w:rPr>
        <w:t xml:space="preserve"> I am therefore enormously grateful to Chris </w:t>
      </w:r>
      <w:r w:rsidR="005648F3">
        <w:rPr>
          <w:rFonts w:ascii="Garamond" w:hAnsi="Garamond"/>
          <w:sz w:val="24"/>
          <w:szCs w:val="24"/>
          <w:lang w:val="en-GB"/>
        </w:rPr>
        <w:t>for all of his support during my time in Sheffield.</w:t>
      </w:r>
    </w:p>
    <w:p w:rsidR="00E22D55" w:rsidRDefault="005648F3" w:rsidP="00355AC9">
      <w:pPr>
        <w:spacing w:line="360" w:lineRule="auto"/>
        <w:ind w:firstLine="720"/>
        <w:jc w:val="both"/>
        <w:rPr>
          <w:rFonts w:ascii="Garamond" w:hAnsi="Garamond"/>
          <w:sz w:val="24"/>
          <w:szCs w:val="24"/>
          <w:lang w:val="en-GB"/>
        </w:rPr>
      </w:pPr>
      <w:r>
        <w:rPr>
          <w:rFonts w:ascii="Garamond" w:hAnsi="Garamond"/>
          <w:sz w:val="24"/>
          <w:szCs w:val="24"/>
          <w:lang w:val="en-GB"/>
        </w:rPr>
        <w:t xml:space="preserve">I would </w:t>
      </w:r>
      <w:r w:rsidR="00E535C8" w:rsidRPr="00561A96">
        <w:rPr>
          <w:rFonts w:ascii="Garamond" w:hAnsi="Garamond"/>
          <w:sz w:val="24"/>
          <w:szCs w:val="24"/>
          <w:lang w:val="en-GB"/>
        </w:rPr>
        <w:t xml:space="preserve">also </w:t>
      </w:r>
      <w:r>
        <w:rPr>
          <w:rFonts w:ascii="Garamond" w:hAnsi="Garamond"/>
          <w:sz w:val="24"/>
          <w:szCs w:val="24"/>
          <w:lang w:val="en-GB"/>
        </w:rPr>
        <w:t xml:space="preserve">like to </w:t>
      </w:r>
      <w:r w:rsidR="00E535C8" w:rsidRPr="00561A96">
        <w:rPr>
          <w:rFonts w:ascii="Garamond" w:hAnsi="Garamond"/>
          <w:sz w:val="24"/>
          <w:szCs w:val="24"/>
          <w:lang w:val="en-GB"/>
        </w:rPr>
        <w:t>thank</w:t>
      </w:r>
      <w:r>
        <w:rPr>
          <w:rFonts w:ascii="Garamond" w:hAnsi="Garamond"/>
          <w:sz w:val="24"/>
          <w:szCs w:val="24"/>
          <w:lang w:val="en-GB"/>
        </w:rPr>
        <w:t xml:space="preserve"> all of the members of the </w:t>
      </w:r>
      <w:r w:rsidR="00775559">
        <w:rPr>
          <w:rFonts w:ascii="Garamond" w:hAnsi="Garamond"/>
          <w:sz w:val="24"/>
          <w:szCs w:val="24"/>
          <w:lang w:val="en-GB"/>
        </w:rPr>
        <w:t xml:space="preserve">faculty and </w:t>
      </w:r>
      <w:r>
        <w:rPr>
          <w:rFonts w:ascii="Garamond" w:hAnsi="Garamond"/>
          <w:sz w:val="24"/>
          <w:szCs w:val="24"/>
          <w:lang w:val="en-GB"/>
        </w:rPr>
        <w:t xml:space="preserve">staff in the </w:t>
      </w:r>
      <w:r w:rsidR="00E535C8" w:rsidRPr="00561A96">
        <w:rPr>
          <w:rFonts w:ascii="Garamond" w:hAnsi="Garamond"/>
          <w:sz w:val="24"/>
          <w:szCs w:val="24"/>
          <w:lang w:val="en-GB"/>
        </w:rPr>
        <w:t xml:space="preserve">Philosophy Department, </w:t>
      </w:r>
      <w:r>
        <w:rPr>
          <w:rFonts w:ascii="Garamond" w:hAnsi="Garamond"/>
          <w:sz w:val="24"/>
          <w:szCs w:val="24"/>
          <w:lang w:val="en-GB"/>
        </w:rPr>
        <w:t xml:space="preserve">for organising events and </w:t>
      </w:r>
      <w:r w:rsidR="00E22D55">
        <w:rPr>
          <w:rFonts w:ascii="Garamond" w:hAnsi="Garamond"/>
          <w:sz w:val="24"/>
          <w:szCs w:val="24"/>
          <w:lang w:val="en-GB"/>
        </w:rPr>
        <w:t>helping create</w:t>
      </w:r>
      <w:r>
        <w:rPr>
          <w:rFonts w:ascii="Garamond" w:hAnsi="Garamond"/>
          <w:sz w:val="24"/>
          <w:szCs w:val="24"/>
          <w:lang w:val="en-GB"/>
        </w:rPr>
        <w:t xml:space="preserve"> a welcoming and inclusive atmosphere in the philosophy dep</w:t>
      </w:r>
      <w:r w:rsidR="00E22D55">
        <w:rPr>
          <w:rFonts w:ascii="Garamond" w:hAnsi="Garamond"/>
          <w:sz w:val="24"/>
          <w:szCs w:val="24"/>
          <w:lang w:val="en-GB"/>
        </w:rPr>
        <w:t>artment</w:t>
      </w:r>
      <w:r>
        <w:rPr>
          <w:rFonts w:ascii="Garamond" w:hAnsi="Garamond"/>
          <w:sz w:val="24"/>
          <w:szCs w:val="24"/>
          <w:lang w:val="en-GB"/>
        </w:rPr>
        <w:t>.</w:t>
      </w:r>
    </w:p>
    <w:p w:rsidR="00E535C8" w:rsidRPr="00561A96" w:rsidRDefault="00296F70" w:rsidP="00355AC9">
      <w:pPr>
        <w:spacing w:line="360" w:lineRule="auto"/>
        <w:ind w:firstLine="720"/>
        <w:jc w:val="both"/>
        <w:rPr>
          <w:rFonts w:ascii="Garamond" w:hAnsi="Garamond"/>
          <w:sz w:val="24"/>
          <w:szCs w:val="24"/>
          <w:lang w:val="en-GB"/>
        </w:rPr>
      </w:pPr>
      <w:r>
        <w:rPr>
          <w:rFonts w:ascii="Garamond" w:hAnsi="Garamond"/>
          <w:sz w:val="24"/>
          <w:szCs w:val="24"/>
          <w:lang w:val="en-GB"/>
        </w:rPr>
        <w:lastRenderedPageBreak/>
        <w:t xml:space="preserve">In addition, I was very fortunate to have found some great friends at the department, especially </w:t>
      </w:r>
      <w:proofErr w:type="spellStart"/>
      <w:r>
        <w:rPr>
          <w:rFonts w:ascii="Garamond" w:hAnsi="Garamond"/>
          <w:sz w:val="24"/>
          <w:szCs w:val="24"/>
          <w:lang w:val="en-GB"/>
        </w:rPr>
        <w:t>Damiano</w:t>
      </w:r>
      <w:proofErr w:type="spellEnd"/>
      <w:r>
        <w:rPr>
          <w:rFonts w:ascii="Garamond" w:hAnsi="Garamond"/>
          <w:sz w:val="24"/>
          <w:szCs w:val="24"/>
          <w:lang w:val="en-GB"/>
        </w:rPr>
        <w:t xml:space="preserve"> La Manna and Armin </w:t>
      </w:r>
      <w:proofErr w:type="spellStart"/>
      <w:r>
        <w:rPr>
          <w:rFonts w:ascii="Garamond" w:hAnsi="Garamond"/>
          <w:sz w:val="24"/>
          <w:szCs w:val="24"/>
          <w:lang w:val="en-GB"/>
        </w:rPr>
        <w:t>Khameh</w:t>
      </w:r>
      <w:proofErr w:type="spellEnd"/>
      <w:r w:rsidR="00B5512D">
        <w:rPr>
          <w:rFonts w:ascii="Garamond" w:hAnsi="Garamond"/>
          <w:sz w:val="24"/>
          <w:szCs w:val="24"/>
          <w:lang w:val="en-GB"/>
        </w:rPr>
        <w:t>, with</w:t>
      </w:r>
      <w:r>
        <w:rPr>
          <w:rFonts w:ascii="Garamond" w:hAnsi="Garamond"/>
          <w:sz w:val="24"/>
          <w:szCs w:val="24"/>
          <w:lang w:val="en-GB"/>
        </w:rPr>
        <w:t xml:space="preserve"> who</w:t>
      </w:r>
      <w:r w:rsidR="00B5512D">
        <w:rPr>
          <w:rFonts w:ascii="Garamond" w:hAnsi="Garamond"/>
          <w:sz w:val="24"/>
          <w:szCs w:val="24"/>
          <w:lang w:val="en-GB"/>
        </w:rPr>
        <w:t>m</w:t>
      </w:r>
      <w:r>
        <w:rPr>
          <w:rFonts w:ascii="Garamond" w:hAnsi="Garamond"/>
          <w:sz w:val="24"/>
          <w:szCs w:val="24"/>
          <w:lang w:val="en-GB"/>
        </w:rPr>
        <w:t xml:space="preserve"> I shared philosophical conversations on many occasions. I </w:t>
      </w:r>
      <w:r w:rsidR="00C34936">
        <w:rPr>
          <w:rFonts w:ascii="Garamond" w:hAnsi="Garamond"/>
          <w:sz w:val="24"/>
          <w:szCs w:val="24"/>
          <w:lang w:val="en-GB"/>
        </w:rPr>
        <w:t>would in addition like to thank the</w:t>
      </w:r>
      <w:r>
        <w:rPr>
          <w:rFonts w:ascii="Garamond" w:hAnsi="Garamond"/>
          <w:sz w:val="24"/>
          <w:szCs w:val="24"/>
          <w:lang w:val="en-GB"/>
        </w:rPr>
        <w:t xml:space="preserve"> many good friends whose company and conversation, as well as support and encouragement</w:t>
      </w:r>
      <w:r w:rsidR="00B875B5">
        <w:rPr>
          <w:rFonts w:ascii="Garamond" w:hAnsi="Garamond"/>
          <w:sz w:val="24"/>
          <w:szCs w:val="24"/>
          <w:lang w:val="en-GB"/>
        </w:rPr>
        <w:t>,</w:t>
      </w:r>
      <w:r>
        <w:rPr>
          <w:rFonts w:ascii="Garamond" w:hAnsi="Garamond"/>
          <w:sz w:val="24"/>
          <w:szCs w:val="24"/>
          <w:lang w:val="en-GB"/>
        </w:rPr>
        <w:t xml:space="preserve"> </w:t>
      </w:r>
      <w:r w:rsidR="00B875B5">
        <w:rPr>
          <w:rFonts w:ascii="Garamond" w:hAnsi="Garamond"/>
          <w:sz w:val="24"/>
          <w:szCs w:val="24"/>
          <w:lang w:val="en-GB"/>
        </w:rPr>
        <w:t>which I am grateful for</w:t>
      </w:r>
      <w:r>
        <w:rPr>
          <w:rFonts w:ascii="Garamond" w:hAnsi="Garamond"/>
          <w:sz w:val="24"/>
          <w:szCs w:val="24"/>
          <w:lang w:val="en-GB"/>
        </w:rPr>
        <w:t xml:space="preserve">, including </w:t>
      </w:r>
      <w:proofErr w:type="spellStart"/>
      <w:r>
        <w:rPr>
          <w:rFonts w:ascii="Garamond" w:hAnsi="Garamond"/>
          <w:sz w:val="24"/>
          <w:szCs w:val="24"/>
          <w:lang w:val="en-GB"/>
        </w:rPr>
        <w:t>Neri</w:t>
      </w:r>
      <w:proofErr w:type="spellEnd"/>
      <w:r>
        <w:rPr>
          <w:rFonts w:ascii="Garamond" w:hAnsi="Garamond"/>
          <w:sz w:val="24"/>
          <w:szCs w:val="24"/>
          <w:lang w:val="en-GB"/>
        </w:rPr>
        <w:t xml:space="preserve"> </w:t>
      </w:r>
      <w:proofErr w:type="spellStart"/>
      <w:r>
        <w:rPr>
          <w:rFonts w:ascii="Garamond" w:hAnsi="Garamond"/>
          <w:sz w:val="24"/>
          <w:szCs w:val="24"/>
          <w:lang w:val="en-GB"/>
        </w:rPr>
        <w:t>Marsili</w:t>
      </w:r>
      <w:proofErr w:type="spellEnd"/>
      <w:r>
        <w:rPr>
          <w:rFonts w:ascii="Garamond" w:hAnsi="Garamond"/>
          <w:sz w:val="24"/>
          <w:szCs w:val="24"/>
          <w:lang w:val="en-GB"/>
        </w:rPr>
        <w:t xml:space="preserve">, </w:t>
      </w:r>
      <w:r w:rsidRPr="00561A96">
        <w:rPr>
          <w:rFonts w:ascii="Garamond" w:hAnsi="Garamond"/>
          <w:sz w:val="24"/>
          <w:szCs w:val="24"/>
          <w:lang w:val="en-GB"/>
        </w:rPr>
        <w:t xml:space="preserve">Stephen Bolton, </w:t>
      </w:r>
      <w:r>
        <w:rPr>
          <w:rFonts w:ascii="Garamond" w:hAnsi="Garamond"/>
          <w:sz w:val="24"/>
          <w:szCs w:val="24"/>
          <w:lang w:val="en-GB"/>
        </w:rPr>
        <w:t>Anton Eriksson</w:t>
      </w:r>
      <w:r w:rsidRPr="00561A96">
        <w:rPr>
          <w:rFonts w:ascii="Garamond" w:hAnsi="Garamond"/>
          <w:sz w:val="24"/>
          <w:szCs w:val="24"/>
          <w:lang w:val="en-GB"/>
        </w:rPr>
        <w:t xml:space="preserve">, </w:t>
      </w:r>
      <w:r>
        <w:rPr>
          <w:rFonts w:ascii="Garamond" w:hAnsi="Garamond"/>
          <w:sz w:val="24"/>
          <w:szCs w:val="24"/>
          <w:lang w:val="en-GB"/>
        </w:rPr>
        <w:t xml:space="preserve">Tony Eagan, </w:t>
      </w:r>
      <w:r w:rsidRPr="00561A96">
        <w:rPr>
          <w:rFonts w:ascii="Garamond" w:hAnsi="Garamond"/>
          <w:sz w:val="24"/>
          <w:szCs w:val="24"/>
          <w:lang w:val="en-GB"/>
        </w:rPr>
        <w:t xml:space="preserve">Lewis Brooks, </w:t>
      </w:r>
      <w:r>
        <w:rPr>
          <w:rFonts w:ascii="Garamond" w:hAnsi="Garamond"/>
          <w:sz w:val="24"/>
          <w:szCs w:val="24"/>
          <w:lang w:val="en-GB"/>
        </w:rPr>
        <w:t xml:space="preserve">James Lewis, </w:t>
      </w:r>
      <w:proofErr w:type="spellStart"/>
      <w:r>
        <w:rPr>
          <w:rFonts w:ascii="Garamond" w:hAnsi="Garamond"/>
          <w:sz w:val="24"/>
          <w:szCs w:val="24"/>
          <w:lang w:val="en-GB"/>
        </w:rPr>
        <w:t>Miklos</w:t>
      </w:r>
      <w:proofErr w:type="spellEnd"/>
      <w:r>
        <w:rPr>
          <w:rFonts w:ascii="Garamond" w:hAnsi="Garamond"/>
          <w:sz w:val="24"/>
          <w:szCs w:val="24"/>
          <w:lang w:val="en-GB"/>
        </w:rPr>
        <w:t xml:space="preserve"> </w:t>
      </w:r>
      <w:proofErr w:type="spellStart"/>
      <w:r>
        <w:rPr>
          <w:rFonts w:ascii="Garamond" w:hAnsi="Garamond"/>
          <w:sz w:val="24"/>
          <w:szCs w:val="24"/>
          <w:lang w:val="en-GB"/>
        </w:rPr>
        <w:t>Kurthy</w:t>
      </w:r>
      <w:proofErr w:type="spellEnd"/>
      <w:r>
        <w:rPr>
          <w:rFonts w:ascii="Garamond" w:hAnsi="Garamond"/>
          <w:sz w:val="24"/>
          <w:szCs w:val="24"/>
          <w:lang w:val="en-GB"/>
        </w:rPr>
        <w:t xml:space="preserve">, </w:t>
      </w:r>
      <w:proofErr w:type="spellStart"/>
      <w:r w:rsidRPr="00561A96">
        <w:rPr>
          <w:rFonts w:ascii="Garamond" w:hAnsi="Garamond"/>
          <w:sz w:val="24"/>
          <w:szCs w:val="24"/>
          <w:lang w:val="en-GB"/>
        </w:rPr>
        <w:t>Alexandre</w:t>
      </w:r>
      <w:proofErr w:type="spellEnd"/>
      <w:r w:rsidRPr="00561A96">
        <w:rPr>
          <w:rFonts w:ascii="Garamond" w:hAnsi="Garamond"/>
          <w:sz w:val="24"/>
          <w:szCs w:val="24"/>
          <w:lang w:val="en-GB"/>
        </w:rPr>
        <w:t xml:space="preserve"> Duval</w:t>
      </w:r>
      <w:r>
        <w:rPr>
          <w:rFonts w:ascii="Garamond" w:hAnsi="Garamond"/>
          <w:sz w:val="24"/>
          <w:szCs w:val="24"/>
          <w:lang w:val="en-GB"/>
        </w:rPr>
        <w:t xml:space="preserve">, </w:t>
      </w:r>
      <w:r w:rsidRPr="00561A96">
        <w:rPr>
          <w:rFonts w:ascii="Garamond" w:hAnsi="Garamond"/>
          <w:sz w:val="24"/>
          <w:szCs w:val="24"/>
          <w:lang w:val="en-GB"/>
        </w:rPr>
        <w:t xml:space="preserve">Joshua </w:t>
      </w:r>
      <w:proofErr w:type="spellStart"/>
      <w:r w:rsidRPr="00561A96">
        <w:rPr>
          <w:rFonts w:ascii="Garamond" w:hAnsi="Garamond"/>
          <w:sz w:val="24"/>
          <w:szCs w:val="24"/>
          <w:lang w:val="en-GB"/>
        </w:rPr>
        <w:t>Forstenzer</w:t>
      </w:r>
      <w:proofErr w:type="spellEnd"/>
      <w:r w:rsidR="00B875B5">
        <w:rPr>
          <w:rFonts w:ascii="Garamond" w:hAnsi="Garamond"/>
          <w:sz w:val="24"/>
          <w:szCs w:val="24"/>
          <w:lang w:val="en-GB"/>
        </w:rPr>
        <w:t xml:space="preserve">, </w:t>
      </w:r>
      <w:r>
        <w:rPr>
          <w:rFonts w:ascii="Garamond" w:hAnsi="Garamond"/>
          <w:sz w:val="24"/>
          <w:szCs w:val="24"/>
          <w:lang w:val="en-GB"/>
        </w:rPr>
        <w:t>Ashley Pennington</w:t>
      </w:r>
      <w:r w:rsidR="00B875B5">
        <w:rPr>
          <w:rFonts w:ascii="Garamond" w:hAnsi="Garamond"/>
          <w:sz w:val="24"/>
          <w:szCs w:val="24"/>
          <w:lang w:val="en-GB"/>
        </w:rPr>
        <w:t xml:space="preserve">, Stephen Wright, </w:t>
      </w:r>
      <w:r w:rsidR="00B875B5" w:rsidRPr="00561A96">
        <w:rPr>
          <w:rFonts w:ascii="Garamond" w:hAnsi="Garamond"/>
          <w:sz w:val="24"/>
          <w:szCs w:val="24"/>
          <w:lang w:val="en-GB"/>
        </w:rPr>
        <w:t>Stephen Ingram</w:t>
      </w:r>
      <w:r w:rsidR="00B875B5">
        <w:rPr>
          <w:rFonts w:ascii="Garamond" w:hAnsi="Garamond"/>
          <w:sz w:val="24"/>
          <w:szCs w:val="24"/>
          <w:lang w:val="en-GB"/>
        </w:rPr>
        <w:t xml:space="preserve">, Josh Black, </w:t>
      </w:r>
      <w:r w:rsidR="00B875B5" w:rsidRPr="00561A96">
        <w:rPr>
          <w:rFonts w:ascii="Garamond" w:hAnsi="Garamond"/>
          <w:sz w:val="24"/>
          <w:szCs w:val="24"/>
          <w:lang w:val="en-GB"/>
        </w:rPr>
        <w:t>Philip Rau</w:t>
      </w:r>
      <w:r w:rsidR="00B875B5">
        <w:rPr>
          <w:rFonts w:ascii="Garamond" w:hAnsi="Garamond"/>
          <w:sz w:val="24"/>
          <w:szCs w:val="24"/>
          <w:lang w:val="en-GB"/>
        </w:rPr>
        <w:t xml:space="preserve">, </w:t>
      </w:r>
      <w:r w:rsidR="00B875B5" w:rsidRPr="00561A96">
        <w:rPr>
          <w:rFonts w:ascii="Garamond" w:hAnsi="Garamond"/>
          <w:sz w:val="24"/>
          <w:szCs w:val="24"/>
          <w:lang w:val="en-GB"/>
        </w:rPr>
        <w:t>Joe Saunders</w:t>
      </w:r>
      <w:r w:rsidR="00C34936">
        <w:rPr>
          <w:rFonts w:ascii="Garamond" w:hAnsi="Garamond"/>
          <w:sz w:val="24"/>
          <w:szCs w:val="24"/>
          <w:lang w:val="en-GB"/>
        </w:rPr>
        <w:t xml:space="preserve">, </w:t>
      </w:r>
      <w:proofErr w:type="spellStart"/>
      <w:r w:rsidR="00515273">
        <w:rPr>
          <w:rFonts w:ascii="Garamond" w:hAnsi="Garamond"/>
          <w:sz w:val="24"/>
          <w:szCs w:val="24"/>
          <w:lang w:val="en-GB"/>
        </w:rPr>
        <w:t>Behrooz</w:t>
      </w:r>
      <w:proofErr w:type="spellEnd"/>
      <w:r w:rsidR="00515273">
        <w:rPr>
          <w:rFonts w:ascii="Garamond" w:hAnsi="Garamond"/>
          <w:sz w:val="24"/>
          <w:szCs w:val="24"/>
          <w:lang w:val="en-GB"/>
        </w:rPr>
        <w:t xml:space="preserve"> </w:t>
      </w:r>
      <w:proofErr w:type="spellStart"/>
      <w:r w:rsidR="00515273">
        <w:rPr>
          <w:rFonts w:ascii="Garamond" w:hAnsi="Garamond"/>
          <w:sz w:val="24"/>
          <w:szCs w:val="24"/>
          <w:lang w:val="en-GB"/>
        </w:rPr>
        <w:t>Tafazzo</w:t>
      </w:r>
      <w:proofErr w:type="spellEnd"/>
      <w:r w:rsidR="00515273">
        <w:rPr>
          <w:rFonts w:ascii="Garamond" w:hAnsi="Garamond"/>
          <w:sz w:val="24"/>
          <w:szCs w:val="24"/>
          <w:lang w:val="en-GB"/>
        </w:rPr>
        <w:t xml:space="preserve">, and </w:t>
      </w:r>
      <w:proofErr w:type="spellStart"/>
      <w:r w:rsidR="00C34936">
        <w:rPr>
          <w:rFonts w:ascii="Garamond" w:hAnsi="Garamond"/>
          <w:sz w:val="24"/>
          <w:szCs w:val="24"/>
          <w:lang w:val="en-GB"/>
        </w:rPr>
        <w:t>Babak</w:t>
      </w:r>
      <w:proofErr w:type="spellEnd"/>
      <w:r w:rsidR="00C34936">
        <w:rPr>
          <w:rFonts w:ascii="Garamond" w:hAnsi="Garamond"/>
          <w:sz w:val="24"/>
          <w:szCs w:val="24"/>
          <w:lang w:val="en-GB"/>
        </w:rPr>
        <w:t xml:space="preserve"> </w:t>
      </w:r>
      <w:proofErr w:type="spellStart"/>
      <w:r w:rsidR="00C34936" w:rsidRPr="00C34936">
        <w:rPr>
          <w:rFonts w:ascii="Garamond" w:hAnsi="Garamond"/>
          <w:sz w:val="24"/>
          <w:szCs w:val="24"/>
          <w:lang w:val="en-GB"/>
        </w:rPr>
        <w:t>Bakhtiarynia</w:t>
      </w:r>
      <w:proofErr w:type="spellEnd"/>
      <w:r w:rsidRPr="00561A96">
        <w:rPr>
          <w:rFonts w:ascii="Garamond" w:hAnsi="Garamond"/>
          <w:sz w:val="24"/>
          <w:szCs w:val="24"/>
          <w:lang w:val="en-GB"/>
        </w:rPr>
        <w:t>.</w:t>
      </w:r>
      <w:r w:rsidR="00E95C97">
        <w:rPr>
          <w:rFonts w:ascii="Garamond" w:hAnsi="Garamond"/>
          <w:sz w:val="24"/>
          <w:szCs w:val="24"/>
          <w:lang w:val="en-GB"/>
        </w:rPr>
        <w:t xml:space="preserve"> </w:t>
      </w:r>
      <w:r w:rsidR="00200918">
        <w:rPr>
          <w:rFonts w:ascii="Garamond" w:hAnsi="Garamond"/>
          <w:sz w:val="24"/>
          <w:szCs w:val="24"/>
          <w:lang w:val="en-GB"/>
        </w:rPr>
        <w:t xml:space="preserve">I would also like to extend special thanks to Daniel Herbert for taking the time to read chapters in this thesis, as well as Caleb </w:t>
      </w:r>
      <w:proofErr w:type="spellStart"/>
      <w:r w:rsidR="00200918">
        <w:rPr>
          <w:rFonts w:ascii="Garamond" w:hAnsi="Garamond"/>
          <w:sz w:val="24"/>
          <w:szCs w:val="24"/>
          <w:lang w:val="en-GB"/>
        </w:rPr>
        <w:t>Bernacchio</w:t>
      </w:r>
      <w:proofErr w:type="spellEnd"/>
      <w:r w:rsidR="00200918">
        <w:rPr>
          <w:rFonts w:ascii="Garamond" w:hAnsi="Garamond"/>
          <w:sz w:val="24"/>
          <w:szCs w:val="24"/>
          <w:lang w:val="en-GB"/>
        </w:rPr>
        <w:t>, whose invaluable comments facilitated the completion of this work.</w:t>
      </w:r>
      <w:r w:rsidR="00E95C97">
        <w:rPr>
          <w:rFonts w:ascii="Garamond" w:hAnsi="Garamond"/>
          <w:sz w:val="24"/>
          <w:szCs w:val="24"/>
          <w:lang w:val="en-GB"/>
        </w:rPr>
        <w:t xml:space="preserve"> </w:t>
      </w:r>
    </w:p>
    <w:p w:rsidR="00561A96" w:rsidRDefault="00B875B5" w:rsidP="00355AC9">
      <w:pPr>
        <w:spacing w:line="360" w:lineRule="auto"/>
        <w:ind w:firstLine="720"/>
        <w:jc w:val="both"/>
        <w:rPr>
          <w:rFonts w:ascii="Garamond" w:hAnsi="Garamond"/>
          <w:sz w:val="24"/>
          <w:szCs w:val="24"/>
          <w:lang w:val="en-GB"/>
        </w:rPr>
      </w:pPr>
      <w:r>
        <w:rPr>
          <w:rFonts w:ascii="Garamond" w:hAnsi="Garamond"/>
          <w:sz w:val="24"/>
          <w:szCs w:val="24"/>
          <w:lang w:val="en-GB"/>
        </w:rPr>
        <w:t xml:space="preserve">In addition, </w:t>
      </w:r>
      <w:r w:rsidR="00561A96" w:rsidRPr="00561A96">
        <w:rPr>
          <w:rFonts w:ascii="Garamond" w:hAnsi="Garamond"/>
          <w:sz w:val="24"/>
          <w:szCs w:val="24"/>
          <w:lang w:val="en-GB"/>
        </w:rPr>
        <w:t xml:space="preserve">I am </w:t>
      </w:r>
      <w:r>
        <w:rPr>
          <w:rFonts w:ascii="Garamond" w:hAnsi="Garamond"/>
          <w:sz w:val="24"/>
          <w:szCs w:val="24"/>
          <w:lang w:val="en-GB"/>
        </w:rPr>
        <w:t>forever</w:t>
      </w:r>
      <w:r w:rsidR="00561A96" w:rsidRPr="00561A96">
        <w:rPr>
          <w:rFonts w:ascii="Garamond" w:hAnsi="Garamond"/>
          <w:sz w:val="24"/>
          <w:szCs w:val="24"/>
          <w:lang w:val="en-GB"/>
        </w:rPr>
        <w:t xml:space="preserve"> grateful to </w:t>
      </w:r>
      <w:r>
        <w:rPr>
          <w:rFonts w:ascii="Garamond" w:hAnsi="Garamond"/>
          <w:sz w:val="24"/>
          <w:szCs w:val="24"/>
          <w:lang w:val="en-GB"/>
        </w:rPr>
        <w:t xml:space="preserve">my partner </w:t>
      </w:r>
      <w:proofErr w:type="spellStart"/>
      <w:r>
        <w:rPr>
          <w:rFonts w:ascii="Garamond" w:hAnsi="Garamond"/>
          <w:sz w:val="24"/>
          <w:szCs w:val="24"/>
          <w:lang w:val="en-GB"/>
        </w:rPr>
        <w:t>Junyan</w:t>
      </w:r>
      <w:proofErr w:type="spellEnd"/>
      <w:r>
        <w:rPr>
          <w:rFonts w:ascii="Garamond" w:hAnsi="Garamond"/>
          <w:sz w:val="24"/>
          <w:szCs w:val="24"/>
          <w:lang w:val="en-GB"/>
        </w:rPr>
        <w:t xml:space="preserve"> </w:t>
      </w:r>
      <w:proofErr w:type="spellStart"/>
      <w:r>
        <w:rPr>
          <w:rFonts w:ascii="Garamond" w:hAnsi="Garamond"/>
          <w:sz w:val="24"/>
          <w:szCs w:val="24"/>
          <w:lang w:val="en-GB"/>
        </w:rPr>
        <w:t>Zhai</w:t>
      </w:r>
      <w:proofErr w:type="spellEnd"/>
      <w:r>
        <w:rPr>
          <w:rFonts w:ascii="Garamond" w:hAnsi="Garamond"/>
          <w:sz w:val="24"/>
          <w:szCs w:val="24"/>
          <w:lang w:val="en-GB"/>
        </w:rPr>
        <w:t xml:space="preserve"> whose </w:t>
      </w:r>
      <w:r w:rsidR="00675386">
        <w:rPr>
          <w:rFonts w:ascii="Garamond" w:hAnsi="Garamond"/>
          <w:sz w:val="24"/>
          <w:szCs w:val="24"/>
          <w:lang w:val="en-GB"/>
        </w:rPr>
        <w:t xml:space="preserve">kindness, </w:t>
      </w:r>
      <w:r>
        <w:rPr>
          <w:rFonts w:ascii="Garamond" w:hAnsi="Garamond"/>
          <w:sz w:val="24"/>
          <w:szCs w:val="24"/>
          <w:lang w:val="en-GB"/>
        </w:rPr>
        <w:t>patience, support</w:t>
      </w:r>
      <w:r w:rsidR="00561A96" w:rsidRPr="00561A96">
        <w:rPr>
          <w:rFonts w:ascii="Garamond" w:hAnsi="Garamond"/>
          <w:sz w:val="24"/>
          <w:szCs w:val="24"/>
          <w:lang w:val="en-GB"/>
        </w:rPr>
        <w:t xml:space="preserve">, </w:t>
      </w:r>
      <w:r>
        <w:rPr>
          <w:rFonts w:ascii="Garamond" w:hAnsi="Garamond"/>
          <w:sz w:val="24"/>
          <w:szCs w:val="24"/>
          <w:lang w:val="en-GB"/>
        </w:rPr>
        <w:t xml:space="preserve">and comfort, </w:t>
      </w:r>
      <w:r w:rsidR="00675386">
        <w:rPr>
          <w:rFonts w:ascii="Garamond" w:hAnsi="Garamond"/>
          <w:sz w:val="24"/>
          <w:szCs w:val="24"/>
          <w:lang w:val="en-GB"/>
        </w:rPr>
        <w:t xml:space="preserve">over the last several years, </w:t>
      </w:r>
      <w:r>
        <w:rPr>
          <w:rFonts w:ascii="Garamond" w:hAnsi="Garamond"/>
          <w:sz w:val="24"/>
          <w:szCs w:val="24"/>
          <w:lang w:val="en-GB"/>
        </w:rPr>
        <w:t xml:space="preserve">was </w:t>
      </w:r>
      <w:r w:rsidR="00675386">
        <w:rPr>
          <w:rFonts w:ascii="Garamond" w:hAnsi="Garamond"/>
          <w:sz w:val="24"/>
          <w:szCs w:val="24"/>
          <w:lang w:val="en-GB"/>
        </w:rPr>
        <w:t xml:space="preserve">indispensible for completing my studies </w:t>
      </w:r>
      <w:r>
        <w:rPr>
          <w:rFonts w:ascii="Garamond" w:hAnsi="Garamond"/>
          <w:sz w:val="24"/>
          <w:szCs w:val="24"/>
          <w:lang w:val="en-GB"/>
        </w:rPr>
        <w:t>at the University of Sheffield.</w:t>
      </w:r>
    </w:p>
    <w:p w:rsidR="00561A96" w:rsidRPr="00774CA8" w:rsidRDefault="00B875B5" w:rsidP="00355AC9">
      <w:pPr>
        <w:spacing w:line="360" w:lineRule="auto"/>
        <w:ind w:firstLine="720"/>
        <w:jc w:val="both"/>
        <w:rPr>
          <w:rFonts w:ascii="Garamond" w:hAnsi="Garamond"/>
          <w:sz w:val="24"/>
          <w:szCs w:val="24"/>
          <w:lang w:val="en-GB"/>
        </w:rPr>
      </w:pPr>
      <w:r>
        <w:rPr>
          <w:rFonts w:ascii="Garamond" w:hAnsi="Garamond"/>
          <w:sz w:val="24"/>
          <w:szCs w:val="24"/>
          <w:lang w:val="en-GB"/>
        </w:rPr>
        <w:t xml:space="preserve">Last, but not least </w:t>
      </w:r>
      <w:r w:rsidR="00561A96" w:rsidRPr="00561A96">
        <w:rPr>
          <w:rFonts w:ascii="Garamond" w:hAnsi="Garamond"/>
          <w:sz w:val="24"/>
          <w:szCs w:val="24"/>
          <w:lang w:val="en-GB"/>
        </w:rPr>
        <w:t>I would like to thank my family</w:t>
      </w:r>
      <w:r>
        <w:rPr>
          <w:rFonts w:ascii="Garamond" w:hAnsi="Garamond"/>
          <w:sz w:val="24"/>
          <w:szCs w:val="24"/>
          <w:lang w:val="en-GB"/>
        </w:rPr>
        <w:t xml:space="preserve"> for t</w:t>
      </w:r>
      <w:r w:rsidR="00561A96" w:rsidRPr="00561A96">
        <w:rPr>
          <w:rFonts w:ascii="Garamond" w:hAnsi="Garamond"/>
          <w:sz w:val="24"/>
          <w:szCs w:val="24"/>
          <w:lang w:val="en-GB"/>
        </w:rPr>
        <w:t xml:space="preserve">heir </w:t>
      </w:r>
      <w:r>
        <w:rPr>
          <w:rFonts w:ascii="Garamond" w:hAnsi="Garamond"/>
          <w:sz w:val="24"/>
          <w:szCs w:val="24"/>
          <w:lang w:val="en-GB"/>
        </w:rPr>
        <w:t xml:space="preserve">immense </w:t>
      </w:r>
      <w:r w:rsidR="00561A96" w:rsidRPr="00561A96">
        <w:rPr>
          <w:rFonts w:ascii="Garamond" w:hAnsi="Garamond"/>
          <w:sz w:val="24"/>
          <w:szCs w:val="24"/>
          <w:lang w:val="en-GB"/>
        </w:rPr>
        <w:t xml:space="preserve">support </w:t>
      </w:r>
      <w:r>
        <w:rPr>
          <w:rFonts w:ascii="Garamond" w:hAnsi="Garamond"/>
          <w:sz w:val="24"/>
          <w:szCs w:val="24"/>
          <w:lang w:val="en-GB"/>
        </w:rPr>
        <w:t>during this time, and more generally, in my life, and i</w:t>
      </w:r>
      <w:r w:rsidR="00561A96" w:rsidRPr="00561A96">
        <w:rPr>
          <w:rFonts w:ascii="Garamond" w:hAnsi="Garamond"/>
          <w:sz w:val="24"/>
          <w:szCs w:val="24"/>
          <w:lang w:val="en-GB"/>
        </w:rPr>
        <w:t xml:space="preserve">n every respect. </w:t>
      </w:r>
      <w:r>
        <w:rPr>
          <w:rFonts w:ascii="Garamond" w:hAnsi="Garamond"/>
          <w:sz w:val="24"/>
          <w:szCs w:val="24"/>
          <w:lang w:val="en-GB"/>
        </w:rPr>
        <w:t xml:space="preserve">I would like to especially thank my </w:t>
      </w:r>
      <w:r w:rsidR="004740E3">
        <w:rPr>
          <w:rFonts w:ascii="Garamond" w:hAnsi="Garamond"/>
          <w:sz w:val="24"/>
          <w:szCs w:val="24"/>
          <w:lang w:val="en-GB"/>
        </w:rPr>
        <w:t>mother’s</w:t>
      </w:r>
      <w:r>
        <w:rPr>
          <w:rFonts w:ascii="Garamond" w:hAnsi="Garamond"/>
          <w:sz w:val="24"/>
          <w:szCs w:val="24"/>
          <w:lang w:val="en-GB"/>
        </w:rPr>
        <w:t xml:space="preserve"> unconditional support</w:t>
      </w:r>
      <w:r w:rsidR="00675386">
        <w:rPr>
          <w:rFonts w:ascii="Garamond" w:hAnsi="Garamond"/>
          <w:sz w:val="24"/>
          <w:szCs w:val="24"/>
          <w:lang w:val="en-GB"/>
        </w:rPr>
        <w:t xml:space="preserve"> throughout every stage in my life</w:t>
      </w:r>
      <w:r>
        <w:rPr>
          <w:rFonts w:ascii="Garamond" w:hAnsi="Garamond"/>
          <w:sz w:val="24"/>
          <w:szCs w:val="24"/>
          <w:lang w:val="en-GB"/>
        </w:rPr>
        <w:t xml:space="preserve">, and my </w:t>
      </w:r>
      <w:r w:rsidR="004740E3">
        <w:rPr>
          <w:rFonts w:ascii="Garamond" w:hAnsi="Garamond"/>
          <w:sz w:val="24"/>
          <w:szCs w:val="24"/>
          <w:lang w:val="en-GB"/>
        </w:rPr>
        <w:t>father</w:t>
      </w:r>
      <w:r>
        <w:rPr>
          <w:rFonts w:ascii="Garamond" w:hAnsi="Garamond"/>
          <w:sz w:val="24"/>
          <w:szCs w:val="24"/>
          <w:lang w:val="en-GB"/>
        </w:rPr>
        <w:t xml:space="preserve"> for </w:t>
      </w:r>
      <w:r w:rsidR="00675386">
        <w:rPr>
          <w:rFonts w:ascii="Garamond" w:hAnsi="Garamond"/>
          <w:sz w:val="24"/>
          <w:szCs w:val="24"/>
          <w:lang w:val="en-GB"/>
        </w:rPr>
        <w:t xml:space="preserve">affording me the strength to </w:t>
      </w:r>
      <w:r w:rsidR="00774CA8">
        <w:rPr>
          <w:rFonts w:ascii="Garamond" w:hAnsi="Garamond"/>
          <w:sz w:val="24"/>
          <w:szCs w:val="24"/>
          <w:lang w:val="en-GB"/>
        </w:rPr>
        <w:t>face</w:t>
      </w:r>
      <w:r>
        <w:rPr>
          <w:rFonts w:ascii="Garamond" w:hAnsi="Garamond"/>
          <w:sz w:val="24"/>
          <w:szCs w:val="24"/>
          <w:lang w:val="en-GB"/>
        </w:rPr>
        <w:t xml:space="preserve"> and overcome </w:t>
      </w:r>
      <w:r w:rsidR="004740E3">
        <w:rPr>
          <w:rFonts w:ascii="Garamond" w:hAnsi="Garamond"/>
          <w:sz w:val="24"/>
          <w:szCs w:val="24"/>
          <w:lang w:val="en-GB"/>
        </w:rPr>
        <w:t>life’s various challenges</w:t>
      </w:r>
      <w:r>
        <w:rPr>
          <w:rFonts w:ascii="Garamond" w:hAnsi="Garamond"/>
          <w:sz w:val="24"/>
          <w:szCs w:val="24"/>
          <w:lang w:val="en-GB"/>
        </w:rPr>
        <w:t xml:space="preserve">. </w:t>
      </w:r>
      <w:r w:rsidR="00774CA8">
        <w:rPr>
          <w:rFonts w:ascii="Garamond" w:hAnsi="Garamond"/>
          <w:sz w:val="24"/>
          <w:szCs w:val="24"/>
          <w:lang w:val="en-GB"/>
        </w:rPr>
        <w:t>Finally, I would like to thank my brother not only for his support, but for being the best brother anyone could ask for.</w:t>
      </w:r>
    </w:p>
    <w:p w:rsidR="004D3A89" w:rsidRPr="00561A96" w:rsidRDefault="00D333B6" w:rsidP="00561A96">
      <w:pPr>
        <w:spacing w:line="360" w:lineRule="auto"/>
        <w:rPr>
          <w:rFonts w:ascii="Garamond" w:eastAsiaTheme="majorEastAsia" w:hAnsi="Garamond" w:cstheme="majorBidi"/>
          <w:b/>
          <w:bCs/>
          <w:color w:val="2F5496" w:themeColor="accent1" w:themeShade="BF"/>
          <w:sz w:val="24"/>
          <w:szCs w:val="24"/>
          <w:lang w:val="en-GB"/>
        </w:rPr>
      </w:pPr>
      <w:r w:rsidRPr="00561A96">
        <w:rPr>
          <w:rFonts w:ascii="Garamond" w:hAnsi="Garamond"/>
          <w:sz w:val="24"/>
          <w:szCs w:val="24"/>
        </w:rPr>
        <w:br w:type="page"/>
      </w:r>
    </w:p>
    <w:p w:rsidR="00C549E0" w:rsidRPr="00461D74" w:rsidRDefault="00C549E0" w:rsidP="00164E4D">
      <w:pPr>
        <w:pStyle w:val="Heading1"/>
        <w:spacing w:line="360" w:lineRule="auto"/>
        <w:jc w:val="both"/>
        <w:rPr>
          <w:rFonts w:cstheme="majorHAnsi"/>
        </w:rPr>
      </w:pPr>
      <w:bookmarkStart w:id="4" w:name="_Toc528077787"/>
      <w:r w:rsidRPr="00461D74">
        <w:rPr>
          <w:rFonts w:cstheme="majorHAnsi"/>
        </w:rPr>
        <w:lastRenderedPageBreak/>
        <w:t>Introduction</w:t>
      </w:r>
      <w:bookmarkEnd w:id="4"/>
    </w:p>
    <w:p w:rsidR="00C549E0" w:rsidRPr="00461D74" w:rsidRDefault="00C549E0" w:rsidP="00164E4D">
      <w:pPr>
        <w:spacing w:line="360" w:lineRule="auto"/>
        <w:jc w:val="both"/>
        <w:rPr>
          <w:rFonts w:ascii="Garamond" w:hAnsi="Garamond" w:cstheme="minorHAnsi"/>
          <w:sz w:val="24"/>
          <w:szCs w:val="24"/>
          <w:lang w:val="en-GB"/>
        </w:rPr>
      </w:pPr>
    </w:p>
    <w:p w:rsidR="00E549D6" w:rsidRPr="00461D74" w:rsidRDefault="00C578A7"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The breakdown of moral, social</w:t>
      </w:r>
      <w:r w:rsidR="00542A7A" w:rsidRPr="00461D74">
        <w:rPr>
          <w:rFonts w:ascii="Garamond" w:hAnsi="Garamond" w:cstheme="minorHAnsi"/>
          <w:sz w:val="24"/>
          <w:szCs w:val="24"/>
          <w:lang w:val="en-GB"/>
        </w:rPr>
        <w:t>,</w:t>
      </w:r>
      <w:r w:rsidRPr="00461D74">
        <w:rPr>
          <w:rFonts w:ascii="Garamond" w:hAnsi="Garamond" w:cstheme="minorHAnsi"/>
          <w:sz w:val="24"/>
          <w:szCs w:val="24"/>
          <w:lang w:val="en-GB"/>
        </w:rPr>
        <w:t xml:space="preserve"> and political discourse in </w:t>
      </w:r>
      <w:r w:rsidR="00614B09" w:rsidRPr="00461D74">
        <w:rPr>
          <w:rFonts w:ascii="Garamond" w:hAnsi="Garamond" w:cstheme="minorHAnsi"/>
          <w:sz w:val="24"/>
          <w:szCs w:val="24"/>
          <w:lang w:val="en-GB"/>
        </w:rPr>
        <w:t>contemporary</w:t>
      </w:r>
      <w:r w:rsidRPr="00461D74">
        <w:rPr>
          <w:rFonts w:ascii="Garamond" w:hAnsi="Garamond" w:cstheme="minorHAnsi"/>
          <w:sz w:val="24"/>
          <w:szCs w:val="24"/>
          <w:lang w:val="en-GB"/>
        </w:rPr>
        <w:t xml:space="preserve"> liberal society </w:t>
      </w:r>
      <w:r w:rsidR="00262B60" w:rsidRPr="00461D74">
        <w:rPr>
          <w:rFonts w:ascii="Garamond" w:hAnsi="Garamond" w:cstheme="minorHAnsi"/>
          <w:sz w:val="24"/>
          <w:szCs w:val="24"/>
          <w:lang w:val="en-GB"/>
        </w:rPr>
        <w:t>presents us with one of</w:t>
      </w:r>
      <w:r w:rsidRPr="00461D74">
        <w:rPr>
          <w:rFonts w:ascii="Garamond" w:hAnsi="Garamond" w:cstheme="minorHAnsi"/>
          <w:sz w:val="24"/>
          <w:szCs w:val="24"/>
          <w:lang w:val="en-GB"/>
        </w:rPr>
        <w:t xml:space="preserve"> the mo</w:t>
      </w:r>
      <w:r w:rsidR="00FD7BD3">
        <w:rPr>
          <w:rFonts w:ascii="Garamond" w:hAnsi="Garamond" w:cstheme="minorHAnsi"/>
          <w:sz w:val="24"/>
          <w:szCs w:val="24"/>
          <w:lang w:val="en-GB"/>
        </w:rPr>
        <w:t>st</w:t>
      </w:r>
      <w:r w:rsidRPr="00461D74">
        <w:rPr>
          <w:rFonts w:ascii="Garamond" w:hAnsi="Garamond" w:cstheme="minorHAnsi"/>
          <w:sz w:val="24"/>
          <w:szCs w:val="24"/>
          <w:lang w:val="en-GB"/>
        </w:rPr>
        <w:t xml:space="preserve"> intractable </w:t>
      </w:r>
      <w:r w:rsidR="006E1576" w:rsidRPr="00461D74">
        <w:rPr>
          <w:rFonts w:ascii="Garamond" w:hAnsi="Garamond" w:cstheme="minorHAnsi"/>
          <w:sz w:val="24"/>
          <w:szCs w:val="24"/>
          <w:lang w:val="en-GB"/>
        </w:rPr>
        <w:t>social</w:t>
      </w:r>
      <w:r w:rsidR="00614B09" w:rsidRPr="00461D74">
        <w:rPr>
          <w:rFonts w:ascii="Garamond" w:hAnsi="Garamond" w:cstheme="minorHAnsi"/>
          <w:sz w:val="24"/>
          <w:szCs w:val="24"/>
          <w:lang w:val="en-GB"/>
        </w:rPr>
        <w:t xml:space="preserve"> </w:t>
      </w:r>
      <w:r w:rsidRPr="00461D74">
        <w:rPr>
          <w:rFonts w:ascii="Garamond" w:hAnsi="Garamond" w:cstheme="minorHAnsi"/>
          <w:sz w:val="24"/>
          <w:szCs w:val="24"/>
          <w:lang w:val="en-GB"/>
        </w:rPr>
        <w:t>problem</w:t>
      </w:r>
      <w:r w:rsidR="00262B60" w:rsidRPr="00461D74">
        <w:rPr>
          <w:rFonts w:ascii="Garamond" w:hAnsi="Garamond" w:cstheme="minorHAnsi"/>
          <w:sz w:val="24"/>
          <w:szCs w:val="24"/>
          <w:lang w:val="en-GB"/>
        </w:rPr>
        <w:t>s</w:t>
      </w:r>
      <w:r w:rsidRPr="00461D74">
        <w:rPr>
          <w:rFonts w:ascii="Garamond" w:hAnsi="Garamond" w:cstheme="minorHAnsi"/>
          <w:sz w:val="24"/>
          <w:szCs w:val="24"/>
          <w:lang w:val="en-GB"/>
        </w:rPr>
        <w:t xml:space="preserve"> that western liberal </w:t>
      </w:r>
      <w:r w:rsidR="0017273D">
        <w:rPr>
          <w:rFonts w:ascii="Garamond" w:hAnsi="Garamond" w:cstheme="minorHAnsi"/>
          <w:sz w:val="24"/>
          <w:szCs w:val="24"/>
          <w:lang w:val="en-GB"/>
        </w:rPr>
        <w:t>countries</w:t>
      </w:r>
      <w:r w:rsidR="0017273D"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have encountered in </w:t>
      </w:r>
      <w:r w:rsidR="00614B09" w:rsidRPr="00461D74">
        <w:rPr>
          <w:rFonts w:ascii="Garamond" w:hAnsi="Garamond" w:cstheme="minorHAnsi"/>
          <w:sz w:val="24"/>
          <w:szCs w:val="24"/>
          <w:lang w:val="en-GB"/>
        </w:rPr>
        <w:t>the post-war period</w:t>
      </w:r>
      <w:r w:rsidRPr="00461D74">
        <w:rPr>
          <w:rFonts w:ascii="Garamond" w:hAnsi="Garamond" w:cstheme="minorHAnsi"/>
          <w:sz w:val="24"/>
          <w:szCs w:val="24"/>
          <w:lang w:val="en-GB"/>
        </w:rPr>
        <w:t xml:space="preserve">. </w:t>
      </w:r>
      <w:r w:rsidR="00E549D6" w:rsidRPr="00461D74">
        <w:rPr>
          <w:rFonts w:ascii="Garamond" w:hAnsi="Garamond" w:cstheme="minorHAnsi"/>
          <w:sz w:val="24"/>
          <w:szCs w:val="24"/>
          <w:lang w:val="en-GB"/>
        </w:rPr>
        <w:t>The</w:t>
      </w:r>
      <w:r w:rsidRPr="00461D74">
        <w:rPr>
          <w:rFonts w:ascii="Garamond" w:hAnsi="Garamond" w:cstheme="minorHAnsi"/>
          <w:sz w:val="24"/>
          <w:szCs w:val="24"/>
          <w:lang w:val="en-GB"/>
        </w:rPr>
        <w:t xml:space="preserve"> fragmentation</w:t>
      </w:r>
      <w:r w:rsidR="00614B09" w:rsidRPr="00461D74">
        <w:rPr>
          <w:rFonts w:ascii="Garamond" w:hAnsi="Garamond" w:cstheme="minorHAnsi"/>
          <w:sz w:val="24"/>
          <w:szCs w:val="24"/>
          <w:lang w:val="en-GB"/>
        </w:rPr>
        <w:t xml:space="preserve"> </w:t>
      </w:r>
      <w:r w:rsidR="006E1576" w:rsidRPr="00461D74">
        <w:rPr>
          <w:rFonts w:ascii="Garamond" w:hAnsi="Garamond" w:cstheme="minorHAnsi"/>
          <w:sz w:val="24"/>
          <w:szCs w:val="24"/>
          <w:lang w:val="en-GB"/>
        </w:rPr>
        <w:t>of present-day social discourse</w:t>
      </w:r>
      <w:r w:rsidRPr="00461D74">
        <w:rPr>
          <w:rFonts w:ascii="Garamond" w:hAnsi="Garamond" w:cstheme="minorHAnsi"/>
          <w:sz w:val="24"/>
          <w:szCs w:val="24"/>
          <w:lang w:val="en-GB"/>
        </w:rPr>
        <w:t xml:space="preserve"> </w:t>
      </w:r>
      <w:r w:rsidR="006E1576" w:rsidRPr="00461D74">
        <w:rPr>
          <w:rFonts w:ascii="Garamond" w:hAnsi="Garamond" w:cstheme="minorHAnsi"/>
          <w:sz w:val="24"/>
          <w:szCs w:val="24"/>
          <w:lang w:val="en-GB"/>
        </w:rPr>
        <w:t xml:space="preserve">and the </w:t>
      </w:r>
      <w:r w:rsidR="00895C75" w:rsidRPr="00461D74">
        <w:rPr>
          <w:rFonts w:ascii="Garamond" w:hAnsi="Garamond" w:cstheme="minorHAnsi"/>
          <w:sz w:val="24"/>
          <w:szCs w:val="24"/>
          <w:lang w:val="en-GB"/>
        </w:rPr>
        <w:t xml:space="preserve">apparent </w:t>
      </w:r>
      <w:r w:rsidR="006E1576" w:rsidRPr="00461D74">
        <w:rPr>
          <w:rFonts w:ascii="Garamond" w:hAnsi="Garamond" w:cstheme="minorHAnsi"/>
          <w:sz w:val="24"/>
          <w:szCs w:val="24"/>
          <w:lang w:val="en-GB"/>
        </w:rPr>
        <w:t xml:space="preserve">interminability of various ethical and political </w:t>
      </w:r>
      <w:r w:rsidR="00895C75" w:rsidRPr="00461D74">
        <w:rPr>
          <w:rFonts w:ascii="Garamond" w:hAnsi="Garamond" w:cstheme="minorHAnsi"/>
          <w:sz w:val="24"/>
          <w:szCs w:val="24"/>
          <w:lang w:val="en-GB"/>
        </w:rPr>
        <w:t>debates</w:t>
      </w:r>
      <w:r w:rsidR="006E1576" w:rsidRPr="00461D74">
        <w:rPr>
          <w:rFonts w:ascii="Garamond" w:hAnsi="Garamond" w:cstheme="minorHAnsi"/>
          <w:sz w:val="24"/>
          <w:szCs w:val="24"/>
          <w:lang w:val="en-GB"/>
        </w:rPr>
        <w:t>, threatens</w:t>
      </w:r>
      <w:r w:rsidRPr="00461D74">
        <w:rPr>
          <w:rFonts w:ascii="Garamond" w:hAnsi="Garamond" w:cstheme="minorHAnsi"/>
          <w:sz w:val="24"/>
          <w:szCs w:val="24"/>
          <w:lang w:val="en-GB"/>
        </w:rPr>
        <w:t xml:space="preserve"> </w:t>
      </w:r>
      <w:r w:rsidR="006E1576" w:rsidRPr="00461D74">
        <w:rPr>
          <w:rFonts w:ascii="Garamond" w:hAnsi="Garamond" w:cstheme="minorHAnsi"/>
          <w:sz w:val="24"/>
          <w:szCs w:val="24"/>
          <w:lang w:val="en-GB"/>
        </w:rPr>
        <w:t xml:space="preserve">the </w:t>
      </w:r>
      <w:r w:rsidRPr="00461D74">
        <w:rPr>
          <w:rFonts w:ascii="Garamond" w:hAnsi="Garamond" w:cstheme="minorHAnsi"/>
          <w:sz w:val="24"/>
          <w:szCs w:val="24"/>
          <w:lang w:val="en-GB"/>
        </w:rPr>
        <w:t xml:space="preserve">social </w:t>
      </w:r>
      <w:r w:rsidR="006E1576" w:rsidRPr="00461D74">
        <w:rPr>
          <w:rFonts w:ascii="Garamond" w:hAnsi="Garamond" w:cstheme="minorHAnsi"/>
          <w:sz w:val="24"/>
          <w:szCs w:val="24"/>
          <w:lang w:val="en-GB"/>
        </w:rPr>
        <w:t>cohesiveness,</w:t>
      </w:r>
      <w:r w:rsidR="00542A7A" w:rsidRPr="00461D74">
        <w:rPr>
          <w:rFonts w:ascii="Garamond" w:hAnsi="Garamond" w:cstheme="minorHAnsi"/>
          <w:sz w:val="24"/>
          <w:szCs w:val="24"/>
          <w:lang w:val="en-GB"/>
        </w:rPr>
        <w:t xml:space="preserve"> </w:t>
      </w:r>
      <w:r w:rsidR="006E1576" w:rsidRPr="00461D74">
        <w:rPr>
          <w:rFonts w:ascii="Garamond" w:hAnsi="Garamond" w:cstheme="minorHAnsi"/>
          <w:sz w:val="24"/>
          <w:szCs w:val="24"/>
          <w:lang w:val="en-GB"/>
        </w:rPr>
        <w:t>as well as the political integrity</w:t>
      </w:r>
      <w:r w:rsidR="00366921" w:rsidRPr="00461D74">
        <w:rPr>
          <w:rFonts w:ascii="Garamond" w:hAnsi="Garamond" w:cstheme="minorHAnsi"/>
          <w:sz w:val="24"/>
          <w:szCs w:val="24"/>
          <w:lang w:val="en-GB"/>
        </w:rPr>
        <w:t>,</w:t>
      </w:r>
      <w:r w:rsidR="006E1576" w:rsidRPr="00461D74">
        <w:rPr>
          <w:rFonts w:ascii="Garamond" w:hAnsi="Garamond" w:cstheme="minorHAnsi"/>
          <w:sz w:val="24"/>
          <w:szCs w:val="24"/>
          <w:lang w:val="en-GB"/>
        </w:rPr>
        <w:t xml:space="preserve"> of </w:t>
      </w:r>
      <w:r w:rsidR="00E549D6" w:rsidRPr="00461D74">
        <w:rPr>
          <w:rFonts w:ascii="Garamond" w:hAnsi="Garamond" w:cstheme="minorHAnsi"/>
          <w:sz w:val="24"/>
          <w:szCs w:val="24"/>
          <w:lang w:val="en-GB"/>
        </w:rPr>
        <w:t>western liberal societ</w:t>
      </w:r>
      <w:r w:rsidR="00614B09" w:rsidRPr="00461D74">
        <w:rPr>
          <w:rFonts w:ascii="Garamond" w:hAnsi="Garamond" w:cstheme="minorHAnsi"/>
          <w:sz w:val="24"/>
          <w:szCs w:val="24"/>
          <w:lang w:val="en-GB"/>
        </w:rPr>
        <w:t>ies</w:t>
      </w:r>
      <w:r w:rsidR="00E549D6" w:rsidRPr="00461D74">
        <w:rPr>
          <w:rFonts w:ascii="Garamond" w:hAnsi="Garamond" w:cstheme="minorHAnsi"/>
          <w:sz w:val="24"/>
          <w:szCs w:val="24"/>
          <w:lang w:val="en-GB"/>
        </w:rPr>
        <w:t xml:space="preserve">. Of course the </w:t>
      </w:r>
      <w:r w:rsidR="00542A7A" w:rsidRPr="00461D74">
        <w:rPr>
          <w:rFonts w:ascii="Garamond" w:hAnsi="Garamond" w:cstheme="minorHAnsi"/>
          <w:sz w:val="24"/>
          <w:szCs w:val="24"/>
          <w:lang w:val="en-GB"/>
        </w:rPr>
        <w:t xml:space="preserve">gradual </w:t>
      </w:r>
      <w:r w:rsidR="00E549D6" w:rsidRPr="00461D74">
        <w:rPr>
          <w:rFonts w:ascii="Garamond" w:hAnsi="Garamond" w:cstheme="minorHAnsi"/>
          <w:sz w:val="24"/>
          <w:szCs w:val="24"/>
          <w:lang w:val="en-GB"/>
        </w:rPr>
        <w:t>fragmentation and paralysis that plagues our social discourse is multifaceted and highly complex</w:t>
      </w:r>
      <w:r w:rsidR="006E1576" w:rsidRPr="00461D74">
        <w:rPr>
          <w:rFonts w:ascii="Garamond" w:hAnsi="Garamond" w:cstheme="minorHAnsi"/>
          <w:sz w:val="24"/>
          <w:szCs w:val="24"/>
          <w:lang w:val="en-GB"/>
        </w:rPr>
        <w:t>,</w:t>
      </w:r>
      <w:r w:rsidR="00E549D6" w:rsidRPr="00461D74">
        <w:rPr>
          <w:rFonts w:ascii="Garamond" w:hAnsi="Garamond" w:cstheme="minorHAnsi"/>
          <w:sz w:val="24"/>
          <w:szCs w:val="24"/>
          <w:lang w:val="en-GB"/>
        </w:rPr>
        <w:t xml:space="preserve"> driven in part by changes in social, political, intellectual, </w:t>
      </w:r>
      <w:r w:rsidR="00542A7A" w:rsidRPr="00461D74">
        <w:rPr>
          <w:rFonts w:ascii="Garamond" w:hAnsi="Garamond" w:cstheme="minorHAnsi"/>
          <w:sz w:val="24"/>
          <w:szCs w:val="24"/>
          <w:lang w:val="en-GB"/>
        </w:rPr>
        <w:t xml:space="preserve">economic, </w:t>
      </w:r>
      <w:r w:rsidR="00E549D6" w:rsidRPr="00461D74">
        <w:rPr>
          <w:rFonts w:ascii="Garamond" w:hAnsi="Garamond" w:cstheme="minorHAnsi"/>
          <w:sz w:val="24"/>
          <w:szCs w:val="24"/>
          <w:lang w:val="en-GB"/>
        </w:rPr>
        <w:t xml:space="preserve">technological, as well as other changes in </w:t>
      </w:r>
      <w:r w:rsidR="00542A7A" w:rsidRPr="00461D74">
        <w:rPr>
          <w:rFonts w:ascii="Garamond" w:hAnsi="Garamond" w:cstheme="minorHAnsi"/>
          <w:sz w:val="24"/>
          <w:szCs w:val="24"/>
          <w:lang w:val="en-GB"/>
        </w:rPr>
        <w:t xml:space="preserve">the general </w:t>
      </w:r>
      <w:r w:rsidR="00E549D6" w:rsidRPr="00461D74">
        <w:rPr>
          <w:rFonts w:ascii="Garamond" w:hAnsi="Garamond" w:cstheme="minorHAnsi"/>
          <w:sz w:val="24"/>
          <w:szCs w:val="24"/>
          <w:lang w:val="en-GB"/>
        </w:rPr>
        <w:t xml:space="preserve">material conditions. Nevertheless, </w:t>
      </w:r>
      <w:r w:rsidR="00542A7A" w:rsidRPr="00461D74">
        <w:rPr>
          <w:rFonts w:ascii="Garamond" w:hAnsi="Garamond" w:cstheme="minorHAnsi"/>
          <w:sz w:val="24"/>
          <w:szCs w:val="24"/>
          <w:lang w:val="en-GB"/>
        </w:rPr>
        <w:t xml:space="preserve">liberalism, </w:t>
      </w:r>
      <w:r w:rsidR="00E549D6" w:rsidRPr="00461D74">
        <w:rPr>
          <w:rFonts w:ascii="Garamond" w:hAnsi="Garamond" w:cstheme="minorHAnsi"/>
          <w:sz w:val="24"/>
          <w:szCs w:val="24"/>
          <w:lang w:val="en-GB"/>
        </w:rPr>
        <w:t xml:space="preserve">the </w:t>
      </w:r>
      <w:r w:rsidR="00542A7A" w:rsidRPr="00461D74">
        <w:rPr>
          <w:rFonts w:ascii="Garamond" w:hAnsi="Garamond" w:cstheme="minorHAnsi"/>
          <w:sz w:val="24"/>
          <w:szCs w:val="24"/>
          <w:lang w:val="en-GB"/>
        </w:rPr>
        <w:t xml:space="preserve">dominant cultural, </w:t>
      </w:r>
      <w:r w:rsidR="00E549D6" w:rsidRPr="00461D74">
        <w:rPr>
          <w:rFonts w:ascii="Garamond" w:hAnsi="Garamond" w:cstheme="minorHAnsi"/>
          <w:sz w:val="24"/>
          <w:szCs w:val="24"/>
          <w:lang w:val="en-GB"/>
        </w:rPr>
        <w:t>moral</w:t>
      </w:r>
      <w:r w:rsidR="00763887" w:rsidRPr="00461D74">
        <w:rPr>
          <w:rFonts w:ascii="Garamond" w:hAnsi="Garamond" w:cstheme="minorHAnsi"/>
          <w:sz w:val="24"/>
          <w:szCs w:val="24"/>
          <w:lang w:val="en-GB"/>
        </w:rPr>
        <w:t>,</w:t>
      </w:r>
      <w:r w:rsidR="00E549D6" w:rsidRPr="00461D74">
        <w:rPr>
          <w:rFonts w:ascii="Garamond" w:hAnsi="Garamond" w:cstheme="minorHAnsi"/>
          <w:sz w:val="24"/>
          <w:szCs w:val="24"/>
          <w:lang w:val="en-GB"/>
        </w:rPr>
        <w:t xml:space="preserve"> and politic</w:t>
      </w:r>
      <w:r w:rsidR="00542A7A" w:rsidRPr="00461D74">
        <w:rPr>
          <w:rFonts w:ascii="Garamond" w:hAnsi="Garamond" w:cstheme="minorHAnsi"/>
          <w:sz w:val="24"/>
          <w:szCs w:val="24"/>
          <w:lang w:val="en-GB"/>
        </w:rPr>
        <w:t>al</w:t>
      </w:r>
      <w:r w:rsidR="00763887" w:rsidRPr="00461D74">
        <w:rPr>
          <w:rFonts w:ascii="Garamond" w:hAnsi="Garamond" w:cstheme="minorHAnsi"/>
          <w:sz w:val="24"/>
          <w:szCs w:val="24"/>
          <w:lang w:val="en-GB"/>
        </w:rPr>
        <w:t>,</w:t>
      </w:r>
      <w:r w:rsidR="00542A7A" w:rsidRPr="00461D74">
        <w:rPr>
          <w:rFonts w:ascii="Garamond" w:hAnsi="Garamond" w:cstheme="minorHAnsi"/>
          <w:sz w:val="24"/>
          <w:szCs w:val="24"/>
          <w:lang w:val="en-GB"/>
        </w:rPr>
        <w:t xml:space="preserve"> </w:t>
      </w:r>
      <w:r w:rsidR="00614B09" w:rsidRPr="00461D74">
        <w:rPr>
          <w:rFonts w:ascii="Garamond" w:hAnsi="Garamond" w:cstheme="minorHAnsi"/>
          <w:sz w:val="24"/>
          <w:szCs w:val="24"/>
          <w:lang w:val="en-GB"/>
        </w:rPr>
        <w:t>arrangement</w:t>
      </w:r>
      <w:r w:rsidR="00763887" w:rsidRPr="00461D74">
        <w:rPr>
          <w:rFonts w:ascii="Garamond" w:hAnsi="Garamond" w:cstheme="minorHAnsi"/>
          <w:sz w:val="24"/>
          <w:szCs w:val="24"/>
          <w:lang w:val="en-GB"/>
        </w:rPr>
        <w:t>,</w:t>
      </w:r>
      <w:r w:rsidR="00E549D6" w:rsidRPr="00461D74">
        <w:rPr>
          <w:rFonts w:ascii="Garamond" w:hAnsi="Garamond" w:cstheme="minorHAnsi"/>
          <w:sz w:val="24"/>
          <w:szCs w:val="24"/>
          <w:lang w:val="en-GB"/>
        </w:rPr>
        <w:t xml:space="preserve"> </w:t>
      </w:r>
      <w:r w:rsidR="00763887" w:rsidRPr="00461D74">
        <w:rPr>
          <w:rFonts w:ascii="Garamond" w:hAnsi="Garamond" w:cstheme="minorHAnsi"/>
          <w:sz w:val="24"/>
          <w:szCs w:val="24"/>
          <w:lang w:val="en-GB"/>
        </w:rPr>
        <w:t xml:space="preserve">which </w:t>
      </w:r>
      <w:r w:rsidR="0043767F" w:rsidRPr="00461D74">
        <w:rPr>
          <w:rFonts w:ascii="Garamond" w:hAnsi="Garamond" w:cstheme="minorHAnsi"/>
          <w:sz w:val="24"/>
          <w:szCs w:val="24"/>
          <w:lang w:val="en-GB"/>
        </w:rPr>
        <w:t>ha</w:t>
      </w:r>
      <w:r w:rsidR="00614B09" w:rsidRPr="00461D74">
        <w:rPr>
          <w:rFonts w:ascii="Garamond" w:hAnsi="Garamond" w:cstheme="minorHAnsi"/>
          <w:sz w:val="24"/>
          <w:szCs w:val="24"/>
          <w:lang w:val="en-GB"/>
        </w:rPr>
        <w:t>s</w:t>
      </w:r>
      <w:r w:rsidR="0043767F" w:rsidRPr="00461D74">
        <w:rPr>
          <w:rFonts w:ascii="Garamond" w:hAnsi="Garamond" w:cstheme="minorHAnsi"/>
          <w:sz w:val="24"/>
          <w:szCs w:val="24"/>
          <w:lang w:val="en-GB"/>
        </w:rPr>
        <w:t xml:space="preserve"> defined</w:t>
      </w:r>
      <w:r w:rsidR="00E549D6" w:rsidRPr="00461D74">
        <w:rPr>
          <w:rFonts w:ascii="Garamond" w:hAnsi="Garamond" w:cstheme="minorHAnsi"/>
          <w:sz w:val="24"/>
          <w:szCs w:val="24"/>
          <w:lang w:val="en-GB"/>
        </w:rPr>
        <w:t xml:space="preserve"> </w:t>
      </w:r>
      <w:r w:rsidR="00614B09" w:rsidRPr="00461D74">
        <w:rPr>
          <w:rFonts w:ascii="Garamond" w:hAnsi="Garamond" w:cstheme="minorHAnsi"/>
          <w:sz w:val="24"/>
          <w:szCs w:val="24"/>
          <w:lang w:val="en-GB"/>
        </w:rPr>
        <w:t xml:space="preserve">social life in </w:t>
      </w:r>
      <w:r w:rsidR="00542A7A" w:rsidRPr="00461D74">
        <w:rPr>
          <w:rFonts w:ascii="Garamond" w:hAnsi="Garamond" w:cstheme="minorHAnsi"/>
          <w:sz w:val="24"/>
          <w:szCs w:val="24"/>
          <w:lang w:val="en-GB"/>
        </w:rPr>
        <w:t>western</w:t>
      </w:r>
      <w:r w:rsidR="00E549D6" w:rsidRPr="00461D74">
        <w:rPr>
          <w:rFonts w:ascii="Garamond" w:hAnsi="Garamond" w:cstheme="minorHAnsi"/>
          <w:sz w:val="24"/>
          <w:szCs w:val="24"/>
          <w:lang w:val="en-GB"/>
        </w:rPr>
        <w:t xml:space="preserve"> societ</w:t>
      </w:r>
      <w:r w:rsidR="008420B1" w:rsidRPr="00461D74">
        <w:rPr>
          <w:rFonts w:ascii="Garamond" w:hAnsi="Garamond" w:cstheme="minorHAnsi"/>
          <w:sz w:val="24"/>
          <w:szCs w:val="24"/>
          <w:lang w:val="en-GB"/>
        </w:rPr>
        <w:t>ies</w:t>
      </w:r>
      <w:r w:rsidR="00614B09" w:rsidRPr="00461D74">
        <w:rPr>
          <w:rFonts w:ascii="Garamond" w:hAnsi="Garamond" w:cstheme="minorHAnsi"/>
          <w:sz w:val="24"/>
          <w:szCs w:val="24"/>
          <w:lang w:val="en-GB"/>
        </w:rPr>
        <w:t>,</w:t>
      </w:r>
      <w:r w:rsidR="00E549D6" w:rsidRPr="00461D74">
        <w:rPr>
          <w:rFonts w:ascii="Garamond" w:hAnsi="Garamond" w:cstheme="minorHAnsi"/>
          <w:sz w:val="24"/>
          <w:szCs w:val="24"/>
          <w:lang w:val="en-GB"/>
        </w:rPr>
        <w:t xml:space="preserve"> </w:t>
      </w:r>
      <w:r w:rsidR="0043767F" w:rsidRPr="00461D74">
        <w:rPr>
          <w:rFonts w:ascii="Garamond" w:hAnsi="Garamond" w:cstheme="minorHAnsi"/>
          <w:sz w:val="24"/>
          <w:szCs w:val="24"/>
          <w:lang w:val="en-GB"/>
        </w:rPr>
        <w:t>appears</w:t>
      </w:r>
      <w:r w:rsidR="00E549D6" w:rsidRPr="00461D74">
        <w:rPr>
          <w:rFonts w:ascii="Garamond" w:hAnsi="Garamond" w:cstheme="minorHAnsi"/>
          <w:sz w:val="24"/>
          <w:szCs w:val="24"/>
          <w:lang w:val="en-GB"/>
        </w:rPr>
        <w:t xml:space="preserve"> </w:t>
      </w:r>
      <w:r w:rsidR="00542A7A" w:rsidRPr="00461D74">
        <w:rPr>
          <w:rFonts w:ascii="Garamond" w:hAnsi="Garamond" w:cstheme="minorHAnsi"/>
          <w:sz w:val="24"/>
          <w:szCs w:val="24"/>
          <w:lang w:val="en-GB"/>
        </w:rPr>
        <w:t xml:space="preserve">incapable of dealing with the ensuing conflicts </w:t>
      </w:r>
      <w:r w:rsidR="00763887" w:rsidRPr="00461D74">
        <w:rPr>
          <w:rFonts w:ascii="Garamond" w:hAnsi="Garamond" w:cstheme="minorHAnsi"/>
          <w:sz w:val="24"/>
          <w:szCs w:val="24"/>
          <w:lang w:val="en-GB"/>
        </w:rPr>
        <w:t xml:space="preserve">that </w:t>
      </w:r>
      <w:r w:rsidR="00542A7A" w:rsidRPr="00461D74">
        <w:rPr>
          <w:rFonts w:ascii="Garamond" w:hAnsi="Garamond" w:cstheme="minorHAnsi"/>
          <w:sz w:val="24"/>
          <w:szCs w:val="24"/>
          <w:lang w:val="en-GB"/>
        </w:rPr>
        <w:t xml:space="preserve">have emerged as a </w:t>
      </w:r>
      <w:r w:rsidR="008420B1" w:rsidRPr="00461D74">
        <w:rPr>
          <w:rFonts w:ascii="Garamond" w:hAnsi="Garamond" w:cstheme="minorHAnsi"/>
          <w:sz w:val="24"/>
          <w:szCs w:val="24"/>
          <w:lang w:val="en-GB"/>
        </w:rPr>
        <w:t xml:space="preserve">consequence of this </w:t>
      </w:r>
      <w:r w:rsidR="00C15987" w:rsidRPr="00461D74">
        <w:rPr>
          <w:rFonts w:ascii="Garamond" w:hAnsi="Garamond" w:cstheme="minorHAnsi"/>
          <w:sz w:val="24"/>
          <w:szCs w:val="24"/>
          <w:lang w:val="en-GB"/>
        </w:rPr>
        <w:t>disruption</w:t>
      </w:r>
      <w:r w:rsidR="008420B1" w:rsidRPr="00461D74">
        <w:rPr>
          <w:rFonts w:ascii="Garamond" w:hAnsi="Garamond" w:cstheme="minorHAnsi"/>
          <w:sz w:val="24"/>
          <w:szCs w:val="24"/>
          <w:lang w:val="en-GB"/>
        </w:rPr>
        <w:t>.</w:t>
      </w:r>
    </w:p>
    <w:p w:rsidR="002F632B" w:rsidRPr="00461D74" w:rsidRDefault="00997CEF"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t xml:space="preserve">Under </w:t>
      </w:r>
      <w:r w:rsidR="00B72DF7" w:rsidRPr="00461D74">
        <w:rPr>
          <w:rFonts w:ascii="Garamond" w:hAnsi="Garamond" w:cstheme="minorHAnsi"/>
          <w:sz w:val="24"/>
          <w:szCs w:val="24"/>
          <w:lang w:val="en-GB"/>
        </w:rPr>
        <w:t xml:space="preserve">contemporary </w:t>
      </w:r>
      <w:r w:rsidRPr="00461D74">
        <w:rPr>
          <w:rFonts w:ascii="Garamond" w:hAnsi="Garamond" w:cstheme="minorHAnsi"/>
          <w:sz w:val="24"/>
          <w:szCs w:val="24"/>
          <w:lang w:val="en-GB"/>
        </w:rPr>
        <w:t xml:space="preserve">conditions </w:t>
      </w:r>
      <w:r w:rsidR="00B72DF7" w:rsidRPr="00461D74">
        <w:rPr>
          <w:rFonts w:ascii="Garamond" w:hAnsi="Garamond" w:cstheme="minorHAnsi"/>
          <w:sz w:val="24"/>
          <w:szCs w:val="24"/>
          <w:lang w:val="en-GB"/>
        </w:rPr>
        <w:t>in which the</w:t>
      </w:r>
      <w:r w:rsidRPr="00461D74">
        <w:rPr>
          <w:rFonts w:ascii="Garamond" w:hAnsi="Garamond" w:cstheme="minorHAnsi"/>
          <w:sz w:val="24"/>
          <w:szCs w:val="24"/>
          <w:lang w:val="en-GB"/>
        </w:rPr>
        <w:t xml:space="preserve"> </w:t>
      </w:r>
      <w:r w:rsidR="00C15987" w:rsidRPr="00461D74">
        <w:rPr>
          <w:rFonts w:ascii="Garamond" w:hAnsi="Garamond" w:cstheme="minorHAnsi"/>
          <w:sz w:val="24"/>
          <w:szCs w:val="24"/>
          <w:lang w:val="en-GB"/>
        </w:rPr>
        <w:t>break</w:t>
      </w:r>
      <w:r w:rsidRPr="00461D74">
        <w:rPr>
          <w:rFonts w:ascii="Garamond" w:hAnsi="Garamond" w:cstheme="minorHAnsi"/>
          <w:sz w:val="24"/>
          <w:szCs w:val="24"/>
          <w:lang w:val="en-GB"/>
        </w:rPr>
        <w:t xml:space="preserve">down </w:t>
      </w:r>
      <w:r w:rsidR="00B72DF7" w:rsidRPr="00461D74">
        <w:rPr>
          <w:rFonts w:ascii="Garamond" w:hAnsi="Garamond" w:cstheme="minorHAnsi"/>
          <w:sz w:val="24"/>
          <w:szCs w:val="24"/>
          <w:lang w:val="en-GB"/>
        </w:rPr>
        <w:t>of social and political discourse has gathered a</w:t>
      </w:r>
      <w:r w:rsidR="00C15987" w:rsidRPr="00461D74">
        <w:rPr>
          <w:rFonts w:ascii="Garamond" w:hAnsi="Garamond" w:cstheme="minorHAnsi"/>
          <w:sz w:val="24"/>
          <w:szCs w:val="24"/>
          <w:lang w:val="en-GB"/>
        </w:rPr>
        <w:t>n increasingly</w:t>
      </w:r>
      <w:r w:rsidR="00B72DF7" w:rsidRPr="00461D74">
        <w:rPr>
          <w:rFonts w:ascii="Garamond" w:hAnsi="Garamond" w:cstheme="minorHAnsi"/>
          <w:sz w:val="24"/>
          <w:szCs w:val="24"/>
          <w:lang w:val="en-GB"/>
        </w:rPr>
        <w:t xml:space="preserve"> perilous momentum</w:t>
      </w:r>
      <w:r w:rsidRPr="00461D74">
        <w:rPr>
          <w:rFonts w:ascii="Garamond" w:hAnsi="Garamond" w:cstheme="minorHAnsi"/>
          <w:sz w:val="24"/>
          <w:szCs w:val="24"/>
          <w:lang w:val="en-GB"/>
        </w:rPr>
        <w:t xml:space="preserve">, it </w:t>
      </w:r>
      <w:r w:rsidR="00403342" w:rsidRPr="00461D74">
        <w:rPr>
          <w:rFonts w:ascii="Garamond" w:hAnsi="Garamond" w:cstheme="minorHAnsi"/>
          <w:sz w:val="24"/>
          <w:szCs w:val="24"/>
          <w:lang w:val="en-GB"/>
        </w:rPr>
        <w:t xml:space="preserve">would </w:t>
      </w:r>
      <w:r w:rsidR="00B72DF7" w:rsidRPr="00461D74">
        <w:rPr>
          <w:rFonts w:ascii="Garamond" w:hAnsi="Garamond" w:cstheme="minorHAnsi"/>
          <w:sz w:val="24"/>
          <w:szCs w:val="24"/>
          <w:lang w:val="en-GB"/>
        </w:rPr>
        <w:t>appear</w:t>
      </w:r>
      <w:r w:rsidRPr="00461D74">
        <w:rPr>
          <w:rFonts w:ascii="Garamond" w:hAnsi="Garamond" w:cstheme="minorHAnsi"/>
          <w:sz w:val="24"/>
          <w:szCs w:val="24"/>
          <w:lang w:val="en-GB"/>
        </w:rPr>
        <w:t xml:space="preserve"> that the work of the philosopher Alasdair MacIntyre</w:t>
      </w:r>
      <w:r w:rsidR="0001701D" w:rsidRPr="00461D74">
        <w:rPr>
          <w:rFonts w:ascii="Garamond" w:hAnsi="Garamond" w:cstheme="minorHAnsi"/>
          <w:sz w:val="24"/>
          <w:szCs w:val="24"/>
          <w:lang w:val="en-GB"/>
        </w:rPr>
        <w:t>,</w:t>
      </w:r>
      <w:r w:rsidR="00B72DF7" w:rsidRPr="00461D74">
        <w:rPr>
          <w:rFonts w:ascii="Garamond" w:hAnsi="Garamond" w:cstheme="minorHAnsi"/>
          <w:sz w:val="24"/>
          <w:szCs w:val="24"/>
          <w:lang w:val="en-GB"/>
        </w:rPr>
        <w:t xml:space="preserve"> </w:t>
      </w:r>
      <w:r w:rsidR="00F178F5" w:rsidRPr="00461D74">
        <w:rPr>
          <w:rFonts w:ascii="Garamond" w:hAnsi="Garamond" w:cstheme="minorHAnsi"/>
          <w:sz w:val="24"/>
          <w:szCs w:val="24"/>
          <w:lang w:val="en-GB"/>
        </w:rPr>
        <w:t xml:space="preserve">and </w:t>
      </w:r>
      <w:r w:rsidR="00B72DF7" w:rsidRPr="00461D74">
        <w:rPr>
          <w:rFonts w:ascii="Garamond" w:hAnsi="Garamond" w:cstheme="minorHAnsi"/>
          <w:sz w:val="24"/>
          <w:szCs w:val="24"/>
          <w:lang w:val="en-GB"/>
        </w:rPr>
        <w:t xml:space="preserve">especially </w:t>
      </w:r>
      <w:r w:rsidR="00B72DF7" w:rsidRPr="00461D74">
        <w:rPr>
          <w:rFonts w:ascii="Garamond" w:hAnsi="Garamond" w:cstheme="minorHAnsi"/>
          <w:i/>
          <w:sz w:val="24"/>
          <w:szCs w:val="24"/>
          <w:lang w:val="en-GB"/>
        </w:rPr>
        <w:t>After Virtue</w:t>
      </w:r>
      <w:r w:rsidR="0001701D" w:rsidRPr="00461D74">
        <w:rPr>
          <w:rFonts w:ascii="Garamond" w:hAnsi="Garamond" w:cstheme="minorHAnsi"/>
          <w:sz w:val="24"/>
          <w:szCs w:val="24"/>
          <w:lang w:val="en-GB"/>
        </w:rPr>
        <w:t xml:space="preserve">, </w:t>
      </w:r>
      <w:r w:rsidR="00B72DF7" w:rsidRPr="00461D74">
        <w:rPr>
          <w:rFonts w:ascii="Garamond" w:hAnsi="Garamond" w:cstheme="minorHAnsi"/>
          <w:sz w:val="24"/>
          <w:szCs w:val="24"/>
          <w:lang w:val="en-GB"/>
        </w:rPr>
        <w:t>holds</w:t>
      </w:r>
      <w:r w:rsidRPr="00461D74">
        <w:rPr>
          <w:rFonts w:ascii="Garamond" w:hAnsi="Garamond" w:cstheme="minorHAnsi"/>
          <w:sz w:val="24"/>
          <w:szCs w:val="24"/>
          <w:lang w:val="en-GB"/>
        </w:rPr>
        <w:t xml:space="preserve"> a certain </w:t>
      </w:r>
      <w:r w:rsidR="00B72DF7" w:rsidRPr="00461D74">
        <w:rPr>
          <w:rFonts w:ascii="Garamond" w:hAnsi="Garamond" w:cstheme="minorHAnsi"/>
          <w:sz w:val="24"/>
          <w:szCs w:val="24"/>
          <w:lang w:val="en-GB"/>
        </w:rPr>
        <w:t xml:space="preserve">level of </w:t>
      </w:r>
      <w:r w:rsidR="0001701D" w:rsidRPr="00461D74">
        <w:rPr>
          <w:rFonts w:ascii="Garamond" w:hAnsi="Garamond" w:cstheme="minorHAnsi"/>
          <w:sz w:val="24"/>
          <w:szCs w:val="24"/>
          <w:lang w:val="en-GB"/>
        </w:rPr>
        <w:t xml:space="preserve">underappreciated </w:t>
      </w:r>
      <w:r w:rsidRPr="00461D74">
        <w:rPr>
          <w:rFonts w:ascii="Garamond" w:hAnsi="Garamond" w:cstheme="minorHAnsi"/>
          <w:sz w:val="24"/>
          <w:szCs w:val="24"/>
          <w:lang w:val="en-GB"/>
        </w:rPr>
        <w:t>clairvoyance</w:t>
      </w:r>
      <w:r w:rsidR="00B72DF7" w:rsidRPr="00461D74">
        <w:rPr>
          <w:rFonts w:ascii="Garamond" w:hAnsi="Garamond" w:cstheme="minorHAnsi"/>
          <w:sz w:val="24"/>
          <w:szCs w:val="24"/>
          <w:lang w:val="en-GB"/>
        </w:rPr>
        <w:t>.</w:t>
      </w:r>
      <w:r w:rsidR="00336FE0" w:rsidRPr="00461D74">
        <w:rPr>
          <w:rFonts w:ascii="Garamond" w:hAnsi="Garamond" w:cstheme="minorHAnsi"/>
          <w:sz w:val="24"/>
          <w:szCs w:val="24"/>
          <w:lang w:val="en-GB"/>
        </w:rPr>
        <w:t xml:space="preserve"> MacIntyre argued in</w:t>
      </w:r>
      <w:r w:rsidR="00E17119" w:rsidRPr="00461D74">
        <w:rPr>
          <w:rFonts w:ascii="Garamond" w:hAnsi="Garamond" w:cstheme="minorHAnsi"/>
          <w:sz w:val="24"/>
          <w:szCs w:val="24"/>
          <w:lang w:val="en-GB"/>
        </w:rPr>
        <w:t xml:space="preserve"> </w:t>
      </w:r>
      <w:r w:rsidR="00E17119" w:rsidRPr="00461D74">
        <w:rPr>
          <w:rFonts w:ascii="Garamond" w:hAnsi="Garamond" w:cstheme="minorHAnsi"/>
          <w:i/>
          <w:sz w:val="24"/>
          <w:szCs w:val="24"/>
          <w:lang w:val="en-GB"/>
        </w:rPr>
        <w:t>After Virtue</w:t>
      </w:r>
      <w:r w:rsidR="00E17119" w:rsidRPr="00461D74">
        <w:rPr>
          <w:rFonts w:ascii="Garamond" w:hAnsi="Garamond" w:cstheme="minorHAnsi"/>
          <w:sz w:val="24"/>
          <w:szCs w:val="24"/>
          <w:lang w:val="en-GB"/>
        </w:rPr>
        <w:t xml:space="preserve"> that</w:t>
      </w:r>
      <w:r w:rsidR="00336FE0" w:rsidRPr="00461D74">
        <w:rPr>
          <w:rFonts w:ascii="Garamond" w:hAnsi="Garamond" w:cstheme="minorHAnsi"/>
          <w:sz w:val="24"/>
          <w:szCs w:val="24"/>
          <w:lang w:val="en-GB"/>
        </w:rPr>
        <w:t xml:space="preserve"> modern</w:t>
      </w:r>
      <w:r w:rsidR="00E17119" w:rsidRPr="00461D74">
        <w:rPr>
          <w:rFonts w:ascii="Garamond" w:hAnsi="Garamond" w:cstheme="minorHAnsi"/>
          <w:sz w:val="24"/>
          <w:szCs w:val="24"/>
          <w:lang w:val="en-GB"/>
        </w:rPr>
        <w:t xml:space="preserve"> liberalism emerged from the </w:t>
      </w:r>
      <w:r w:rsidR="00336FE0" w:rsidRPr="00461D74">
        <w:rPr>
          <w:rFonts w:ascii="Garamond" w:hAnsi="Garamond" w:cstheme="minorHAnsi"/>
          <w:sz w:val="24"/>
          <w:szCs w:val="24"/>
          <w:lang w:val="en-GB"/>
        </w:rPr>
        <w:t xml:space="preserve">failure of the </w:t>
      </w:r>
      <w:r w:rsidR="00394EF6" w:rsidRPr="00461D74">
        <w:rPr>
          <w:rFonts w:ascii="Garamond" w:hAnsi="Garamond" w:cstheme="minorHAnsi"/>
          <w:sz w:val="24"/>
          <w:szCs w:val="24"/>
          <w:lang w:val="en-GB"/>
        </w:rPr>
        <w:t>E</w:t>
      </w:r>
      <w:r w:rsidR="00336FE0" w:rsidRPr="00461D74">
        <w:rPr>
          <w:rFonts w:ascii="Garamond" w:hAnsi="Garamond" w:cstheme="minorHAnsi"/>
          <w:sz w:val="24"/>
          <w:szCs w:val="24"/>
          <w:lang w:val="en-GB"/>
        </w:rPr>
        <w:t xml:space="preserve">nlightenment </w:t>
      </w:r>
      <w:r w:rsidR="00394EF6" w:rsidRPr="00461D74">
        <w:rPr>
          <w:rFonts w:ascii="Garamond" w:hAnsi="Garamond" w:cstheme="minorHAnsi"/>
          <w:sz w:val="24"/>
          <w:szCs w:val="24"/>
          <w:lang w:val="en-GB"/>
        </w:rPr>
        <w:t>P</w:t>
      </w:r>
      <w:r w:rsidR="00336FE0" w:rsidRPr="00461D74">
        <w:rPr>
          <w:rFonts w:ascii="Garamond" w:hAnsi="Garamond" w:cstheme="minorHAnsi"/>
          <w:sz w:val="24"/>
          <w:szCs w:val="24"/>
          <w:lang w:val="en-GB"/>
        </w:rPr>
        <w:t>roject</w:t>
      </w:r>
      <w:r w:rsidR="00871377" w:rsidRPr="00461D74">
        <w:rPr>
          <w:rStyle w:val="FootnoteReference"/>
          <w:rFonts w:ascii="Garamond" w:hAnsi="Garamond" w:cstheme="minorHAnsi"/>
          <w:sz w:val="24"/>
          <w:szCs w:val="24"/>
          <w:lang w:val="en-GB"/>
        </w:rPr>
        <w:footnoteReference w:id="1"/>
      </w:r>
      <w:r w:rsidR="00336FE0" w:rsidRPr="00461D74">
        <w:rPr>
          <w:rFonts w:ascii="Garamond" w:hAnsi="Garamond" w:cstheme="minorHAnsi"/>
          <w:sz w:val="24"/>
          <w:szCs w:val="24"/>
          <w:lang w:val="en-GB"/>
        </w:rPr>
        <w:t xml:space="preserve"> to formulate an </w:t>
      </w:r>
      <w:r w:rsidR="00336FE0" w:rsidRPr="00461D74">
        <w:rPr>
          <w:rFonts w:ascii="Garamond" w:hAnsi="Garamond" w:cstheme="minorHAnsi"/>
          <w:i/>
          <w:sz w:val="24"/>
          <w:szCs w:val="24"/>
          <w:lang w:val="en-GB"/>
        </w:rPr>
        <w:t>independent</w:t>
      </w:r>
      <w:r w:rsidR="00336FE0" w:rsidRPr="00461D74">
        <w:rPr>
          <w:rFonts w:ascii="Garamond" w:hAnsi="Garamond" w:cstheme="minorHAnsi"/>
          <w:sz w:val="24"/>
          <w:szCs w:val="24"/>
          <w:lang w:val="en-GB"/>
        </w:rPr>
        <w:t xml:space="preserve"> </w:t>
      </w:r>
      <w:r w:rsidR="00394EF6" w:rsidRPr="00461D74">
        <w:rPr>
          <w:rFonts w:ascii="Garamond" w:hAnsi="Garamond" w:cstheme="minorHAnsi"/>
          <w:sz w:val="24"/>
          <w:szCs w:val="24"/>
          <w:lang w:val="en-GB"/>
        </w:rPr>
        <w:t xml:space="preserve">rational </w:t>
      </w:r>
      <w:r w:rsidR="00336FE0" w:rsidRPr="00461D74">
        <w:rPr>
          <w:rFonts w:ascii="Garamond" w:hAnsi="Garamond" w:cstheme="minorHAnsi"/>
          <w:sz w:val="24"/>
          <w:szCs w:val="24"/>
          <w:lang w:val="en-GB"/>
        </w:rPr>
        <w:t>justification of moral claims</w:t>
      </w:r>
      <w:r w:rsidR="00263BD5" w:rsidRPr="00461D74">
        <w:rPr>
          <w:rFonts w:ascii="Garamond" w:hAnsi="Garamond" w:cstheme="minorHAnsi"/>
          <w:sz w:val="24"/>
          <w:szCs w:val="24"/>
          <w:lang w:val="en-GB"/>
        </w:rPr>
        <w:t xml:space="preserve">, although he </w:t>
      </w:r>
      <w:r w:rsidR="008153FF" w:rsidRPr="00461D74">
        <w:rPr>
          <w:rFonts w:ascii="Garamond" w:hAnsi="Garamond" w:cstheme="minorHAnsi"/>
          <w:sz w:val="24"/>
          <w:szCs w:val="24"/>
          <w:lang w:val="en-GB"/>
        </w:rPr>
        <w:t>recognised</w:t>
      </w:r>
      <w:r w:rsidR="00263BD5" w:rsidRPr="00461D74">
        <w:rPr>
          <w:rFonts w:ascii="Garamond" w:hAnsi="Garamond" w:cstheme="minorHAnsi"/>
          <w:sz w:val="24"/>
          <w:szCs w:val="24"/>
          <w:lang w:val="en-GB"/>
        </w:rPr>
        <w:t xml:space="preserve"> </w:t>
      </w:r>
      <w:r w:rsidR="00A06D78" w:rsidRPr="00461D74">
        <w:rPr>
          <w:rFonts w:ascii="Garamond" w:hAnsi="Garamond" w:cstheme="minorHAnsi"/>
          <w:sz w:val="24"/>
          <w:szCs w:val="24"/>
          <w:lang w:val="en-GB"/>
        </w:rPr>
        <w:t>that</w:t>
      </w:r>
      <w:r w:rsidR="00336FE0" w:rsidRPr="00461D74">
        <w:rPr>
          <w:rFonts w:ascii="Garamond" w:hAnsi="Garamond" w:cstheme="minorHAnsi"/>
          <w:sz w:val="24"/>
          <w:szCs w:val="24"/>
          <w:lang w:val="en-GB"/>
        </w:rPr>
        <w:t xml:space="preserve"> the project </w:t>
      </w:r>
      <w:r w:rsidR="00A06D78" w:rsidRPr="00461D74">
        <w:rPr>
          <w:rFonts w:ascii="Garamond" w:hAnsi="Garamond" w:cstheme="minorHAnsi"/>
          <w:sz w:val="24"/>
          <w:szCs w:val="24"/>
          <w:lang w:val="en-GB"/>
        </w:rPr>
        <w:t xml:space="preserve">itself </w:t>
      </w:r>
      <w:r w:rsidR="005C77B1" w:rsidRPr="00461D74">
        <w:rPr>
          <w:rFonts w:ascii="Garamond" w:hAnsi="Garamond" w:cstheme="minorHAnsi"/>
          <w:sz w:val="24"/>
          <w:szCs w:val="24"/>
          <w:lang w:val="en-GB"/>
        </w:rPr>
        <w:t>was largely</w:t>
      </w:r>
      <w:r w:rsidR="00336FE0" w:rsidRPr="00461D74">
        <w:rPr>
          <w:rFonts w:ascii="Garamond" w:hAnsi="Garamond" w:cstheme="minorHAnsi"/>
          <w:sz w:val="24"/>
          <w:szCs w:val="24"/>
          <w:lang w:val="en-GB"/>
        </w:rPr>
        <w:t xml:space="preserve"> </w:t>
      </w:r>
      <w:r w:rsidR="005C77B1" w:rsidRPr="00461D74">
        <w:rPr>
          <w:rFonts w:ascii="Garamond" w:hAnsi="Garamond" w:cstheme="minorHAnsi"/>
          <w:sz w:val="24"/>
          <w:szCs w:val="24"/>
          <w:lang w:val="en-GB"/>
        </w:rPr>
        <w:t xml:space="preserve">a </w:t>
      </w:r>
      <w:r w:rsidR="00336FE0" w:rsidRPr="00461D74">
        <w:rPr>
          <w:rFonts w:ascii="Garamond" w:hAnsi="Garamond" w:cstheme="minorHAnsi"/>
          <w:sz w:val="24"/>
          <w:szCs w:val="24"/>
          <w:lang w:val="en-GB"/>
        </w:rPr>
        <w:t xml:space="preserve">response to the changes in material conditions as well as </w:t>
      </w:r>
      <w:r w:rsidR="00A06D78" w:rsidRPr="00461D74">
        <w:rPr>
          <w:rFonts w:ascii="Garamond" w:hAnsi="Garamond" w:cstheme="minorHAnsi"/>
          <w:sz w:val="24"/>
          <w:szCs w:val="24"/>
          <w:lang w:val="en-GB"/>
        </w:rPr>
        <w:t xml:space="preserve">intellectual and </w:t>
      </w:r>
      <w:r w:rsidR="008179A0" w:rsidRPr="00461D74">
        <w:rPr>
          <w:rFonts w:ascii="Garamond" w:hAnsi="Garamond" w:cstheme="minorHAnsi"/>
          <w:sz w:val="24"/>
          <w:szCs w:val="24"/>
          <w:lang w:val="en-GB"/>
        </w:rPr>
        <w:t>scientific</w:t>
      </w:r>
      <w:r w:rsidR="00336FE0" w:rsidRPr="00461D74">
        <w:rPr>
          <w:rFonts w:ascii="Garamond" w:hAnsi="Garamond" w:cstheme="minorHAnsi"/>
          <w:sz w:val="24"/>
          <w:szCs w:val="24"/>
          <w:lang w:val="en-GB"/>
        </w:rPr>
        <w:t xml:space="preserve"> developments </w:t>
      </w:r>
      <w:r w:rsidR="008179A0" w:rsidRPr="00461D74">
        <w:rPr>
          <w:rFonts w:ascii="Garamond" w:hAnsi="Garamond" w:cstheme="minorHAnsi"/>
          <w:sz w:val="24"/>
          <w:szCs w:val="24"/>
          <w:lang w:val="en-GB"/>
        </w:rPr>
        <w:t xml:space="preserve">in the </w:t>
      </w:r>
      <w:r w:rsidR="00A06D78" w:rsidRPr="00461D74">
        <w:rPr>
          <w:rFonts w:ascii="Garamond" w:hAnsi="Garamond" w:cstheme="minorHAnsi"/>
          <w:sz w:val="24"/>
          <w:szCs w:val="24"/>
          <w:lang w:val="en-GB"/>
        </w:rPr>
        <w:t xml:space="preserve">seventeenth century </w:t>
      </w:r>
      <w:r w:rsidR="005C77B1" w:rsidRPr="00461D74">
        <w:rPr>
          <w:rFonts w:ascii="Garamond" w:hAnsi="Garamond" w:cstheme="minorHAnsi"/>
          <w:sz w:val="24"/>
          <w:szCs w:val="24"/>
          <w:lang w:val="en-GB"/>
        </w:rPr>
        <w:t xml:space="preserve">which </w:t>
      </w:r>
      <w:r w:rsidR="00263BD5" w:rsidRPr="00461D74">
        <w:rPr>
          <w:rFonts w:ascii="Garamond" w:hAnsi="Garamond" w:cstheme="minorHAnsi"/>
          <w:sz w:val="24"/>
          <w:szCs w:val="24"/>
          <w:lang w:val="en-GB"/>
        </w:rPr>
        <w:t>ultimately</w:t>
      </w:r>
      <w:r w:rsidR="00336FE0" w:rsidRPr="00461D74">
        <w:rPr>
          <w:rFonts w:ascii="Garamond" w:hAnsi="Garamond" w:cstheme="minorHAnsi"/>
          <w:sz w:val="24"/>
          <w:szCs w:val="24"/>
          <w:lang w:val="en-GB"/>
        </w:rPr>
        <w:t xml:space="preserve"> </w:t>
      </w:r>
      <w:r w:rsidR="00263BD5" w:rsidRPr="00461D74">
        <w:rPr>
          <w:rFonts w:ascii="Garamond" w:hAnsi="Garamond" w:cstheme="minorHAnsi"/>
          <w:sz w:val="24"/>
          <w:szCs w:val="24"/>
          <w:lang w:val="en-GB"/>
        </w:rPr>
        <w:t>undermined</w:t>
      </w:r>
      <w:r w:rsidR="00336FE0" w:rsidRPr="00461D74">
        <w:rPr>
          <w:rFonts w:ascii="Garamond" w:hAnsi="Garamond" w:cstheme="minorHAnsi"/>
          <w:sz w:val="24"/>
          <w:szCs w:val="24"/>
          <w:lang w:val="en-GB"/>
        </w:rPr>
        <w:t xml:space="preserve"> important Aristotelian</w:t>
      </w:r>
      <w:r w:rsidR="00A06D78" w:rsidRPr="00461D74">
        <w:rPr>
          <w:rFonts w:ascii="Garamond" w:hAnsi="Garamond" w:cstheme="minorHAnsi"/>
          <w:sz w:val="24"/>
          <w:szCs w:val="24"/>
          <w:lang w:val="en-GB"/>
        </w:rPr>
        <w:t xml:space="preserve"> metaphysical and</w:t>
      </w:r>
      <w:r w:rsidR="00336FE0" w:rsidRPr="00461D74">
        <w:rPr>
          <w:rFonts w:ascii="Garamond" w:hAnsi="Garamond" w:cstheme="minorHAnsi"/>
          <w:sz w:val="24"/>
          <w:szCs w:val="24"/>
          <w:lang w:val="en-GB"/>
        </w:rPr>
        <w:t xml:space="preserve"> ethical concepts.</w:t>
      </w:r>
      <w:r w:rsidR="00A06D78" w:rsidRPr="00461D74">
        <w:rPr>
          <w:rFonts w:ascii="Garamond" w:hAnsi="Garamond" w:cstheme="minorHAnsi"/>
          <w:sz w:val="24"/>
          <w:szCs w:val="24"/>
          <w:lang w:val="en-GB"/>
        </w:rPr>
        <w:t xml:space="preserve"> Nevertheless, MacIntyre argues that the loss of important teleological resources in the Aristotelian tradition</w:t>
      </w:r>
      <w:r w:rsidR="00263BD5" w:rsidRPr="00461D74">
        <w:rPr>
          <w:rFonts w:ascii="Garamond" w:hAnsi="Garamond" w:cstheme="minorHAnsi"/>
          <w:sz w:val="24"/>
          <w:szCs w:val="24"/>
          <w:lang w:val="en-GB"/>
        </w:rPr>
        <w:t xml:space="preserve"> </w:t>
      </w:r>
      <w:r w:rsidR="00C54A77" w:rsidRPr="00461D74">
        <w:rPr>
          <w:rFonts w:ascii="Garamond" w:hAnsi="Garamond" w:cstheme="minorHAnsi"/>
          <w:sz w:val="24"/>
          <w:szCs w:val="24"/>
          <w:lang w:val="en-GB"/>
        </w:rPr>
        <w:t xml:space="preserve">limited the </w:t>
      </w:r>
      <w:r w:rsidR="00FF06DD" w:rsidRPr="00461D74">
        <w:rPr>
          <w:rFonts w:ascii="Garamond" w:hAnsi="Garamond" w:cstheme="minorHAnsi"/>
          <w:sz w:val="24"/>
          <w:szCs w:val="24"/>
          <w:lang w:val="en-GB"/>
        </w:rPr>
        <w:t xml:space="preserve">feasibility </w:t>
      </w:r>
      <w:r w:rsidR="00394EF6" w:rsidRPr="00461D74">
        <w:rPr>
          <w:rFonts w:ascii="Garamond" w:hAnsi="Garamond" w:cstheme="minorHAnsi"/>
          <w:sz w:val="24"/>
          <w:szCs w:val="24"/>
          <w:lang w:val="en-GB"/>
        </w:rPr>
        <w:t xml:space="preserve">of the whole </w:t>
      </w:r>
      <w:r w:rsidR="005C77B1" w:rsidRPr="00461D74">
        <w:rPr>
          <w:rFonts w:ascii="Garamond" w:hAnsi="Garamond" w:cstheme="minorHAnsi"/>
          <w:sz w:val="24"/>
          <w:szCs w:val="24"/>
          <w:lang w:val="en-GB"/>
        </w:rPr>
        <w:t xml:space="preserve">ethical </w:t>
      </w:r>
      <w:r w:rsidR="00394EF6" w:rsidRPr="00461D74">
        <w:rPr>
          <w:rFonts w:ascii="Garamond" w:hAnsi="Garamond" w:cstheme="minorHAnsi"/>
          <w:sz w:val="24"/>
          <w:szCs w:val="24"/>
          <w:lang w:val="en-GB"/>
        </w:rPr>
        <w:lastRenderedPageBreak/>
        <w:t>enterprise</w:t>
      </w:r>
      <w:r w:rsidR="00FF06DD" w:rsidRPr="00461D74">
        <w:rPr>
          <w:rFonts w:ascii="Garamond" w:hAnsi="Garamond" w:cstheme="minorHAnsi"/>
          <w:sz w:val="24"/>
          <w:szCs w:val="24"/>
          <w:lang w:val="en-GB"/>
        </w:rPr>
        <w:t xml:space="preserve"> </w:t>
      </w:r>
      <w:r w:rsidR="005C77B1" w:rsidRPr="00461D74">
        <w:rPr>
          <w:rFonts w:ascii="Garamond" w:hAnsi="Garamond" w:cstheme="minorHAnsi"/>
          <w:sz w:val="24"/>
          <w:szCs w:val="24"/>
          <w:lang w:val="en-GB"/>
        </w:rPr>
        <w:t>pursued by various Enlightenment thinkers,</w:t>
      </w:r>
      <w:r w:rsidR="005C77B1" w:rsidRPr="00461D74" w:rsidDel="005C77B1">
        <w:rPr>
          <w:rFonts w:ascii="Garamond" w:hAnsi="Garamond" w:cstheme="minorHAnsi"/>
          <w:sz w:val="24"/>
          <w:szCs w:val="24"/>
          <w:lang w:val="en-GB"/>
        </w:rPr>
        <w:t xml:space="preserve"> </w:t>
      </w:r>
      <w:r w:rsidR="005C77B1" w:rsidRPr="00461D74">
        <w:rPr>
          <w:rFonts w:ascii="Garamond" w:hAnsi="Garamond" w:cstheme="minorHAnsi"/>
          <w:sz w:val="24"/>
          <w:szCs w:val="24"/>
          <w:lang w:val="en-GB"/>
        </w:rPr>
        <w:t>which sought to secure</w:t>
      </w:r>
      <w:r w:rsidR="00394EF6" w:rsidRPr="00461D74">
        <w:rPr>
          <w:rFonts w:ascii="Garamond" w:hAnsi="Garamond" w:cstheme="minorHAnsi"/>
          <w:sz w:val="24"/>
          <w:szCs w:val="24"/>
          <w:lang w:val="en-GB"/>
        </w:rPr>
        <w:t xml:space="preserve"> an independent </w:t>
      </w:r>
      <w:r w:rsidR="005C77B1" w:rsidRPr="00461D74">
        <w:rPr>
          <w:rFonts w:ascii="Garamond" w:hAnsi="Garamond" w:cstheme="minorHAnsi"/>
          <w:sz w:val="24"/>
          <w:szCs w:val="24"/>
          <w:lang w:val="en-GB"/>
        </w:rPr>
        <w:t xml:space="preserve">ground for the </w:t>
      </w:r>
      <w:r w:rsidR="00394EF6" w:rsidRPr="00461D74">
        <w:rPr>
          <w:rFonts w:ascii="Garamond" w:hAnsi="Garamond" w:cstheme="minorHAnsi"/>
          <w:sz w:val="24"/>
          <w:szCs w:val="24"/>
          <w:lang w:val="en-GB"/>
        </w:rPr>
        <w:t>rational justification of morality.</w:t>
      </w:r>
      <w:r w:rsidR="00BE5ED5" w:rsidRPr="00461D74">
        <w:rPr>
          <w:rFonts w:ascii="Garamond" w:hAnsi="Garamond" w:cstheme="minorHAnsi"/>
          <w:sz w:val="24"/>
          <w:szCs w:val="24"/>
          <w:lang w:val="en-GB"/>
        </w:rPr>
        <w:t xml:space="preserve"> In addition, </w:t>
      </w:r>
      <w:r w:rsidR="003F3401" w:rsidRPr="00461D74">
        <w:rPr>
          <w:rFonts w:ascii="Garamond" w:hAnsi="Garamond" w:cstheme="minorHAnsi"/>
          <w:sz w:val="24"/>
          <w:szCs w:val="24"/>
          <w:lang w:val="en-GB"/>
        </w:rPr>
        <w:t>various</w:t>
      </w:r>
      <w:r w:rsidR="002F632B" w:rsidRPr="00461D74">
        <w:rPr>
          <w:rFonts w:ascii="Garamond" w:hAnsi="Garamond" w:cstheme="minorHAnsi"/>
          <w:sz w:val="24"/>
          <w:szCs w:val="24"/>
          <w:lang w:val="en-GB"/>
        </w:rPr>
        <w:t xml:space="preserve"> ethical formulations developed by different </w:t>
      </w:r>
      <w:r w:rsidR="00E444A3" w:rsidRPr="00461D74">
        <w:rPr>
          <w:rFonts w:ascii="Garamond" w:hAnsi="Garamond" w:cstheme="minorHAnsi"/>
          <w:sz w:val="24"/>
          <w:szCs w:val="24"/>
          <w:lang w:val="en-GB"/>
        </w:rPr>
        <w:t>E</w:t>
      </w:r>
      <w:r w:rsidR="002F632B" w:rsidRPr="00461D74">
        <w:rPr>
          <w:rFonts w:ascii="Garamond" w:hAnsi="Garamond" w:cstheme="minorHAnsi"/>
          <w:sz w:val="24"/>
          <w:szCs w:val="24"/>
          <w:lang w:val="en-GB"/>
        </w:rPr>
        <w:t xml:space="preserve">nlightenment thinkers abstracted moral claims from the particular social-historical context </w:t>
      </w:r>
      <w:r w:rsidR="008153FF" w:rsidRPr="00461D74">
        <w:rPr>
          <w:rFonts w:ascii="Garamond" w:hAnsi="Garamond" w:cstheme="minorHAnsi"/>
          <w:sz w:val="24"/>
          <w:szCs w:val="24"/>
          <w:lang w:val="en-GB"/>
        </w:rPr>
        <w:t>which</w:t>
      </w:r>
      <w:r w:rsidR="002F632B" w:rsidRPr="00461D74">
        <w:rPr>
          <w:rFonts w:ascii="Garamond" w:hAnsi="Garamond" w:cstheme="minorHAnsi"/>
          <w:sz w:val="24"/>
          <w:szCs w:val="24"/>
          <w:lang w:val="en-GB"/>
        </w:rPr>
        <w:t xml:space="preserve"> had motivated earlier </w:t>
      </w:r>
      <w:r w:rsidR="003F3401" w:rsidRPr="00461D74">
        <w:rPr>
          <w:rFonts w:ascii="Garamond" w:hAnsi="Garamond" w:cstheme="minorHAnsi"/>
          <w:sz w:val="24"/>
          <w:szCs w:val="24"/>
          <w:lang w:val="en-GB"/>
        </w:rPr>
        <w:t xml:space="preserve">(Aristotelian) </w:t>
      </w:r>
      <w:r w:rsidR="002F632B" w:rsidRPr="00461D74">
        <w:rPr>
          <w:rFonts w:ascii="Garamond" w:hAnsi="Garamond" w:cstheme="minorHAnsi"/>
          <w:sz w:val="24"/>
          <w:szCs w:val="24"/>
          <w:lang w:val="en-GB"/>
        </w:rPr>
        <w:t xml:space="preserve">justifications </w:t>
      </w:r>
      <w:r w:rsidR="003F3401" w:rsidRPr="00461D74">
        <w:rPr>
          <w:rFonts w:ascii="Garamond" w:hAnsi="Garamond" w:cstheme="minorHAnsi"/>
          <w:sz w:val="24"/>
          <w:szCs w:val="24"/>
          <w:lang w:val="en-GB"/>
        </w:rPr>
        <w:t>of morality</w:t>
      </w:r>
      <w:r w:rsidR="00B63ABF" w:rsidRPr="00461D74">
        <w:rPr>
          <w:rFonts w:ascii="Garamond" w:hAnsi="Garamond" w:cstheme="minorHAnsi"/>
          <w:sz w:val="24"/>
          <w:szCs w:val="24"/>
          <w:lang w:val="en-GB"/>
        </w:rPr>
        <w:t xml:space="preserve">; and the lack of the particular motivating (social) context for </w:t>
      </w:r>
      <w:r w:rsidR="0063461A" w:rsidRPr="00461D74">
        <w:rPr>
          <w:rFonts w:ascii="Garamond" w:hAnsi="Garamond" w:cstheme="minorHAnsi"/>
          <w:sz w:val="24"/>
          <w:szCs w:val="24"/>
          <w:lang w:val="en-GB"/>
        </w:rPr>
        <w:t xml:space="preserve">the </w:t>
      </w:r>
      <w:r w:rsidR="00B63ABF" w:rsidRPr="00461D74">
        <w:rPr>
          <w:rFonts w:ascii="Garamond" w:hAnsi="Garamond" w:cstheme="minorHAnsi"/>
          <w:sz w:val="24"/>
          <w:szCs w:val="24"/>
          <w:lang w:val="en-GB"/>
        </w:rPr>
        <w:t xml:space="preserve">justification of morality ensured </w:t>
      </w:r>
      <w:r w:rsidR="0063461A" w:rsidRPr="00461D74">
        <w:rPr>
          <w:rFonts w:ascii="Garamond" w:hAnsi="Garamond" w:cstheme="minorHAnsi"/>
          <w:sz w:val="24"/>
          <w:szCs w:val="24"/>
          <w:lang w:val="en-GB"/>
        </w:rPr>
        <w:t>the persistence of a</w:t>
      </w:r>
      <w:r w:rsidR="00A00ED3" w:rsidRPr="00461D74">
        <w:rPr>
          <w:rFonts w:ascii="Garamond" w:hAnsi="Garamond" w:cstheme="minorHAnsi"/>
          <w:sz w:val="24"/>
          <w:szCs w:val="24"/>
          <w:lang w:val="en-GB"/>
        </w:rPr>
        <w:t xml:space="preserve">n apparent </w:t>
      </w:r>
      <w:r w:rsidR="0063461A" w:rsidRPr="00461D74">
        <w:rPr>
          <w:rFonts w:ascii="Garamond" w:hAnsi="Garamond" w:cstheme="minorHAnsi"/>
          <w:sz w:val="24"/>
          <w:szCs w:val="24"/>
          <w:lang w:val="en-GB"/>
        </w:rPr>
        <w:t>irresolvable conflict between</w:t>
      </w:r>
      <w:r w:rsidR="00B63ABF" w:rsidRPr="00461D74">
        <w:rPr>
          <w:rFonts w:ascii="Garamond" w:hAnsi="Garamond" w:cstheme="minorHAnsi"/>
          <w:sz w:val="24"/>
          <w:szCs w:val="24"/>
          <w:lang w:val="en-GB"/>
        </w:rPr>
        <w:t xml:space="preserve"> </w:t>
      </w:r>
      <w:r w:rsidR="0063461A" w:rsidRPr="00461D74">
        <w:rPr>
          <w:rFonts w:ascii="Garamond" w:hAnsi="Garamond" w:cstheme="minorHAnsi"/>
          <w:sz w:val="24"/>
          <w:szCs w:val="24"/>
          <w:lang w:val="en-GB"/>
        </w:rPr>
        <w:t xml:space="preserve">the various positions. </w:t>
      </w:r>
      <w:r w:rsidR="004428DA" w:rsidRPr="00461D74">
        <w:rPr>
          <w:rFonts w:ascii="Garamond" w:hAnsi="Garamond" w:cstheme="minorHAnsi"/>
          <w:sz w:val="24"/>
          <w:szCs w:val="24"/>
          <w:lang w:val="en-GB"/>
        </w:rPr>
        <w:t xml:space="preserve">MacIntyre then argues that </w:t>
      </w:r>
      <w:r w:rsidR="00FF06DD" w:rsidRPr="00461D74">
        <w:rPr>
          <w:rFonts w:ascii="Garamond" w:hAnsi="Garamond" w:cstheme="minorHAnsi"/>
          <w:sz w:val="24"/>
          <w:szCs w:val="24"/>
          <w:lang w:val="en-GB"/>
        </w:rPr>
        <w:t xml:space="preserve">the </w:t>
      </w:r>
      <w:r w:rsidR="004428DA" w:rsidRPr="00461D74">
        <w:rPr>
          <w:rFonts w:ascii="Garamond" w:hAnsi="Garamond" w:cstheme="minorHAnsi"/>
          <w:sz w:val="24"/>
          <w:szCs w:val="24"/>
          <w:lang w:val="en-GB"/>
        </w:rPr>
        <w:t>contemporary m</w:t>
      </w:r>
      <w:r w:rsidR="0063461A" w:rsidRPr="00461D74">
        <w:rPr>
          <w:rFonts w:ascii="Garamond" w:hAnsi="Garamond" w:cstheme="minorHAnsi"/>
          <w:sz w:val="24"/>
          <w:szCs w:val="24"/>
          <w:lang w:val="en-GB"/>
        </w:rPr>
        <w:t>odern liberal culture and social structure</w:t>
      </w:r>
      <w:r w:rsidR="00B63ABF" w:rsidRPr="00461D74">
        <w:rPr>
          <w:rFonts w:ascii="Garamond" w:hAnsi="Garamond" w:cstheme="minorHAnsi"/>
          <w:sz w:val="24"/>
          <w:szCs w:val="24"/>
          <w:lang w:val="en-GB"/>
        </w:rPr>
        <w:t xml:space="preserve"> </w:t>
      </w:r>
      <w:r w:rsidR="0063461A" w:rsidRPr="00461D74">
        <w:rPr>
          <w:rFonts w:ascii="Garamond" w:hAnsi="Garamond" w:cstheme="minorHAnsi"/>
          <w:sz w:val="24"/>
          <w:szCs w:val="24"/>
          <w:lang w:val="en-GB"/>
        </w:rPr>
        <w:t xml:space="preserve">in part </w:t>
      </w:r>
      <w:r w:rsidR="00B63ABF" w:rsidRPr="00461D74">
        <w:rPr>
          <w:rFonts w:ascii="Garamond" w:hAnsi="Garamond" w:cstheme="minorHAnsi"/>
          <w:sz w:val="24"/>
          <w:szCs w:val="24"/>
          <w:lang w:val="en-GB"/>
        </w:rPr>
        <w:t xml:space="preserve">emerged out of </w:t>
      </w:r>
      <w:r w:rsidR="00A00ED3" w:rsidRPr="00461D74">
        <w:rPr>
          <w:rFonts w:ascii="Garamond" w:hAnsi="Garamond" w:cstheme="minorHAnsi"/>
          <w:sz w:val="24"/>
          <w:szCs w:val="24"/>
          <w:lang w:val="en-GB"/>
        </w:rPr>
        <w:t xml:space="preserve">this cycle of </w:t>
      </w:r>
      <w:r w:rsidR="00327034" w:rsidRPr="00461D74">
        <w:rPr>
          <w:rFonts w:ascii="Garamond" w:hAnsi="Garamond" w:cstheme="minorHAnsi"/>
          <w:sz w:val="24"/>
          <w:szCs w:val="24"/>
          <w:lang w:val="en-GB"/>
        </w:rPr>
        <w:t xml:space="preserve">perpetual </w:t>
      </w:r>
      <w:r w:rsidR="00A00ED3" w:rsidRPr="00461D74">
        <w:rPr>
          <w:rFonts w:ascii="Garamond" w:hAnsi="Garamond" w:cstheme="minorHAnsi"/>
          <w:sz w:val="24"/>
          <w:szCs w:val="24"/>
          <w:lang w:val="en-GB"/>
        </w:rPr>
        <w:t xml:space="preserve">and </w:t>
      </w:r>
      <w:r w:rsidR="0063461A" w:rsidRPr="00461D74">
        <w:rPr>
          <w:rFonts w:ascii="Garamond" w:hAnsi="Garamond" w:cstheme="minorHAnsi"/>
          <w:sz w:val="24"/>
          <w:szCs w:val="24"/>
          <w:lang w:val="en-GB"/>
        </w:rPr>
        <w:t>recurr</w:t>
      </w:r>
      <w:r w:rsidR="00327034" w:rsidRPr="00461D74">
        <w:rPr>
          <w:rFonts w:ascii="Garamond" w:hAnsi="Garamond" w:cstheme="minorHAnsi"/>
          <w:sz w:val="24"/>
          <w:szCs w:val="24"/>
          <w:lang w:val="en-GB"/>
        </w:rPr>
        <w:t>ing</w:t>
      </w:r>
      <w:r w:rsidR="0063461A" w:rsidRPr="00461D74">
        <w:rPr>
          <w:rFonts w:ascii="Garamond" w:hAnsi="Garamond" w:cstheme="minorHAnsi"/>
          <w:sz w:val="24"/>
          <w:szCs w:val="24"/>
          <w:lang w:val="en-GB"/>
        </w:rPr>
        <w:t xml:space="preserve"> conflict between the various ethical positions advanced by </w:t>
      </w:r>
      <w:r w:rsidR="00E444A3" w:rsidRPr="00461D74">
        <w:rPr>
          <w:rFonts w:ascii="Garamond" w:hAnsi="Garamond" w:cstheme="minorHAnsi"/>
          <w:sz w:val="24"/>
          <w:szCs w:val="24"/>
          <w:lang w:val="en-GB"/>
        </w:rPr>
        <w:t>E</w:t>
      </w:r>
      <w:r w:rsidR="0063461A" w:rsidRPr="00461D74">
        <w:rPr>
          <w:rFonts w:ascii="Garamond" w:hAnsi="Garamond" w:cstheme="minorHAnsi"/>
          <w:sz w:val="24"/>
          <w:szCs w:val="24"/>
          <w:lang w:val="en-GB"/>
        </w:rPr>
        <w:t>nlightenment philosophers</w:t>
      </w:r>
      <w:r w:rsidR="004428DA" w:rsidRPr="00461D74">
        <w:rPr>
          <w:rFonts w:ascii="Garamond" w:hAnsi="Garamond" w:cstheme="minorHAnsi"/>
          <w:sz w:val="24"/>
          <w:szCs w:val="24"/>
          <w:lang w:val="en-GB"/>
        </w:rPr>
        <w:t xml:space="preserve">. </w:t>
      </w:r>
      <w:r w:rsidR="00A00ED3" w:rsidRPr="00461D74">
        <w:rPr>
          <w:rFonts w:ascii="Garamond" w:hAnsi="Garamond" w:cstheme="minorHAnsi"/>
          <w:sz w:val="24"/>
          <w:szCs w:val="24"/>
          <w:lang w:val="en-GB"/>
        </w:rPr>
        <w:t>Therefore, it is entirely natural that the conclusions of m</w:t>
      </w:r>
      <w:r w:rsidR="004428DA" w:rsidRPr="00461D74">
        <w:rPr>
          <w:rFonts w:ascii="Garamond" w:hAnsi="Garamond" w:cstheme="minorHAnsi"/>
          <w:sz w:val="24"/>
          <w:szCs w:val="24"/>
          <w:lang w:val="en-GB"/>
        </w:rPr>
        <w:t xml:space="preserve">odern liberalism </w:t>
      </w:r>
      <w:r w:rsidR="00A00ED3" w:rsidRPr="00461D74">
        <w:rPr>
          <w:rFonts w:ascii="Garamond" w:hAnsi="Garamond" w:cstheme="minorHAnsi"/>
          <w:sz w:val="24"/>
          <w:szCs w:val="24"/>
          <w:lang w:val="en-GB"/>
        </w:rPr>
        <w:t>are premised on</w:t>
      </w:r>
      <w:r w:rsidR="004428DA" w:rsidRPr="00461D74">
        <w:rPr>
          <w:rFonts w:ascii="Garamond" w:hAnsi="Garamond" w:cstheme="minorHAnsi"/>
          <w:sz w:val="24"/>
          <w:szCs w:val="24"/>
          <w:lang w:val="en-GB"/>
        </w:rPr>
        <w:t xml:space="preserve"> the </w:t>
      </w:r>
      <w:r w:rsidR="00A00ED3" w:rsidRPr="00461D74">
        <w:rPr>
          <w:rFonts w:ascii="Garamond" w:hAnsi="Garamond" w:cstheme="minorHAnsi"/>
          <w:sz w:val="24"/>
          <w:szCs w:val="24"/>
          <w:lang w:val="en-GB"/>
        </w:rPr>
        <w:t xml:space="preserve">basic </w:t>
      </w:r>
      <w:r w:rsidR="004428DA" w:rsidRPr="00461D74">
        <w:rPr>
          <w:rFonts w:ascii="Garamond" w:hAnsi="Garamond" w:cstheme="minorHAnsi"/>
          <w:sz w:val="24"/>
          <w:szCs w:val="24"/>
          <w:lang w:val="en-GB"/>
        </w:rPr>
        <w:t>intractability of our moral and political discourse.</w:t>
      </w:r>
    </w:p>
    <w:p w:rsidR="005927E4" w:rsidRPr="00461D74" w:rsidRDefault="004428DA"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t xml:space="preserve">Of course, </w:t>
      </w:r>
      <w:r w:rsidR="00336FE0" w:rsidRPr="00461D74">
        <w:rPr>
          <w:rFonts w:ascii="Garamond" w:hAnsi="Garamond" w:cstheme="minorHAnsi"/>
          <w:sz w:val="24"/>
          <w:szCs w:val="24"/>
          <w:lang w:val="en-GB"/>
        </w:rPr>
        <w:t xml:space="preserve">MacIntyre’s </w:t>
      </w:r>
      <w:r w:rsidR="00B72DF7" w:rsidRPr="00461D74">
        <w:rPr>
          <w:rFonts w:ascii="Garamond" w:hAnsi="Garamond" w:cstheme="minorHAnsi"/>
          <w:i/>
          <w:sz w:val="24"/>
          <w:szCs w:val="24"/>
          <w:lang w:val="en-GB"/>
        </w:rPr>
        <w:t>After Virtue</w:t>
      </w:r>
      <w:r w:rsidR="00B72DF7" w:rsidRPr="00461D74">
        <w:rPr>
          <w:rFonts w:ascii="Garamond" w:hAnsi="Garamond" w:cstheme="minorHAnsi"/>
          <w:sz w:val="24"/>
          <w:szCs w:val="24"/>
          <w:lang w:val="en-GB"/>
        </w:rPr>
        <w:t xml:space="preserve">, published in 1981, emerged before the latest round of conflagrations </w:t>
      </w:r>
      <w:r w:rsidR="005927E4" w:rsidRPr="00461D74">
        <w:rPr>
          <w:rFonts w:ascii="Garamond" w:hAnsi="Garamond" w:cstheme="minorHAnsi"/>
          <w:sz w:val="24"/>
          <w:szCs w:val="24"/>
          <w:lang w:val="en-GB"/>
        </w:rPr>
        <w:t>which</w:t>
      </w:r>
      <w:r w:rsidR="00B72DF7" w:rsidRPr="00461D74">
        <w:rPr>
          <w:rFonts w:ascii="Garamond" w:hAnsi="Garamond" w:cstheme="minorHAnsi"/>
          <w:sz w:val="24"/>
          <w:szCs w:val="24"/>
          <w:lang w:val="en-GB"/>
        </w:rPr>
        <w:t xml:space="preserve"> have </w:t>
      </w:r>
      <w:r w:rsidR="005927E4" w:rsidRPr="00461D74">
        <w:rPr>
          <w:rFonts w:ascii="Garamond" w:hAnsi="Garamond" w:cstheme="minorHAnsi"/>
          <w:sz w:val="24"/>
          <w:szCs w:val="24"/>
          <w:lang w:val="en-GB"/>
        </w:rPr>
        <w:t xml:space="preserve">very visibly </w:t>
      </w:r>
      <w:r w:rsidR="00B72DF7" w:rsidRPr="00461D74">
        <w:rPr>
          <w:rFonts w:ascii="Garamond" w:hAnsi="Garamond" w:cstheme="minorHAnsi"/>
          <w:sz w:val="24"/>
          <w:szCs w:val="24"/>
          <w:lang w:val="en-GB"/>
        </w:rPr>
        <w:t xml:space="preserve">paralysed the </w:t>
      </w:r>
      <w:r w:rsidR="00864BCB" w:rsidRPr="00461D74">
        <w:rPr>
          <w:rFonts w:ascii="Garamond" w:hAnsi="Garamond" w:cstheme="minorHAnsi"/>
          <w:sz w:val="24"/>
          <w:szCs w:val="24"/>
          <w:lang w:val="en-GB"/>
        </w:rPr>
        <w:t xml:space="preserve">social-political </w:t>
      </w:r>
      <w:r w:rsidR="00B72DF7" w:rsidRPr="00461D74">
        <w:rPr>
          <w:rFonts w:ascii="Garamond" w:hAnsi="Garamond" w:cstheme="minorHAnsi"/>
          <w:sz w:val="24"/>
          <w:szCs w:val="24"/>
          <w:lang w:val="en-GB"/>
        </w:rPr>
        <w:t xml:space="preserve">discourse </w:t>
      </w:r>
      <w:r w:rsidR="008179A0" w:rsidRPr="00461D74">
        <w:rPr>
          <w:rFonts w:ascii="Garamond" w:hAnsi="Garamond" w:cstheme="minorHAnsi"/>
          <w:sz w:val="24"/>
          <w:szCs w:val="24"/>
          <w:lang w:val="en-GB"/>
        </w:rPr>
        <w:t>of</w:t>
      </w:r>
      <w:r w:rsidR="005927E4" w:rsidRPr="00461D74">
        <w:rPr>
          <w:rFonts w:ascii="Garamond" w:hAnsi="Garamond" w:cstheme="minorHAnsi"/>
          <w:sz w:val="24"/>
          <w:szCs w:val="24"/>
          <w:lang w:val="en-GB"/>
        </w:rPr>
        <w:t xml:space="preserve"> </w:t>
      </w:r>
      <w:r w:rsidR="00B72DF7" w:rsidRPr="00461D74">
        <w:rPr>
          <w:rFonts w:ascii="Garamond" w:hAnsi="Garamond" w:cstheme="minorHAnsi"/>
          <w:sz w:val="24"/>
          <w:szCs w:val="24"/>
          <w:lang w:val="en-GB"/>
        </w:rPr>
        <w:t xml:space="preserve">liberal societies, </w:t>
      </w:r>
      <w:r w:rsidR="005927E4" w:rsidRPr="00461D74">
        <w:rPr>
          <w:rFonts w:ascii="Garamond" w:hAnsi="Garamond" w:cstheme="minorHAnsi"/>
          <w:sz w:val="24"/>
          <w:szCs w:val="24"/>
          <w:lang w:val="en-GB"/>
        </w:rPr>
        <w:t>and</w:t>
      </w:r>
      <w:r w:rsidR="00B72DF7" w:rsidRPr="00461D74">
        <w:rPr>
          <w:rFonts w:ascii="Garamond" w:hAnsi="Garamond" w:cstheme="minorHAnsi"/>
          <w:sz w:val="24"/>
          <w:szCs w:val="24"/>
          <w:lang w:val="en-GB"/>
        </w:rPr>
        <w:t xml:space="preserve"> </w:t>
      </w:r>
      <w:r w:rsidR="005927E4" w:rsidRPr="00461D74">
        <w:rPr>
          <w:rFonts w:ascii="Garamond" w:hAnsi="Garamond" w:cstheme="minorHAnsi"/>
          <w:sz w:val="24"/>
          <w:szCs w:val="24"/>
          <w:lang w:val="en-GB"/>
        </w:rPr>
        <w:t xml:space="preserve">generated seemingly insurmountable obstacles </w:t>
      </w:r>
      <w:r w:rsidR="0001701D" w:rsidRPr="00461D74">
        <w:rPr>
          <w:rFonts w:ascii="Garamond" w:hAnsi="Garamond" w:cstheme="minorHAnsi"/>
          <w:sz w:val="24"/>
          <w:szCs w:val="24"/>
          <w:lang w:val="en-GB"/>
        </w:rPr>
        <w:t>against</w:t>
      </w:r>
      <w:r w:rsidR="005927E4" w:rsidRPr="00461D74">
        <w:rPr>
          <w:rFonts w:ascii="Garamond" w:hAnsi="Garamond" w:cstheme="minorHAnsi"/>
          <w:sz w:val="24"/>
          <w:szCs w:val="24"/>
          <w:lang w:val="en-GB"/>
        </w:rPr>
        <w:t xml:space="preserve"> advancing possible resolutions for the various social problems that </w:t>
      </w:r>
      <w:r w:rsidR="000B6C10" w:rsidRPr="00461D74">
        <w:rPr>
          <w:rFonts w:ascii="Garamond" w:hAnsi="Garamond" w:cstheme="minorHAnsi"/>
          <w:sz w:val="24"/>
          <w:szCs w:val="24"/>
          <w:lang w:val="en-GB"/>
        </w:rPr>
        <w:t>beset</w:t>
      </w:r>
      <w:r w:rsidR="0001701D" w:rsidRPr="00461D74">
        <w:rPr>
          <w:rFonts w:ascii="Garamond" w:hAnsi="Garamond" w:cstheme="minorHAnsi"/>
          <w:sz w:val="24"/>
          <w:szCs w:val="24"/>
          <w:lang w:val="en-GB"/>
        </w:rPr>
        <w:t xml:space="preserve"> liberal society</w:t>
      </w:r>
      <w:r w:rsidR="005927E4" w:rsidRPr="00461D74">
        <w:rPr>
          <w:rFonts w:ascii="Garamond" w:hAnsi="Garamond" w:cstheme="minorHAnsi"/>
          <w:sz w:val="24"/>
          <w:szCs w:val="24"/>
          <w:lang w:val="en-GB"/>
        </w:rPr>
        <w:t xml:space="preserve">. </w:t>
      </w:r>
      <w:r w:rsidR="006142A2" w:rsidRPr="00461D74">
        <w:rPr>
          <w:rFonts w:ascii="Garamond" w:hAnsi="Garamond" w:cstheme="minorHAnsi"/>
          <w:sz w:val="24"/>
          <w:szCs w:val="24"/>
          <w:lang w:val="en-GB"/>
        </w:rPr>
        <w:t>Yet, considering more recent developments</w:t>
      </w:r>
      <w:r w:rsidR="0001701D" w:rsidRPr="00461D74">
        <w:rPr>
          <w:rFonts w:ascii="Garamond" w:hAnsi="Garamond" w:cstheme="minorHAnsi"/>
          <w:sz w:val="24"/>
          <w:szCs w:val="24"/>
          <w:lang w:val="en-GB"/>
        </w:rPr>
        <w:t>,</w:t>
      </w:r>
      <w:r w:rsidR="006142A2" w:rsidRPr="00461D74">
        <w:rPr>
          <w:rFonts w:ascii="Garamond" w:hAnsi="Garamond" w:cstheme="minorHAnsi"/>
          <w:sz w:val="24"/>
          <w:szCs w:val="24"/>
          <w:lang w:val="en-GB"/>
        </w:rPr>
        <w:t xml:space="preserve"> i</w:t>
      </w:r>
      <w:r w:rsidR="00864BCB" w:rsidRPr="00461D74">
        <w:rPr>
          <w:rFonts w:ascii="Garamond" w:hAnsi="Garamond" w:cstheme="minorHAnsi"/>
          <w:sz w:val="24"/>
          <w:szCs w:val="24"/>
          <w:lang w:val="en-GB"/>
        </w:rPr>
        <w:t>t is no longer an exaggeration to suggest that</w:t>
      </w:r>
      <w:r w:rsidR="005927E4" w:rsidRPr="00461D74">
        <w:rPr>
          <w:rFonts w:ascii="Garamond" w:hAnsi="Garamond" w:cstheme="minorHAnsi"/>
          <w:sz w:val="24"/>
          <w:szCs w:val="24"/>
          <w:lang w:val="en-GB"/>
        </w:rPr>
        <w:t xml:space="preserve"> </w:t>
      </w:r>
      <w:r w:rsidR="00C85D78" w:rsidRPr="00461D74">
        <w:rPr>
          <w:rFonts w:ascii="Garamond" w:hAnsi="Garamond" w:cstheme="minorHAnsi"/>
          <w:sz w:val="24"/>
          <w:szCs w:val="24"/>
          <w:lang w:val="en-GB"/>
        </w:rPr>
        <w:t>on the whole</w:t>
      </w:r>
      <w:r w:rsidR="006142A2" w:rsidRPr="00461D74">
        <w:rPr>
          <w:rFonts w:ascii="Garamond" w:hAnsi="Garamond" w:cstheme="minorHAnsi"/>
          <w:sz w:val="24"/>
          <w:szCs w:val="24"/>
          <w:lang w:val="en-GB"/>
        </w:rPr>
        <w:t>,</w:t>
      </w:r>
      <w:r w:rsidR="00C85D78" w:rsidRPr="00461D74">
        <w:rPr>
          <w:rFonts w:ascii="Garamond" w:hAnsi="Garamond" w:cstheme="minorHAnsi"/>
          <w:sz w:val="24"/>
          <w:szCs w:val="24"/>
          <w:lang w:val="en-GB"/>
        </w:rPr>
        <w:t xml:space="preserve"> </w:t>
      </w:r>
      <w:r w:rsidR="0094400F" w:rsidRPr="00461D74">
        <w:rPr>
          <w:rFonts w:ascii="Garamond" w:hAnsi="Garamond" w:cstheme="minorHAnsi"/>
          <w:sz w:val="24"/>
          <w:szCs w:val="24"/>
          <w:lang w:val="en-GB"/>
        </w:rPr>
        <w:t xml:space="preserve">western </w:t>
      </w:r>
      <w:r w:rsidR="005927E4" w:rsidRPr="00461D74">
        <w:rPr>
          <w:rFonts w:ascii="Garamond" w:hAnsi="Garamond" w:cstheme="minorHAnsi"/>
          <w:sz w:val="24"/>
          <w:szCs w:val="24"/>
          <w:lang w:val="en-GB"/>
        </w:rPr>
        <w:t xml:space="preserve">liberal societies find themselves at a </w:t>
      </w:r>
      <w:r w:rsidR="00D10D06" w:rsidRPr="00461D74">
        <w:rPr>
          <w:rFonts w:ascii="Garamond" w:hAnsi="Garamond" w:cstheme="minorHAnsi"/>
          <w:sz w:val="24"/>
          <w:szCs w:val="24"/>
          <w:lang w:val="en-GB"/>
        </w:rPr>
        <w:t xml:space="preserve">dangerous </w:t>
      </w:r>
      <w:r w:rsidR="005927E4" w:rsidRPr="00461D74">
        <w:rPr>
          <w:rFonts w:ascii="Garamond" w:hAnsi="Garamond" w:cstheme="minorHAnsi"/>
          <w:sz w:val="24"/>
          <w:szCs w:val="24"/>
          <w:lang w:val="en-GB"/>
        </w:rPr>
        <w:t xml:space="preserve">precipice </w:t>
      </w:r>
      <w:r w:rsidR="00757E17" w:rsidRPr="00461D74">
        <w:rPr>
          <w:rFonts w:ascii="Garamond" w:hAnsi="Garamond" w:cstheme="minorHAnsi"/>
          <w:sz w:val="24"/>
          <w:szCs w:val="24"/>
          <w:lang w:val="en-GB"/>
        </w:rPr>
        <w:t>where</w:t>
      </w:r>
      <w:r w:rsidR="005927E4" w:rsidRPr="00461D74">
        <w:rPr>
          <w:rFonts w:ascii="Garamond" w:hAnsi="Garamond" w:cstheme="minorHAnsi"/>
          <w:sz w:val="24"/>
          <w:szCs w:val="24"/>
          <w:lang w:val="en-GB"/>
        </w:rPr>
        <w:t xml:space="preserve"> </w:t>
      </w:r>
      <w:r w:rsidR="00D10D06" w:rsidRPr="00461D74">
        <w:rPr>
          <w:rFonts w:ascii="Garamond" w:hAnsi="Garamond" w:cstheme="minorHAnsi"/>
          <w:sz w:val="24"/>
          <w:szCs w:val="24"/>
          <w:lang w:val="en-GB"/>
        </w:rPr>
        <w:t>the collective conviction</w:t>
      </w:r>
      <w:r w:rsidR="00FF06DD" w:rsidRPr="00461D74">
        <w:rPr>
          <w:rFonts w:ascii="Garamond" w:hAnsi="Garamond" w:cstheme="minorHAnsi"/>
          <w:sz w:val="24"/>
          <w:szCs w:val="24"/>
          <w:lang w:val="en-GB"/>
        </w:rPr>
        <w:t>s</w:t>
      </w:r>
      <w:r w:rsidR="00D10D06" w:rsidRPr="00461D74">
        <w:rPr>
          <w:rFonts w:ascii="Garamond" w:hAnsi="Garamond" w:cstheme="minorHAnsi"/>
          <w:sz w:val="24"/>
          <w:szCs w:val="24"/>
          <w:lang w:val="en-GB"/>
        </w:rPr>
        <w:t xml:space="preserve"> </w:t>
      </w:r>
      <w:r w:rsidR="00864BCB" w:rsidRPr="00461D74">
        <w:rPr>
          <w:rFonts w:ascii="Garamond" w:hAnsi="Garamond" w:cstheme="minorHAnsi"/>
          <w:sz w:val="24"/>
          <w:szCs w:val="24"/>
          <w:lang w:val="en-GB"/>
        </w:rPr>
        <w:t>of the</w:t>
      </w:r>
      <w:r w:rsidR="00757E17" w:rsidRPr="00461D74">
        <w:rPr>
          <w:rFonts w:ascii="Garamond" w:hAnsi="Garamond" w:cstheme="minorHAnsi"/>
          <w:sz w:val="24"/>
          <w:szCs w:val="24"/>
          <w:lang w:val="en-GB"/>
        </w:rPr>
        <w:t>ir</w:t>
      </w:r>
      <w:r w:rsidR="00864BCB" w:rsidRPr="00461D74">
        <w:rPr>
          <w:rFonts w:ascii="Garamond" w:hAnsi="Garamond" w:cstheme="minorHAnsi"/>
          <w:sz w:val="24"/>
          <w:szCs w:val="24"/>
          <w:lang w:val="en-GB"/>
        </w:rPr>
        <w:t xml:space="preserve"> citizenry </w:t>
      </w:r>
      <w:r w:rsidR="00D10D06" w:rsidRPr="00461D74">
        <w:rPr>
          <w:rFonts w:ascii="Garamond" w:hAnsi="Garamond" w:cstheme="minorHAnsi"/>
          <w:sz w:val="24"/>
          <w:szCs w:val="24"/>
          <w:lang w:val="en-GB"/>
        </w:rPr>
        <w:t xml:space="preserve">in liberal democratic norms are </w:t>
      </w:r>
      <w:r w:rsidR="000B6C10" w:rsidRPr="00461D74">
        <w:rPr>
          <w:rFonts w:ascii="Garamond" w:hAnsi="Garamond" w:cstheme="minorHAnsi"/>
          <w:sz w:val="24"/>
          <w:szCs w:val="24"/>
          <w:lang w:val="en-GB"/>
        </w:rPr>
        <w:t>being</w:t>
      </w:r>
      <w:r w:rsidR="00D10D06" w:rsidRPr="00461D74">
        <w:rPr>
          <w:rFonts w:ascii="Garamond" w:hAnsi="Garamond" w:cstheme="minorHAnsi"/>
          <w:sz w:val="24"/>
          <w:szCs w:val="24"/>
          <w:lang w:val="en-GB"/>
        </w:rPr>
        <w:t xml:space="preserve"> undermined.</w:t>
      </w:r>
      <w:r w:rsidR="00D10D06" w:rsidRPr="00461D74">
        <w:rPr>
          <w:rStyle w:val="FootnoteReference"/>
          <w:rFonts w:ascii="Garamond" w:hAnsi="Garamond" w:cstheme="minorHAnsi"/>
          <w:sz w:val="24"/>
          <w:szCs w:val="24"/>
          <w:lang w:val="en-GB"/>
        </w:rPr>
        <w:footnoteReference w:id="2"/>
      </w:r>
    </w:p>
    <w:p w:rsidR="004437FB" w:rsidRPr="00461D74" w:rsidRDefault="006142A2"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r>
      <w:r w:rsidR="00130251" w:rsidRPr="00461D74">
        <w:rPr>
          <w:rFonts w:ascii="Garamond" w:hAnsi="Garamond" w:cstheme="minorHAnsi"/>
          <w:sz w:val="24"/>
          <w:szCs w:val="24"/>
          <w:lang w:val="en-GB"/>
        </w:rPr>
        <w:t>However, w</w:t>
      </w:r>
      <w:r w:rsidRPr="00461D74">
        <w:rPr>
          <w:rFonts w:ascii="Garamond" w:hAnsi="Garamond" w:cstheme="minorHAnsi"/>
          <w:sz w:val="24"/>
          <w:szCs w:val="24"/>
          <w:lang w:val="en-GB"/>
        </w:rPr>
        <w:t xml:space="preserve">hile MacIntyre is widely recognised as one of the most important moral philosophers of the contemporary era, the influence of his work has </w:t>
      </w:r>
      <w:r w:rsidR="009C6A79" w:rsidRPr="00461D74">
        <w:rPr>
          <w:rFonts w:ascii="Garamond" w:hAnsi="Garamond" w:cstheme="minorHAnsi"/>
          <w:sz w:val="24"/>
          <w:szCs w:val="24"/>
          <w:lang w:val="en-GB"/>
        </w:rPr>
        <w:t>been to some extent more limited than the outsized figure which his critique appears to cut</w:t>
      </w:r>
      <w:r w:rsidRPr="00461D74">
        <w:rPr>
          <w:rFonts w:ascii="Garamond" w:hAnsi="Garamond" w:cstheme="minorHAnsi"/>
          <w:sz w:val="24"/>
          <w:szCs w:val="24"/>
          <w:lang w:val="en-GB"/>
        </w:rPr>
        <w:t xml:space="preserve">. The reasons for this </w:t>
      </w:r>
      <w:r w:rsidR="007527E3" w:rsidRPr="00461D74">
        <w:rPr>
          <w:rFonts w:ascii="Garamond" w:hAnsi="Garamond" w:cstheme="minorHAnsi"/>
          <w:sz w:val="24"/>
          <w:szCs w:val="24"/>
          <w:lang w:val="en-GB"/>
        </w:rPr>
        <w:t>are</w:t>
      </w:r>
      <w:r w:rsidRPr="00461D74">
        <w:rPr>
          <w:rFonts w:ascii="Garamond" w:hAnsi="Garamond" w:cstheme="minorHAnsi"/>
          <w:sz w:val="24"/>
          <w:szCs w:val="24"/>
          <w:lang w:val="en-GB"/>
        </w:rPr>
        <w:t xml:space="preserve"> </w:t>
      </w:r>
      <w:r w:rsidR="00B6472A" w:rsidRPr="00461D74">
        <w:rPr>
          <w:rFonts w:ascii="Garamond" w:hAnsi="Garamond" w:cstheme="minorHAnsi"/>
          <w:sz w:val="24"/>
          <w:szCs w:val="24"/>
          <w:lang w:val="en-GB"/>
        </w:rPr>
        <w:t xml:space="preserve">at least </w:t>
      </w:r>
      <w:r w:rsidR="00017402" w:rsidRPr="00461D74">
        <w:rPr>
          <w:rFonts w:ascii="Garamond" w:hAnsi="Garamond" w:cstheme="minorHAnsi"/>
          <w:sz w:val="24"/>
          <w:szCs w:val="24"/>
          <w:lang w:val="en-GB"/>
        </w:rPr>
        <w:t>three</w:t>
      </w:r>
      <w:r w:rsidRPr="00461D74">
        <w:rPr>
          <w:rFonts w:ascii="Garamond" w:hAnsi="Garamond" w:cstheme="minorHAnsi"/>
          <w:sz w:val="24"/>
          <w:szCs w:val="24"/>
          <w:lang w:val="en-GB"/>
        </w:rPr>
        <w:t xml:space="preserve">-fold. </w:t>
      </w:r>
    </w:p>
    <w:p w:rsidR="004D3A89" w:rsidRDefault="006142A2">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First, moral philosophers have fo</w:t>
      </w:r>
      <w:r w:rsidR="007527E3" w:rsidRPr="00461D74">
        <w:rPr>
          <w:rFonts w:ascii="Garamond" w:hAnsi="Garamond" w:cstheme="minorHAnsi"/>
          <w:sz w:val="24"/>
          <w:szCs w:val="24"/>
          <w:lang w:val="en-GB"/>
        </w:rPr>
        <w:t>und MacIntyre’s conclusion to be too pessimistic or extreme</w:t>
      </w:r>
      <w:r w:rsidR="002F1A47" w:rsidRPr="00461D74">
        <w:rPr>
          <w:rFonts w:ascii="Garamond" w:hAnsi="Garamond" w:cstheme="minorHAnsi"/>
          <w:sz w:val="24"/>
          <w:szCs w:val="24"/>
          <w:lang w:val="en-GB"/>
        </w:rPr>
        <w:t>, and t</w:t>
      </w:r>
      <w:r w:rsidR="007527E3" w:rsidRPr="00461D74">
        <w:rPr>
          <w:rFonts w:ascii="Garamond" w:hAnsi="Garamond" w:cstheme="minorHAnsi"/>
          <w:sz w:val="24"/>
          <w:szCs w:val="24"/>
          <w:lang w:val="en-GB"/>
        </w:rPr>
        <w:t>he pessimism in MacIntyre’s work</w:t>
      </w:r>
      <w:r w:rsidR="002838F5" w:rsidRPr="00461D74">
        <w:rPr>
          <w:rFonts w:ascii="Garamond" w:hAnsi="Garamond" w:cstheme="minorHAnsi"/>
          <w:sz w:val="24"/>
          <w:szCs w:val="24"/>
          <w:lang w:val="en-GB"/>
        </w:rPr>
        <w:t xml:space="preserve">, especially with respect to any hope </w:t>
      </w:r>
      <w:r w:rsidR="00AA7105" w:rsidRPr="00461D74">
        <w:rPr>
          <w:rFonts w:ascii="Garamond" w:hAnsi="Garamond" w:cstheme="minorHAnsi"/>
          <w:sz w:val="24"/>
          <w:szCs w:val="24"/>
          <w:lang w:val="en-GB"/>
        </w:rPr>
        <w:t>of</w:t>
      </w:r>
      <w:r w:rsidR="002838F5" w:rsidRPr="00461D74">
        <w:rPr>
          <w:rFonts w:ascii="Garamond" w:hAnsi="Garamond" w:cstheme="minorHAnsi"/>
          <w:sz w:val="24"/>
          <w:szCs w:val="24"/>
          <w:lang w:val="en-GB"/>
        </w:rPr>
        <w:t xml:space="preserve"> salvaging the liberal order</w:t>
      </w:r>
      <w:r w:rsidR="00FF06DD" w:rsidRPr="00461D74">
        <w:rPr>
          <w:rFonts w:ascii="Garamond" w:hAnsi="Garamond" w:cstheme="minorHAnsi"/>
          <w:sz w:val="24"/>
          <w:szCs w:val="24"/>
          <w:lang w:val="en-GB"/>
        </w:rPr>
        <w:t>,</w:t>
      </w:r>
      <w:r w:rsidR="007527E3" w:rsidRPr="00461D74">
        <w:rPr>
          <w:rFonts w:ascii="Garamond" w:hAnsi="Garamond" w:cstheme="minorHAnsi"/>
          <w:sz w:val="24"/>
          <w:szCs w:val="24"/>
          <w:lang w:val="en-GB"/>
        </w:rPr>
        <w:t xml:space="preserve"> is undeniable. </w:t>
      </w:r>
      <w:r w:rsidR="00A050D2" w:rsidRPr="00461D74">
        <w:rPr>
          <w:rFonts w:ascii="Garamond" w:hAnsi="Garamond" w:cstheme="minorHAnsi"/>
          <w:sz w:val="24"/>
          <w:szCs w:val="24"/>
          <w:lang w:val="en-GB"/>
        </w:rPr>
        <w:t xml:space="preserve">Moreover, at </w:t>
      </w:r>
      <w:r w:rsidR="00A050D2" w:rsidRPr="00461D74">
        <w:rPr>
          <w:rFonts w:ascii="Garamond" w:hAnsi="Garamond" w:cstheme="minorHAnsi"/>
          <w:sz w:val="24"/>
          <w:szCs w:val="24"/>
          <w:lang w:val="en-GB"/>
        </w:rPr>
        <w:lastRenderedPageBreak/>
        <w:t xml:space="preserve">the time of the publication of </w:t>
      </w:r>
      <w:r w:rsidR="00A050D2" w:rsidRPr="00461D74">
        <w:rPr>
          <w:rFonts w:ascii="Garamond" w:hAnsi="Garamond" w:cstheme="minorHAnsi"/>
          <w:i/>
          <w:sz w:val="24"/>
          <w:szCs w:val="24"/>
          <w:lang w:val="en-GB"/>
        </w:rPr>
        <w:t>After Virtue</w:t>
      </w:r>
      <w:r w:rsidR="00A050D2" w:rsidRPr="00461D74">
        <w:rPr>
          <w:rFonts w:ascii="Garamond" w:hAnsi="Garamond" w:cstheme="minorHAnsi"/>
          <w:sz w:val="24"/>
          <w:szCs w:val="24"/>
          <w:lang w:val="en-GB"/>
        </w:rPr>
        <w:t xml:space="preserve">, the fragmentation of moral discourse which MacIntyre identified </w:t>
      </w:r>
      <w:r w:rsidR="00F9719B" w:rsidRPr="00461D74">
        <w:rPr>
          <w:rFonts w:ascii="Garamond" w:hAnsi="Garamond" w:cstheme="minorHAnsi"/>
          <w:sz w:val="24"/>
          <w:szCs w:val="24"/>
          <w:lang w:val="en-GB"/>
        </w:rPr>
        <w:t>in</w:t>
      </w:r>
      <w:r w:rsidR="000D4BB7" w:rsidRPr="00461D74">
        <w:rPr>
          <w:rFonts w:ascii="Garamond" w:hAnsi="Garamond" w:cstheme="minorHAnsi"/>
          <w:sz w:val="24"/>
          <w:szCs w:val="24"/>
          <w:lang w:val="en-GB"/>
        </w:rPr>
        <w:t xml:space="preserve"> that work</w:t>
      </w:r>
      <w:r w:rsidR="000D4BB7" w:rsidRPr="00461D74">
        <w:rPr>
          <w:rFonts w:ascii="Garamond" w:hAnsi="Garamond" w:cstheme="minorHAnsi"/>
          <w:i/>
          <w:sz w:val="24"/>
          <w:szCs w:val="24"/>
          <w:lang w:val="en-GB"/>
        </w:rPr>
        <w:t xml:space="preserve"> </w:t>
      </w:r>
      <w:r w:rsidR="00A050D2" w:rsidRPr="00461D74">
        <w:rPr>
          <w:rFonts w:ascii="Garamond" w:hAnsi="Garamond" w:cstheme="minorHAnsi"/>
          <w:sz w:val="24"/>
          <w:szCs w:val="24"/>
          <w:lang w:val="en-GB"/>
        </w:rPr>
        <w:t xml:space="preserve">remained </w:t>
      </w:r>
      <w:r w:rsidR="00F9719B" w:rsidRPr="00461D74">
        <w:rPr>
          <w:rFonts w:ascii="Garamond" w:hAnsi="Garamond" w:cstheme="minorHAnsi"/>
          <w:sz w:val="24"/>
          <w:szCs w:val="24"/>
          <w:lang w:val="en-GB"/>
        </w:rPr>
        <w:t>to some extent an esoteric historical-cum-philosophical exercise</w:t>
      </w:r>
      <w:r w:rsidR="00A050D2" w:rsidRPr="00461D74">
        <w:rPr>
          <w:rFonts w:ascii="Garamond" w:hAnsi="Garamond" w:cstheme="minorHAnsi"/>
          <w:sz w:val="24"/>
          <w:szCs w:val="24"/>
          <w:lang w:val="en-GB"/>
        </w:rPr>
        <w:t xml:space="preserve"> </w:t>
      </w:r>
      <w:r w:rsidR="00F9719B" w:rsidRPr="00461D74">
        <w:rPr>
          <w:rFonts w:ascii="Garamond" w:hAnsi="Garamond" w:cstheme="minorHAnsi"/>
          <w:sz w:val="24"/>
          <w:szCs w:val="24"/>
          <w:lang w:val="en-GB"/>
        </w:rPr>
        <w:t xml:space="preserve">that was </w:t>
      </w:r>
      <w:r w:rsidR="00A050D2" w:rsidRPr="00461D74">
        <w:rPr>
          <w:rFonts w:ascii="Garamond" w:hAnsi="Garamond" w:cstheme="minorHAnsi"/>
          <w:sz w:val="24"/>
          <w:szCs w:val="24"/>
          <w:lang w:val="en-GB"/>
        </w:rPr>
        <w:t xml:space="preserve">not </w:t>
      </w:r>
      <w:r w:rsidR="00F9719B" w:rsidRPr="00461D74">
        <w:rPr>
          <w:rFonts w:ascii="Garamond" w:hAnsi="Garamond" w:cstheme="minorHAnsi"/>
          <w:sz w:val="24"/>
          <w:szCs w:val="24"/>
          <w:lang w:val="en-GB"/>
        </w:rPr>
        <w:t>enthusiastically embraced</w:t>
      </w:r>
      <w:r w:rsidR="00A050D2" w:rsidRPr="00461D74">
        <w:rPr>
          <w:rFonts w:ascii="Garamond" w:hAnsi="Garamond" w:cstheme="minorHAnsi"/>
          <w:sz w:val="24"/>
          <w:szCs w:val="24"/>
          <w:lang w:val="en-GB"/>
        </w:rPr>
        <w:t xml:space="preserve"> </w:t>
      </w:r>
      <w:r w:rsidR="00CD6087" w:rsidRPr="00461D74">
        <w:rPr>
          <w:rFonts w:ascii="Garamond" w:hAnsi="Garamond" w:cstheme="minorHAnsi"/>
          <w:sz w:val="24"/>
          <w:szCs w:val="24"/>
          <w:lang w:val="en-GB"/>
        </w:rPr>
        <w:t>n</w:t>
      </w:r>
      <w:r w:rsidR="00F9719B" w:rsidRPr="00461D74">
        <w:rPr>
          <w:rFonts w:ascii="Garamond" w:hAnsi="Garamond" w:cstheme="minorHAnsi"/>
          <w:sz w:val="24"/>
          <w:szCs w:val="24"/>
          <w:lang w:val="en-GB"/>
        </w:rPr>
        <w:t>or fully appreciated</w:t>
      </w:r>
      <w:r w:rsidR="00EF21FE" w:rsidRPr="00461D74">
        <w:rPr>
          <w:rFonts w:ascii="Garamond" w:hAnsi="Garamond" w:cstheme="minorHAnsi"/>
          <w:sz w:val="24"/>
          <w:szCs w:val="24"/>
          <w:lang w:val="en-GB"/>
        </w:rPr>
        <w:t xml:space="preserve"> </w:t>
      </w:r>
      <w:r w:rsidR="00CD6087" w:rsidRPr="00461D74">
        <w:rPr>
          <w:rFonts w:ascii="Garamond" w:hAnsi="Garamond" w:cstheme="minorHAnsi"/>
          <w:sz w:val="24"/>
          <w:szCs w:val="24"/>
          <w:lang w:val="en-GB"/>
        </w:rPr>
        <w:t xml:space="preserve">(and </w:t>
      </w:r>
      <w:r w:rsidR="00EF21FE" w:rsidRPr="00461D74">
        <w:rPr>
          <w:rFonts w:ascii="Garamond" w:hAnsi="Garamond" w:cstheme="minorHAnsi"/>
          <w:sz w:val="24"/>
          <w:szCs w:val="24"/>
          <w:lang w:val="en-GB"/>
        </w:rPr>
        <w:t>perhaps even dismissed</w:t>
      </w:r>
      <w:r w:rsidR="00CD6087" w:rsidRPr="00461D74">
        <w:rPr>
          <w:rFonts w:ascii="Garamond" w:hAnsi="Garamond" w:cstheme="minorHAnsi"/>
          <w:sz w:val="24"/>
          <w:szCs w:val="24"/>
          <w:lang w:val="en-GB"/>
        </w:rPr>
        <w:t>)</w:t>
      </w:r>
      <w:r w:rsidR="00F9719B" w:rsidRPr="00461D74">
        <w:rPr>
          <w:rFonts w:ascii="Garamond" w:hAnsi="Garamond" w:cstheme="minorHAnsi"/>
          <w:sz w:val="24"/>
          <w:szCs w:val="24"/>
          <w:lang w:val="en-GB"/>
        </w:rPr>
        <w:t>,</w:t>
      </w:r>
      <w:r w:rsidR="00A050D2" w:rsidRPr="00461D74">
        <w:rPr>
          <w:rFonts w:ascii="Garamond" w:hAnsi="Garamond" w:cstheme="minorHAnsi"/>
          <w:sz w:val="24"/>
          <w:szCs w:val="24"/>
          <w:lang w:val="en-GB"/>
        </w:rPr>
        <w:t xml:space="preserve"> </w:t>
      </w:r>
      <w:r w:rsidR="00F9719B" w:rsidRPr="00461D74">
        <w:rPr>
          <w:rFonts w:ascii="Garamond" w:hAnsi="Garamond" w:cstheme="minorHAnsi"/>
          <w:sz w:val="24"/>
          <w:szCs w:val="24"/>
          <w:lang w:val="en-GB"/>
        </w:rPr>
        <w:t xml:space="preserve">by mainstream academic </w:t>
      </w:r>
      <w:r w:rsidR="000D4BB7" w:rsidRPr="00461D74">
        <w:rPr>
          <w:rFonts w:ascii="Garamond" w:hAnsi="Garamond" w:cstheme="minorHAnsi"/>
          <w:sz w:val="24"/>
          <w:szCs w:val="24"/>
          <w:lang w:val="en-GB"/>
        </w:rPr>
        <w:t xml:space="preserve">(analytic) </w:t>
      </w:r>
      <w:r w:rsidR="00F9719B" w:rsidRPr="00461D74">
        <w:rPr>
          <w:rFonts w:ascii="Garamond" w:hAnsi="Garamond" w:cstheme="minorHAnsi"/>
          <w:sz w:val="24"/>
          <w:szCs w:val="24"/>
          <w:lang w:val="en-GB"/>
        </w:rPr>
        <w:t>philosophy</w:t>
      </w:r>
      <w:r w:rsidR="00A050D2" w:rsidRPr="00461D74">
        <w:rPr>
          <w:rFonts w:ascii="Garamond" w:hAnsi="Garamond" w:cstheme="minorHAnsi"/>
          <w:sz w:val="24"/>
          <w:szCs w:val="24"/>
          <w:lang w:val="en-GB"/>
        </w:rPr>
        <w:t>.</w:t>
      </w:r>
      <w:r w:rsidR="00CD6087" w:rsidRPr="00461D74">
        <w:rPr>
          <w:rStyle w:val="FootnoteReference"/>
          <w:rFonts w:ascii="Garamond" w:hAnsi="Garamond" w:cstheme="minorHAnsi"/>
          <w:sz w:val="24"/>
          <w:szCs w:val="24"/>
          <w:lang w:val="en-GB"/>
        </w:rPr>
        <w:footnoteReference w:id="3"/>
      </w:r>
      <w:r w:rsidR="00A050D2" w:rsidRPr="00461D74">
        <w:rPr>
          <w:rFonts w:ascii="Garamond" w:hAnsi="Garamond" w:cstheme="minorHAnsi"/>
          <w:sz w:val="24"/>
          <w:szCs w:val="24"/>
          <w:lang w:val="en-GB"/>
        </w:rPr>
        <w:t xml:space="preserve"> </w:t>
      </w:r>
      <w:r w:rsidR="00623B87" w:rsidRPr="00461D74">
        <w:rPr>
          <w:rFonts w:ascii="Garamond" w:hAnsi="Garamond" w:cstheme="minorHAnsi"/>
          <w:sz w:val="24"/>
          <w:szCs w:val="24"/>
          <w:lang w:val="en-GB"/>
        </w:rPr>
        <w:t>However</w:t>
      </w:r>
      <w:r w:rsidR="007527E3" w:rsidRPr="00461D74">
        <w:rPr>
          <w:rFonts w:ascii="Garamond" w:hAnsi="Garamond" w:cstheme="minorHAnsi"/>
          <w:sz w:val="24"/>
          <w:szCs w:val="24"/>
          <w:lang w:val="en-GB"/>
        </w:rPr>
        <w:t>, few</w:t>
      </w:r>
      <w:r w:rsidR="00623B87" w:rsidRPr="00461D74">
        <w:rPr>
          <w:rFonts w:ascii="Garamond" w:hAnsi="Garamond" w:cstheme="minorHAnsi"/>
          <w:sz w:val="24"/>
          <w:szCs w:val="24"/>
          <w:lang w:val="en-GB"/>
        </w:rPr>
        <w:t>er</w:t>
      </w:r>
      <w:r w:rsidR="00A050D2" w:rsidRPr="00461D74">
        <w:rPr>
          <w:rFonts w:ascii="Garamond" w:hAnsi="Garamond" w:cstheme="minorHAnsi"/>
          <w:sz w:val="24"/>
          <w:szCs w:val="24"/>
          <w:lang w:val="en-GB"/>
        </w:rPr>
        <w:t xml:space="preserve"> people</w:t>
      </w:r>
      <w:r w:rsidR="007527E3" w:rsidRPr="00461D74">
        <w:rPr>
          <w:rFonts w:ascii="Garamond" w:hAnsi="Garamond" w:cstheme="minorHAnsi"/>
          <w:sz w:val="24"/>
          <w:szCs w:val="24"/>
          <w:lang w:val="en-GB"/>
        </w:rPr>
        <w:t xml:space="preserve"> today </w:t>
      </w:r>
      <w:r w:rsidR="002838F5" w:rsidRPr="00461D74">
        <w:rPr>
          <w:rFonts w:ascii="Garamond" w:hAnsi="Garamond" w:cstheme="minorHAnsi"/>
          <w:sz w:val="24"/>
          <w:szCs w:val="24"/>
          <w:lang w:val="en-GB"/>
        </w:rPr>
        <w:t>c</w:t>
      </w:r>
      <w:r w:rsidR="007527E3" w:rsidRPr="00461D74">
        <w:rPr>
          <w:rFonts w:ascii="Garamond" w:hAnsi="Garamond" w:cstheme="minorHAnsi"/>
          <w:sz w:val="24"/>
          <w:szCs w:val="24"/>
          <w:lang w:val="en-GB"/>
        </w:rPr>
        <w:t xml:space="preserve">ould </w:t>
      </w:r>
      <w:r w:rsidR="002838F5" w:rsidRPr="00461D74">
        <w:rPr>
          <w:rFonts w:ascii="Garamond" w:hAnsi="Garamond" w:cstheme="minorHAnsi"/>
          <w:sz w:val="24"/>
          <w:szCs w:val="24"/>
          <w:lang w:val="en-GB"/>
        </w:rPr>
        <w:t xml:space="preserve">reasonably </w:t>
      </w:r>
      <w:r w:rsidR="007527E3" w:rsidRPr="00461D74">
        <w:rPr>
          <w:rFonts w:ascii="Garamond" w:hAnsi="Garamond" w:cstheme="minorHAnsi"/>
          <w:sz w:val="24"/>
          <w:szCs w:val="24"/>
          <w:lang w:val="en-GB"/>
        </w:rPr>
        <w:t xml:space="preserve">deny that we live in an </w:t>
      </w:r>
      <w:r w:rsidR="007527E3" w:rsidRPr="00461D74">
        <w:rPr>
          <w:rFonts w:ascii="Garamond" w:hAnsi="Garamond" w:cstheme="minorHAnsi"/>
          <w:i/>
          <w:sz w:val="24"/>
          <w:szCs w:val="24"/>
          <w:lang w:val="en-GB"/>
        </w:rPr>
        <w:t>extreme</w:t>
      </w:r>
      <w:r w:rsidR="007527E3" w:rsidRPr="00461D74">
        <w:rPr>
          <w:rFonts w:ascii="Garamond" w:hAnsi="Garamond" w:cstheme="minorHAnsi"/>
          <w:sz w:val="24"/>
          <w:szCs w:val="24"/>
          <w:lang w:val="en-GB"/>
        </w:rPr>
        <w:t xml:space="preserve"> time in which the fundamental democratic and liberal tenets are </w:t>
      </w:r>
      <w:r w:rsidR="00054095" w:rsidRPr="00461D74">
        <w:rPr>
          <w:rFonts w:ascii="Garamond" w:hAnsi="Garamond" w:cstheme="minorHAnsi"/>
          <w:sz w:val="24"/>
          <w:szCs w:val="24"/>
          <w:lang w:val="en-GB"/>
        </w:rPr>
        <w:t>seemingly under question,</w:t>
      </w:r>
      <w:r w:rsidR="007527E3" w:rsidRPr="00461D74">
        <w:rPr>
          <w:rFonts w:ascii="Garamond" w:hAnsi="Garamond" w:cstheme="minorHAnsi"/>
          <w:sz w:val="24"/>
          <w:szCs w:val="24"/>
          <w:lang w:val="en-GB"/>
        </w:rPr>
        <w:t xml:space="preserve"> not simply as an academic exercise, but </w:t>
      </w:r>
      <w:r w:rsidR="000D4BB7" w:rsidRPr="00461D74">
        <w:rPr>
          <w:rFonts w:ascii="Garamond" w:hAnsi="Garamond" w:cstheme="minorHAnsi"/>
          <w:sz w:val="24"/>
          <w:szCs w:val="24"/>
          <w:lang w:val="en-GB"/>
        </w:rPr>
        <w:t xml:space="preserve">rather </w:t>
      </w:r>
      <w:r w:rsidR="00782160" w:rsidRPr="00461D74">
        <w:rPr>
          <w:rFonts w:ascii="Garamond" w:hAnsi="Garamond" w:cstheme="minorHAnsi"/>
          <w:sz w:val="24"/>
          <w:szCs w:val="24"/>
          <w:lang w:val="en-GB"/>
        </w:rPr>
        <w:t>confirmed by</w:t>
      </w:r>
      <w:r w:rsidR="007527E3" w:rsidRPr="00461D74">
        <w:rPr>
          <w:rFonts w:ascii="Garamond" w:hAnsi="Garamond" w:cstheme="minorHAnsi"/>
          <w:sz w:val="24"/>
          <w:szCs w:val="24"/>
          <w:lang w:val="en-GB"/>
        </w:rPr>
        <w:t xml:space="preserve"> </w:t>
      </w:r>
      <w:r w:rsidR="002838F5" w:rsidRPr="00461D74">
        <w:rPr>
          <w:rFonts w:ascii="Garamond" w:hAnsi="Garamond" w:cstheme="minorHAnsi"/>
          <w:sz w:val="24"/>
          <w:szCs w:val="24"/>
          <w:lang w:val="en-GB"/>
        </w:rPr>
        <w:t xml:space="preserve">the experience of </w:t>
      </w:r>
      <w:r w:rsidR="007527E3" w:rsidRPr="00461D74">
        <w:rPr>
          <w:rFonts w:ascii="Garamond" w:hAnsi="Garamond" w:cstheme="minorHAnsi"/>
          <w:sz w:val="24"/>
          <w:szCs w:val="24"/>
          <w:lang w:val="en-GB"/>
        </w:rPr>
        <w:t xml:space="preserve">ordinary people who have become </w:t>
      </w:r>
      <w:r w:rsidR="002838F5" w:rsidRPr="00461D74">
        <w:rPr>
          <w:rFonts w:ascii="Garamond" w:hAnsi="Garamond" w:cstheme="minorHAnsi"/>
          <w:sz w:val="24"/>
          <w:szCs w:val="24"/>
          <w:lang w:val="en-GB"/>
        </w:rPr>
        <w:t xml:space="preserve">increasingly </w:t>
      </w:r>
      <w:r w:rsidR="007527E3" w:rsidRPr="00461D74">
        <w:rPr>
          <w:rFonts w:ascii="Garamond" w:hAnsi="Garamond" w:cstheme="minorHAnsi"/>
          <w:sz w:val="24"/>
          <w:szCs w:val="24"/>
          <w:lang w:val="en-GB"/>
        </w:rPr>
        <w:t>frustrated with the wo</w:t>
      </w:r>
      <w:r w:rsidR="002838F5" w:rsidRPr="00461D74">
        <w:rPr>
          <w:rFonts w:ascii="Garamond" w:hAnsi="Garamond" w:cstheme="minorHAnsi"/>
          <w:sz w:val="24"/>
          <w:szCs w:val="24"/>
          <w:lang w:val="en-GB"/>
        </w:rPr>
        <w:t>r</w:t>
      </w:r>
      <w:r w:rsidR="007527E3" w:rsidRPr="00461D74">
        <w:rPr>
          <w:rFonts w:ascii="Garamond" w:hAnsi="Garamond" w:cstheme="minorHAnsi"/>
          <w:sz w:val="24"/>
          <w:szCs w:val="24"/>
          <w:lang w:val="en-GB"/>
        </w:rPr>
        <w:t>kings</w:t>
      </w:r>
      <w:r w:rsidR="000D4BB7" w:rsidRPr="00461D74">
        <w:rPr>
          <w:rFonts w:ascii="Garamond" w:hAnsi="Garamond" w:cstheme="minorHAnsi"/>
          <w:sz w:val="24"/>
          <w:szCs w:val="24"/>
          <w:lang w:val="en-GB"/>
        </w:rPr>
        <w:t xml:space="preserve"> (or ‘failings?’) </w:t>
      </w:r>
      <w:r w:rsidR="007527E3" w:rsidRPr="00461D74">
        <w:rPr>
          <w:rFonts w:ascii="Garamond" w:hAnsi="Garamond" w:cstheme="minorHAnsi"/>
          <w:sz w:val="24"/>
          <w:szCs w:val="24"/>
          <w:lang w:val="en-GB"/>
        </w:rPr>
        <w:t>of</w:t>
      </w:r>
      <w:r w:rsidR="000D4BB7" w:rsidRPr="00461D74">
        <w:rPr>
          <w:rFonts w:ascii="Garamond" w:hAnsi="Garamond" w:cstheme="minorHAnsi"/>
          <w:sz w:val="24"/>
          <w:szCs w:val="24"/>
          <w:lang w:val="en-GB"/>
        </w:rPr>
        <w:t xml:space="preserve"> </w:t>
      </w:r>
      <w:r w:rsidR="002838F5" w:rsidRPr="00461D74">
        <w:rPr>
          <w:rFonts w:ascii="Garamond" w:hAnsi="Garamond" w:cstheme="minorHAnsi"/>
          <w:sz w:val="24"/>
          <w:szCs w:val="24"/>
          <w:lang w:val="en-GB"/>
        </w:rPr>
        <w:t xml:space="preserve">their </w:t>
      </w:r>
      <w:r w:rsidR="00A050D2" w:rsidRPr="00461D74">
        <w:rPr>
          <w:rFonts w:ascii="Garamond" w:hAnsi="Garamond" w:cstheme="minorHAnsi"/>
          <w:sz w:val="24"/>
          <w:szCs w:val="24"/>
          <w:lang w:val="en-GB"/>
        </w:rPr>
        <w:t xml:space="preserve">(liberal) </w:t>
      </w:r>
      <w:r w:rsidR="007527E3" w:rsidRPr="00461D74">
        <w:rPr>
          <w:rFonts w:ascii="Garamond" w:hAnsi="Garamond" w:cstheme="minorHAnsi"/>
          <w:sz w:val="24"/>
          <w:szCs w:val="24"/>
          <w:lang w:val="en-GB"/>
        </w:rPr>
        <w:t>social and political institutions.</w:t>
      </w:r>
      <w:r w:rsidR="0084543B" w:rsidRPr="00461D74">
        <w:rPr>
          <w:rFonts w:ascii="Garamond" w:hAnsi="Garamond" w:cstheme="minorHAnsi"/>
          <w:sz w:val="24"/>
          <w:szCs w:val="24"/>
          <w:lang w:val="en-GB"/>
        </w:rPr>
        <w:t xml:space="preserve"> Therefore, this first reason should no longer</w:t>
      </w:r>
      <w:r w:rsidR="00451358" w:rsidRPr="00461D74">
        <w:rPr>
          <w:rFonts w:ascii="Garamond" w:hAnsi="Garamond" w:cstheme="minorHAnsi"/>
          <w:sz w:val="24"/>
          <w:szCs w:val="24"/>
          <w:lang w:val="en-GB"/>
        </w:rPr>
        <w:t xml:space="preserve"> hold back</w:t>
      </w:r>
      <w:r w:rsidR="0084543B" w:rsidRPr="00461D74">
        <w:rPr>
          <w:rFonts w:ascii="Garamond" w:hAnsi="Garamond" w:cstheme="minorHAnsi"/>
          <w:sz w:val="24"/>
          <w:szCs w:val="24"/>
          <w:lang w:val="en-GB"/>
        </w:rPr>
        <w:t xml:space="preserve"> philosophers from re-engaging with </w:t>
      </w:r>
      <w:r w:rsidR="007D24AD" w:rsidRPr="00461D74">
        <w:rPr>
          <w:rFonts w:ascii="Garamond" w:hAnsi="Garamond" w:cstheme="minorHAnsi"/>
          <w:sz w:val="24"/>
          <w:szCs w:val="24"/>
          <w:lang w:val="en-GB"/>
        </w:rPr>
        <w:t xml:space="preserve">MacIntyre’s </w:t>
      </w:r>
      <w:r w:rsidR="0084543B" w:rsidRPr="00461D74">
        <w:rPr>
          <w:rFonts w:ascii="Garamond" w:hAnsi="Garamond" w:cstheme="minorHAnsi"/>
          <w:sz w:val="24"/>
          <w:szCs w:val="24"/>
          <w:lang w:val="en-GB"/>
        </w:rPr>
        <w:t>work.</w:t>
      </w:r>
    </w:p>
    <w:p w:rsidR="004437FB" w:rsidRPr="00461D74" w:rsidRDefault="00B6472A"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t xml:space="preserve">Second, MacIntyre’s later work </w:t>
      </w:r>
      <w:r w:rsidR="007D24AD"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starting with </w:t>
      </w:r>
      <w:proofErr w:type="gramStart"/>
      <w:r w:rsidRPr="00461D74">
        <w:rPr>
          <w:rFonts w:ascii="Garamond" w:hAnsi="Garamond" w:cstheme="minorHAnsi"/>
          <w:i/>
          <w:sz w:val="24"/>
          <w:szCs w:val="24"/>
          <w:lang w:val="en-GB"/>
        </w:rPr>
        <w:t>Whose</w:t>
      </w:r>
      <w:proofErr w:type="gramEnd"/>
      <w:r w:rsidRPr="00461D74">
        <w:rPr>
          <w:rFonts w:ascii="Garamond" w:hAnsi="Garamond" w:cstheme="minorHAnsi"/>
          <w:i/>
          <w:sz w:val="24"/>
          <w:szCs w:val="24"/>
          <w:lang w:val="en-GB"/>
        </w:rPr>
        <w:t xml:space="preserve"> Justice</w:t>
      </w:r>
      <w:r w:rsidR="00451358" w:rsidRPr="00461D74">
        <w:rPr>
          <w:rFonts w:ascii="Garamond" w:hAnsi="Garamond" w:cstheme="minorHAnsi"/>
          <w:i/>
          <w:sz w:val="24"/>
          <w:szCs w:val="24"/>
          <w:lang w:val="en-GB"/>
        </w:rPr>
        <w:t>? Which Rationality?</w:t>
      </w:r>
      <w:r w:rsidRPr="00461D74">
        <w:rPr>
          <w:rFonts w:ascii="Garamond" w:hAnsi="Garamond" w:cstheme="minorHAnsi"/>
          <w:sz w:val="24"/>
          <w:szCs w:val="24"/>
          <w:lang w:val="en-GB"/>
        </w:rPr>
        <w:t xml:space="preserve"> </w:t>
      </w:r>
      <w:r w:rsidR="007D24AD"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generated an additional difficulty for his audience. </w:t>
      </w:r>
      <w:r w:rsidR="0081401C" w:rsidRPr="00461D74">
        <w:rPr>
          <w:rFonts w:ascii="Garamond" w:hAnsi="Garamond" w:cstheme="minorHAnsi"/>
          <w:sz w:val="24"/>
          <w:szCs w:val="24"/>
          <w:lang w:val="en-GB"/>
        </w:rPr>
        <w:t>For example,</w:t>
      </w:r>
      <w:r w:rsidR="007D24AD" w:rsidRPr="00461D74">
        <w:rPr>
          <w:rFonts w:ascii="Garamond" w:hAnsi="Garamond" w:cstheme="minorHAnsi"/>
          <w:sz w:val="24"/>
          <w:szCs w:val="24"/>
          <w:lang w:val="en-GB"/>
        </w:rPr>
        <w:t xml:space="preserve"> the philosopher</w:t>
      </w:r>
      <w:r w:rsidR="0081401C" w:rsidRPr="00461D74">
        <w:rPr>
          <w:rFonts w:ascii="Garamond" w:hAnsi="Garamond" w:cstheme="minorHAnsi"/>
          <w:sz w:val="24"/>
          <w:szCs w:val="24"/>
          <w:lang w:val="en-GB"/>
        </w:rPr>
        <w:t xml:space="preserve"> John Haldane has come to conclude that the historicist and contextualist commitments which MacIntyre advances in </w:t>
      </w:r>
      <w:r w:rsidR="0081401C" w:rsidRPr="00461D74">
        <w:rPr>
          <w:rFonts w:ascii="Garamond" w:hAnsi="Garamond" w:cstheme="minorHAnsi"/>
          <w:i/>
          <w:sz w:val="24"/>
          <w:szCs w:val="24"/>
          <w:lang w:val="en-GB"/>
        </w:rPr>
        <w:t>After Virtue</w:t>
      </w:r>
      <w:r w:rsidR="0081401C" w:rsidRPr="00461D74">
        <w:rPr>
          <w:rFonts w:ascii="Garamond" w:hAnsi="Garamond" w:cstheme="minorHAnsi"/>
          <w:sz w:val="24"/>
          <w:szCs w:val="24"/>
          <w:lang w:val="en-GB"/>
        </w:rPr>
        <w:t>,</w:t>
      </w:r>
      <w:r w:rsidR="0081401C" w:rsidRPr="00461D74">
        <w:rPr>
          <w:rStyle w:val="FootnoteReference"/>
          <w:rFonts w:ascii="Garamond" w:hAnsi="Garamond" w:cstheme="minorHAnsi"/>
        </w:rPr>
        <w:footnoteReference w:id="4"/>
      </w:r>
      <w:r w:rsidR="0081401C" w:rsidRPr="00461D74">
        <w:rPr>
          <w:rFonts w:ascii="Garamond" w:hAnsi="Garamond" w:cstheme="minorHAnsi"/>
          <w:sz w:val="24"/>
          <w:szCs w:val="24"/>
          <w:lang w:val="en-GB"/>
        </w:rPr>
        <w:t xml:space="preserve"> appears to be inconsistent with his later adoption of Aristotelian-Thomism.</w:t>
      </w:r>
      <w:r w:rsidR="0081401C" w:rsidRPr="00461D74">
        <w:rPr>
          <w:rStyle w:val="FootnoteReference"/>
          <w:rFonts w:ascii="Garamond" w:hAnsi="Garamond" w:cstheme="minorHAnsi"/>
        </w:rPr>
        <w:footnoteReference w:id="5"/>
      </w:r>
      <w:r w:rsidR="0081401C" w:rsidRPr="00461D74">
        <w:rPr>
          <w:rFonts w:ascii="Garamond" w:hAnsi="Garamond" w:cstheme="minorHAnsi"/>
          <w:sz w:val="24"/>
          <w:szCs w:val="24"/>
          <w:lang w:val="en-GB"/>
        </w:rPr>
        <w:t xml:space="preserve"> Now, this fact takes on an added significance when we consider that MacIntyre never really repudiates the historicism in </w:t>
      </w:r>
      <w:r w:rsidR="0081401C" w:rsidRPr="00461D74">
        <w:rPr>
          <w:rFonts w:ascii="Garamond" w:hAnsi="Garamond" w:cstheme="minorHAnsi"/>
          <w:i/>
          <w:sz w:val="24"/>
          <w:szCs w:val="24"/>
          <w:lang w:val="en-GB"/>
        </w:rPr>
        <w:t>After Virtue</w:t>
      </w:r>
      <w:r w:rsidR="0081401C" w:rsidRPr="00461D74">
        <w:rPr>
          <w:rFonts w:ascii="Garamond" w:hAnsi="Garamond" w:cstheme="minorHAnsi"/>
          <w:sz w:val="24"/>
          <w:szCs w:val="24"/>
          <w:lang w:val="en-GB"/>
        </w:rPr>
        <w:t>, and indeed in his post-</w:t>
      </w:r>
      <w:r w:rsidR="0081401C" w:rsidRPr="00461D74">
        <w:rPr>
          <w:rFonts w:ascii="Garamond" w:hAnsi="Garamond" w:cstheme="minorHAnsi"/>
          <w:sz w:val="24"/>
          <w:szCs w:val="24"/>
          <w:lang w:val="en-GB"/>
        </w:rPr>
        <w:lastRenderedPageBreak/>
        <w:t xml:space="preserve">Thomistic work </w:t>
      </w:r>
      <w:r w:rsidR="0081401C" w:rsidRPr="00461D74">
        <w:rPr>
          <w:rFonts w:ascii="Garamond" w:hAnsi="Garamond" w:cstheme="minorHAnsi"/>
          <w:i/>
          <w:sz w:val="24"/>
          <w:szCs w:val="24"/>
          <w:lang w:val="en-GB"/>
        </w:rPr>
        <w:t>Whose Justice</w:t>
      </w:r>
      <w:r w:rsidR="007D24AD" w:rsidRPr="00461D74">
        <w:rPr>
          <w:rFonts w:ascii="Garamond" w:hAnsi="Garamond" w:cstheme="minorHAnsi"/>
          <w:sz w:val="24"/>
          <w:szCs w:val="24"/>
          <w:lang w:val="en-GB"/>
        </w:rPr>
        <w:t>, he firmly places what he</w:t>
      </w:r>
      <w:r w:rsidR="0081401C" w:rsidRPr="00461D74">
        <w:rPr>
          <w:rFonts w:ascii="Garamond" w:hAnsi="Garamond" w:cstheme="minorHAnsi"/>
          <w:sz w:val="24"/>
          <w:szCs w:val="24"/>
          <w:lang w:val="en-GB"/>
        </w:rPr>
        <w:t xml:space="preserve"> identifies as the emerging limitations of Aristotle’s ethics</w:t>
      </w:r>
      <w:r w:rsidR="007D24AD" w:rsidRPr="00461D74">
        <w:rPr>
          <w:rFonts w:ascii="Garamond" w:hAnsi="Garamond" w:cstheme="minorHAnsi"/>
          <w:sz w:val="24"/>
          <w:szCs w:val="24"/>
          <w:lang w:val="en-GB"/>
        </w:rPr>
        <w:t xml:space="preserve"> of the polis,</w:t>
      </w:r>
      <w:r w:rsidR="007D24AD" w:rsidRPr="00461D74">
        <w:rPr>
          <w:rStyle w:val="FootnoteReference"/>
          <w:rFonts w:ascii="Garamond" w:hAnsi="Garamond" w:cstheme="minorHAnsi"/>
          <w:sz w:val="24"/>
          <w:szCs w:val="24"/>
          <w:lang w:val="en-GB"/>
        </w:rPr>
        <w:footnoteReference w:id="6"/>
      </w:r>
      <w:r w:rsidR="007D24AD" w:rsidRPr="00461D74">
        <w:rPr>
          <w:rFonts w:ascii="Garamond" w:hAnsi="Garamond" w:cstheme="minorHAnsi"/>
          <w:sz w:val="24"/>
          <w:szCs w:val="24"/>
          <w:lang w:val="en-GB"/>
        </w:rPr>
        <w:t xml:space="preserve"> </w:t>
      </w:r>
      <w:r w:rsidR="0081401C" w:rsidRPr="00461D74">
        <w:rPr>
          <w:rFonts w:ascii="Garamond" w:hAnsi="Garamond" w:cstheme="minorHAnsi"/>
          <w:sz w:val="24"/>
          <w:szCs w:val="24"/>
          <w:lang w:val="en-GB"/>
        </w:rPr>
        <w:t>in his prior commitments to contextualism and historicism.</w:t>
      </w:r>
    </w:p>
    <w:p w:rsidR="004D3A89" w:rsidRDefault="00017402">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Third, while MacIntyre’s social-cum-historical approach to moral philosophy in </w:t>
      </w:r>
      <w:r w:rsidRPr="00461D74">
        <w:rPr>
          <w:rFonts w:ascii="Garamond" w:hAnsi="Garamond" w:cstheme="minorHAnsi"/>
          <w:i/>
          <w:sz w:val="24"/>
          <w:szCs w:val="24"/>
          <w:lang w:val="en-GB"/>
        </w:rPr>
        <w:t>After Virtue</w:t>
      </w:r>
      <w:r w:rsidRPr="00461D74">
        <w:rPr>
          <w:rFonts w:ascii="Garamond" w:hAnsi="Garamond" w:cstheme="minorHAnsi"/>
          <w:sz w:val="24"/>
          <w:szCs w:val="24"/>
          <w:lang w:val="en-GB"/>
        </w:rPr>
        <w:t xml:space="preserve"> </w:t>
      </w:r>
      <w:r w:rsidR="005F043E" w:rsidRPr="00461D74">
        <w:rPr>
          <w:rFonts w:ascii="Garamond" w:hAnsi="Garamond" w:cstheme="minorHAnsi"/>
          <w:sz w:val="24"/>
          <w:szCs w:val="24"/>
          <w:lang w:val="en-GB"/>
        </w:rPr>
        <w:t xml:space="preserve">has </w:t>
      </w:r>
      <w:r w:rsidR="001C3DE5" w:rsidRPr="00461D74">
        <w:rPr>
          <w:rFonts w:ascii="Garamond" w:hAnsi="Garamond" w:cstheme="minorHAnsi"/>
          <w:sz w:val="24"/>
          <w:szCs w:val="24"/>
          <w:lang w:val="en-GB"/>
        </w:rPr>
        <w:t>be</w:t>
      </w:r>
      <w:r w:rsidR="005F043E" w:rsidRPr="00461D74">
        <w:rPr>
          <w:rFonts w:ascii="Garamond" w:hAnsi="Garamond" w:cstheme="minorHAnsi"/>
          <w:sz w:val="24"/>
          <w:szCs w:val="24"/>
          <w:lang w:val="en-GB"/>
        </w:rPr>
        <w:t>come much more</w:t>
      </w:r>
      <w:r w:rsidRPr="00461D74">
        <w:rPr>
          <w:rFonts w:ascii="Garamond" w:hAnsi="Garamond" w:cstheme="minorHAnsi"/>
          <w:sz w:val="24"/>
          <w:szCs w:val="24"/>
          <w:lang w:val="en-GB"/>
        </w:rPr>
        <w:t xml:space="preserve"> </w:t>
      </w:r>
      <w:r w:rsidR="005F043E" w:rsidRPr="00461D74">
        <w:rPr>
          <w:rFonts w:ascii="Garamond" w:hAnsi="Garamond" w:cstheme="minorHAnsi"/>
          <w:sz w:val="24"/>
          <w:szCs w:val="24"/>
          <w:lang w:val="en-GB"/>
        </w:rPr>
        <w:t>accept</w:t>
      </w:r>
      <w:r w:rsidR="001C3DE5" w:rsidRPr="00461D74">
        <w:rPr>
          <w:rFonts w:ascii="Garamond" w:hAnsi="Garamond" w:cstheme="minorHAnsi"/>
          <w:sz w:val="24"/>
          <w:szCs w:val="24"/>
          <w:lang w:val="en-GB"/>
        </w:rPr>
        <w:t>able, partly on account of</w:t>
      </w:r>
      <w:r w:rsidR="005F043E" w:rsidRPr="00461D74">
        <w:rPr>
          <w:rFonts w:ascii="Garamond" w:hAnsi="Garamond" w:cstheme="minorHAnsi"/>
          <w:sz w:val="24"/>
          <w:szCs w:val="24"/>
          <w:lang w:val="en-GB"/>
        </w:rPr>
        <w:t xml:space="preserve"> </w:t>
      </w:r>
      <w:r w:rsidR="00103892" w:rsidRPr="00461D74">
        <w:rPr>
          <w:rFonts w:ascii="Garamond" w:hAnsi="Garamond" w:cstheme="minorHAnsi"/>
          <w:sz w:val="24"/>
          <w:szCs w:val="24"/>
          <w:lang w:val="en-GB"/>
        </w:rPr>
        <w:t>broader</w:t>
      </w:r>
      <w:r w:rsidRPr="00461D74">
        <w:rPr>
          <w:rFonts w:ascii="Garamond" w:hAnsi="Garamond" w:cstheme="minorHAnsi"/>
          <w:sz w:val="24"/>
          <w:szCs w:val="24"/>
          <w:lang w:val="en-GB"/>
        </w:rPr>
        <w:t xml:space="preserve"> trends </w:t>
      </w:r>
      <w:r w:rsidR="001C3DE5" w:rsidRPr="00461D74">
        <w:rPr>
          <w:rFonts w:ascii="Garamond" w:hAnsi="Garamond" w:cstheme="minorHAnsi"/>
          <w:sz w:val="24"/>
          <w:szCs w:val="24"/>
          <w:lang w:val="en-GB"/>
        </w:rPr>
        <w:t>in</w:t>
      </w:r>
      <w:r w:rsidRPr="00461D74">
        <w:rPr>
          <w:rFonts w:ascii="Garamond" w:hAnsi="Garamond" w:cstheme="minorHAnsi"/>
          <w:sz w:val="24"/>
          <w:szCs w:val="24"/>
          <w:lang w:val="en-GB"/>
        </w:rPr>
        <w:t xml:space="preserve"> </w:t>
      </w:r>
      <w:r w:rsidR="005F043E" w:rsidRPr="00461D74">
        <w:rPr>
          <w:rFonts w:ascii="Garamond" w:hAnsi="Garamond" w:cstheme="minorHAnsi"/>
          <w:sz w:val="24"/>
          <w:szCs w:val="24"/>
          <w:lang w:val="en-GB"/>
        </w:rPr>
        <w:t>Anglo-American philosophy</w:t>
      </w:r>
      <w:r w:rsidRPr="00461D74">
        <w:rPr>
          <w:rFonts w:ascii="Garamond" w:hAnsi="Garamond" w:cstheme="minorHAnsi"/>
          <w:sz w:val="24"/>
          <w:szCs w:val="24"/>
          <w:lang w:val="en-GB"/>
        </w:rPr>
        <w:t>, his turn to Thomism appear</w:t>
      </w:r>
      <w:r w:rsidR="005F043E" w:rsidRPr="00461D74">
        <w:rPr>
          <w:rFonts w:ascii="Garamond" w:hAnsi="Garamond" w:cstheme="minorHAnsi"/>
          <w:sz w:val="24"/>
          <w:szCs w:val="24"/>
          <w:lang w:val="en-GB"/>
        </w:rPr>
        <w:t xml:space="preserve">s to diverge from </w:t>
      </w:r>
      <w:r w:rsidR="003E01EC" w:rsidRPr="00461D74">
        <w:rPr>
          <w:rFonts w:ascii="Garamond" w:hAnsi="Garamond" w:cstheme="minorHAnsi"/>
          <w:sz w:val="24"/>
          <w:szCs w:val="24"/>
          <w:lang w:val="en-GB"/>
        </w:rPr>
        <w:t xml:space="preserve">similar </w:t>
      </w:r>
      <w:r w:rsidR="005F043E" w:rsidRPr="00461D74">
        <w:rPr>
          <w:rFonts w:ascii="Garamond" w:hAnsi="Garamond" w:cstheme="minorHAnsi"/>
          <w:sz w:val="24"/>
          <w:szCs w:val="24"/>
          <w:lang w:val="en-GB"/>
        </w:rPr>
        <w:t>trends that have strengthened</w:t>
      </w:r>
      <w:r w:rsidRPr="00461D74">
        <w:rPr>
          <w:rFonts w:ascii="Garamond" w:hAnsi="Garamond" w:cstheme="minorHAnsi"/>
          <w:sz w:val="24"/>
          <w:szCs w:val="24"/>
          <w:lang w:val="en-GB"/>
        </w:rPr>
        <w:t xml:space="preserve"> </w:t>
      </w:r>
      <w:r w:rsidR="005F043E" w:rsidRPr="00461D74">
        <w:rPr>
          <w:rFonts w:ascii="Garamond" w:hAnsi="Garamond" w:cstheme="minorHAnsi"/>
          <w:sz w:val="24"/>
          <w:szCs w:val="24"/>
          <w:lang w:val="en-GB"/>
        </w:rPr>
        <w:t>the</w:t>
      </w:r>
      <w:r w:rsidR="0052475C" w:rsidRPr="00461D74">
        <w:rPr>
          <w:rFonts w:ascii="Garamond" w:hAnsi="Garamond" w:cstheme="minorHAnsi"/>
          <w:sz w:val="24"/>
          <w:szCs w:val="24"/>
          <w:lang w:val="en-GB"/>
        </w:rPr>
        <w:t xml:space="preserve"> dominance of</w:t>
      </w:r>
      <w:r w:rsidR="005F043E" w:rsidRPr="00461D74">
        <w:rPr>
          <w:rFonts w:ascii="Garamond" w:hAnsi="Garamond" w:cstheme="minorHAnsi"/>
          <w:sz w:val="24"/>
          <w:szCs w:val="24"/>
          <w:lang w:val="en-GB"/>
        </w:rPr>
        <w:t>, and penchant for,</w:t>
      </w:r>
      <w:r w:rsidR="0052475C" w:rsidRPr="00461D74">
        <w:rPr>
          <w:rFonts w:ascii="Garamond" w:hAnsi="Garamond" w:cstheme="minorHAnsi"/>
          <w:sz w:val="24"/>
          <w:szCs w:val="24"/>
          <w:lang w:val="en-GB"/>
        </w:rPr>
        <w:t xml:space="preserve"> non-metaphysical </w:t>
      </w:r>
      <w:r w:rsidR="005F043E" w:rsidRPr="00461D74">
        <w:rPr>
          <w:rFonts w:ascii="Garamond" w:hAnsi="Garamond" w:cstheme="minorHAnsi"/>
          <w:sz w:val="24"/>
          <w:szCs w:val="24"/>
          <w:lang w:val="en-GB"/>
        </w:rPr>
        <w:t>forms</w:t>
      </w:r>
      <w:r w:rsidR="0052475C" w:rsidRPr="00461D74">
        <w:rPr>
          <w:rFonts w:ascii="Garamond" w:hAnsi="Garamond" w:cstheme="minorHAnsi"/>
          <w:sz w:val="24"/>
          <w:szCs w:val="24"/>
          <w:lang w:val="en-GB"/>
        </w:rPr>
        <w:t xml:space="preserve"> </w:t>
      </w:r>
      <w:r w:rsidR="005F043E" w:rsidRPr="00461D74">
        <w:rPr>
          <w:rFonts w:ascii="Garamond" w:hAnsi="Garamond" w:cstheme="minorHAnsi"/>
          <w:sz w:val="24"/>
          <w:szCs w:val="24"/>
          <w:lang w:val="en-GB"/>
        </w:rPr>
        <w:t>of philosophical arguments</w:t>
      </w:r>
      <w:r w:rsidR="0052475C" w:rsidRPr="00461D74">
        <w:rPr>
          <w:rFonts w:ascii="Garamond" w:hAnsi="Garamond" w:cstheme="minorHAnsi"/>
          <w:sz w:val="24"/>
          <w:szCs w:val="24"/>
          <w:lang w:val="en-GB"/>
        </w:rPr>
        <w:t>.</w:t>
      </w:r>
    </w:p>
    <w:p w:rsidR="00E40D1A" w:rsidRPr="00461D74" w:rsidRDefault="0052475C"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r>
      <w:r w:rsidR="00623B87" w:rsidRPr="00461D74">
        <w:rPr>
          <w:rFonts w:ascii="Garamond" w:hAnsi="Garamond" w:cstheme="minorHAnsi"/>
          <w:sz w:val="24"/>
          <w:szCs w:val="24"/>
          <w:lang w:val="en-GB"/>
        </w:rPr>
        <w:t>Nevertheless</w:t>
      </w:r>
      <w:r w:rsidRPr="00461D74">
        <w:rPr>
          <w:rFonts w:ascii="Garamond" w:hAnsi="Garamond" w:cstheme="minorHAnsi"/>
          <w:sz w:val="24"/>
          <w:szCs w:val="24"/>
          <w:lang w:val="en-GB"/>
        </w:rPr>
        <w:t xml:space="preserve">, </w:t>
      </w:r>
      <w:r w:rsidR="006D7B6A" w:rsidRPr="00461D74">
        <w:rPr>
          <w:rFonts w:ascii="Garamond" w:hAnsi="Garamond" w:cstheme="minorHAnsi"/>
          <w:sz w:val="24"/>
          <w:szCs w:val="24"/>
          <w:lang w:val="en-GB"/>
        </w:rPr>
        <w:t xml:space="preserve">given more recent </w:t>
      </w:r>
      <w:r w:rsidR="00646B58" w:rsidRPr="00461D74">
        <w:rPr>
          <w:rFonts w:ascii="Garamond" w:hAnsi="Garamond" w:cstheme="minorHAnsi"/>
          <w:sz w:val="24"/>
          <w:szCs w:val="24"/>
          <w:lang w:val="en-GB"/>
        </w:rPr>
        <w:t xml:space="preserve">(social-historical) </w:t>
      </w:r>
      <w:r w:rsidR="006D7B6A" w:rsidRPr="00461D74">
        <w:rPr>
          <w:rFonts w:ascii="Garamond" w:hAnsi="Garamond" w:cstheme="minorHAnsi"/>
          <w:sz w:val="24"/>
          <w:szCs w:val="24"/>
          <w:lang w:val="en-GB"/>
        </w:rPr>
        <w:t xml:space="preserve">developments, </w:t>
      </w:r>
      <w:r w:rsidRPr="00461D74">
        <w:rPr>
          <w:rFonts w:ascii="Garamond" w:hAnsi="Garamond" w:cstheme="minorHAnsi"/>
          <w:sz w:val="24"/>
          <w:szCs w:val="24"/>
          <w:lang w:val="en-GB"/>
        </w:rPr>
        <w:t xml:space="preserve">the value of MacIntyre’s </w:t>
      </w:r>
      <w:r w:rsidR="006D7B6A" w:rsidRPr="00461D74">
        <w:rPr>
          <w:rFonts w:ascii="Garamond" w:hAnsi="Garamond" w:cstheme="minorHAnsi"/>
          <w:sz w:val="24"/>
          <w:szCs w:val="24"/>
          <w:lang w:val="en-GB"/>
        </w:rPr>
        <w:t xml:space="preserve">account </w:t>
      </w:r>
      <w:r w:rsidR="00AC5BFC" w:rsidRPr="00461D74">
        <w:rPr>
          <w:rFonts w:ascii="Garamond" w:hAnsi="Garamond" w:cstheme="minorHAnsi"/>
          <w:sz w:val="24"/>
          <w:szCs w:val="24"/>
          <w:lang w:val="en-GB"/>
        </w:rPr>
        <w:t xml:space="preserve">seems undeniable and deserves greater </w:t>
      </w:r>
      <w:r w:rsidR="004437FB" w:rsidRPr="00461D74">
        <w:rPr>
          <w:rFonts w:ascii="Garamond" w:hAnsi="Garamond" w:cstheme="minorHAnsi"/>
          <w:sz w:val="24"/>
          <w:szCs w:val="24"/>
          <w:lang w:val="en-GB"/>
        </w:rPr>
        <w:t xml:space="preserve">degree of </w:t>
      </w:r>
      <w:r w:rsidR="00735DE0" w:rsidRPr="00461D74">
        <w:rPr>
          <w:rFonts w:ascii="Garamond" w:hAnsi="Garamond" w:cstheme="minorHAnsi"/>
          <w:sz w:val="24"/>
          <w:szCs w:val="24"/>
          <w:lang w:val="en-GB"/>
        </w:rPr>
        <w:t>re</w:t>
      </w:r>
      <w:r w:rsidR="00AC5BFC" w:rsidRPr="00461D74">
        <w:rPr>
          <w:rFonts w:ascii="Garamond" w:hAnsi="Garamond" w:cstheme="minorHAnsi"/>
          <w:sz w:val="24"/>
          <w:szCs w:val="24"/>
          <w:lang w:val="en-GB"/>
        </w:rPr>
        <w:t>consideration</w:t>
      </w:r>
      <w:r w:rsidR="006D7B6A" w:rsidRPr="00461D74">
        <w:rPr>
          <w:rFonts w:ascii="Garamond" w:hAnsi="Garamond" w:cstheme="minorHAnsi"/>
          <w:sz w:val="24"/>
          <w:szCs w:val="24"/>
          <w:lang w:val="en-GB"/>
        </w:rPr>
        <w:t>, especially</w:t>
      </w:r>
      <w:r w:rsidR="00623B87" w:rsidRPr="00461D74">
        <w:rPr>
          <w:rFonts w:ascii="Garamond" w:hAnsi="Garamond" w:cstheme="minorHAnsi"/>
          <w:sz w:val="24"/>
          <w:szCs w:val="24"/>
          <w:lang w:val="en-GB"/>
        </w:rPr>
        <w:t xml:space="preserve"> when we </w:t>
      </w:r>
      <w:r w:rsidR="00AC5BFC" w:rsidRPr="00461D74">
        <w:rPr>
          <w:rFonts w:ascii="Garamond" w:hAnsi="Garamond" w:cstheme="minorHAnsi"/>
          <w:sz w:val="24"/>
          <w:szCs w:val="24"/>
          <w:lang w:val="en-GB"/>
        </w:rPr>
        <w:t>explore</w:t>
      </w:r>
      <w:r w:rsidR="00623B87" w:rsidRPr="00461D74">
        <w:rPr>
          <w:rFonts w:ascii="Garamond" w:hAnsi="Garamond" w:cstheme="minorHAnsi"/>
          <w:sz w:val="24"/>
          <w:szCs w:val="24"/>
          <w:lang w:val="en-GB"/>
        </w:rPr>
        <w:t xml:space="preserve"> his work from a </w:t>
      </w:r>
      <w:r w:rsidR="00735DE0" w:rsidRPr="00461D74">
        <w:rPr>
          <w:rFonts w:ascii="Garamond" w:hAnsi="Garamond" w:cstheme="minorHAnsi"/>
          <w:sz w:val="24"/>
          <w:szCs w:val="24"/>
          <w:lang w:val="en-GB"/>
        </w:rPr>
        <w:t xml:space="preserve">more </w:t>
      </w:r>
      <w:r w:rsidR="00623B87" w:rsidRPr="00461D74">
        <w:rPr>
          <w:rFonts w:ascii="Garamond" w:hAnsi="Garamond" w:cstheme="minorHAnsi"/>
          <w:sz w:val="24"/>
          <w:szCs w:val="24"/>
          <w:lang w:val="en-GB"/>
        </w:rPr>
        <w:t xml:space="preserve">holistic </w:t>
      </w:r>
      <w:r w:rsidR="006D7B6A" w:rsidRPr="00461D74">
        <w:rPr>
          <w:rFonts w:ascii="Garamond" w:hAnsi="Garamond" w:cstheme="minorHAnsi"/>
          <w:sz w:val="24"/>
          <w:szCs w:val="24"/>
          <w:lang w:val="en-GB"/>
        </w:rPr>
        <w:t>standpoint</w:t>
      </w:r>
      <w:r w:rsidR="00623B87" w:rsidRPr="00461D74">
        <w:rPr>
          <w:rFonts w:ascii="Garamond" w:hAnsi="Garamond" w:cstheme="minorHAnsi"/>
          <w:sz w:val="24"/>
          <w:szCs w:val="24"/>
          <w:lang w:val="en-GB"/>
        </w:rPr>
        <w:t>.</w:t>
      </w:r>
      <w:r w:rsidR="006D7B6A" w:rsidRPr="00461D74">
        <w:rPr>
          <w:rFonts w:ascii="Garamond" w:hAnsi="Garamond" w:cstheme="minorHAnsi"/>
          <w:sz w:val="24"/>
          <w:szCs w:val="24"/>
          <w:lang w:val="en-GB"/>
        </w:rPr>
        <w:t xml:space="preserve"> MacIntyre’s critical account is able to systematically connect earlier historical, social and intellectual developments in ethics and politics to the contemporary set of </w:t>
      </w:r>
      <w:r w:rsidR="004F0736" w:rsidRPr="00461D74">
        <w:rPr>
          <w:rFonts w:ascii="Garamond" w:hAnsi="Garamond" w:cstheme="minorHAnsi"/>
          <w:sz w:val="24"/>
          <w:szCs w:val="24"/>
          <w:lang w:val="en-GB"/>
        </w:rPr>
        <w:t xml:space="preserve">social, </w:t>
      </w:r>
      <w:r w:rsidR="006D7B6A" w:rsidRPr="00461D74">
        <w:rPr>
          <w:rFonts w:ascii="Garamond" w:hAnsi="Garamond" w:cstheme="minorHAnsi"/>
          <w:sz w:val="24"/>
          <w:szCs w:val="24"/>
          <w:lang w:val="en-GB"/>
        </w:rPr>
        <w:t>cultural</w:t>
      </w:r>
      <w:r w:rsidR="004F0736" w:rsidRPr="00461D74">
        <w:rPr>
          <w:rFonts w:ascii="Garamond" w:hAnsi="Garamond" w:cstheme="minorHAnsi"/>
          <w:sz w:val="24"/>
          <w:szCs w:val="24"/>
          <w:lang w:val="en-GB"/>
        </w:rPr>
        <w:t>,</w:t>
      </w:r>
      <w:r w:rsidR="006D7B6A" w:rsidRPr="00461D74">
        <w:rPr>
          <w:rFonts w:ascii="Garamond" w:hAnsi="Garamond" w:cstheme="minorHAnsi"/>
          <w:sz w:val="24"/>
          <w:szCs w:val="24"/>
          <w:lang w:val="en-GB"/>
        </w:rPr>
        <w:t xml:space="preserve"> and intellectual circumstances in which we find ourselves, perhaps better than any </w:t>
      </w:r>
      <w:r w:rsidR="00CE7C3A" w:rsidRPr="00461D74">
        <w:rPr>
          <w:rFonts w:ascii="Garamond" w:hAnsi="Garamond" w:cstheme="minorHAnsi"/>
          <w:sz w:val="24"/>
          <w:szCs w:val="24"/>
          <w:lang w:val="en-GB"/>
        </w:rPr>
        <w:t>of his predecessors</w:t>
      </w:r>
      <w:r w:rsidR="006D7B6A" w:rsidRPr="00461D74">
        <w:rPr>
          <w:rFonts w:ascii="Garamond" w:hAnsi="Garamond" w:cstheme="minorHAnsi"/>
          <w:sz w:val="24"/>
          <w:szCs w:val="24"/>
          <w:lang w:val="en-GB"/>
        </w:rPr>
        <w:t>.</w:t>
      </w:r>
      <w:r w:rsidR="00DF6F65" w:rsidRPr="00461D74">
        <w:rPr>
          <w:rFonts w:ascii="Garamond" w:hAnsi="Garamond" w:cstheme="minorHAnsi"/>
          <w:sz w:val="24"/>
          <w:szCs w:val="24"/>
          <w:lang w:val="en-GB"/>
        </w:rPr>
        <w:t xml:space="preserve"> A central claim that I am proposing here is that MacIntyre’s work, because it offers us a rational historical reconstruction of our current</w:t>
      </w:r>
      <w:r w:rsidR="002C719F" w:rsidRPr="00461D74">
        <w:rPr>
          <w:rFonts w:ascii="Garamond" w:hAnsi="Garamond" w:cstheme="minorHAnsi"/>
          <w:sz w:val="24"/>
          <w:szCs w:val="24"/>
          <w:lang w:val="en-GB"/>
        </w:rPr>
        <w:t xml:space="preserve"> </w:t>
      </w:r>
      <w:r w:rsidR="00DF6F65" w:rsidRPr="00461D74">
        <w:rPr>
          <w:rFonts w:ascii="Garamond" w:hAnsi="Garamond" w:cstheme="minorHAnsi"/>
          <w:sz w:val="24"/>
          <w:szCs w:val="24"/>
          <w:lang w:val="en-GB"/>
        </w:rPr>
        <w:t>soci</w:t>
      </w:r>
      <w:r w:rsidR="002C719F" w:rsidRPr="00461D74">
        <w:rPr>
          <w:rFonts w:ascii="Garamond" w:hAnsi="Garamond" w:cstheme="minorHAnsi"/>
          <w:sz w:val="24"/>
          <w:szCs w:val="24"/>
          <w:lang w:val="en-GB"/>
        </w:rPr>
        <w:t xml:space="preserve">o-political </w:t>
      </w:r>
      <w:r w:rsidR="00081A92" w:rsidRPr="00461D74">
        <w:rPr>
          <w:rFonts w:ascii="Garamond" w:hAnsi="Garamond" w:cstheme="minorHAnsi"/>
          <w:sz w:val="24"/>
          <w:szCs w:val="24"/>
          <w:lang w:val="en-GB"/>
        </w:rPr>
        <w:t>and socio-</w:t>
      </w:r>
      <w:r w:rsidR="002C719F" w:rsidRPr="00461D74">
        <w:rPr>
          <w:rFonts w:ascii="Garamond" w:hAnsi="Garamond" w:cstheme="minorHAnsi"/>
          <w:sz w:val="24"/>
          <w:szCs w:val="24"/>
          <w:lang w:val="en-GB"/>
        </w:rPr>
        <w:t>cultural</w:t>
      </w:r>
      <w:r w:rsidR="00DF6F65" w:rsidRPr="00461D74">
        <w:rPr>
          <w:rFonts w:ascii="Garamond" w:hAnsi="Garamond" w:cstheme="minorHAnsi"/>
          <w:sz w:val="24"/>
          <w:szCs w:val="24"/>
          <w:lang w:val="en-GB"/>
        </w:rPr>
        <w:t xml:space="preserve"> predicament, remains a </w:t>
      </w:r>
      <w:r w:rsidR="002C719F" w:rsidRPr="00461D74">
        <w:rPr>
          <w:rFonts w:ascii="Garamond" w:hAnsi="Garamond" w:cstheme="minorHAnsi"/>
          <w:sz w:val="24"/>
          <w:szCs w:val="24"/>
          <w:lang w:val="en-GB"/>
        </w:rPr>
        <w:t>compelling</w:t>
      </w:r>
      <w:r w:rsidR="00DF6F65" w:rsidRPr="00461D74">
        <w:rPr>
          <w:rFonts w:ascii="Garamond" w:hAnsi="Garamond" w:cstheme="minorHAnsi"/>
          <w:sz w:val="24"/>
          <w:szCs w:val="24"/>
          <w:lang w:val="en-GB"/>
        </w:rPr>
        <w:t xml:space="preserve"> </w:t>
      </w:r>
      <w:r w:rsidR="002C719F" w:rsidRPr="00461D74">
        <w:rPr>
          <w:rFonts w:ascii="Garamond" w:hAnsi="Garamond" w:cstheme="minorHAnsi"/>
          <w:sz w:val="24"/>
          <w:szCs w:val="24"/>
          <w:lang w:val="en-GB"/>
        </w:rPr>
        <w:t xml:space="preserve">intellectual </w:t>
      </w:r>
      <w:r w:rsidR="00DF6F65" w:rsidRPr="00461D74">
        <w:rPr>
          <w:rFonts w:ascii="Garamond" w:hAnsi="Garamond" w:cstheme="minorHAnsi"/>
          <w:sz w:val="24"/>
          <w:szCs w:val="24"/>
          <w:lang w:val="en-GB"/>
        </w:rPr>
        <w:t xml:space="preserve">starting point </w:t>
      </w:r>
      <w:r w:rsidR="002C719F" w:rsidRPr="00461D74">
        <w:rPr>
          <w:rFonts w:ascii="Garamond" w:hAnsi="Garamond" w:cstheme="minorHAnsi"/>
          <w:sz w:val="24"/>
          <w:szCs w:val="24"/>
          <w:lang w:val="en-GB"/>
        </w:rPr>
        <w:t xml:space="preserve">for developing an eventual resolution of </w:t>
      </w:r>
      <w:r w:rsidR="00081A92" w:rsidRPr="00461D74">
        <w:rPr>
          <w:rFonts w:ascii="Garamond" w:hAnsi="Garamond" w:cstheme="minorHAnsi"/>
          <w:sz w:val="24"/>
          <w:szCs w:val="24"/>
          <w:lang w:val="en-GB"/>
        </w:rPr>
        <w:t xml:space="preserve">at least some of </w:t>
      </w:r>
      <w:r w:rsidR="002C719F" w:rsidRPr="00461D74">
        <w:rPr>
          <w:rFonts w:ascii="Garamond" w:hAnsi="Garamond" w:cstheme="minorHAnsi"/>
          <w:sz w:val="24"/>
          <w:szCs w:val="24"/>
          <w:lang w:val="en-GB"/>
        </w:rPr>
        <w:t xml:space="preserve">the </w:t>
      </w:r>
      <w:r w:rsidR="005F1BD4" w:rsidRPr="00461D74">
        <w:rPr>
          <w:rFonts w:ascii="Garamond" w:hAnsi="Garamond" w:cstheme="minorHAnsi"/>
          <w:sz w:val="24"/>
          <w:szCs w:val="24"/>
          <w:lang w:val="en-GB"/>
        </w:rPr>
        <w:t>thorny</w:t>
      </w:r>
      <w:r w:rsidR="002C719F" w:rsidRPr="00461D74">
        <w:rPr>
          <w:rFonts w:ascii="Garamond" w:hAnsi="Garamond" w:cstheme="minorHAnsi"/>
          <w:sz w:val="24"/>
          <w:szCs w:val="24"/>
          <w:lang w:val="en-GB"/>
        </w:rPr>
        <w:t xml:space="preserve"> problems that </w:t>
      </w:r>
      <w:r w:rsidR="005F1BD4" w:rsidRPr="00461D74">
        <w:rPr>
          <w:rFonts w:ascii="Garamond" w:hAnsi="Garamond" w:cstheme="minorHAnsi"/>
          <w:sz w:val="24"/>
          <w:szCs w:val="24"/>
          <w:lang w:val="en-GB"/>
        </w:rPr>
        <w:t>beleaguer</w:t>
      </w:r>
      <w:r w:rsidR="002C719F" w:rsidRPr="00461D74">
        <w:rPr>
          <w:rFonts w:ascii="Garamond" w:hAnsi="Garamond" w:cstheme="minorHAnsi"/>
          <w:sz w:val="24"/>
          <w:szCs w:val="24"/>
          <w:lang w:val="en-GB"/>
        </w:rPr>
        <w:t xml:space="preserve"> liberal societies.</w:t>
      </w:r>
      <w:r w:rsidR="0035155B">
        <w:rPr>
          <w:rFonts w:ascii="Garamond" w:hAnsi="Garamond" w:cstheme="minorHAnsi"/>
          <w:sz w:val="24"/>
          <w:szCs w:val="24"/>
          <w:lang w:val="en-GB"/>
        </w:rPr>
        <w:t xml:space="preserve"> </w:t>
      </w:r>
    </w:p>
    <w:p w:rsidR="00CF0798" w:rsidRPr="00461D74" w:rsidRDefault="00103C07"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However, n</w:t>
      </w:r>
      <w:r w:rsidR="0084543B" w:rsidRPr="00461D74">
        <w:rPr>
          <w:rFonts w:ascii="Garamond" w:hAnsi="Garamond" w:cstheme="minorHAnsi"/>
          <w:sz w:val="24"/>
          <w:szCs w:val="24"/>
          <w:lang w:val="en-GB"/>
        </w:rPr>
        <w:t xml:space="preserve">otwithstanding the promise of MacIntyre’s work, </w:t>
      </w:r>
      <w:r w:rsidR="00DD2366" w:rsidRPr="00461D74">
        <w:rPr>
          <w:rFonts w:ascii="Garamond" w:hAnsi="Garamond" w:cstheme="minorHAnsi"/>
          <w:sz w:val="24"/>
          <w:szCs w:val="24"/>
          <w:lang w:val="en-GB"/>
        </w:rPr>
        <w:t xml:space="preserve">in order to advance </w:t>
      </w:r>
      <w:r w:rsidR="00E40D1A" w:rsidRPr="00461D74">
        <w:rPr>
          <w:rFonts w:ascii="Garamond" w:hAnsi="Garamond" w:cstheme="minorHAnsi"/>
          <w:sz w:val="24"/>
          <w:szCs w:val="24"/>
          <w:lang w:val="en-GB"/>
        </w:rPr>
        <w:t>the discussion in this thesis and</w:t>
      </w:r>
      <w:r w:rsidR="00201B1D" w:rsidRPr="00461D74">
        <w:rPr>
          <w:rFonts w:ascii="Garamond" w:hAnsi="Garamond" w:cstheme="minorHAnsi"/>
          <w:sz w:val="24"/>
          <w:szCs w:val="24"/>
          <w:lang w:val="en-GB"/>
        </w:rPr>
        <w:t xml:space="preserve"> achieve </w:t>
      </w:r>
      <w:r w:rsidR="008B6CE9">
        <w:rPr>
          <w:rFonts w:ascii="Garamond" w:hAnsi="Garamond" w:cstheme="minorHAnsi"/>
          <w:sz w:val="24"/>
          <w:szCs w:val="24"/>
          <w:lang w:val="en-GB"/>
        </w:rPr>
        <w:t>its</w:t>
      </w:r>
      <w:r w:rsidR="004437FB" w:rsidRPr="00461D74">
        <w:rPr>
          <w:rFonts w:ascii="Garamond" w:hAnsi="Garamond" w:cstheme="minorHAnsi"/>
          <w:sz w:val="24"/>
          <w:szCs w:val="24"/>
          <w:lang w:val="en-GB"/>
        </w:rPr>
        <w:t xml:space="preserve"> </w:t>
      </w:r>
      <w:r w:rsidR="00201B1D" w:rsidRPr="00461D74">
        <w:rPr>
          <w:rFonts w:ascii="Garamond" w:hAnsi="Garamond" w:cstheme="minorHAnsi"/>
          <w:sz w:val="24"/>
          <w:szCs w:val="24"/>
          <w:lang w:val="en-GB"/>
        </w:rPr>
        <w:t xml:space="preserve">intended outcome, </w:t>
      </w:r>
      <w:r w:rsidR="004437FB" w:rsidRPr="00461D74">
        <w:rPr>
          <w:rFonts w:ascii="Garamond" w:hAnsi="Garamond" w:cstheme="minorHAnsi"/>
          <w:sz w:val="24"/>
          <w:szCs w:val="24"/>
          <w:lang w:val="en-GB"/>
        </w:rPr>
        <w:t xml:space="preserve">I </w:t>
      </w:r>
      <w:r w:rsidR="0084543B" w:rsidRPr="00461D74">
        <w:rPr>
          <w:rFonts w:ascii="Garamond" w:hAnsi="Garamond" w:cstheme="minorHAnsi"/>
          <w:sz w:val="24"/>
          <w:szCs w:val="24"/>
          <w:lang w:val="en-GB"/>
        </w:rPr>
        <w:t xml:space="preserve">need to make a faithful attempt at </w:t>
      </w:r>
      <w:r w:rsidR="00201B1D" w:rsidRPr="00461D74">
        <w:rPr>
          <w:rFonts w:ascii="Garamond" w:hAnsi="Garamond" w:cstheme="minorHAnsi"/>
          <w:sz w:val="24"/>
          <w:szCs w:val="24"/>
          <w:lang w:val="en-GB"/>
        </w:rPr>
        <w:t xml:space="preserve">removing </w:t>
      </w:r>
      <w:r w:rsidR="006B18D3" w:rsidRPr="00461D74">
        <w:rPr>
          <w:rFonts w:ascii="Garamond" w:hAnsi="Garamond" w:cstheme="minorHAnsi"/>
          <w:sz w:val="24"/>
          <w:szCs w:val="24"/>
          <w:lang w:val="en-GB"/>
        </w:rPr>
        <w:t xml:space="preserve">or at least reducing </w:t>
      </w:r>
      <w:r w:rsidR="00201B1D" w:rsidRPr="00461D74">
        <w:rPr>
          <w:rFonts w:ascii="Garamond" w:hAnsi="Garamond" w:cstheme="minorHAnsi"/>
          <w:sz w:val="24"/>
          <w:szCs w:val="24"/>
          <w:lang w:val="en-GB"/>
        </w:rPr>
        <w:t xml:space="preserve">the </w:t>
      </w:r>
      <w:r w:rsidR="00ED52C5" w:rsidRPr="00461D74">
        <w:rPr>
          <w:rFonts w:ascii="Garamond" w:hAnsi="Garamond" w:cstheme="minorHAnsi"/>
          <w:sz w:val="24"/>
          <w:szCs w:val="24"/>
          <w:lang w:val="en-GB"/>
        </w:rPr>
        <w:t xml:space="preserve">worries generated by the </w:t>
      </w:r>
      <w:r w:rsidR="00201B1D" w:rsidRPr="00461D74">
        <w:rPr>
          <w:rFonts w:ascii="Garamond" w:hAnsi="Garamond" w:cstheme="minorHAnsi"/>
          <w:sz w:val="24"/>
          <w:szCs w:val="24"/>
          <w:lang w:val="en-GB"/>
        </w:rPr>
        <w:t>second and third reasons discussed above</w:t>
      </w:r>
      <w:r w:rsidR="00ED52C5" w:rsidRPr="00461D74">
        <w:rPr>
          <w:rFonts w:ascii="Garamond" w:hAnsi="Garamond" w:cstheme="minorHAnsi"/>
          <w:sz w:val="24"/>
          <w:szCs w:val="24"/>
          <w:lang w:val="en-GB"/>
        </w:rPr>
        <w:t>, which are</w:t>
      </w:r>
      <w:r w:rsidR="00201B1D" w:rsidRPr="00461D74">
        <w:rPr>
          <w:rFonts w:ascii="Garamond" w:hAnsi="Garamond" w:cstheme="minorHAnsi"/>
          <w:sz w:val="24"/>
          <w:szCs w:val="24"/>
          <w:lang w:val="en-GB"/>
        </w:rPr>
        <w:t xml:space="preserve"> often cited as limiting factors in MacIntyre’s overall influence.</w:t>
      </w:r>
      <w:r w:rsidR="005274C7" w:rsidRPr="00461D74">
        <w:rPr>
          <w:rFonts w:ascii="Garamond" w:hAnsi="Garamond" w:cstheme="minorHAnsi"/>
          <w:sz w:val="24"/>
          <w:szCs w:val="24"/>
          <w:lang w:val="en-GB"/>
        </w:rPr>
        <w:t xml:space="preserve"> </w:t>
      </w:r>
      <w:r w:rsidR="0070543C" w:rsidRPr="00461D74">
        <w:rPr>
          <w:rFonts w:ascii="Garamond" w:hAnsi="Garamond" w:cstheme="minorHAnsi"/>
          <w:sz w:val="24"/>
          <w:szCs w:val="24"/>
          <w:lang w:val="en-GB"/>
        </w:rPr>
        <w:t xml:space="preserve">What is </w:t>
      </w:r>
      <w:r w:rsidR="00ED52C5" w:rsidRPr="00461D74">
        <w:rPr>
          <w:rFonts w:ascii="Garamond" w:hAnsi="Garamond" w:cstheme="minorHAnsi"/>
          <w:sz w:val="24"/>
          <w:szCs w:val="24"/>
          <w:lang w:val="en-GB"/>
        </w:rPr>
        <w:t xml:space="preserve">perhaps more </w:t>
      </w:r>
      <w:r w:rsidR="0070543C" w:rsidRPr="00461D74">
        <w:rPr>
          <w:rFonts w:ascii="Garamond" w:hAnsi="Garamond" w:cstheme="minorHAnsi"/>
          <w:sz w:val="24"/>
          <w:szCs w:val="24"/>
          <w:lang w:val="en-GB"/>
        </w:rPr>
        <w:lastRenderedPageBreak/>
        <w:t xml:space="preserve">significant </w:t>
      </w:r>
      <w:r w:rsidR="00ED52C5" w:rsidRPr="00461D74">
        <w:rPr>
          <w:rFonts w:ascii="Garamond" w:hAnsi="Garamond" w:cstheme="minorHAnsi"/>
          <w:sz w:val="24"/>
          <w:szCs w:val="24"/>
          <w:lang w:val="en-GB"/>
        </w:rPr>
        <w:t xml:space="preserve">and very much relevant to the direction of this thesis </w:t>
      </w:r>
      <w:r w:rsidR="0070543C" w:rsidRPr="00461D74">
        <w:rPr>
          <w:rFonts w:ascii="Garamond" w:hAnsi="Garamond" w:cstheme="minorHAnsi"/>
          <w:sz w:val="24"/>
          <w:szCs w:val="24"/>
          <w:lang w:val="en-GB"/>
        </w:rPr>
        <w:t>is that</w:t>
      </w:r>
      <w:r w:rsidR="006C5335" w:rsidRPr="00461D74">
        <w:rPr>
          <w:rFonts w:ascii="Garamond" w:hAnsi="Garamond" w:cstheme="minorHAnsi"/>
          <w:sz w:val="24"/>
          <w:szCs w:val="24"/>
          <w:lang w:val="en-GB"/>
        </w:rPr>
        <w:t xml:space="preserve"> th</w:t>
      </w:r>
      <w:r w:rsidR="00ED52C5" w:rsidRPr="00461D74">
        <w:rPr>
          <w:rFonts w:ascii="Garamond" w:hAnsi="Garamond" w:cstheme="minorHAnsi"/>
          <w:sz w:val="24"/>
          <w:szCs w:val="24"/>
          <w:lang w:val="en-GB"/>
        </w:rPr>
        <w:t>e</w:t>
      </w:r>
      <w:r w:rsidR="005274C7" w:rsidRPr="00461D74">
        <w:rPr>
          <w:rFonts w:ascii="Garamond" w:hAnsi="Garamond" w:cstheme="minorHAnsi"/>
          <w:sz w:val="24"/>
          <w:szCs w:val="24"/>
          <w:lang w:val="en-GB"/>
        </w:rPr>
        <w:t xml:space="preserve"> </w:t>
      </w:r>
      <w:r w:rsidR="006C5335" w:rsidRPr="00461D74">
        <w:rPr>
          <w:rFonts w:ascii="Garamond" w:hAnsi="Garamond" w:cstheme="minorHAnsi"/>
          <w:sz w:val="24"/>
          <w:szCs w:val="24"/>
          <w:lang w:val="en-GB"/>
        </w:rPr>
        <w:t>second</w:t>
      </w:r>
      <w:r w:rsidR="005274C7" w:rsidRPr="00461D74">
        <w:rPr>
          <w:rFonts w:ascii="Garamond" w:hAnsi="Garamond" w:cstheme="minorHAnsi"/>
          <w:sz w:val="24"/>
          <w:szCs w:val="24"/>
          <w:lang w:val="en-GB"/>
        </w:rPr>
        <w:t xml:space="preserve"> </w:t>
      </w:r>
      <w:r w:rsidR="006C5335" w:rsidRPr="00461D74">
        <w:rPr>
          <w:rFonts w:ascii="Garamond" w:hAnsi="Garamond" w:cstheme="minorHAnsi"/>
          <w:sz w:val="24"/>
          <w:szCs w:val="24"/>
          <w:lang w:val="en-GB"/>
        </w:rPr>
        <w:t>reason</w:t>
      </w:r>
      <w:r w:rsidR="0070543C" w:rsidRPr="00461D74">
        <w:rPr>
          <w:rFonts w:ascii="Garamond" w:hAnsi="Garamond" w:cstheme="minorHAnsi"/>
          <w:sz w:val="24"/>
          <w:szCs w:val="24"/>
          <w:lang w:val="en-GB"/>
        </w:rPr>
        <w:t>,</w:t>
      </w:r>
      <w:r w:rsidR="006C5335" w:rsidRPr="00461D74">
        <w:rPr>
          <w:rFonts w:ascii="Garamond" w:hAnsi="Garamond" w:cstheme="minorHAnsi"/>
          <w:sz w:val="24"/>
          <w:szCs w:val="24"/>
          <w:lang w:val="en-GB"/>
        </w:rPr>
        <w:t xml:space="preserve"> </w:t>
      </w:r>
      <w:r w:rsidR="0070543C" w:rsidRPr="00461D74">
        <w:rPr>
          <w:rFonts w:ascii="Garamond" w:hAnsi="Garamond" w:cstheme="minorHAnsi"/>
          <w:sz w:val="24"/>
          <w:szCs w:val="24"/>
          <w:lang w:val="en-GB"/>
        </w:rPr>
        <w:t>which</w:t>
      </w:r>
      <w:r w:rsidR="00427419" w:rsidRPr="00461D74">
        <w:rPr>
          <w:rFonts w:ascii="Garamond" w:hAnsi="Garamond" w:cstheme="minorHAnsi"/>
          <w:sz w:val="24"/>
          <w:szCs w:val="24"/>
          <w:lang w:val="en-GB"/>
        </w:rPr>
        <w:t xml:space="preserve"> </w:t>
      </w:r>
      <w:r w:rsidR="0070543C" w:rsidRPr="00461D74">
        <w:rPr>
          <w:rFonts w:ascii="Garamond" w:hAnsi="Garamond" w:cstheme="minorHAnsi"/>
          <w:sz w:val="24"/>
          <w:szCs w:val="24"/>
          <w:lang w:val="en-GB"/>
        </w:rPr>
        <w:t>i</w:t>
      </w:r>
      <w:r w:rsidR="00427419" w:rsidRPr="00461D74">
        <w:rPr>
          <w:rFonts w:ascii="Garamond" w:hAnsi="Garamond" w:cstheme="minorHAnsi"/>
          <w:sz w:val="24"/>
          <w:szCs w:val="24"/>
          <w:lang w:val="en-GB"/>
        </w:rPr>
        <w:t xml:space="preserve">n my view limits the influence of </w:t>
      </w:r>
      <w:r w:rsidR="006C5335" w:rsidRPr="00461D74">
        <w:rPr>
          <w:rFonts w:ascii="Garamond" w:hAnsi="Garamond" w:cstheme="minorHAnsi"/>
          <w:sz w:val="24"/>
          <w:szCs w:val="24"/>
          <w:lang w:val="en-GB"/>
        </w:rPr>
        <w:t xml:space="preserve">MacIntyre’s </w:t>
      </w:r>
      <w:r w:rsidR="00427419" w:rsidRPr="00461D74">
        <w:rPr>
          <w:rFonts w:ascii="Garamond" w:hAnsi="Garamond" w:cstheme="minorHAnsi"/>
          <w:sz w:val="24"/>
          <w:szCs w:val="24"/>
          <w:lang w:val="en-GB"/>
        </w:rPr>
        <w:t>work</w:t>
      </w:r>
      <w:r w:rsidR="0070543C" w:rsidRPr="00461D74">
        <w:rPr>
          <w:rFonts w:ascii="Garamond" w:hAnsi="Garamond" w:cstheme="minorHAnsi"/>
          <w:sz w:val="24"/>
          <w:szCs w:val="24"/>
          <w:lang w:val="en-GB"/>
        </w:rPr>
        <w:t>,</w:t>
      </w:r>
      <w:r w:rsidR="006C5335" w:rsidRPr="00461D74">
        <w:rPr>
          <w:rFonts w:ascii="Garamond" w:hAnsi="Garamond" w:cstheme="minorHAnsi"/>
          <w:sz w:val="24"/>
          <w:szCs w:val="24"/>
          <w:lang w:val="en-GB"/>
        </w:rPr>
        <w:t xml:space="preserve"> ultimately generate</w:t>
      </w:r>
      <w:r w:rsidR="00427419" w:rsidRPr="00461D74">
        <w:rPr>
          <w:rFonts w:ascii="Garamond" w:hAnsi="Garamond" w:cstheme="minorHAnsi"/>
          <w:sz w:val="24"/>
          <w:szCs w:val="24"/>
          <w:lang w:val="en-GB"/>
        </w:rPr>
        <w:t>s</w:t>
      </w:r>
      <w:r w:rsidR="006C5335" w:rsidRPr="00461D74">
        <w:rPr>
          <w:rFonts w:ascii="Garamond" w:hAnsi="Garamond" w:cstheme="minorHAnsi"/>
          <w:sz w:val="24"/>
          <w:szCs w:val="24"/>
          <w:lang w:val="en-GB"/>
        </w:rPr>
        <w:t xml:space="preserve"> two </w:t>
      </w:r>
      <w:r w:rsidR="00427419" w:rsidRPr="00461D74">
        <w:rPr>
          <w:rFonts w:ascii="Garamond" w:hAnsi="Garamond" w:cstheme="minorHAnsi"/>
          <w:sz w:val="24"/>
          <w:szCs w:val="24"/>
          <w:lang w:val="en-GB"/>
        </w:rPr>
        <w:t>important difficulties (or tensions)</w:t>
      </w:r>
      <w:r w:rsidR="0070543C" w:rsidRPr="00461D74">
        <w:rPr>
          <w:rFonts w:ascii="Garamond" w:hAnsi="Garamond" w:cstheme="minorHAnsi"/>
          <w:sz w:val="24"/>
          <w:szCs w:val="24"/>
          <w:lang w:val="en-GB"/>
        </w:rPr>
        <w:t>; and t</w:t>
      </w:r>
      <w:r w:rsidR="00427419" w:rsidRPr="00461D74">
        <w:rPr>
          <w:rFonts w:ascii="Garamond" w:hAnsi="Garamond" w:cstheme="minorHAnsi"/>
          <w:sz w:val="24"/>
          <w:szCs w:val="24"/>
          <w:lang w:val="en-GB"/>
        </w:rPr>
        <w:t>he resolution of these two difficulties will be the focus of this thesis.</w:t>
      </w:r>
      <w:r w:rsidR="0070543C" w:rsidRPr="00461D74">
        <w:rPr>
          <w:rFonts w:ascii="Garamond" w:hAnsi="Garamond" w:cstheme="minorHAnsi"/>
          <w:sz w:val="24"/>
          <w:szCs w:val="24"/>
          <w:lang w:val="en-GB"/>
        </w:rPr>
        <w:t xml:space="preserve"> </w:t>
      </w:r>
    </w:p>
    <w:p w:rsidR="000E7D71" w:rsidRPr="00461D74" w:rsidRDefault="000E7D71" w:rsidP="00164E4D">
      <w:pPr>
        <w:spacing w:line="360" w:lineRule="auto"/>
        <w:ind w:firstLine="720"/>
        <w:jc w:val="both"/>
        <w:rPr>
          <w:rFonts w:ascii="Garamond" w:hAnsi="Garamond" w:cstheme="minorHAnsi"/>
          <w:lang w:val="en-GB"/>
        </w:rPr>
      </w:pPr>
      <w:r w:rsidRPr="00461D74">
        <w:rPr>
          <w:rFonts w:ascii="Garamond" w:hAnsi="Garamond"/>
          <w:sz w:val="24"/>
          <w:szCs w:val="24"/>
        </w:rPr>
        <w:t>MacIntyre’s Thomistic turn</w:t>
      </w:r>
      <w:r w:rsidR="00FF06DD" w:rsidRPr="00461D74">
        <w:rPr>
          <w:rFonts w:ascii="Garamond" w:hAnsi="Garamond"/>
          <w:sz w:val="24"/>
          <w:szCs w:val="24"/>
        </w:rPr>
        <w:t>, made</w:t>
      </w:r>
      <w:r w:rsidRPr="00461D74">
        <w:rPr>
          <w:rFonts w:ascii="Garamond" w:hAnsi="Garamond"/>
          <w:sz w:val="24"/>
          <w:szCs w:val="24"/>
        </w:rPr>
        <w:t xml:space="preserve"> some</w:t>
      </w:r>
      <w:r w:rsidR="00FF06DD" w:rsidRPr="00461D74">
        <w:rPr>
          <w:rFonts w:ascii="Garamond" w:hAnsi="Garamond"/>
          <w:sz w:val="24"/>
          <w:szCs w:val="24"/>
        </w:rPr>
        <w:t xml:space="preserve"> </w:t>
      </w:r>
      <w:r w:rsidRPr="00461D74">
        <w:rPr>
          <w:rFonts w:ascii="Garamond" w:hAnsi="Garamond"/>
          <w:sz w:val="24"/>
          <w:szCs w:val="24"/>
        </w:rPr>
        <w:t xml:space="preserve">time after 1985, appears to generate at least two important tensions (or difficulties) for his account. And this represents a challenge for those of us who seek to reconcile MacIntyre’s earlier historicism and contextualism, especially evident in </w:t>
      </w:r>
      <w:r w:rsidRPr="00461D74">
        <w:rPr>
          <w:rFonts w:ascii="Garamond" w:hAnsi="Garamond"/>
          <w:i/>
          <w:sz w:val="24"/>
          <w:szCs w:val="24"/>
        </w:rPr>
        <w:t>After Virtue</w:t>
      </w:r>
      <w:r w:rsidRPr="00461D74">
        <w:rPr>
          <w:rFonts w:ascii="Garamond" w:hAnsi="Garamond"/>
          <w:sz w:val="24"/>
          <w:szCs w:val="24"/>
        </w:rPr>
        <w:t xml:space="preserve">, with the metaphysical commitments that emerge as part of his endorsement of Thomism as the best tradition of moral inquiry. Now, this issue takes on an added significance since MacIntyre never actually abandons the historicism and contextualism </w:t>
      </w:r>
      <w:r w:rsidR="00103C07" w:rsidRPr="00461D74">
        <w:rPr>
          <w:rFonts w:ascii="Garamond" w:hAnsi="Garamond"/>
          <w:sz w:val="24"/>
          <w:szCs w:val="24"/>
        </w:rPr>
        <w:t xml:space="preserve">put forward </w:t>
      </w:r>
      <w:r w:rsidRPr="00461D74">
        <w:rPr>
          <w:rFonts w:ascii="Garamond" w:hAnsi="Garamond"/>
          <w:sz w:val="24"/>
          <w:szCs w:val="24"/>
        </w:rPr>
        <w:t xml:space="preserve">in </w:t>
      </w:r>
      <w:r w:rsidRPr="00461D74">
        <w:rPr>
          <w:rFonts w:ascii="Garamond" w:hAnsi="Garamond"/>
          <w:i/>
          <w:sz w:val="24"/>
          <w:szCs w:val="24"/>
        </w:rPr>
        <w:t>After Virtue</w:t>
      </w:r>
      <w:r w:rsidRPr="00461D74">
        <w:rPr>
          <w:rFonts w:ascii="Garamond" w:hAnsi="Garamond"/>
          <w:sz w:val="24"/>
          <w:szCs w:val="24"/>
        </w:rPr>
        <w:t xml:space="preserve">; instead in </w:t>
      </w:r>
      <w:r w:rsidRPr="00461D74">
        <w:rPr>
          <w:rFonts w:ascii="Garamond" w:hAnsi="Garamond"/>
          <w:i/>
          <w:sz w:val="24"/>
          <w:szCs w:val="24"/>
        </w:rPr>
        <w:t>Whose Justice</w:t>
      </w:r>
      <w:r w:rsidR="00103C07" w:rsidRPr="00461D74">
        <w:rPr>
          <w:rFonts w:ascii="Garamond" w:hAnsi="Garamond"/>
          <w:i/>
          <w:sz w:val="24"/>
          <w:szCs w:val="24"/>
        </w:rPr>
        <w:t xml:space="preserve"> </w:t>
      </w:r>
      <w:r w:rsidRPr="00461D74">
        <w:rPr>
          <w:rFonts w:ascii="Garamond" w:hAnsi="Garamond"/>
          <w:sz w:val="24"/>
          <w:szCs w:val="24"/>
        </w:rPr>
        <w:t>–</w:t>
      </w:r>
      <w:r w:rsidR="00103C07" w:rsidRPr="00461D74">
        <w:rPr>
          <w:rFonts w:ascii="Garamond" w:hAnsi="Garamond"/>
          <w:sz w:val="24"/>
          <w:szCs w:val="24"/>
        </w:rPr>
        <w:t xml:space="preserve"> </w:t>
      </w:r>
      <w:r w:rsidRPr="00461D74">
        <w:rPr>
          <w:rFonts w:ascii="Garamond" w:hAnsi="Garamond"/>
          <w:sz w:val="24"/>
          <w:szCs w:val="24"/>
        </w:rPr>
        <w:t>a work that reflects his most sophisticated and considered thought after his endorsement of Thomism</w:t>
      </w:r>
      <w:r w:rsidR="00103C07" w:rsidRPr="00461D74">
        <w:rPr>
          <w:rFonts w:ascii="Garamond" w:hAnsi="Garamond"/>
          <w:sz w:val="24"/>
          <w:szCs w:val="24"/>
        </w:rPr>
        <w:t xml:space="preserve"> </w:t>
      </w:r>
      <w:r w:rsidRPr="00461D74">
        <w:rPr>
          <w:rFonts w:ascii="Garamond" w:hAnsi="Garamond"/>
          <w:sz w:val="24"/>
          <w:szCs w:val="24"/>
        </w:rPr>
        <w:t>–</w:t>
      </w:r>
      <w:r w:rsidR="00103C07" w:rsidRPr="00461D74">
        <w:rPr>
          <w:rFonts w:ascii="Garamond" w:hAnsi="Garamond"/>
          <w:sz w:val="24"/>
          <w:szCs w:val="24"/>
        </w:rPr>
        <w:t xml:space="preserve"> </w:t>
      </w:r>
      <w:r w:rsidRPr="00461D74">
        <w:rPr>
          <w:rFonts w:ascii="Garamond" w:hAnsi="Garamond"/>
          <w:sz w:val="24"/>
          <w:szCs w:val="24"/>
        </w:rPr>
        <w:t xml:space="preserve">MacIntyre looks to continue to build on the historical narrative of moral traditions which he initially advanced in </w:t>
      </w:r>
      <w:r w:rsidRPr="00461D74">
        <w:rPr>
          <w:rFonts w:ascii="Garamond" w:hAnsi="Garamond"/>
          <w:i/>
          <w:sz w:val="24"/>
          <w:szCs w:val="24"/>
        </w:rPr>
        <w:t>After Virtue</w:t>
      </w:r>
      <w:r w:rsidRPr="00461D74">
        <w:rPr>
          <w:rFonts w:ascii="Garamond" w:hAnsi="Garamond"/>
          <w:sz w:val="24"/>
          <w:szCs w:val="24"/>
        </w:rPr>
        <w:t>, and appears to once again reiterate many of the earlier commitments.</w:t>
      </w:r>
    </w:p>
    <w:p w:rsidR="000E7D71" w:rsidRPr="00461D74" w:rsidRDefault="000E7D71" w:rsidP="00164E4D">
      <w:pPr>
        <w:spacing w:line="360" w:lineRule="auto"/>
        <w:ind w:firstLine="720"/>
        <w:jc w:val="both"/>
        <w:rPr>
          <w:rFonts w:ascii="Garamond" w:hAnsi="Garamond"/>
          <w:i/>
          <w:sz w:val="24"/>
          <w:szCs w:val="24"/>
        </w:rPr>
      </w:pPr>
      <w:r w:rsidRPr="00461D74">
        <w:rPr>
          <w:rFonts w:ascii="Garamond" w:hAnsi="Garamond"/>
          <w:sz w:val="24"/>
          <w:szCs w:val="24"/>
        </w:rPr>
        <w:t>Moreover, MacIntyre’s Thomistic turn should be understood as a response to the failure of his social teleology</w:t>
      </w:r>
      <w:r w:rsidRPr="00461D74">
        <w:rPr>
          <w:rStyle w:val="FootnoteReference"/>
          <w:rFonts w:ascii="Garamond" w:hAnsi="Garamond"/>
          <w:sz w:val="24"/>
          <w:szCs w:val="24"/>
        </w:rPr>
        <w:footnoteReference w:id="7"/>
      </w:r>
      <w:r w:rsidRPr="00461D74">
        <w:rPr>
          <w:rFonts w:ascii="Garamond" w:hAnsi="Garamond"/>
          <w:sz w:val="24"/>
          <w:szCs w:val="24"/>
        </w:rPr>
        <w:t xml:space="preserve"> in </w:t>
      </w:r>
      <w:r w:rsidRPr="00461D74">
        <w:rPr>
          <w:rFonts w:ascii="Garamond" w:hAnsi="Garamond"/>
          <w:i/>
          <w:sz w:val="24"/>
          <w:szCs w:val="24"/>
        </w:rPr>
        <w:t>After Virtue</w:t>
      </w:r>
      <w:r w:rsidR="00103C07" w:rsidRPr="00461D74">
        <w:rPr>
          <w:rFonts w:ascii="Garamond" w:hAnsi="Garamond"/>
          <w:i/>
          <w:sz w:val="24"/>
          <w:szCs w:val="24"/>
        </w:rPr>
        <w:t xml:space="preserve"> </w:t>
      </w:r>
      <w:r w:rsidRPr="00461D74">
        <w:rPr>
          <w:rFonts w:ascii="Garamond" w:hAnsi="Garamond"/>
          <w:sz w:val="24"/>
          <w:szCs w:val="24"/>
        </w:rPr>
        <w:t>–</w:t>
      </w:r>
      <w:r w:rsidR="00103C07" w:rsidRPr="00461D74">
        <w:rPr>
          <w:rFonts w:ascii="Garamond" w:hAnsi="Garamond"/>
          <w:sz w:val="24"/>
          <w:szCs w:val="24"/>
        </w:rPr>
        <w:t xml:space="preserve"> </w:t>
      </w:r>
      <w:r w:rsidRPr="00461D74">
        <w:rPr>
          <w:rFonts w:ascii="Garamond" w:hAnsi="Garamond"/>
          <w:sz w:val="24"/>
          <w:szCs w:val="24"/>
        </w:rPr>
        <w:t xml:space="preserve">a teleology that was supposed to stand in as a replacement for the loss of Aristotle’s teleological conception in ethics. Now because MacIntyre’s conception of flourishing (or the ‘good’) in </w:t>
      </w:r>
      <w:r w:rsidRPr="00461D74">
        <w:rPr>
          <w:rFonts w:ascii="Garamond" w:hAnsi="Garamond"/>
          <w:i/>
          <w:sz w:val="24"/>
          <w:szCs w:val="24"/>
        </w:rPr>
        <w:t>After Virtue</w:t>
      </w:r>
      <w:r w:rsidRPr="00461D74">
        <w:rPr>
          <w:rFonts w:ascii="Garamond" w:hAnsi="Garamond"/>
          <w:sz w:val="24"/>
          <w:szCs w:val="24"/>
        </w:rPr>
        <w:t xml:space="preserve"> is very much open-ended, it ends up being too thin to be capable of ordering the diverse heterogeneous set of goods that emerges under his account. But in the absence of an effective ordering mechanism which would allow us to assign relative priority to the goods of different social practices, it is not possible to conceptually order social practices in a way that coherently ties MacIntyre’s conception of practice to a unified narrative conception of an individual life that remains directed towards its good; and insofar as the individual is powerless to arrange and </w:t>
      </w:r>
      <w:r w:rsidRPr="00461D74">
        <w:rPr>
          <w:rFonts w:ascii="Garamond" w:hAnsi="Garamond"/>
          <w:sz w:val="24"/>
          <w:szCs w:val="24"/>
        </w:rPr>
        <w:lastRenderedPageBreak/>
        <w:t>structure the various social goods</w:t>
      </w:r>
      <w:r w:rsidR="00FC2065" w:rsidRPr="00461D74">
        <w:rPr>
          <w:rFonts w:ascii="Garamond" w:hAnsi="Garamond"/>
          <w:sz w:val="24"/>
          <w:szCs w:val="24"/>
        </w:rPr>
        <w:t xml:space="preserve"> that are generated in his or her social life</w:t>
      </w:r>
      <w:r w:rsidRPr="00461D74">
        <w:rPr>
          <w:rFonts w:ascii="Garamond" w:hAnsi="Garamond"/>
          <w:sz w:val="24"/>
          <w:szCs w:val="24"/>
        </w:rPr>
        <w:t xml:space="preserve">, he or she cannot definitively adopt </w:t>
      </w:r>
      <w:r w:rsidR="00FC2065" w:rsidRPr="00461D74">
        <w:rPr>
          <w:rFonts w:ascii="Garamond" w:hAnsi="Garamond"/>
          <w:sz w:val="24"/>
          <w:szCs w:val="24"/>
        </w:rPr>
        <w:t xml:space="preserve">or pursue </w:t>
      </w:r>
      <w:r w:rsidRPr="00461D74">
        <w:rPr>
          <w:rFonts w:ascii="Garamond" w:hAnsi="Garamond"/>
          <w:sz w:val="24"/>
          <w:szCs w:val="24"/>
        </w:rPr>
        <w:t xml:space="preserve">a distinctive way of life, nor embrace a particular conception of flourishing. Thus, MacIntyre’s social teleology doesn’t amount to a successful replacement for the loss of Aristotelian teleology. Therefore, his Thomistic turn </w:t>
      </w:r>
      <w:r w:rsidR="00FC2065" w:rsidRPr="00461D74">
        <w:rPr>
          <w:rFonts w:ascii="Garamond" w:hAnsi="Garamond"/>
          <w:sz w:val="24"/>
          <w:szCs w:val="24"/>
        </w:rPr>
        <w:t>should be</w:t>
      </w:r>
      <w:r w:rsidRPr="00461D74">
        <w:rPr>
          <w:rFonts w:ascii="Garamond" w:hAnsi="Garamond"/>
          <w:sz w:val="24"/>
          <w:szCs w:val="24"/>
        </w:rPr>
        <w:t xml:space="preserve"> understood as a response to the inadequacies of MacIntyre’s social teleology in </w:t>
      </w:r>
      <w:r w:rsidRPr="00461D74">
        <w:rPr>
          <w:rFonts w:ascii="Garamond" w:hAnsi="Garamond"/>
          <w:i/>
          <w:sz w:val="24"/>
          <w:szCs w:val="24"/>
        </w:rPr>
        <w:t>After Virtue.</w:t>
      </w:r>
    </w:p>
    <w:p w:rsidR="006357E3" w:rsidRPr="00461D74" w:rsidRDefault="000E7D71" w:rsidP="00164E4D">
      <w:pPr>
        <w:spacing w:line="360" w:lineRule="auto"/>
        <w:ind w:firstLine="720"/>
        <w:jc w:val="both"/>
        <w:rPr>
          <w:rFonts w:ascii="Garamond" w:hAnsi="Garamond"/>
          <w:sz w:val="24"/>
          <w:szCs w:val="24"/>
          <w:lang w:val="en-GB"/>
        </w:rPr>
      </w:pPr>
      <w:r w:rsidRPr="00461D74">
        <w:rPr>
          <w:rFonts w:ascii="Garamond" w:hAnsi="Garamond" w:cstheme="minorHAnsi"/>
          <w:sz w:val="24"/>
          <w:szCs w:val="24"/>
          <w:lang w:val="en-GB"/>
        </w:rPr>
        <w:t xml:space="preserve">Notwithstanding MacIntyre’s response to the problems that beset his </w:t>
      </w:r>
      <w:r w:rsidR="00527B33" w:rsidRPr="00461D74">
        <w:rPr>
          <w:rFonts w:ascii="Garamond" w:hAnsi="Garamond" w:cstheme="minorHAnsi"/>
          <w:sz w:val="24"/>
          <w:szCs w:val="24"/>
          <w:lang w:val="en-GB"/>
        </w:rPr>
        <w:t>social teleology</w:t>
      </w:r>
      <w:r w:rsidRPr="00461D74">
        <w:rPr>
          <w:rFonts w:ascii="Garamond" w:hAnsi="Garamond" w:cstheme="minorHAnsi"/>
          <w:sz w:val="24"/>
          <w:szCs w:val="24"/>
          <w:lang w:val="en-GB"/>
        </w:rPr>
        <w:t xml:space="preserve"> in </w:t>
      </w:r>
      <w:r w:rsidRPr="00461D74">
        <w:rPr>
          <w:rFonts w:ascii="Garamond" w:hAnsi="Garamond" w:cstheme="minorHAnsi"/>
          <w:i/>
          <w:sz w:val="24"/>
          <w:szCs w:val="24"/>
          <w:lang w:val="en-GB"/>
        </w:rPr>
        <w:t>After Virtue</w:t>
      </w:r>
      <w:r w:rsidRPr="00461D74">
        <w:rPr>
          <w:rFonts w:ascii="Garamond" w:hAnsi="Garamond" w:cstheme="minorHAnsi"/>
          <w:sz w:val="24"/>
          <w:szCs w:val="24"/>
          <w:lang w:val="en-GB"/>
        </w:rPr>
        <w:t xml:space="preserve">, it is my contention that </w:t>
      </w:r>
      <w:r w:rsidR="007F00FA" w:rsidRPr="00461D74">
        <w:rPr>
          <w:rFonts w:ascii="Garamond" w:hAnsi="Garamond" w:cstheme="minorHAnsi"/>
          <w:sz w:val="24"/>
          <w:szCs w:val="24"/>
          <w:lang w:val="en-GB"/>
        </w:rPr>
        <w:t>Mac</w:t>
      </w:r>
      <w:r w:rsidR="0089550C" w:rsidRPr="00461D74">
        <w:rPr>
          <w:rFonts w:ascii="Garamond" w:hAnsi="Garamond" w:cstheme="minorHAnsi"/>
          <w:sz w:val="24"/>
          <w:szCs w:val="24"/>
          <w:lang w:val="en-GB"/>
        </w:rPr>
        <w:t>Intyre</w:t>
      </w:r>
      <w:r w:rsidR="007F00FA" w:rsidRPr="00461D74">
        <w:rPr>
          <w:rFonts w:ascii="Garamond" w:hAnsi="Garamond" w:cstheme="minorHAnsi"/>
          <w:sz w:val="24"/>
          <w:szCs w:val="24"/>
          <w:lang w:val="en-GB"/>
        </w:rPr>
        <w:t xml:space="preserve">’s </w:t>
      </w:r>
      <w:r w:rsidR="0089550C" w:rsidRPr="00461D74">
        <w:rPr>
          <w:rFonts w:ascii="Garamond" w:hAnsi="Garamond" w:cstheme="minorHAnsi"/>
          <w:sz w:val="24"/>
          <w:szCs w:val="24"/>
          <w:lang w:val="en-GB"/>
        </w:rPr>
        <w:t xml:space="preserve">later </w:t>
      </w:r>
      <w:r w:rsidRPr="00461D74">
        <w:rPr>
          <w:rFonts w:ascii="Garamond" w:hAnsi="Garamond" w:cstheme="minorHAnsi"/>
          <w:sz w:val="24"/>
          <w:szCs w:val="24"/>
          <w:lang w:val="en-GB"/>
        </w:rPr>
        <w:t xml:space="preserve">endorsement of </w:t>
      </w:r>
      <w:r w:rsidR="0089550C" w:rsidRPr="00461D74">
        <w:rPr>
          <w:rFonts w:ascii="Garamond" w:hAnsi="Garamond" w:cstheme="minorHAnsi"/>
          <w:sz w:val="24"/>
          <w:szCs w:val="24"/>
          <w:lang w:val="en-GB"/>
        </w:rPr>
        <w:t>Thomis</w:t>
      </w:r>
      <w:r w:rsidRPr="00461D74">
        <w:rPr>
          <w:rFonts w:ascii="Garamond" w:hAnsi="Garamond" w:cstheme="minorHAnsi"/>
          <w:sz w:val="24"/>
          <w:szCs w:val="24"/>
          <w:lang w:val="en-GB"/>
        </w:rPr>
        <w:t>m crea</w:t>
      </w:r>
      <w:r w:rsidR="00527B33" w:rsidRPr="00461D74">
        <w:rPr>
          <w:rFonts w:ascii="Garamond" w:hAnsi="Garamond" w:cstheme="minorHAnsi"/>
          <w:sz w:val="24"/>
          <w:szCs w:val="24"/>
          <w:lang w:val="en-GB"/>
        </w:rPr>
        <w:t xml:space="preserve">tes its own unique set of difficulties which remain no less pressing. In my view, MacIntyre’s later Thomistic turn </w:t>
      </w:r>
      <w:r w:rsidR="0089550C" w:rsidRPr="00461D74">
        <w:rPr>
          <w:rFonts w:ascii="Garamond" w:hAnsi="Garamond" w:cstheme="minorHAnsi"/>
          <w:sz w:val="24"/>
          <w:szCs w:val="24"/>
          <w:lang w:val="en-GB"/>
        </w:rPr>
        <w:t>generate</w:t>
      </w:r>
      <w:r w:rsidR="00527B33" w:rsidRPr="00461D74">
        <w:rPr>
          <w:rFonts w:ascii="Garamond" w:hAnsi="Garamond" w:cstheme="minorHAnsi"/>
          <w:sz w:val="24"/>
          <w:szCs w:val="24"/>
          <w:lang w:val="en-GB"/>
        </w:rPr>
        <w:t>s</w:t>
      </w:r>
      <w:r w:rsidR="0089550C" w:rsidRPr="00461D74">
        <w:rPr>
          <w:rFonts w:ascii="Garamond" w:hAnsi="Garamond" w:cstheme="minorHAnsi"/>
          <w:sz w:val="24"/>
          <w:szCs w:val="24"/>
          <w:lang w:val="en-GB"/>
        </w:rPr>
        <w:t xml:space="preserve"> a</w:t>
      </w:r>
      <w:r w:rsidR="00527B33" w:rsidRPr="00461D74">
        <w:rPr>
          <w:rFonts w:ascii="Garamond" w:hAnsi="Garamond" w:cstheme="minorHAnsi"/>
          <w:sz w:val="24"/>
          <w:szCs w:val="24"/>
          <w:lang w:val="en-GB"/>
        </w:rPr>
        <w:t>t least two complications</w:t>
      </w:r>
      <w:r w:rsidR="0089550C" w:rsidRPr="00461D74">
        <w:rPr>
          <w:rFonts w:ascii="Garamond" w:hAnsi="Garamond" w:cstheme="minorHAnsi"/>
          <w:sz w:val="24"/>
          <w:szCs w:val="24"/>
          <w:lang w:val="en-GB"/>
        </w:rPr>
        <w:t xml:space="preserve"> that are difficult to reconcile with </w:t>
      </w:r>
      <w:r w:rsidR="00527B33" w:rsidRPr="00461D74">
        <w:rPr>
          <w:rFonts w:ascii="Garamond" w:hAnsi="Garamond" w:cstheme="minorHAnsi"/>
          <w:sz w:val="24"/>
          <w:szCs w:val="24"/>
          <w:lang w:val="en-GB"/>
        </w:rPr>
        <w:t>the</w:t>
      </w:r>
      <w:r w:rsidR="007F00FA" w:rsidRPr="00461D74">
        <w:rPr>
          <w:rFonts w:ascii="Garamond" w:hAnsi="Garamond" w:cstheme="minorHAnsi"/>
          <w:sz w:val="24"/>
          <w:szCs w:val="24"/>
          <w:lang w:val="en-GB"/>
        </w:rPr>
        <w:t xml:space="preserve"> </w:t>
      </w:r>
      <w:r w:rsidR="00FC2065" w:rsidRPr="00461D74">
        <w:rPr>
          <w:rFonts w:ascii="Garamond" w:hAnsi="Garamond" w:cstheme="minorHAnsi"/>
          <w:sz w:val="24"/>
          <w:szCs w:val="24"/>
          <w:lang w:val="en-GB"/>
        </w:rPr>
        <w:t>contextualist-</w:t>
      </w:r>
      <w:r w:rsidR="007F00FA" w:rsidRPr="00461D74">
        <w:rPr>
          <w:rFonts w:ascii="Garamond" w:hAnsi="Garamond" w:cstheme="minorHAnsi"/>
          <w:sz w:val="24"/>
          <w:szCs w:val="24"/>
          <w:lang w:val="en-GB"/>
        </w:rPr>
        <w:t xml:space="preserve">historicist </w:t>
      </w:r>
      <w:r w:rsidR="0089550C" w:rsidRPr="00461D74">
        <w:rPr>
          <w:rFonts w:ascii="Garamond" w:hAnsi="Garamond" w:cstheme="minorHAnsi"/>
          <w:sz w:val="24"/>
          <w:szCs w:val="24"/>
          <w:lang w:val="en-GB"/>
        </w:rPr>
        <w:t xml:space="preserve">commitments </w:t>
      </w:r>
      <w:r w:rsidR="00527B33" w:rsidRPr="00461D74">
        <w:rPr>
          <w:rFonts w:ascii="Garamond" w:hAnsi="Garamond" w:cstheme="minorHAnsi"/>
          <w:sz w:val="24"/>
          <w:szCs w:val="24"/>
          <w:lang w:val="en-GB"/>
        </w:rPr>
        <w:t>MacIntyre advances</w:t>
      </w:r>
      <w:r w:rsidR="007F00FA" w:rsidRPr="00461D74">
        <w:rPr>
          <w:rFonts w:ascii="Garamond" w:hAnsi="Garamond" w:cstheme="minorHAnsi"/>
          <w:sz w:val="24"/>
          <w:szCs w:val="24"/>
          <w:lang w:val="en-GB"/>
        </w:rPr>
        <w:t xml:space="preserve"> </w:t>
      </w:r>
      <w:r w:rsidR="0089550C" w:rsidRPr="00461D74">
        <w:rPr>
          <w:rFonts w:ascii="Garamond" w:hAnsi="Garamond" w:cstheme="minorHAnsi"/>
          <w:sz w:val="24"/>
          <w:szCs w:val="24"/>
          <w:lang w:val="en-GB"/>
        </w:rPr>
        <w:t xml:space="preserve">in </w:t>
      </w:r>
      <w:r w:rsidR="00204FBE" w:rsidRPr="00461D74">
        <w:rPr>
          <w:rFonts w:ascii="Garamond" w:hAnsi="Garamond" w:cstheme="minorHAnsi"/>
          <w:i/>
          <w:sz w:val="24"/>
          <w:szCs w:val="24"/>
          <w:lang w:val="en-GB"/>
        </w:rPr>
        <w:t>After Virtue</w:t>
      </w:r>
      <w:r w:rsidR="007F00FA" w:rsidRPr="00461D74">
        <w:rPr>
          <w:rFonts w:ascii="Garamond" w:hAnsi="Garamond" w:cstheme="minorHAnsi"/>
          <w:sz w:val="24"/>
          <w:szCs w:val="24"/>
          <w:lang w:val="en-GB"/>
        </w:rPr>
        <w:t xml:space="preserve"> </w:t>
      </w:r>
      <w:r w:rsidR="0089550C" w:rsidRPr="00461D74">
        <w:rPr>
          <w:rFonts w:ascii="Garamond" w:hAnsi="Garamond" w:cstheme="minorHAnsi"/>
          <w:sz w:val="24"/>
          <w:szCs w:val="24"/>
          <w:lang w:val="en-GB"/>
        </w:rPr>
        <w:t xml:space="preserve">and elsewhere, </w:t>
      </w:r>
      <w:r w:rsidR="00527B33" w:rsidRPr="00461D74">
        <w:rPr>
          <w:rFonts w:ascii="Garamond" w:hAnsi="Garamond" w:cstheme="minorHAnsi"/>
          <w:sz w:val="24"/>
          <w:szCs w:val="24"/>
          <w:lang w:val="en-GB"/>
        </w:rPr>
        <w:t>and appear</w:t>
      </w:r>
      <w:r w:rsidR="0089550C" w:rsidRPr="00461D74">
        <w:rPr>
          <w:rFonts w:ascii="Garamond" w:hAnsi="Garamond" w:cstheme="minorHAnsi"/>
          <w:sz w:val="24"/>
          <w:szCs w:val="24"/>
          <w:lang w:val="en-GB"/>
        </w:rPr>
        <w:t xml:space="preserve"> to </w:t>
      </w:r>
      <w:r w:rsidR="00FC2065" w:rsidRPr="00461D74">
        <w:rPr>
          <w:rFonts w:ascii="Garamond" w:hAnsi="Garamond" w:cstheme="minorHAnsi"/>
          <w:sz w:val="24"/>
          <w:szCs w:val="24"/>
          <w:lang w:val="en-GB"/>
        </w:rPr>
        <w:t xml:space="preserve">hold a </w:t>
      </w:r>
      <w:r w:rsidR="0089550C" w:rsidRPr="00461D74">
        <w:rPr>
          <w:rFonts w:ascii="Garamond" w:hAnsi="Garamond" w:cstheme="minorHAnsi"/>
          <w:sz w:val="24"/>
          <w:szCs w:val="24"/>
          <w:lang w:val="en-GB"/>
        </w:rPr>
        <w:t xml:space="preserve">central </w:t>
      </w:r>
      <w:r w:rsidR="00FC2065" w:rsidRPr="00461D74">
        <w:rPr>
          <w:rFonts w:ascii="Garamond" w:hAnsi="Garamond" w:cstheme="minorHAnsi"/>
          <w:sz w:val="24"/>
          <w:szCs w:val="24"/>
          <w:lang w:val="en-GB"/>
        </w:rPr>
        <w:t>place in</w:t>
      </w:r>
      <w:r w:rsidR="0089550C" w:rsidRPr="00461D74">
        <w:rPr>
          <w:rFonts w:ascii="Garamond" w:hAnsi="Garamond" w:cstheme="minorHAnsi"/>
          <w:sz w:val="24"/>
          <w:szCs w:val="24"/>
          <w:lang w:val="en-GB"/>
        </w:rPr>
        <w:t xml:space="preserve"> his overall account</w:t>
      </w:r>
      <w:r w:rsidR="007F00FA" w:rsidRPr="00461D74">
        <w:rPr>
          <w:rFonts w:ascii="Garamond" w:hAnsi="Garamond" w:cstheme="minorHAnsi"/>
          <w:sz w:val="24"/>
          <w:szCs w:val="24"/>
          <w:lang w:val="en-GB"/>
        </w:rPr>
        <w:t>.</w:t>
      </w:r>
      <w:r w:rsidR="0089550C" w:rsidRPr="00461D74">
        <w:rPr>
          <w:rFonts w:ascii="Garamond" w:hAnsi="Garamond" w:cstheme="minorHAnsi"/>
          <w:sz w:val="24"/>
          <w:szCs w:val="24"/>
          <w:lang w:val="en-GB"/>
        </w:rPr>
        <w:t xml:space="preserve"> </w:t>
      </w:r>
      <w:r w:rsidR="00527B33" w:rsidRPr="00461D74">
        <w:rPr>
          <w:rFonts w:ascii="Garamond" w:hAnsi="Garamond" w:cstheme="minorHAnsi"/>
          <w:sz w:val="24"/>
          <w:szCs w:val="24"/>
          <w:lang w:val="en-GB"/>
        </w:rPr>
        <w:t>Thus,</w:t>
      </w:r>
      <w:r w:rsidR="0089550C" w:rsidRPr="00461D74">
        <w:rPr>
          <w:rFonts w:ascii="Garamond" w:hAnsi="Garamond" w:cstheme="minorHAnsi"/>
          <w:sz w:val="24"/>
          <w:szCs w:val="24"/>
          <w:lang w:val="en-GB"/>
        </w:rPr>
        <w:t xml:space="preserve"> the incompatibility between the </w:t>
      </w:r>
      <w:r w:rsidR="00527B33" w:rsidRPr="00461D74">
        <w:rPr>
          <w:rFonts w:ascii="Garamond" w:hAnsi="Garamond" w:cstheme="minorHAnsi"/>
          <w:sz w:val="24"/>
          <w:szCs w:val="24"/>
          <w:lang w:val="en-GB"/>
        </w:rPr>
        <w:t xml:space="preserve">later Thomist MacIntyre and </w:t>
      </w:r>
      <w:r w:rsidR="00FC2065" w:rsidRPr="00461D74">
        <w:rPr>
          <w:rFonts w:ascii="Garamond" w:hAnsi="Garamond" w:cstheme="minorHAnsi"/>
          <w:sz w:val="24"/>
          <w:szCs w:val="24"/>
          <w:lang w:val="en-GB"/>
        </w:rPr>
        <w:t xml:space="preserve">the middle </w:t>
      </w:r>
      <w:r w:rsidR="00527B33" w:rsidRPr="00461D74">
        <w:rPr>
          <w:rFonts w:ascii="Garamond" w:hAnsi="Garamond" w:cstheme="minorHAnsi"/>
          <w:sz w:val="24"/>
          <w:szCs w:val="24"/>
          <w:lang w:val="en-GB"/>
        </w:rPr>
        <w:t xml:space="preserve">MacIntyre in </w:t>
      </w:r>
      <w:r w:rsidR="00527B33" w:rsidRPr="00461D74">
        <w:rPr>
          <w:rFonts w:ascii="Garamond" w:hAnsi="Garamond" w:cstheme="minorHAnsi"/>
          <w:i/>
          <w:sz w:val="24"/>
          <w:szCs w:val="24"/>
          <w:lang w:val="en-GB"/>
        </w:rPr>
        <w:t>After Virtue</w:t>
      </w:r>
      <w:r w:rsidR="00FC2065" w:rsidRPr="00461D74">
        <w:rPr>
          <w:rFonts w:ascii="Garamond" w:hAnsi="Garamond" w:cstheme="minorHAnsi"/>
          <w:sz w:val="24"/>
          <w:szCs w:val="24"/>
          <w:lang w:val="en-GB"/>
        </w:rPr>
        <w:t xml:space="preserve"> </w:t>
      </w:r>
      <w:r w:rsidR="00527B33" w:rsidRPr="00461D74">
        <w:rPr>
          <w:rFonts w:ascii="Garamond" w:hAnsi="Garamond" w:cstheme="minorHAnsi"/>
          <w:sz w:val="24"/>
          <w:szCs w:val="24"/>
          <w:lang w:val="en-GB"/>
        </w:rPr>
        <w:t>begins our discussion</w:t>
      </w:r>
      <w:r w:rsidR="007F00FA" w:rsidRPr="00461D74">
        <w:rPr>
          <w:rFonts w:ascii="Garamond" w:hAnsi="Garamond" w:cstheme="minorHAnsi"/>
          <w:sz w:val="24"/>
          <w:szCs w:val="24"/>
          <w:lang w:val="en-GB"/>
        </w:rPr>
        <w:t>.</w:t>
      </w:r>
    </w:p>
    <w:p w:rsidR="006357E3" w:rsidRPr="00461D74" w:rsidRDefault="007F00FA" w:rsidP="00164E4D">
      <w:pPr>
        <w:spacing w:line="360" w:lineRule="auto"/>
        <w:ind w:firstLine="720"/>
        <w:jc w:val="both"/>
        <w:rPr>
          <w:rFonts w:ascii="Garamond" w:hAnsi="Garamond"/>
          <w:sz w:val="24"/>
          <w:szCs w:val="24"/>
        </w:rPr>
      </w:pPr>
      <w:r w:rsidRPr="00461D74">
        <w:rPr>
          <w:rFonts w:ascii="Garamond" w:hAnsi="Garamond" w:cstheme="minorHAnsi"/>
          <w:sz w:val="24"/>
          <w:szCs w:val="24"/>
          <w:lang w:val="en-GB"/>
        </w:rPr>
        <w:t>First, Mac</w:t>
      </w:r>
      <w:r w:rsidR="00103C07" w:rsidRPr="00461D74">
        <w:rPr>
          <w:rFonts w:ascii="Garamond" w:hAnsi="Garamond" w:cstheme="minorHAnsi"/>
          <w:sz w:val="24"/>
          <w:szCs w:val="24"/>
          <w:lang w:val="en-GB"/>
        </w:rPr>
        <w:t>Intyre</w:t>
      </w:r>
      <w:r w:rsidRPr="00461D74">
        <w:rPr>
          <w:rFonts w:ascii="Garamond" w:hAnsi="Garamond" w:cstheme="minorHAnsi"/>
          <w:sz w:val="24"/>
          <w:szCs w:val="24"/>
          <w:lang w:val="en-GB"/>
        </w:rPr>
        <w:t xml:space="preserve">’s account in </w:t>
      </w:r>
      <w:r w:rsidRPr="00461D74">
        <w:rPr>
          <w:rFonts w:ascii="Garamond" w:hAnsi="Garamond" w:cstheme="minorHAnsi"/>
          <w:i/>
          <w:sz w:val="24"/>
          <w:szCs w:val="24"/>
          <w:lang w:val="en-GB"/>
        </w:rPr>
        <w:t>A</w:t>
      </w:r>
      <w:r w:rsidR="0089550C" w:rsidRPr="00461D74">
        <w:rPr>
          <w:rFonts w:ascii="Garamond" w:hAnsi="Garamond" w:cstheme="minorHAnsi"/>
          <w:i/>
          <w:sz w:val="24"/>
          <w:szCs w:val="24"/>
          <w:lang w:val="en-GB"/>
        </w:rPr>
        <w:t xml:space="preserve">fter </w:t>
      </w:r>
      <w:r w:rsidRPr="00461D74">
        <w:rPr>
          <w:rFonts w:ascii="Garamond" w:hAnsi="Garamond" w:cstheme="minorHAnsi"/>
          <w:i/>
          <w:sz w:val="24"/>
          <w:szCs w:val="24"/>
          <w:lang w:val="en-GB"/>
        </w:rPr>
        <w:t>V</w:t>
      </w:r>
      <w:r w:rsidR="0089550C" w:rsidRPr="00461D74">
        <w:rPr>
          <w:rFonts w:ascii="Garamond" w:hAnsi="Garamond" w:cstheme="minorHAnsi"/>
          <w:i/>
          <w:sz w:val="24"/>
          <w:szCs w:val="24"/>
          <w:lang w:val="en-GB"/>
        </w:rPr>
        <w:t>irtue</w:t>
      </w:r>
      <w:r w:rsidRPr="00461D74">
        <w:rPr>
          <w:rFonts w:ascii="Garamond" w:hAnsi="Garamond" w:cstheme="minorHAnsi"/>
          <w:sz w:val="24"/>
          <w:szCs w:val="24"/>
          <w:lang w:val="en-GB"/>
        </w:rPr>
        <w:t xml:space="preserve"> and </w:t>
      </w:r>
      <w:r w:rsidRPr="00461D74">
        <w:rPr>
          <w:rFonts w:ascii="Garamond" w:hAnsi="Garamond" w:cstheme="minorHAnsi"/>
          <w:i/>
          <w:sz w:val="24"/>
          <w:szCs w:val="24"/>
          <w:lang w:val="en-GB"/>
        </w:rPr>
        <w:t>W</w:t>
      </w:r>
      <w:r w:rsidR="0089550C" w:rsidRPr="00461D74">
        <w:rPr>
          <w:rFonts w:ascii="Garamond" w:hAnsi="Garamond" w:cstheme="minorHAnsi"/>
          <w:i/>
          <w:sz w:val="24"/>
          <w:szCs w:val="24"/>
          <w:lang w:val="en-GB"/>
        </w:rPr>
        <w:t xml:space="preserve">hose </w:t>
      </w:r>
      <w:r w:rsidRPr="00461D74">
        <w:rPr>
          <w:rFonts w:ascii="Garamond" w:hAnsi="Garamond" w:cstheme="minorHAnsi"/>
          <w:i/>
          <w:sz w:val="24"/>
          <w:szCs w:val="24"/>
          <w:lang w:val="en-GB"/>
        </w:rPr>
        <w:t>J</w:t>
      </w:r>
      <w:r w:rsidR="0089550C" w:rsidRPr="00461D74">
        <w:rPr>
          <w:rFonts w:ascii="Garamond" w:hAnsi="Garamond" w:cstheme="minorHAnsi"/>
          <w:i/>
          <w:sz w:val="24"/>
          <w:szCs w:val="24"/>
          <w:lang w:val="en-GB"/>
        </w:rPr>
        <w:t>ustice</w:t>
      </w:r>
      <w:r w:rsidRPr="00461D74">
        <w:rPr>
          <w:rFonts w:ascii="Garamond" w:hAnsi="Garamond" w:cstheme="minorHAnsi"/>
          <w:sz w:val="24"/>
          <w:szCs w:val="24"/>
          <w:lang w:val="en-GB"/>
        </w:rPr>
        <w:t xml:space="preserve"> emphasizes the role of traditions in </w:t>
      </w:r>
      <w:r w:rsidR="0089550C" w:rsidRPr="00461D74">
        <w:rPr>
          <w:rFonts w:ascii="Garamond" w:hAnsi="Garamond" w:cstheme="minorHAnsi"/>
          <w:sz w:val="24"/>
          <w:szCs w:val="24"/>
          <w:lang w:val="en-GB"/>
        </w:rPr>
        <w:t xml:space="preserve">the </w:t>
      </w:r>
      <w:r w:rsidRPr="00461D74">
        <w:rPr>
          <w:rFonts w:ascii="Garamond" w:hAnsi="Garamond" w:cstheme="minorHAnsi"/>
          <w:sz w:val="24"/>
          <w:szCs w:val="24"/>
          <w:lang w:val="en-GB"/>
        </w:rPr>
        <w:t>development</w:t>
      </w:r>
      <w:r w:rsidR="0089550C" w:rsidRPr="00461D74">
        <w:rPr>
          <w:rFonts w:ascii="Garamond" w:hAnsi="Garamond" w:cstheme="minorHAnsi"/>
          <w:sz w:val="24"/>
          <w:szCs w:val="24"/>
          <w:lang w:val="en-GB"/>
        </w:rPr>
        <w:t xml:space="preserve"> of moral and </w:t>
      </w:r>
      <w:r w:rsidRPr="00461D74">
        <w:rPr>
          <w:rFonts w:ascii="Garamond" w:hAnsi="Garamond" w:cstheme="minorHAnsi"/>
          <w:sz w:val="24"/>
          <w:szCs w:val="24"/>
          <w:lang w:val="en-GB"/>
        </w:rPr>
        <w:t xml:space="preserve">political philosophy. On this view, </w:t>
      </w:r>
      <w:r w:rsidR="0084773E" w:rsidRPr="00461D74">
        <w:rPr>
          <w:rFonts w:ascii="Garamond" w:hAnsi="Garamond" w:cstheme="minorHAnsi"/>
          <w:sz w:val="24"/>
          <w:szCs w:val="24"/>
          <w:lang w:val="en-GB"/>
        </w:rPr>
        <w:t>ethical and political inquiry</w:t>
      </w:r>
      <w:r w:rsidRPr="00461D74">
        <w:rPr>
          <w:rFonts w:ascii="Garamond" w:hAnsi="Garamond" w:cstheme="minorHAnsi"/>
          <w:sz w:val="24"/>
          <w:szCs w:val="24"/>
          <w:lang w:val="en-GB"/>
        </w:rPr>
        <w:t xml:space="preserve"> </w:t>
      </w:r>
      <w:r w:rsidR="0084773E" w:rsidRPr="00461D74">
        <w:rPr>
          <w:rFonts w:ascii="Garamond" w:hAnsi="Garamond" w:cstheme="minorHAnsi"/>
          <w:sz w:val="24"/>
          <w:szCs w:val="24"/>
          <w:lang w:val="en-GB"/>
        </w:rPr>
        <w:t xml:space="preserve">necessarily </w:t>
      </w:r>
      <w:r w:rsidRPr="00461D74">
        <w:rPr>
          <w:rFonts w:ascii="Garamond" w:hAnsi="Garamond" w:cstheme="minorHAnsi"/>
          <w:sz w:val="24"/>
          <w:szCs w:val="24"/>
          <w:lang w:val="en-GB"/>
        </w:rPr>
        <w:t>takes place in the context of a tradition. Here</w:t>
      </w:r>
      <w:r w:rsidR="0084773E" w:rsidRPr="00461D74">
        <w:rPr>
          <w:rFonts w:ascii="Garamond" w:hAnsi="Garamond" w:cstheme="minorHAnsi"/>
          <w:sz w:val="24"/>
          <w:szCs w:val="24"/>
          <w:lang w:val="en-GB"/>
        </w:rPr>
        <w:t>,</w:t>
      </w:r>
      <w:r w:rsidRPr="00461D74">
        <w:rPr>
          <w:rFonts w:ascii="Garamond" w:hAnsi="Garamond" w:cstheme="minorHAnsi"/>
          <w:sz w:val="24"/>
          <w:szCs w:val="24"/>
          <w:lang w:val="en-GB"/>
        </w:rPr>
        <w:t xml:space="preserve"> moral traditions are viewed </w:t>
      </w:r>
      <w:r w:rsidR="0084773E" w:rsidRPr="00461D74">
        <w:rPr>
          <w:rFonts w:ascii="Garamond" w:hAnsi="Garamond" w:cstheme="minorHAnsi"/>
          <w:sz w:val="24"/>
          <w:szCs w:val="24"/>
          <w:lang w:val="en-GB"/>
        </w:rPr>
        <w:t>as</w:t>
      </w:r>
      <w:r w:rsidRPr="00461D74">
        <w:rPr>
          <w:rFonts w:ascii="Garamond" w:hAnsi="Garamond" w:cstheme="minorHAnsi"/>
          <w:sz w:val="24"/>
          <w:szCs w:val="24"/>
          <w:lang w:val="en-GB"/>
        </w:rPr>
        <w:t xml:space="preserve"> analogous to </w:t>
      </w:r>
      <w:proofErr w:type="spellStart"/>
      <w:r w:rsidR="0084773E" w:rsidRPr="00461D74">
        <w:rPr>
          <w:rFonts w:ascii="Garamond" w:hAnsi="Garamond" w:cstheme="minorHAnsi"/>
          <w:sz w:val="24"/>
          <w:szCs w:val="24"/>
          <w:lang w:val="en-GB"/>
        </w:rPr>
        <w:t>Kuhnian</w:t>
      </w:r>
      <w:proofErr w:type="spellEnd"/>
      <w:r w:rsidR="0084773E"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paradigms </w:t>
      </w:r>
      <w:r w:rsidR="0084773E" w:rsidRPr="00461D74">
        <w:rPr>
          <w:rFonts w:ascii="Garamond" w:hAnsi="Garamond" w:cstheme="minorHAnsi"/>
          <w:sz w:val="24"/>
          <w:szCs w:val="24"/>
          <w:lang w:val="en-GB"/>
        </w:rPr>
        <w:t>in scientific inquiry. Every</w:t>
      </w:r>
      <w:r w:rsidRPr="00461D74">
        <w:rPr>
          <w:rFonts w:ascii="Garamond" w:hAnsi="Garamond" w:cstheme="minorHAnsi"/>
          <w:sz w:val="24"/>
          <w:szCs w:val="24"/>
          <w:lang w:val="en-GB"/>
        </w:rPr>
        <w:t xml:space="preserve"> moral tradition contains its own set of first principles, as well as additional </w:t>
      </w:r>
      <w:r w:rsidR="0020606E" w:rsidRPr="00461D74">
        <w:rPr>
          <w:rFonts w:ascii="Garamond" w:hAnsi="Garamond" w:cstheme="minorHAnsi"/>
          <w:sz w:val="24"/>
          <w:szCs w:val="24"/>
          <w:lang w:val="en-GB"/>
        </w:rPr>
        <w:t xml:space="preserve">secondary </w:t>
      </w:r>
      <w:r w:rsidRPr="00461D74">
        <w:rPr>
          <w:rFonts w:ascii="Garamond" w:hAnsi="Garamond" w:cstheme="minorHAnsi"/>
          <w:sz w:val="24"/>
          <w:szCs w:val="24"/>
          <w:lang w:val="en-GB"/>
        </w:rPr>
        <w:t xml:space="preserve">principles </w:t>
      </w:r>
      <w:r w:rsidR="009648BA" w:rsidRPr="00461D74">
        <w:rPr>
          <w:rFonts w:ascii="Garamond" w:hAnsi="Garamond" w:cstheme="minorHAnsi"/>
          <w:sz w:val="24"/>
          <w:szCs w:val="24"/>
          <w:lang w:val="en-GB"/>
        </w:rPr>
        <w:t xml:space="preserve">that are </w:t>
      </w:r>
      <w:r w:rsidRPr="00461D74">
        <w:rPr>
          <w:rFonts w:ascii="Garamond" w:hAnsi="Garamond" w:cstheme="minorHAnsi"/>
          <w:sz w:val="24"/>
          <w:szCs w:val="24"/>
          <w:lang w:val="en-GB"/>
        </w:rPr>
        <w:t>derived from them</w:t>
      </w:r>
      <w:r w:rsidR="009648BA" w:rsidRPr="00461D74">
        <w:rPr>
          <w:rFonts w:ascii="Garamond" w:hAnsi="Garamond" w:cstheme="minorHAnsi"/>
          <w:sz w:val="24"/>
          <w:szCs w:val="24"/>
          <w:lang w:val="en-GB"/>
        </w:rPr>
        <w:t xml:space="preserve">; moreover, these basic principles are grounded in a distinct world-view and a particular conception of human nature. </w:t>
      </w:r>
      <w:r w:rsidR="00AB4D4F" w:rsidRPr="00461D74">
        <w:rPr>
          <w:rFonts w:ascii="Garamond" w:hAnsi="Garamond" w:cstheme="minorHAnsi"/>
          <w:sz w:val="24"/>
          <w:szCs w:val="24"/>
          <w:lang w:val="en-GB"/>
        </w:rPr>
        <w:t>Analogously</w:t>
      </w:r>
      <w:r w:rsidR="009648BA" w:rsidRPr="00461D74">
        <w:rPr>
          <w:rFonts w:ascii="Garamond" w:hAnsi="Garamond" w:cstheme="minorHAnsi"/>
          <w:sz w:val="24"/>
          <w:szCs w:val="24"/>
          <w:lang w:val="en-GB"/>
        </w:rPr>
        <w:t xml:space="preserve">, traditions (or paradigms) in science </w:t>
      </w:r>
      <w:r w:rsidR="0020606E" w:rsidRPr="00461D74">
        <w:rPr>
          <w:rFonts w:ascii="Garamond" w:hAnsi="Garamond" w:cstheme="minorHAnsi"/>
          <w:sz w:val="24"/>
          <w:szCs w:val="24"/>
          <w:lang w:val="en-GB"/>
        </w:rPr>
        <w:t xml:space="preserve">are grounded in a few fundamental </w:t>
      </w:r>
      <w:r w:rsidR="0084773E" w:rsidRPr="00461D74">
        <w:rPr>
          <w:rFonts w:ascii="Garamond" w:hAnsi="Garamond" w:cstheme="minorHAnsi"/>
          <w:sz w:val="24"/>
          <w:szCs w:val="24"/>
          <w:lang w:val="en-GB"/>
        </w:rPr>
        <w:t xml:space="preserve">(or core) </w:t>
      </w:r>
      <w:r w:rsidR="0020606E" w:rsidRPr="00461D74">
        <w:rPr>
          <w:rFonts w:ascii="Garamond" w:hAnsi="Garamond" w:cstheme="minorHAnsi"/>
          <w:sz w:val="24"/>
          <w:szCs w:val="24"/>
          <w:lang w:val="en-GB"/>
        </w:rPr>
        <w:t>hypothesis, as well as auxiliary hypo</w:t>
      </w:r>
      <w:r w:rsidR="0084773E" w:rsidRPr="00461D74">
        <w:rPr>
          <w:rFonts w:ascii="Garamond" w:hAnsi="Garamond" w:cstheme="minorHAnsi"/>
          <w:sz w:val="24"/>
          <w:szCs w:val="24"/>
          <w:lang w:val="en-GB"/>
        </w:rPr>
        <w:t>thes</w:t>
      </w:r>
      <w:r w:rsidR="00103C07" w:rsidRPr="00461D74">
        <w:rPr>
          <w:rFonts w:ascii="Garamond" w:hAnsi="Garamond" w:cstheme="minorHAnsi"/>
          <w:sz w:val="24"/>
          <w:szCs w:val="24"/>
          <w:lang w:val="en-GB"/>
        </w:rPr>
        <w:t>e</w:t>
      </w:r>
      <w:r w:rsidR="0084773E" w:rsidRPr="00461D74">
        <w:rPr>
          <w:rFonts w:ascii="Garamond" w:hAnsi="Garamond" w:cstheme="minorHAnsi"/>
          <w:sz w:val="24"/>
          <w:szCs w:val="24"/>
          <w:lang w:val="en-GB"/>
        </w:rPr>
        <w:t>s that are conjoined to the core of a scientific theory</w:t>
      </w:r>
      <w:r w:rsidR="00103C07" w:rsidRPr="00461D74">
        <w:rPr>
          <w:rFonts w:ascii="Garamond" w:hAnsi="Garamond" w:cstheme="minorHAnsi"/>
          <w:sz w:val="24"/>
          <w:szCs w:val="24"/>
          <w:lang w:val="en-GB"/>
        </w:rPr>
        <w:t xml:space="preserve"> </w:t>
      </w:r>
      <w:r w:rsidR="0084773E" w:rsidRPr="00461D74">
        <w:rPr>
          <w:rFonts w:ascii="Garamond" w:hAnsi="Garamond" w:cstheme="minorHAnsi"/>
          <w:sz w:val="24"/>
          <w:szCs w:val="24"/>
          <w:lang w:val="en-GB"/>
        </w:rPr>
        <w:t>–</w:t>
      </w:r>
      <w:r w:rsidR="00103C07" w:rsidRPr="00461D74">
        <w:rPr>
          <w:rFonts w:ascii="Garamond" w:hAnsi="Garamond" w:cstheme="minorHAnsi"/>
          <w:sz w:val="24"/>
          <w:szCs w:val="24"/>
          <w:lang w:val="en-GB"/>
        </w:rPr>
        <w:t xml:space="preserve"> </w:t>
      </w:r>
      <w:r w:rsidR="0084773E" w:rsidRPr="00461D74">
        <w:rPr>
          <w:rFonts w:ascii="Garamond" w:hAnsi="Garamond" w:cstheme="minorHAnsi"/>
          <w:sz w:val="24"/>
          <w:szCs w:val="24"/>
          <w:lang w:val="en-GB"/>
        </w:rPr>
        <w:t>namely, those</w:t>
      </w:r>
      <w:r w:rsidR="0020606E" w:rsidRPr="00461D74">
        <w:rPr>
          <w:rFonts w:ascii="Garamond" w:hAnsi="Garamond" w:cstheme="minorHAnsi"/>
          <w:sz w:val="24"/>
          <w:szCs w:val="24"/>
          <w:lang w:val="en-GB"/>
        </w:rPr>
        <w:t xml:space="preserve"> fundamental </w:t>
      </w:r>
      <w:r w:rsidR="0084773E" w:rsidRPr="00461D74">
        <w:rPr>
          <w:rFonts w:ascii="Garamond" w:hAnsi="Garamond" w:cstheme="minorHAnsi"/>
          <w:sz w:val="24"/>
          <w:szCs w:val="24"/>
          <w:lang w:val="en-GB"/>
        </w:rPr>
        <w:t xml:space="preserve">axioms of </w:t>
      </w:r>
      <w:r w:rsidR="0020606E" w:rsidRPr="00461D74">
        <w:rPr>
          <w:rFonts w:ascii="Garamond" w:hAnsi="Garamond" w:cstheme="minorHAnsi"/>
          <w:sz w:val="24"/>
          <w:szCs w:val="24"/>
          <w:lang w:val="en-GB"/>
        </w:rPr>
        <w:t xml:space="preserve">scientific theory. </w:t>
      </w:r>
      <w:r w:rsidR="00AB4D4F" w:rsidRPr="00461D74">
        <w:rPr>
          <w:rFonts w:ascii="Garamond" w:hAnsi="Garamond" w:cstheme="minorHAnsi"/>
          <w:sz w:val="24"/>
          <w:szCs w:val="24"/>
          <w:lang w:val="en-GB"/>
        </w:rPr>
        <w:t>Likewise</w:t>
      </w:r>
      <w:r w:rsidR="0020606E" w:rsidRPr="00461D74">
        <w:rPr>
          <w:rFonts w:ascii="Garamond" w:hAnsi="Garamond" w:cstheme="minorHAnsi"/>
          <w:sz w:val="24"/>
          <w:szCs w:val="24"/>
          <w:lang w:val="en-GB"/>
        </w:rPr>
        <w:t xml:space="preserve">, scientific theory presupposes a distinct world-view </w:t>
      </w:r>
      <w:r w:rsidR="0084773E" w:rsidRPr="00461D74">
        <w:rPr>
          <w:rFonts w:ascii="Garamond" w:hAnsi="Garamond" w:cstheme="minorHAnsi"/>
          <w:sz w:val="24"/>
          <w:szCs w:val="24"/>
          <w:lang w:val="en-GB"/>
        </w:rPr>
        <w:t>and</w:t>
      </w:r>
      <w:r w:rsidR="0020606E" w:rsidRPr="00461D74">
        <w:rPr>
          <w:rFonts w:ascii="Garamond" w:hAnsi="Garamond" w:cstheme="minorHAnsi"/>
          <w:sz w:val="24"/>
          <w:szCs w:val="24"/>
          <w:lang w:val="en-GB"/>
        </w:rPr>
        <w:t xml:space="preserve"> cosmology with its own associated metaphysical underpinning.</w:t>
      </w:r>
    </w:p>
    <w:p w:rsidR="006357E3" w:rsidRPr="00461D74" w:rsidRDefault="00ED6C04"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lastRenderedPageBreak/>
        <w:t>In</w:t>
      </w:r>
      <w:r w:rsidR="00EA5ABC" w:rsidRPr="00461D74">
        <w:rPr>
          <w:rFonts w:ascii="Garamond" w:hAnsi="Garamond" w:cstheme="minorHAnsi"/>
          <w:sz w:val="24"/>
          <w:szCs w:val="24"/>
          <w:lang w:val="en-GB"/>
        </w:rPr>
        <w:t xml:space="preserve"> </w:t>
      </w:r>
      <w:r w:rsidR="00EA5ABC" w:rsidRPr="00461D74">
        <w:rPr>
          <w:rFonts w:ascii="Garamond" w:hAnsi="Garamond" w:cstheme="minorHAnsi"/>
          <w:i/>
          <w:sz w:val="24"/>
          <w:szCs w:val="24"/>
          <w:lang w:val="en-GB"/>
        </w:rPr>
        <w:t>W</w:t>
      </w:r>
      <w:r w:rsidR="00762741" w:rsidRPr="00461D74">
        <w:rPr>
          <w:rFonts w:ascii="Garamond" w:hAnsi="Garamond" w:cstheme="minorHAnsi"/>
          <w:i/>
          <w:sz w:val="24"/>
          <w:szCs w:val="24"/>
          <w:lang w:val="en-GB"/>
        </w:rPr>
        <w:t xml:space="preserve">hose </w:t>
      </w:r>
      <w:r w:rsidR="00EA5ABC" w:rsidRPr="00461D74">
        <w:rPr>
          <w:rFonts w:ascii="Garamond" w:hAnsi="Garamond" w:cstheme="minorHAnsi"/>
          <w:i/>
          <w:sz w:val="24"/>
          <w:szCs w:val="24"/>
          <w:lang w:val="en-GB"/>
        </w:rPr>
        <w:t>J</w:t>
      </w:r>
      <w:r w:rsidR="00762741" w:rsidRPr="00461D74">
        <w:rPr>
          <w:rFonts w:ascii="Garamond" w:hAnsi="Garamond" w:cstheme="minorHAnsi"/>
          <w:i/>
          <w:sz w:val="24"/>
          <w:szCs w:val="24"/>
          <w:lang w:val="en-GB"/>
        </w:rPr>
        <w:t>ustice</w:t>
      </w:r>
      <w:r w:rsidR="00B45BC2" w:rsidRPr="00461D74">
        <w:rPr>
          <w:rFonts w:ascii="Garamond" w:hAnsi="Garamond" w:cstheme="minorHAnsi"/>
          <w:sz w:val="24"/>
          <w:szCs w:val="24"/>
          <w:lang w:val="en-GB"/>
        </w:rPr>
        <w:t>,</w:t>
      </w:r>
      <w:r w:rsidR="00EA5ABC"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MacIntyre then </w:t>
      </w:r>
      <w:r w:rsidR="00EA5ABC" w:rsidRPr="00461D74">
        <w:rPr>
          <w:rFonts w:ascii="Garamond" w:hAnsi="Garamond" w:cstheme="minorHAnsi"/>
          <w:sz w:val="24"/>
          <w:szCs w:val="24"/>
          <w:lang w:val="en-GB"/>
        </w:rPr>
        <w:t xml:space="preserve">goes on to </w:t>
      </w:r>
      <w:r w:rsidR="00B45BC2" w:rsidRPr="00461D74">
        <w:rPr>
          <w:rFonts w:ascii="Garamond" w:hAnsi="Garamond" w:cstheme="minorHAnsi"/>
          <w:sz w:val="24"/>
          <w:szCs w:val="24"/>
          <w:lang w:val="en-GB"/>
        </w:rPr>
        <w:t>accept</w:t>
      </w:r>
      <w:r w:rsidR="00EA5ABC" w:rsidRPr="00461D74">
        <w:rPr>
          <w:rFonts w:ascii="Garamond" w:hAnsi="Garamond" w:cstheme="minorHAnsi"/>
          <w:sz w:val="24"/>
          <w:szCs w:val="24"/>
          <w:lang w:val="en-GB"/>
        </w:rPr>
        <w:t xml:space="preserve"> liberalism </w:t>
      </w:r>
      <w:r w:rsidR="006357E3" w:rsidRPr="00461D74">
        <w:rPr>
          <w:rFonts w:ascii="Garamond" w:hAnsi="Garamond" w:cstheme="minorHAnsi"/>
          <w:sz w:val="24"/>
          <w:szCs w:val="24"/>
          <w:lang w:val="en-GB"/>
        </w:rPr>
        <w:t>a</w:t>
      </w:r>
      <w:r w:rsidR="00EA5ABC" w:rsidRPr="00461D74">
        <w:rPr>
          <w:rFonts w:ascii="Garamond" w:hAnsi="Garamond" w:cstheme="minorHAnsi"/>
          <w:sz w:val="24"/>
          <w:szCs w:val="24"/>
          <w:lang w:val="en-GB"/>
        </w:rPr>
        <w:t xml:space="preserve">s the dominant social, cultural, and intellectual tradition in </w:t>
      </w:r>
      <w:r w:rsidR="00A672BA" w:rsidRPr="00461D74">
        <w:rPr>
          <w:rFonts w:ascii="Garamond" w:hAnsi="Garamond" w:cstheme="minorHAnsi"/>
          <w:sz w:val="24"/>
          <w:szCs w:val="24"/>
          <w:lang w:val="en-GB"/>
        </w:rPr>
        <w:t xml:space="preserve">western </w:t>
      </w:r>
      <w:r w:rsidR="00EA5ABC" w:rsidRPr="00461D74">
        <w:rPr>
          <w:rFonts w:ascii="Garamond" w:hAnsi="Garamond" w:cstheme="minorHAnsi"/>
          <w:sz w:val="24"/>
          <w:szCs w:val="24"/>
          <w:lang w:val="en-GB"/>
        </w:rPr>
        <w:t>liberal societies.</w:t>
      </w:r>
      <w:r w:rsidR="00B45BC2" w:rsidRPr="00461D74">
        <w:rPr>
          <w:rStyle w:val="FootnoteReference"/>
          <w:rFonts w:ascii="Garamond" w:hAnsi="Garamond" w:cstheme="minorHAnsi"/>
          <w:sz w:val="24"/>
          <w:szCs w:val="24"/>
          <w:lang w:val="en-GB"/>
        </w:rPr>
        <w:footnoteReference w:id="8"/>
      </w:r>
      <w:r w:rsidR="00EA5ABC" w:rsidRPr="00461D74">
        <w:rPr>
          <w:rFonts w:ascii="Garamond" w:hAnsi="Garamond" w:cstheme="minorHAnsi"/>
          <w:sz w:val="24"/>
          <w:szCs w:val="24"/>
          <w:lang w:val="en-GB"/>
        </w:rPr>
        <w:t xml:space="preserve"> </w:t>
      </w:r>
      <w:r w:rsidRPr="00461D74">
        <w:rPr>
          <w:rFonts w:ascii="Garamond" w:hAnsi="Garamond" w:cstheme="minorHAnsi"/>
          <w:sz w:val="24"/>
          <w:szCs w:val="24"/>
          <w:lang w:val="en-GB"/>
        </w:rPr>
        <w:t>However</w:t>
      </w:r>
      <w:r w:rsidR="00607302" w:rsidRPr="00461D74">
        <w:rPr>
          <w:rFonts w:ascii="Garamond" w:hAnsi="Garamond" w:cstheme="minorHAnsi"/>
          <w:sz w:val="24"/>
          <w:szCs w:val="24"/>
          <w:lang w:val="en-GB"/>
        </w:rPr>
        <w:t xml:space="preserve">, this claim </w:t>
      </w:r>
      <w:r w:rsidR="00762741" w:rsidRPr="00461D74">
        <w:rPr>
          <w:rFonts w:ascii="Garamond" w:hAnsi="Garamond" w:cstheme="minorHAnsi"/>
          <w:sz w:val="24"/>
          <w:szCs w:val="24"/>
          <w:lang w:val="en-GB"/>
        </w:rPr>
        <w:t>leads to</w:t>
      </w:r>
      <w:r w:rsidR="00607302" w:rsidRPr="00461D74">
        <w:rPr>
          <w:rFonts w:ascii="Garamond" w:hAnsi="Garamond" w:cstheme="minorHAnsi"/>
          <w:sz w:val="24"/>
          <w:szCs w:val="24"/>
          <w:lang w:val="en-GB"/>
        </w:rPr>
        <w:t xml:space="preserve"> </w:t>
      </w:r>
      <w:r w:rsidR="00762741" w:rsidRPr="00461D74">
        <w:rPr>
          <w:rFonts w:ascii="Garamond" w:hAnsi="Garamond" w:cstheme="minorHAnsi"/>
          <w:sz w:val="24"/>
          <w:szCs w:val="24"/>
          <w:lang w:val="en-GB"/>
        </w:rPr>
        <w:t>an important difficulty</w:t>
      </w:r>
      <w:r w:rsidR="00607302" w:rsidRPr="00461D74">
        <w:rPr>
          <w:rFonts w:ascii="Garamond" w:hAnsi="Garamond" w:cstheme="minorHAnsi"/>
          <w:sz w:val="24"/>
          <w:szCs w:val="24"/>
          <w:lang w:val="en-GB"/>
        </w:rPr>
        <w:t xml:space="preserve"> </w:t>
      </w:r>
      <w:r w:rsidR="00762741" w:rsidRPr="00461D74">
        <w:rPr>
          <w:rFonts w:ascii="Garamond" w:hAnsi="Garamond" w:cstheme="minorHAnsi"/>
          <w:sz w:val="24"/>
          <w:szCs w:val="24"/>
          <w:lang w:val="en-GB"/>
        </w:rPr>
        <w:t xml:space="preserve">when we try to reconcile it </w:t>
      </w:r>
      <w:r w:rsidR="00607302" w:rsidRPr="00461D74">
        <w:rPr>
          <w:rFonts w:ascii="Garamond" w:hAnsi="Garamond" w:cstheme="minorHAnsi"/>
          <w:sz w:val="24"/>
          <w:szCs w:val="24"/>
          <w:lang w:val="en-GB"/>
        </w:rPr>
        <w:t>with</w:t>
      </w:r>
      <w:r w:rsidR="00EA5ABC" w:rsidRPr="00461D74">
        <w:rPr>
          <w:rFonts w:ascii="Garamond" w:hAnsi="Garamond" w:cstheme="minorHAnsi"/>
          <w:sz w:val="24"/>
          <w:szCs w:val="24"/>
          <w:lang w:val="en-GB"/>
        </w:rPr>
        <w:t xml:space="preserve"> </w:t>
      </w:r>
      <w:r w:rsidR="00607302" w:rsidRPr="00461D74">
        <w:rPr>
          <w:rFonts w:ascii="Garamond" w:hAnsi="Garamond" w:cstheme="minorHAnsi"/>
          <w:sz w:val="24"/>
          <w:szCs w:val="24"/>
          <w:lang w:val="en-GB"/>
        </w:rPr>
        <w:t xml:space="preserve">MacIntyre’s </w:t>
      </w:r>
      <w:r w:rsidR="00B45BC2" w:rsidRPr="00461D74">
        <w:rPr>
          <w:rFonts w:ascii="Garamond" w:hAnsi="Garamond" w:cstheme="minorHAnsi"/>
          <w:sz w:val="24"/>
          <w:szCs w:val="24"/>
          <w:lang w:val="en-GB"/>
        </w:rPr>
        <w:t xml:space="preserve">later </w:t>
      </w:r>
      <w:r w:rsidR="00527B33" w:rsidRPr="00461D74">
        <w:rPr>
          <w:rFonts w:ascii="Garamond" w:hAnsi="Garamond" w:cstheme="minorHAnsi"/>
          <w:sz w:val="24"/>
          <w:szCs w:val="24"/>
          <w:lang w:val="en-GB"/>
        </w:rPr>
        <w:t>Thomism</w:t>
      </w:r>
      <w:r w:rsidR="00762741" w:rsidRPr="00461D74">
        <w:rPr>
          <w:rFonts w:ascii="Garamond" w:hAnsi="Garamond" w:cstheme="minorHAnsi"/>
          <w:sz w:val="24"/>
          <w:szCs w:val="24"/>
          <w:lang w:val="en-GB"/>
        </w:rPr>
        <w:t xml:space="preserve">. </w:t>
      </w:r>
      <w:r w:rsidR="0058678A" w:rsidRPr="00461D74">
        <w:rPr>
          <w:rFonts w:ascii="Garamond" w:hAnsi="Garamond" w:cstheme="minorHAnsi"/>
          <w:sz w:val="24"/>
          <w:szCs w:val="24"/>
          <w:lang w:val="en-GB"/>
        </w:rPr>
        <w:t>When we take into account</w:t>
      </w:r>
      <w:r w:rsidR="00607302" w:rsidRPr="00461D74">
        <w:rPr>
          <w:rFonts w:ascii="Garamond" w:hAnsi="Garamond" w:cstheme="minorHAnsi"/>
          <w:sz w:val="24"/>
          <w:szCs w:val="24"/>
          <w:lang w:val="en-GB"/>
        </w:rPr>
        <w:t xml:space="preserve"> </w:t>
      </w:r>
      <w:r w:rsidR="00762741" w:rsidRPr="00461D74">
        <w:rPr>
          <w:rFonts w:ascii="Garamond" w:hAnsi="Garamond" w:cstheme="minorHAnsi"/>
          <w:sz w:val="24"/>
          <w:szCs w:val="24"/>
          <w:lang w:val="en-GB"/>
        </w:rPr>
        <w:t>MacIntyre’s</w:t>
      </w:r>
      <w:r w:rsidR="00E63B3F" w:rsidRPr="00461D74">
        <w:rPr>
          <w:rFonts w:ascii="Garamond" w:hAnsi="Garamond" w:cstheme="minorHAnsi"/>
          <w:sz w:val="24"/>
          <w:szCs w:val="24"/>
          <w:lang w:val="en-GB"/>
        </w:rPr>
        <w:t xml:space="preserve"> historical account </w:t>
      </w:r>
      <w:r w:rsidR="00762741" w:rsidRPr="00461D74">
        <w:rPr>
          <w:rFonts w:ascii="Garamond" w:hAnsi="Garamond" w:cstheme="minorHAnsi"/>
          <w:sz w:val="24"/>
          <w:szCs w:val="24"/>
          <w:lang w:val="en-GB"/>
        </w:rPr>
        <w:t>of traditions</w:t>
      </w:r>
      <w:r w:rsidR="00103C07" w:rsidRPr="00461D74">
        <w:rPr>
          <w:rFonts w:ascii="Garamond" w:hAnsi="Garamond" w:cstheme="minorHAnsi"/>
          <w:sz w:val="24"/>
          <w:szCs w:val="24"/>
          <w:lang w:val="en-GB"/>
        </w:rPr>
        <w:t xml:space="preserve"> </w:t>
      </w:r>
      <w:r w:rsidR="00762741" w:rsidRPr="00461D74">
        <w:rPr>
          <w:rFonts w:ascii="Garamond" w:hAnsi="Garamond" w:cstheme="minorHAnsi"/>
          <w:sz w:val="24"/>
          <w:szCs w:val="24"/>
          <w:lang w:val="en-GB"/>
        </w:rPr>
        <w:t>–</w:t>
      </w:r>
      <w:r w:rsidRPr="00461D74">
        <w:rPr>
          <w:rFonts w:ascii="Garamond" w:hAnsi="Garamond" w:cstheme="minorHAnsi"/>
          <w:sz w:val="24"/>
          <w:szCs w:val="24"/>
          <w:lang w:val="en-GB"/>
        </w:rPr>
        <w:t xml:space="preserve"> </w:t>
      </w:r>
      <w:r w:rsidR="00E63B3F" w:rsidRPr="00461D74">
        <w:rPr>
          <w:rFonts w:ascii="Garamond" w:hAnsi="Garamond" w:cstheme="minorHAnsi"/>
          <w:sz w:val="24"/>
          <w:szCs w:val="24"/>
          <w:lang w:val="en-GB"/>
        </w:rPr>
        <w:t xml:space="preserve">in which later </w:t>
      </w:r>
      <w:r w:rsidR="00DC35FE" w:rsidRPr="00461D74">
        <w:rPr>
          <w:rFonts w:ascii="Garamond" w:hAnsi="Garamond" w:cstheme="minorHAnsi"/>
          <w:sz w:val="24"/>
          <w:szCs w:val="24"/>
          <w:lang w:val="en-GB"/>
        </w:rPr>
        <w:t>traditions</w:t>
      </w:r>
      <w:r w:rsidR="00E63B3F" w:rsidRPr="00461D74">
        <w:rPr>
          <w:rFonts w:ascii="Garamond" w:hAnsi="Garamond" w:cstheme="minorHAnsi"/>
          <w:sz w:val="24"/>
          <w:szCs w:val="24"/>
          <w:lang w:val="en-GB"/>
        </w:rPr>
        <w:t xml:space="preserve"> surpass earlier </w:t>
      </w:r>
      <w:r w:rsidR="00762741" w:rsidRPr="00461D74">
        <w:rPr>
          <w:rFonts w:ascii="Garamond" w:hAnsi="Garamond" w:cstheme="minorHAnsi"/>
          <w:sz w:val="24"/>
          <w:szCs w:val="24"/>
          <w:lang w:val="en-GB"/>
        </w:rPr>
        <w:t>accounts</w:t>
      </w:r>
      <w:r w:rsidRPr="00461D74">
        <w:rPr>
          <w:rFonts w:ascii="Garamond" w:hAnsi="Garamond" w:cstheme="minorHAnsi"/>
          <w:sz w:val="24"/>
          <w:szCs w:val="24"/>
          <w:lang w:val="en-GB"/>
        </w:rPr>
        <w:t xml:space="preserve"> </w:t>
      </w:r>
      <w:r w:rsidR="00762741" w:rsidRPr="00461D74">
        <w:rPr>
          <w:rFonts w:ascii="Garamond" w:hAnsi="Garamond" w:cstheme="minorHAnsi"/>
          <w:sz w:val="24"/>
          <w:szCs w:val="24"/>
          <w:lang w:val="en-GB"/>
        </w:rPr>
        <w:t>–</w:t>
      </w:r>
      <w:r w:rsidRPr="00461D74">
        <w:rPr>
          <w:rFonts w:ascii="Garamond" w:hAnsi="Garamond" w:cstheme="minorHAnsi"/>
          <w:sz w:val="24"/>
          <w:szCs w:val="24"/>
          <w:lang w:val="en-GB"/>
        </w:rPr>
        <w:t xml:space="preserve"> </w:t>
      </w:r>
      <w:r w:rsidR="0058678A" w:rsidRPr="00461D74">
        <w:rPr>
          <w:rFonts w:ascii="Garamond" w:hAnsi="Garamond" w:cstheme="minorHAnsi"/>
          <w:sz w:val="24"/>
          <w:szCs w:val="24"/>
          <w:lang w:val="en-GB"/>
        </w:rPr>
        <w:t xml:space="preserve">it seems </w:t>
      </w:r>
      <w:r w:rsidR="00DC35FE" w:rsidRPr="00461D74">
        <w:rPr>
          <w:rFonts w:ascii="Garamond" w:hAnsi="Garamond" w:cstheme="minorHAnsi"/>
          <w:sz w:val="24"/>
          <w:szCs w:val="24"/>
          <w:lang w:val="en-GB"/>
        </w:rPr>
        <w:t>liberalism appears to have superseded the</w:t>
      </w:r>
      <w:r w:rsidR="00307931" w:rsidRPr="00461D74">
        <w:rPr>
          <w:rFonts w:ascii="Garamond" w:hAnsi="Garamond" w:cstheme="minorHAnsi"/>
          <w:sz w:val="24"/>
          <w:szCs w:val="24"/>
          <w:lang w:val="en-GB"/>
        </w:rPr>
        <w:t xml:space="preserve"> earlier</w:t>
      </w:r>
      <w:r w:rsidR="00DC35FE" w:rsidRPr="00461D74">
        <w:rPr>
          <w:rFonts w:ascii="Garamond" w:hAnsi="Garamond" w:cstheme="minorHAnsi"/>
          <w:sz w:val="24"/>
          <w:szCs w:val="24"/>
          <w:lang w:val="en-GB"/>
        </w:rPr>
        <w:t xml:space="preserve"> Aristotelian and Thomist</w:t>
      </w:r>
      <w:r w:rsidR="00307931" w:rsidRPr="00461D74">
        <w:rPr>
          <w:rFonts w:ascii="Garamond" w:hAnsi="Garamond" w:cstheme="minorHAnsi"/>
          <w:sz w:val="24"/>
          <w:szCs w:val="24"/>
          <w:lang w:val="en-GB"/>
        </w:rPr>
        <w:t>ic</w:t>
      </w:r>
      <w:r w:rsidR="00DC35FE" w:rsidRPr="00461D74">
        <w:rPr>
          <w:rFonts w:ascii="Garamond" w:hAnsi="Garamond" w:cstheme="minorHAnsi"/>
          <w:sz w:val="24"/>
          <w:szCs w:val="24"/>
          <w:lang w:val="en-GB"/>
        </w:rPr>
        <w:t xml:space="preserve"> traditions</w:t>
      </w:r>
      <w:r w:rsidR="0058678A" w:rsidRPr="00461D74">
        <w:rPr>
          <w:rFonts w:ascii="Garamond" w:hAnsi="Garamond" w:cstheme="minorHAnsi"/>
          <w:sz w:val="24"/>
          <w:szCs w:val="24"/>
          <w:lang w:val="en-GB"/>
        </w:rPr>
        <w:t>; and u</w:t>
      </w:r>
      <w:r w:rsidR="00B45BC2" w:rsidRPr="00461D74">
        <w:rPr>
          <w:rFonts w:ascii="Garamond" w:hAnsi="Garamond" w:cstheme="minorHAnsi"/>
          <w:sz w:val="24"/>
          <w:szCs w:val="24"/>
          <w:lang w:val="en-GB"/>
        </w:rPr>
        <w:t xml:space="preserve">nless </w:t>
      </w:r>
      <w:r w:rsidR="0058678A" w:rsidRPr="00461D74">
        <w:rPr>
          <w:rFonts w:ascii="Garamond" w:hAnsi="Garamond" w:cstheme="minorHAnsi"/>
          <w:sz w:val="24"/>
          <w:szCs w:val="24"/>
          <w:lang w:val="en-GB"/>
        </w:rPr>
        <w:t>he</w:t>
      </w:r>
      <w:r w:rsidR="00B45BC2" w:rsidRPr="00461D74">
        <w:rPr>
          <w:rFonts w:ascii="Garamond" w:hAnsi="Garamond" w:cstheme="minorHAnsi"/>
          <w:sz w:val="24"/>
          <w:szCs w:val="24"/>
          <w:lang w:val="en-GB"/>
        </w:rPr>
        <w:t xml:space="preserve"> can </w:t>
      </w:r>
      <w:r w:rsidR="0058678A" w:rsidRPr="00461D74">
        <w:rPr>
          <w:rFonts w:ascii="Garamond" w:hAnsi="Garamond" w:cstheme="minorHAnsi"/>
          <w:sz w:val="24"/>
          <w:szCs w:val="24"/>
          <w:lang w:val="en-GB"/>
        </w:rPr>
        <w:t>produce good reasons that effectively challenge this discrepancy, MacIntyre’s disparate commitments undercut</w:t>
      </w:r>
      <w:r w:rsidR="00F874E8" w:rsidRPr="00461D74">
        <w:rPr>
          <w:rFonts w:ascii="Garamond" w:hAnsi="Garamond" w:cstheme="minorHAnsi"/>
          <w:sz w:val="24"/>
          <w:szCs w:val="24"/>
          <w:lang w:val="en-GB"/>
        </w:rPr>
        <w:t>s</w:t>
      </w:r>
      <w:r w:rsidR="0058678A" w:rsidRPr="00461D74">
        <w:rPr>
          <w:rFonts w:ascii="Garamond" w:hAnsi="Garamond" w:cstheme="minorHAnsi"/>
          <w:sz w:val="24"/>
          <w:szCs w:val="24"/>
          <w:lang w:val="en-GB"/>
        </w:rPr>
        <w:t xml:space="preserve"> the validity of his overall account.</w:t>
      </w:r>
      <w:r w:rsidR="006357E3" w:rsidRPr="00461D74">
        <w:rPr>
          <w:rFonts w:ascii="Garamond" w:hAnsi="Garamond" w:cstheme="minorHAnsi"/>
          <w:sz w:val="24"/>
          <w:szCs w:val="24"/>
          <w:lang w:val="en-GB"/>
        </w:rPr>
        <w:t xml:space="preserve"> Thus worryingly, </w:t>
      </w:r>
      <w:r w:rsidR="006357E3" w:rsidRPr="00461D74">
        <w:rPr>
          <w:rFonts w:ascii="Garamond" w:hAnsi="Garamond"/>
          <w:sz w:val="24"/>
          <w:szCs w:val="24"/>
        </w:rPr>
        <w:t xml:space="preserve">MacIntyre’s historicism and contextualism </w:t>
      </w:r>
      <w:r w:rsidR="00F874E8" w:rsidRPr="00461D74">
        <w:rPr>
          <w:rFonts w:ascii="Garamond" w:hAnsi="Garamond"/>
          <w:sz w:val="24"/>
          <w:szCs w:val="24"/>
        </w:rPr>
        <w:t xml:space="preserve">potentially </w:t>
      </w:r>
      <w:r w:rsidR="006357E3" w:rsidRPr="00461D74">
        <w:rPr>
          <w:rFonts w:ascii="Garamond" w:hAnsi="Garamond"/>
          <w:sz w:val="24"/>
          <w:szCs w:val="24"/>
        </w:rPr>
        <w:t>impl</w:t>
      </w:r>
      <w:r w:rsidR="00F874E8" w:rsidRPr="00461D74">
        <w:rPr>
          <w:rFonts w:ascii="Garamond" w:hAnsi="Garamond"/>
          <w:sz w:val="24"/>
          <w:szCs w:val="24"/>
        </w:rPr>
        <w:t>ies</w:t>
      </w:r>
      <w:r w:rsidR="006357E3" w:rsidRPr="00461D74">
        <w:rPr>
          <w:rFonts w:ascii="Garamond" w:hAnsi="Garamond"/>
          <w:sz w:val="24"/>
          <w:szCs w:val="24"/>
        </w:rPr>
        <w:t xml:space="preserve"> that Aristotelian-Thomism was in fact </w:t>
      </w:r>
      <w:r w:rsidRPr="00461D74">
        <w:rPr>
          <w:rFonts w:ascii="Garamond" w:hAnsi="Garamond"/>
          <w:sz w:val="24"/>
          <w:szCs w:val="24"/>
        </w:rPr>
        <w:t xml:space="preserve">rightly </w:t>
      </w:r>
      <w:r w:rsidR="006357E3" w:rsidRPr="00461D74">
        <w:rPr>
          <w:rFonts w:ascii="Garamond" w:hAnsi="Garamond"/>
          <w:sz w:val="24"/>
          <w:szCs w:val="24"/>
        </w:rPr>
        <w:t>sidelined in the course of the various episodes in the social-intellectual history</w:t>
      </w:r>
      <w:r w:rsidRPr="00461D74">
        <w:rPr>
          <w:rFonts w:ascii="Garamond" w:hAnsi="Garamond"/>
          <w:sz w:val="24"/>
          <w:szCs w:val="24"/>
        </w:rPr>
        <w:t>, which then makes it problematic for him to claim that we should now bring it back</w:t>
      </w:r>
      <w:r w:rsidR="006357E3" w:rsidRPr="00461D74">
        <w:rPr>
          <w:rFonts w:ascii="Garamond" w:hAnsi="Garamond"/>
          <w:sz w:val="24"/>
          <w:szCs w:val="24"/>
        </w:rPr>
        <w:t>.</w:t>
      </w:r>
    </w:p>
    <w:p w:rsidR="006357E3" w:rsidRPr="00461D74" w:rsidRDefault="006357E3" w:rsidP="00164E4D">
      <w:pPr>
        <w:spacing w:line="360" w:lineRule="auto"/>
        <w:ind w:firstLine="720"/>
        <w:jc w:val="both"/>
        <w:rPr>
          <w:rFonts w:ascii="Garamond" w:hAnsi="Garamond"/>
          <w:sz w:val="24"/>
          <w:szCs w:val="24"/>
        </w:rPr>
      </w:pPr>
      <w:r w:rsidRPr="00461D74">
        <w:rPr>
          <w:rFonts w:ascii="Garamond" w:hAnsi="Garamond"/>
          <w:sz w:val="24"/>
          <w:szCs w:val="24"/>
        </w:rPr>
        <w:t>Second, MacIntyre’s historical-cum-contextualist commitments closely connect moral inquiry to the wider social-political context</w:t>
      </w:r>
      <w:r w:rsidR="00ED6C04" w:rsidRPr="00461D74">
        <w:rPr>
          <w:rFonts w:ascii="Garamond" w:hAnsi="Garamond"/>
          <w:sz w:val="24"/>
          <w:szCs w:val="24"/>
        </w:rPr>
        <w:t>, arguing that it needs to be embedded in the latter</w:t>
      </w:r>
      <w:r w:rsidRPr="00461D74">
        <w:rPr>
          <w:rFonts w:ascii="Garamond" w:hAnsi="Garamond"/>
          <w:sz w:val="24"/>
          <w:szCs w:val="24"/>
        </w:rPr>
        <w:t xml:space="preserve">. </w:t>
      </w:r>
      <w:r w:rsidR="00ED6C04" w:rsidRPr="00461D74">
        <w:rPr>
          <w:rFonts w:ascii="Garamond" w:hAnsi="Garamond"/>
          <w:sz w:val="24"/>
          <w:szCs w:val="24"/>
        </w:rPr>
        <w:t>However, t</w:t>
      </w:r>
      <w:r w:rsidRPr="00461D74">
        <w:rPr>
          <w:rFonts w:ascii="Garamond" w:hAnsi="Garamond"/>
          <w:sz w:val="24"/>
          <w:szCs w:val="24"/>
        </w:rPr>
        <w:t>he worry is then</w:t>
      </w:r>
      <w:r w:rsidR="00ED6C04" w:rsidRPr="00461D74">
        <w:rPr>
          <w:rFonts w:ascii="Garamond" w:hAnsi="Garamond"/>
          <w:sz w:val="24"/>
          <w:szCs w:val="24"/>
        </w:rPr>
        <w:t>:</w:t>
      </w:r>
      <w:r w:rsidRPr="00461D74">
        <w:rPr>
          <w:rFonts w:ascii="Garamond" w:hAnsi="Garamond"/>
          <w:sz w:val="24"/>
          <w:szCs w:val="24"/>
        </w:rPr>
        <w:t xml:space="preserve"> how is it possible to reconcile </w:t>
      </w:r>
      <w:r w:rsidR="00ED6C04" w:rsidRPr="00461D74">
        <w:rPr>
          <w:rFonts w:ascii="Garamond" w:hAnsi="Garamond"/>
          <w:sz w:val="24"/>
          <w:szCs w:val="24"/>
        </w:rPr>
        <w:t xml:space="preserve">this outlook with </w:t>
      </w:r>
      <w:r w:rsidRPr="00461D74">
        <w:rPr>
          <w:rFonts w:ascii="Garamond" w:hAnsi="Garamond"/>
          <w:sz w:val="24"/>
          <w:szCs w:val="24"/>
        </w:rPr>
        <w:t>the idea that the Thomistic tradition</w:t>
      </w:r>
      <w:r w:rsidR="00ED6C04" w:rsidRPr="00461D74">
        <w:rPr>
          <w:rFonts w:ascii="Garamond" w:hAnsi="Garamond"/>
          <w:sz w:val="24"/>
          <w:szCs w:val="24"/>
        </w:rPr>
        <w:t xml:space="preserve"> </w:t>
      </w:r>
      <w:r w:rsidRPr="00461D74">
        <w:rPr>
          <w:rFonts w:ascii="Garamond" w:hAnsi="Garamond"/>
          <w:sz w:val="24"/>
          <w:szCs w:val="24"/>
        </w:rPr>
        <w:t>–</w:t>
      </w:r>
      <w:r w:rsidR="00ED6C04" w:rsidRPr="00461D74">
        <w:rPr>
          <w:rFonts w:ascii="Garamond" w:hAnsi="Garamond"/>
          <w:sz w:val="24"/>
          <w:szCs w:val="24"/>
        </w:rPr>
        <w:t xml:space="preserve"> </w:t>
      </w:r>
      <w:r w:rsidRPr="00461D74">
        <w:rPr>
          <w:rFonts w:ascii="Garamond" w:hAnsi="Garamond"/>
          <w:sz w:val="24"/>
          <w:szCs w:val="24"/>
        </w:rPr>
        <w:t>as a theoretical expression of social-moral practices belonging to a widely different historical context</w:t>
      </w:r>
      <w:r w:rsidR="00ED6C04" w:rsidRPr="00461D74">
        <w:rPr>
          <w:rFonts w:ascii="Garamond" w:hAnsi="Garamond"/>
          <w:sz w:val="24"/>
          <w:szCs w:val="24"/>
        </w:rPr>
        <w:t xml:space="preserve"> from our own </w:t>
      </w:r>
      <w:r w:rsidRPr="00461D74">
        <w:rPr>
          <w:rFonts w:ascii="Garamond" w:hAnsi="Garamond"/>
          <w:sz w:val="24"/>
          <w:szCs w:val="24"/>
        </w:rPr>
        <w:t>–</w:t>
      </w:r>
      <w:r w:rsidR="00ED6C04" w:rsidRPr="00461D74">
        <w:rPr>
          <w:rFonts w:ascii="Garamond" w:hAnsi="Garamond"/>
          <w:sz w:val="24"/>
          <w:szCs w:val="24"/>
        </w:rPr>
        <w:t xml:space="preserve"> can </w:t>
      </w:r>
      <w:r w:rsidRPr="00461D74">
        <w:rPr>
          <w:rFonts w:ascii="Garamond" w:hAnsi="Garamond"/>
          <w:sz w:val="24"/>
          <w:szCs w:val="24"/>
        </w:rPr>
        <w:t>represent our best chance for addressing present-day social and political problems?</w:t>
      </w:r>
      <w:r w:rsidR="00ED6C04" w:rsidRPr="00461D74">
        <w:rPr>
          <w:rFonts w:ascii="Garamond" w:hAnsi="Garamond"/>
          <w:sz w:val="24"/>
          <w:szCs w:val="24"/>
        </w:rPr>
        <w:t xml:space="preserve"> If MacIntyre is right that a moral theory only makes sense within a particular social context, how can Thomism be made workable when its context is so different from the one which prevails today?</w:t>
      </w:r>
    </w:p>
    <w:p w:rsidR="006357E3" w:rsidRPr="00461D74" w:rsidRDefault="006357E3"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T</w:t>
      </w:r>
      <w:r w:rsidR="00B01B89" w:rsidRPr="00461D74">
        <w:rPr>
          <w:rFonts w:ascii="Garamond" w:hAnsi="Garamond" w:cstheme="minorHAnsi"/>
          <w:sz w:val="24"/>
          <w:szCs w:val="24"/>
          <w:lang w:val="en-GB"/>
        </w:rPr>
        <w:t xml:space="preserve">hese </w:t>
      </w:r>
      <w:r w:rsidR="008B1A24" w:rsidRPr="00461D74">
        <w:rPr>
          <w:rFonts w:ascii="Garamond" w:hAnsi="Garamond" w:cstheme="minorHAnsi"/>
          <w:sz w:val="24"/>
          <w:szCs w:val="24"/>
          <w:lang w:val="en-GB"/>
        </w:rPr>
        <w:t xml:space="preserve">difficulties </w:t>
      </w:r>
      <w:r w:rsidR="00B01B89" w:rsidRPr="00461D74">
        <w:rPr>
          <w:rFonts w:ascii="Garamond" w:hAnsi="Garamond" w:cstheme="minorHAnsi"/>
          <w:sz w:val="24"/>
          <w:szCs w:val="24"/>
          <w:lang w:val="en-GB"/>
        </w:rPr>
        <w:t>emerge</w:t>
      </w:r>
      <w:r w:rsidR="001770C3" w:rsidRPr="00461D74">
        <w:rPr>
          <w:rFonts w:ascii="Garamond" w:hAnsi="Garamond" w:cstheme="minorHAnsi"/>
          <w:sz w:val="24"/>
          <w:szCs w:val="24"/>
          <w:lang w:val="en-GB"/>
        </w:rPr>
        <w:t xml:space="preserve"> </w:t>
      </w:r>
      <w:r w:rsidRPr="00461D74">
        <w:rPr>
          <w:rFonts w:ascii="Garamond" w:hAnsi="Garamond" w:cstheme="minorHAnsi"/>
          <w:sz w:val="24"/>
          <w:szCs w:val="24"/>
          <w:lang w:val="en-GB"/>
        </w:rPr>
        <w:t>in part</w:t>
      </w:r>
      <w:r w:rsidR="001770C3" w:rsidRPr="00461D74">
        <w:rPr>
          <w:rFonts w:ascii="Garamond" w:hAnsi="Garamond" w:cstheme="minorHAnsi"/>
          <w:sz w:val="24"/>
          <w:szCs w:val="24"/>
          <w:lang w:val="en-GB"/>
        </w:rPr>
        <w:t xml:space="preserve"> because </w:t>
      </w:r>
      <w:r w:rsidR="00E21A59" w:rsidRPr="00461D74">
        <w:rPr>
          <w:rFonts w:ascii="Garamond" w:hAnsi="Garamond" w:cstheme="minorHAnsi"/>
          <w:sz w:val="24"/>
          <w:szCs w:val="24"/>
          <w:lang w:val="en-GB"/>
        </w:rPr>
        <w:t>MacIntyre</w:t>
      </w:r>
      <w:r w:rsidR="001770C3" w:rsidRPr="00461D74">
        <w:rPr>
          <w:rFonts w:ascii="Garamond" w:hAnsi="Garamond" w:cstheme="minorHAnsi"/>
          <w:sz w:val="24"/>
          <w:szCs w:val="24"/>
          <w:lang w:val="en-GB"/>
        </w:rPr>
        <w:t xml:space="preserve"> </w:t>
      </w:r>
      <w:r w:rsidR="00E21A59" w:rsidRPr="00461D74">
        <w:rPr>
          <w:rFonts w:ascii="Garamond" w:hAnsi="Garamond" w:cstheme="minorHAnsi"/>
          <w:sz w:val="24"/>
          <w:szCs w:val="24"/>
          <w:lang w:val="en-GB"/>
        </w:rPr>
        <w:t xml:space="preserve">explicitly commits to a meaningful version of </w:t>
      </w:r>
      <w:r w:rsidR="001770C3" w:rsidRPr="00461D74">
        <w:rPr>
          <w:rFonts w:ascii="Garamond" w:hAnsi="Garamond" w:cstheme="minorHAnsi"/>
          <w:sz w:val="24"/>
          <w:szCs w:val="24"/>
          <w:lang w:val="en-GB"/>
        </w:rPr>
        <w:t>historicism and contextualism</w:t>
      </w:r>
      <w:r w:rsidR="00ED6C04" w:rsidRPr="00461D74">
        <w:rPr>
          <w:rFonts w:ascii="Garamond" w:hAnsi="Garamond" w:cstheme="minorHAnsi"/>
          <w:sz w:val="24"/>
          <w:szCs w:val="24"/>
          <w:lang w:val="en-GB"/>
        </w:rPr>
        <w:t xml:space="preserve">; </w:t>
      </w:r>
      <w:r w:rsidR="00F874E8" w:rsidRPr="00461D74">
        <w:rPr>
          <w:rFonts w:ascii="Garamond" w:hAnsi="Garamond" w:cstheme="minorHAnsi"/>
          <w:sz w:val="24"/>
          <w:szCs w:val="24"/>
          <w:lang w:val="en-GB"/>
        </w:rPr>
        <w:t xml:space="preserve">yet, </w:t>
      </w:r>
      <w:r w:rsidR="00E21A59" w:rsidRPr="00461D74">
        <w:rPr>
          <w:rFonts w:ascii="Garamond" w:hAnsi="Garamond" w:cstheme="minorHAnsi"/>
          <w:sz w:val="24"/>
          <w:szCs w:val="24"/>
          <w:lang w:val="en-GB"/>
        </w:rPr>
        <w:t xml:space="preserve">these </w:t>
      </w:r>
      <w:r w:rsidR="00F874E8" w:rsidRPr="00461D74">
        <w:rPr>
          <w:rFonts w:ascii="Garamond" w:hAnsi="Garamond" w:cstheme="minorHAnsi"/>
          <w:sz w:val="24"/>
          <w:szCs w:val="24"/>
          <w:lang w:val="en-GB"/>
        </w:rPr>
        <w:t xml:space="preserve">same </w:t>
      </w:r>
      <w:r w:rsidR="00E21A59" w:rsidRPr="00461D74">
        <w:rPr>
          <w:rFonts w:ascii="Garamond" w:hAnsi="Garamond" w:cstheme="minorHAnsi"/>
          <w:sz w:val="24"/>
          <w:szCs w:val="24"/>
          <w:lang w:val="en-GB"/>
        </w:rPr>
        <w:t>commitments</w:t>
      </w:r>
      <w:r w:rsidRPr="00461D74">
        <w:rPr>
          <w:rFonts w:ascii="Garamond" w:hAnsi="Garamond" w:cstheme="minorHAnsi"/>
          <w:sz w:val="24"/>
          <w:szCs w:val="24"/>
          <w:lang w:val="en-GB"/>
        </w:rPr>
        <w:t>,</w:t>
      </w:r>
      <w:r w:rsidR="00E21A59" w:rsidRPr="00461D74">
        <w:rPr>
          <w:rFonts w:ascii="Garamond" w:hAnsi="Garamond" w:cstheme="minorHAnsi"/>
          <w:sz w:val="24"/>
          <w:szCs w:val="24"/>
          <w:lang w:val="en-GB"/>
        </w:rPr>
        <w:t xml:space="preserve"> when taken together with his rejection of large-scale political struc</w:t>
      </w:r>
      <w:r w:rsidRPr="00461D74">
        <w:rPr>
          <w:rFonts w:ascii="Garamond" w:hAnsi="Garamond" w:cstheme="minorHAnsi"/>
          <w:sz w:val="24"/>
          <w:szCs w:val="24"/>
          <w:lang w:val="en-GB"/>
        </w:rPr>
        <w:t>tures such as the liberal state</w:t>
      </w:r>
      <w:r w:rsidR="00E21A59" w:rsidRPr="00461D74">
        <w:rPr>
          <w:rFonts w:ascii="Garamond" w:hAnsi="Garamond" w:cstheme="minorHAnsi"/>
          <w:sz w:val="24"/>
          <w:szCs w:val="24"/>
          <w:lang w:val="en-GB"/>
        </w:rPr>
        <w:t xml:space="preserve"> and support for a small-scale Thomist politics, generates an important tension in MacIntyre’s account</w:t>
      </w:r>
      <w:r w:rsidRPr="00461D74">
        <w:rPr>
          <w:rFonts w:ascii="Garamond" w:hAnsi="Garamond" w:cstheme="minorHAnsi"/>
          <w:sz w:val="24"/>
          <w:szCs w:val="24"/>
          <w:lang w:val="en-GB"/>
        </w:rPr>
        <w:t>, because his</w:t>
      </w:r>
      <w:r w:rsidR="00831F88" w:rsidRPr="00461D74">
        <w:rPr>
          <w:rFonts w:ascii="Garamond" w:hAnsi="Garamond" w:cstheme="minorHAnsi"/>
          <w:sz w:val="24"/>
          <w:szCs w:val="24"/>
          <w:lang w:val="en-GB"/>
        </w:rPr>
        <w:t xml:space="preserve"> </w:t>
      </w:r>
      <w:r w:rsidR="00831F88" w:rsidRPr="00461D74">
        <w:rPr>
          <w:rFonts w:ascii="Garamond" w:hAnsi="Garamond" w:cstheme="minorHAnsi"/>
          <w:sz w:val="24"/>
          <w:szCs w:val="24"/>
          <w:lang w:val="en-GB"/>
        </w:rPr>
        <w:lastRenderedPageBreak/>
        <w:t>rejection of large-scale political struct</w:t>
      </w:r>
      <w:r w:rsidR="00783714" w:rsidRPr="00461D74">
        <w:rPr>
          <w:rFonts w:ascii="Garamond" w:hAnsi="Garamond" w:cstheme="minorHAnsi"/>
          <w:sz w:val="24"/>
          <w:szCs w:val="24"/>
          <w:lang w:val="en-GB"/>
        </w:rPr>
        <w:t xml:space="preserve">ures appears to ignore salient </w:t>
      </w:r>
      <w:r w:rsidR="00831F88" w:rsidRPr="00461D74">
        <w:rPr>
          <w:rFonts w:ascii="Garamond" w:hAnsi="Garamond" w:cstheme="minorHAnsi"/>
          <w:sz w:val="24"/>
          <w:szCs w:val="24"/>
          <w:lang w:val="en-GB"/>
        </w:rPr>
        <w:t>historical</w:t>
      </w:r>
      <w:r w:rsidR="00783714" w:rsidRPr="00461D74">
        <w:rPr>
          <w:rFonts w:ascii="Garamond" w:hAnsi="Garamond" w:cstheme="minorHAnsi"/>
          <w:sz w:val="24"/>
          <w:szCs w:val="24"/>
          <w:lang w:val="en-GB"/>
        </w:rPr>
        <w:t>-contextual</w:t>
      </w:r>
      <w:r w:rsidR="00831F88" w:rsidRPr="00461D74">
        <w:rPr>
          <w:rFonts w:ascii="Garamond" w:hAnsi="Garamond" w:cstheme="minorHAnsi"/>
          <w:sz w:val="24"/>
          <w:szCs w:val="24"/>
          <w:lang w:val="en-GB"/>
        </w:rPr>
        <w:t xml:space="preserve"> social facts</w:t>
      </w:r>
      <w:r w:rsidR="00ED6C04" w:rsidRPr="00461D74">
        <w:rPr>
          <w:rFonts w:ascii="Garamond" w:hAnsi="Garamond" w:cstheme="minorHAnsi"/>
          <w:sz w:val="24"/>
          <w:szCs w:val="24"/>
          <w:lang w:val="en-GB"/>
        </w:rPr>
        <w:t xml:space="preserve"> </w:t>
      </w:r>
      <w:r w:rsidR="00831F88" w:rsidRPr="00461D74">
        <w:rPr>
          <w:rFonts w:ascii="Garamond" w:hAnsi="Garamond" w:cstheme="minorHAnsi"/>
          <w:sz w:val="24"/>
          <w:szCs w:val="24"/>
          <w:lang w:val="en-GB"/>
        </w:rPr>
        <w:t>–</w:t>
      </w:r>
      <w:r w:rsidR="00ED6C04" w:rsidRPr="00461D74">
        <w:rPr>
          <w:rFonts w:ascii="Garamond" w:hAnsi="Garamond" w:cstheme="minorHAnsi"/>
          <w:sz w:val="24"/>
          <w:szCs w:val="24"/>
          <w:lang w:val="en-GB"/>
        </w:rPr>
        <w:t xml:space="preserve"> </w:t>
      </w:r>
      <w:r w:rsidR="00831F88" w:rsidRPr="00461D74">
        <w:rPr>
          <w:rFonts w:ascii="Garamond" w:hAnsi="Garamond" w:cstheme="minorHAnsi"/>
          <w:sz w:val="24"/>
          <w:szCs w:val="24"/>
          <w:lang w:val="en-GB"/>
        </w:rPr>
        <w:t xml:space="preserve">in this case the </w:t>
      </w:r>
      <w:r w:rsidR="00ED6C04" w:rsidRPr="00461D74">
        <w:rPr>
          <w:rFonts w:ascii="Garamond" w:hAnsi="Garamond" w:cstheme="minorHAnsi"/>
          <w:sz w:val="24"/>
          <w:szCs w:val="24"/>
          <w:lang w:val="en-GB"/>
        </w:rPr>
        <w:t xml:space="preserve">modern </w:t>
      </w:r>
      <w:r w:rsidR="00831F88" w:rsidRPr="00461D74">
        <w:rPr>
          <w:rFonts w:ascii="Garamond" w:hAnsi="Garamond" w:cstheme="minorHAnsi"/>
          <w:sz w:val="24"/>
          <w:szCs w:val="24"/>
          <w:lang w:val="en-GB"/>
        </w:rPr>
        <w:t>state and its institutions</w:t>
      </w:r>
      <w:r w:rsidR="00ED6C04" w:rsidRPr="00461D74">
        <w:rPr>
          <w:rFonts w:ascii="Garamond" w:hAnsi="Garamond" w:cstheme="minorHAnsi"/>
          <w:sz w:val="24"/>
          <w:szCs w:val="24"/>
          <w:lang w:val="en-GB"/>
        </w:rPr>
        <w:t xml:space="preserve"> </w:t>
      </w:r>
      <w:r w:rsidR="00831F88" w:rsidRPr="00461D74">
        <w:rPr>
          <w:rFonts w:ascii="Garamond" w:hAnsi="Garamond" w:cstheme="minorHAnsi"/>
          <w:sz w:val="24"/>
          <w:szCs w:val="24"/>
          <w:lang w:val="en-GB"/>
        </w:rPr>
        <w:t>–</w:t>
      </w:r>
      <w:r w:rsidR="00ED6C04" w:rsidRPr="00461D74">
        <w:rPr>
          <w:rFonts w:ascii="Garamond" w:hAnsi="Garamond" w:cstheme="minorHAnsi"/>
          <w:sz w:val="24"/>
          <w:szCs w:val="24"/>
          <w:lang w:val="en-GB"/>
        </w:rPr>
        <w:t xml:space="preserve"> </w:t>
      </w:r>
      <w:r w:rsidR="00831F88" w:rsidRPr="00461D74">
        <w:rPr>
          <w:rFonts w:ascii="Garamond" w:hAnsi="Garamond" w:cstheme="minorHAnsi"/>
          <w:sz w:val="24"/>
          <w:szCs w:val="24"/>
          <w:lang w:val="en-GB"/>
        </w:rPr>
        <w:t xml:space="preserve">facts which fundamentally shape the contemporary liberal order, and form the basis of the socio-political </w:t>
      </w:r>
      <w:r w:rsidR="00F9796A" w:rsidRPr="00461D74">
        <w:rPr>
          <w:rFonts w:ascii="Garamond" w:hAnsi="Garamond" w:cstheme="minorHAnsi"/>
          <w:sz w:val="24"/>
          <w:szCs w:val="24"/>
          <w:lang w:val="en-GB"/>
        </w:rPr>
        <w:t>structure in western societies.</w:t>
      </w:r>
      <w:r w:rsidRPr="00461D74">
        <w:rPr>
          <w:rFonts w:ascii="Garamond" w:hAnsi="Garamond" w:cstheme="minorHAnsi"/>
          <w:sz w:val="24"/>
          <w:szCs w:val="24"/>
          <w:lang w:val="en-GB"/>
        </w:rPr>
        <w:t xml:space="preserve"> </w:t>
      </w:r>
      <w:r w:rsidRPr="00461D74">
        <w:rPr>
          <w:rFonts w:ascii="Garamond" w:hAnsi="Garamond"/>
          <w:sz w:val="24"/>
          <w:szCs w:val="24"/>
        </w:rPr>
        <w:t xml:space="preserve">In addition, </w:t>
      </w:r>
      <w:r w:rsidRPr="00461D74">
        <w:rPr>
          <w:rFonts w:ascii="Garamond" w:hAnsi="Garamond" w:cstheme="minorHAnsi"/>
          <w:sz w:val="24"/>
          <w:szCs w:val="24"/>
          <w:lang w:val="en-GB"/>
        </w:rPr>
        <w:t>MacIntyre’s wholesale rejection of liberal state and its institutions together with his endorsement of a small-scale Thomistic communal politics generates a number of further difficulties.</w:t>
      </w:r>
      <w:r w:rsidR="008B1A24" w:rsidRPr="00461D74">
        <w:rPr>
          <w:rStyle w:val="FootnoteReference"/>
          <w:rFonts w:ascii="Garamond" w:hAnsi="Garamond" w:cstheme="minorHAnsi"/>
          <w:sz w:val="24"/>
          <w:szCs w:val="24"/>
          <w:lang w:val="en-GB"/>
        </w:rPr>
        <w:footnoteReference w:id="9"/>
      </w:r>
    </w:p>
    <w:p w:rsidR="007B0FD6" w:rsidRPr="00461D74" w:rsidRDefault="00954EAC"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GB"/>
        </w:rPr>
        <w:t>The above two difficulties</w:t>
      </w:r>
      <w:r w:rsidR="008C1ABB" w:rsidRPr="00461D74">
        <w:rPr>
          <w:rFonts w:ascii="Garamond" w:hAnsi="Garamond" w:cstheme="minorHAnsi"/>
          <w:sz w:val="24"/>
          <w:szCs w:val="24"/>
          <w:lang w:val="en-GB"/>
        </w:rPr>
        <w:t xml:space="preserve"> (or tensions)</w:t>
      </w:r>
      <w:r w:rsidR="00480129"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generated </w:t>
      </w:r>
      <w:r w:rsidR="00853E35" w:rsidRPr="00461D74">
        <w:rPr>
          <w:rFonts w:ascii="Garamond" w:hAnsi="Garamond" w:cstheme="minorHAnsi"/>
          <w:sz w:val="24"/>
          <w:szCs w:val="24"/>
          <w:lang w:val="en-GB"/>
        </w:rPr>
        <w:t>by</w:t>
      </w:r>
      <w:r w:rsidRPr="00461D74">
        <w:rPr>
          <w:rFonts w:ascii="Garamond" w:hAnsi="Garamond" w:cstheme="minorHAnsi"/>
          <w:sz w:val="24"/>
          <w:szCs w:val="24"/>
          <w:lang w:val="en-GB"/>
        </w:rPr>
        <w:t xml:space="preserve"> MacIntyre’s </w:t>
      </w:r>
      <w:r w:rsidR="00853E35" w:rsidRPr="00461D74">
        <w:rPr>
          <w:rFonts w:ascii="Garamond" w:hAnsi="Garamond" w:cstheme="minorHAnsi"/>
          <w:sz w:val="24"/>
          <w:szCs w:val="24"/>
          <w:lang w:val="en-GB"/>
        </w:rPr>
        <w:t>work</w:t>
      </w:r>
      <w:r w:rsidR="008B1A24" w:rsidRPr="00461D74">
        <w:rPr>
          <w:rFonts w:ascii="Garamond" w:hAnsi="Garamond" w:cstheme="minorHAnsi"/>
          <w:sz w:val="24"/>
          <w:szCs w:val="24"/>
          <w:lang w:val="en-GB"/>
        </w:rPr>
        <w:t>,</w:t>
      </w:r>
      <w:r w:rsidRPr="00461D74">
        <w:rPr>
          <w:rFonts w:ascii="Garamond" w:hAnsi="Garamond" w:cstheme="minorHAnsi"/>
          <w:sz w:val="24"/>
          <w:szCs w:val="24"/>
          <w:lang w:val="en-GB"/>
        </w:rPr>
        <w:t xml:space="preserve"> comprise the </w:t>
      </w:r>
      <w:r w:rsidR="00853E35" w:rsidRPr="00461D74">
        <w:rPr>
          <w:rFonts w:ascii="Garamond" w:hAnsi="Garamond" w:cstheme="minorHAnsi"/>
          <w:sz w:val="24"/>
          <w:szCs w:val="24"/>
          <w:lang w:val="en-GB"/>
        </w:rPr>
        <w:t xml:space="preserve">two </w:t>
      </w:r>
      <w:r w:rsidRPr="00461D74">
        <w:rPr>
          <w:rFonts w:ascii="Garamond" w:hAnsi="Garamond" w:cstheme="minorHAnsi"/>
          <w:sz w:val="24"/>
          <w:szCs w:val="24"/>
          <w:lang w:val="en-GB"/>
        </w:rPr>
        <w:t>puzzle</w:t>
      </w:r>
      <w:r w:rsidR="00853E35" w:rsidRPr="00461D74">
        <w:rPr>
          <w:rFonts w:ascii="Garamond" w:hAnsi="Garamond" w:cstheme="minorHAnsi"/>
          <w:sz w:val="24"/>
          <w:szCs w:val="24"/>
          <w:lang w:val="en-GB"/>
        </w:rPr>
        <w:t>s</w:t>
      </w:r>
      <w:r w:rsidRPr="00461D74">
        <w:rPr>
          <w:rFonts w:ascii="Garamond" w:hAnsi="Garamond" w:cstheme="minorHAnsi"/>
          <w:sz w:val="24"/>
          <w:szCs w:val="24"/>
          <w:lang w:val="en-GB"/>
        </w:rPr>
        <w:t xml:space="preserve"> </w:t>
      </w:r>
      <w:r w:rsidR="005043CF" w:rsidRPr="00461D74">
        <w:rPr>
          <w:rFonts w:ascii="Garamond" w:hAnsi="Garamond" w:cstheme="minorHAnsi"/>
          <w:sz w:val="24"/>
          <w:szCs w:val="24"/>
          <w:lang w:val="en-GB"/>
        </w:rPr>
        <w:t xml:space="preserve">I plan to consider </w:t>
      </w:r>
      <w:r w:rsidR="00A16F18" w:rsidRPr="00461D74">
        <w:rPr>
          <w:rFonts w:ascii="Garamond" w:hAnsi="Garamond" w:cstheme="minorHAnsi"/>
          <w:sz w:val="24"/>
          <w:szCs w:val="24"/>
          <w:lang w:val="en-GB"/>
        </w:rPr>
        <w:t xml:space="preserve">in this </w:t>
      </w:r>
      <w:r w:rsidRPr="00461D74">
        <w:rPr>
          <w:rFonts w:ascii="Garamond" w:hAnsi="Garamond" w:cstheme="minorHAnsi"/>
          <w:sz w:val="24"/>
          <w:szCs w:val="24"/>
          <w:lang w:val="en-GB"/>
        </w:rPr>
        <w:t>thesis.</w:t>
      </w:r>
      <w:r w:rsidR="007B0FD6" w:rsidRPr="00461D74">
        <w:rPr>
          <w:rFonts w:ascii="Garamond" w:hAnsi="Garamond" w:cstheme="minorHAnsi"/>
          <w:sz w:val="24"/>
          <w:szCs w:val="24"/>
          <w:lang w:val="en-GB"/>
        </w:rPr>
        <w:t xml:space="preserve"> </w:t>
      </w:r>
      <w:r w:rsidR="008B1A24" w:rsidRPr="00461D74">
        <w:rPr>
          <w:rFonts w:ascii="Garamond" w:hAnsi="Garamond" w:cstheme="minorHAnsi"/>
          <w:sz w:val="24"/>
          <w:szCs w:val="24"/>
          <w:lang w:val="en-GB"/>
        </w:rPr>
        <w:t>Now before I begin, I should emphasize that it is my intention to frame this thesis in the form of an</w:t>
      </w:r>
      <w:r w:rsidR="008B1A24" w:rsidRPr="00461D74">
        <w:rPr>
          <w:rFonts w:ascii="Garamond" w:hAnsi="Garamond" w:cstheme="minorHAnsi"/>
          <w:sz w:val="24"/>
          <w:szCs w:val="24"/>
          <w:lang w:val="en-US"/>
        </w:rPr>
        <w:t xml:space="preserve"> immanent</w:t>
      </w:r>
      <w:r w:rsidR="008B1A24" w:rsidRPr="00461D74">
        <w:rPr>
          <w:rFonts w:ascii="Garamond" w:hAnsi="Garamond" w:cstheme="minorHAnsi"/>
          <w:sz w:val="24"/>
          <w:szCs w:val="24"/>
          <w:lang w:val="en-GB"/>
        </w:rPr>
        <w:t>, as opposed to a more general, critique of MacIntyre’s moral and political philosophy. For this reason, our discussion in this thesis will initially accept the various claims that are contained in MacIntyre’s work. Now, for the sake of advancing</w:t>
      </w:r>
      <w:r w:rsidR="007B0FD6" w:rsidRPr="00461D74">
        <w:rPr>
          <w:rFonts w:ascii="Garamond" w:hAnsi="Garamond" w:cstheme="minorHAnsi"/>
          <w:sz w:val="24"/>
          <w:szCs w:val="24"/>
          <w:lang w:val="en-GB"/>
        </w:rPr>
        <w:t xml:space="preserve"> a resolution to the</w:t>
      </w:r>
      <w:r w:rsidR="008B1A24" w:rsidRPr="00461D74">
        <w:rPr>
          <w:rFonts w:ascii="Garamond" w:hAnsi="Garamond" w:cstheme="minorHAnsi"/>
          <w:sz w:val="24"/>
          <w:szCs w:val="24"/>
          <w:lang w:val="en-GB"/>
        </w:rPr>
        <w:t>se</w:t>
      </w:r>
      <w:r w:rsidR="007B0FD6" w:rsidRPr="00461D74">
        <w:rPr>
          <w:rFonts w:ascii="Garamond" w:hAnsi="Garamond" w:cstheme="minorHAnsi"/>
          <w:sz w:val="24"/>
          <w:szCs w:val="24"/>
          <w:lang w:val="en-GB"/>
        </w:rPr>
        <w:t xml:space="preserve"> two difficulties, I will consider some Pragmatist possibilities that </w:t>
      </w:r>
      <w:r w:rsidR="008B1A24" w:rsidRPr="00461D74">
        <w:rPr>
          <w:rFonts w:ascii="Garamond" w:hAnsi="Garamond" w:cstheme="minorHAnsi"/>
          <w:sz w:val="24"/>
          <w:szCs w:val="24"/>
          <w:lang w:val="en-GB"/>
        </w:rPr>
        <w:t xml:space="preserve">on my view </w:t>
      </w:r>
      <w:r w:rsidR="007B0FD6" w:rsidRPr="00461D74">
        <w:rPr>
          <w:rFonts w:ascii="Garamond" w:hAnsi="Garamond" w:cstheme="minorHAnsi"/>
          <w:sz w:val="24"/>
          <w:szCs w:val="24"/>
          <w:lang w:val="en-GB"/>
        </w:rPr>
        <w:t>hold great appeal, especially when we consider their close connection with MacIntyre’s overall aims. In this thesis, I will articulate what will turn out to be a mostly</w:t>
      </w:r>
      <w:r w:rsidR="007B0FD6" w:rsidRPr="00461D74">
        <w:rPr>
          <w:rStyle w:val="FootnoteReference"/>
          <w:rFonts w:ascii="Garamond" w:hAnsi="Garamond" w:cstheme="minorHAnsi"/>
          <w:sz w:val="24"/>
          <w:szCs w:val="24"/>
          <w:lang w:val="en-GB"/>
        </w:rPr>
        <w:footnoteReference w:id="10"/>
      </w:r>
      <w:r w:rsidR="007B0FD6" w:rsidRPr="00461D74">
        <w:rPr>
          <w:rFonts w:ascii="Garamond" w:hAnsi="Garamond" w:cstheme="minorHAnsi"/>
          <w:sz w:val="24"/>
          <w:szCs w:val="24"/>
          <w:lang w:val="en-GB"/>
        </w:rPr>
        <w:t xml:space="preserve"> Deweyan pragmatist solution to the two difficulties that emerge in MacIntyre’s account.</w:t>
      </w:r>
    </w:p>
    <w:p w:rsidR="00893161" w:rsidRPr="00461D74" w:rsidRDefault="00853E35"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In addition to the above two difficulties</w:t>
      </w:r>
      <w:r w:rsidR="00954EAC" w:rsidRPr="00461D74">
        <w:rPr>
          <w:rFonts w:ascii="Garamond" w:hAnsi="Garamond" w:cstheme="minorHAnsi"/>
          <w:sz w:val="24"/>
          <w:szCs w:val="24"/>
          <w:lang w:val="en-GB"/>
        </w:rPr>
        <w:t xml:space="preserve">, </w:t>
      </w:r>
      <w:r w:rsidR="00CA6106" w:rsidRPr="00461D74">
        <w:rPr>
          <w:rFonts w:ascii="Garamond" w:hAnsi="Garamond" w:cstheme="minorHAnsi"/>
          <w:sz w:val="24"/>
          <w:szCs w:val="24"/>
          <w:lang w:val="en-GB"/>
        </w:rPr>
        <w:t>MacIntyre’s Thomistic turn</w:t>
      </w:r>
      <w:r w:rsidRPr="00461D74">
        <w:rPr>
          <w:rFonts w:ascii="Garamond" w:hAnsi="Garamond" w:cstheme="minorHAnsi"/>
          <w:sz w:val="24"/>
          <w:szCs w:val="24"/>
          <w:lang w:val="en-GB"/>
        </w:rPr>
        <w:t xml:space="preserve"> </w:t>
      </w:r>
      <w:r w:rsidR="007B0FD6" w:rsidRPr="00461D74">
        <w:rPr>
          <w:rFonts w:ascii="Garamond" w:hAnsi="Garamond" w:cstheme="minorHAnsi"/>
          <w:sz w:val="24"/>
          <w:szCs w:val="24"/>
          <w:lang w:val="en-GB"/>
        </w:rPr>
        <w:t>limits to some extent its wider appeal</w:t>
      </w:r>
      <w:r w:rsidR="00ED6C04" w:rsidRPr="00461D74">
        <w:rPr>
          <w:rFonts w:ascii="Garamond" w:hAnsi="Garamond" w:cstheme="minorHAnsi"/>
          <w:sz w:val="24"/>
          <w:szCs w:val="24"/>
          <w:lang w:val="en-GB"/>
        </w:rPr>
        <w:t>,</w:t>
      </w:r>
      <w:r w:rsidR="007B0FD6" w:rsidRPr="00461D74">
        <w:rPr>
          <w:rFonts w:ascii="Garamond" w:hAnsi="Garamond" w:cstheme="minorHAnsi"/>
          <w:sz w:val="24"/>
          <w:szCs w:val="24"/>
          <w:lang w:val="en-GB"/>
        </w:rPr>
        <w:t xml:space="preserve"> in part because of the</w:t>
      </w:r>
      <w:r w:rsidR="00D35B6C" w:rsidRPr="00461D74">
        <w:rPr>
          <w:rFonts w:ascii="Garamond" w:hAnsi="Garamond" w:cstheme="minorHAnsi"/>
          <w:sz w:val="24"/>
          <w:szCs w:val="24"/>
          <w:lang w:val="en-GB"/>
        </w:rPr>
        <w:t xml:space="preserve"> general</w:t>
      </w:r>
      <w:r w:rsidR="007B0FD6" w:rsidRPr="00461D74">
        <w:rPr>
          <w:rFonts w:ascii="Garamond" w:hAnsi="Garamond" w:cstheme="minorHAnsi"/>
          <w:sz w:val="24"/>
          <w:szCs w:val="24"/>
          <w:lang w:val="en-GB"/>
        </w:rPr>
        <w:t xml:space="preserve"> trends</w:t>
      </w:r>
      <w:r w:rsidR="00D35B6C" w:rsidRPr="00461D74">
        <w:rPr>
          <w:rFonts w:ascii="Garamond" w:hAnsi="Garamond" w:cstheme="minorHAnsi"/>
          <w:sz w:val="24"/>
          <w:szCs w:val="24"/>
          <w:lang w:val="en-GB"/>
        </w:rPr>
        <w:t xml:space="preserve"> in the broader discourse</w:t>
      </w:r>
      <w:r w:rsidR="007B0FD6" w:rsidRPr="00461D74">
        <w:rPr>
          <w:rFonts w:ascii="Garamond" w:hAnsi="Garamond" w:cstheme="minorHAnsi"/>
          <w:sz w:val="24"/>
          <w:szCs w:val="24"/>
          <w:lang w:val="en-GB"/>
        </w:rPr>
        <w:t xml:space="preserve"> that have reinforced and strengthened</w:t>
      </w:r>
      <w:r w:rsidR="00D35B6C" w:rsidRPr="00461D74">
        <w:rPr>
          <w:rFonts w:ascii="Garamond" w:hAnsi="Garamond" w:cstheme="minorHAnsi"/>
          <w:sz w:val="24"/>
          <w:szCs w:val="24"/>
          <w:lang w:val="en-GB"/>
        </w:rPr>
        <w:t xml:space="preserve"> non-metaphysical attitudes and thinking in philosophy. </w:t>
      </w:r>
      <w:r w:rsidR="00ED1ECA" w:rsidRPr="00461D74">
        <w:rPr>
          <w:rFonts w:ascii="Garamond" w:hAnsi="Garamond" w:cstheme="minorHAnsi"/>
          <w:sz w:val="24"/>
          <w:szCs w:val="24"/>
          <w:lang w:val="en-GB"/>
        </w:rPr>
        <w:t>However</w:t>
      </w:r>
      <w:r w:rsidR="007B0FD6"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MacIntyre’s </w:t>
      </w:r>
      <w:r w:rsidR="007B0FD6" w:rsidRPr="00461D74">
        <w:rPr>
          <w:rFonts w:ascii="Garamond" w:hAnsi="Garamond" w:cstheme="minorHAnsi"/>
          <w:sz w:val="24"/>
          <w:szCs w:val="24"/>
          <w:lang w:val="en-GB"/>
        </w:rPr>
        <w:t xml:space="preserve">later </w:t>
      </w:r>
      <w:r w:rsidRPr="00461D74">
        <w:rPr>
          <w:rFonts w:ascii="Garamond" w:hAnsi="Garamond" w:cstheme="minorHAnsi"/>
          <w:sz w:val="24"/>
          <w:szCs w:val="24"/>
          <w:lang w:val="en-GB"/>
        </w:rPr>
        <w:t>Thomis</w:t>
      </w:r>
      <w:r w:rsidR="00DC6616" w:rsidRPr="00461D74">
        <w:rPr>
          <w:rFonts w:ascii="Garamond" w:hAnsi="Garamond" w:cstheme="minorHAnsi"/>
          <w:sz w:val="24"/>
          <w:szCs w:val="24"/>
          <w:lang w:val="en-GB"/>
        </w:rPr>
        <w:t>tic turn</w:t>
      </w:r>
      <w:r w:rsidRPr="00461D74">
        <w:rPr>
          <w:rFonts w:ascii="Garamond" w:hAnsi="Garamond" w:cstheme="minorHAnsi"/>
          <w:sz w:val="24"/>
          <w:szCs w:val="24"/>
          <w:lang w:val="en-GB"/>
        </w:rPr>
        <w:t xml:space="preserve"> </w:t>
      </w:r>
      <w:r w:rsidR="00CA6106" w:rsidRPr="00461D74">
        <w:rPr>
          <w:rFonts w:ascii="Garamond" w:hAnsi="Garamond" w:cstheme="minorHAnsi"/>
          <w:sz w:val="24"/>
          <w:szCs w:val="24"/>
          <w:lang w:val="en-GB"/>
        </w:rPr>
        <w:t>is accompanied with a more metaphysical</w:t>
      </w:r>
      <w:r w:rsidR="008C1ABB" w:rsidRPr="00461D74">
        <w:rPr>
          <w:rFonts w:ascii="Garamond" w:hAnsi="Garamond" w:cstheme="minorHAnsi"/>
          <w:sz w:val="24"/>
          <w:szCs w:val="24"/>
          <w:lang w:val="en-GB"/>
        </w:rPr>
        <w:t>,</w:t>
      </w:r>
      <w:r w:rsidR="00CA6106" w:rsidRPr="00461D74">
        <w:rPr>
          <w:rFonts w:ascii="Garamond" w:hAnsi="Garamond" w:cstheme="minorHAnsi"/>
          <w:sz w:val="24"/>
          <w:szCs w:val="24"/>
          <w:lang w:val="en-GB"/>
        </w:rPr>
        <w:t xml:space="preserve"> as opposed to a social</w:t>
      </w:r>
      <w:r w:rsidR="008C1ABB" w:rsidRPr="00461D74">
        <w:rPr>
          <w:rFonts w:ascii="Garamond" w:hAnsi="Garamond" w:cstheme="minorHAnsi"/>
          <w:sz w:val="24"/>
          <w:szCs w:val="24"/>
          <w:lang w:val="en-GB"/>
        </w:rPr>
        <w:t>,</w:t>
      </w:r>
      <w:r w:rsidR="00CA6106" w:rsidRPr="00461D74">
        <w:rPr>
          <w:rFonts w:ascii="Garamond" w:hAnsi="Garamond" w:cstheme="minorHAnsi"/>
          <w:sz w:val="24"/>
          <w:szCs w:val="24"/>
          <w:lang w:val="en-GB"/>
        </w:rPr>
        <w:t xml:space="preserve"> approach </w:t>
      </w:r>
      <w:r w:rsidR="005043CF" w:rsidRPr="00461D74">
        <w:rPr>
          <w:rFonts w:ascii="Garamond" w:hAnsi="Garamond" w:cstheme="minorHAnsi"/>
          <w:sz w:val="24"/>
          <w:szCs w:val="24"/>
          <w:lang w:val="en-GB"/>
        </w:rPr>
        <w:t xml:space="preserve">to managing </w:t>
      </w:r>
      <w:r w:rsidR="00204026" w:rsidRPr="00461D74">
        <w:rPr>
          <w:rFonts w:ascii="Garamond" w:hAnsi="Garamond" w:cstheme="minorHAnsi"/>
          <w:sz w:val="24"/>
          <w:szCs w:val="24"/>
          <w:lang w:val="en-GB"/>
        </w:rPr>
        <w:t xml:space="preserve">the </w:t>
      </w:r>
      <w:r w:rsidR="00CA6106" w:rsidRPr="00461D74">
        <w:rPr>
          <w:rFonts w:ascii="Garamond" w:hAnsi="Garamond" w:cstheme="minorHAnsi"/>
          <w:sz w:val="24"/>
          <w:szCs w:val="24"/>
          <w:lang w:val="en-GB"/>
        </w:rPr>
        <w:t>problem</w:t>
      </w:r>
      <w:r w:rsidR="008C1ABB" w:rsidRPr="00461D74">
        <w:rPr>
          <w:rFonts w:ascii="Garamond" w:hAnsi="Garamond" w:cstheme="minorHAnsi"/>
          <w:sz w:val="24"/>
          <w:szCs w:val="24"/>
          <w:lang w:val="en-GB"/>
        </w:rPr>
        <w:t>s</w:t>
      </w:r>
      <w:r w:rsidR="00954EAC" w:rsidRPr="00461D74">
        <w:rPr>
          <w:rFonts w:ascii="Garamond" w:hAnsi="Garamond" w:cstheme="minorHAnsi"/>
          <w:sz w:val="24"/>
          <w:szCs w:val="24"/>
          <w:lang w:val="en-GB"/>
        </w:rPr>
        <w:t xml:space="preserve"> </w:t>
      </w:r>
      <w:r w:rsidR="00DC6616" w:rsidRPr="00461D74">
        <w:rPr>
          <w:rFonts w:ascii="Garamond" w:hAnsi="Garamond" w:cstheme="minorHAnsi"/>
          <w:sz w:val="24"/>
          <w:szCs w:val="24"/>
          <w:lang w:val="en-GB"/>
        </w:rPr>
        <w:t>that emerge from the</w:t>
      </w:r>
      <w:r w:rsidR="005043CF" w:rsidRPr="00461D74">
        <w:rPr>
          <w:rFonts w:ascii="Garamond" w:hAnsi="Garamond" w:cstheme="minorHAnsi"/>
          <w:sz w:val="24"/>
          <w:szCs w:val="24"/>
          <w:lang w:val="en-GB"/>
        </w:rPr>
        <w:t xml:space="preserve"> </w:t>
      </w:r>
      <w:r w:rsidR="00DC6616" w:rsidRPr="00461D74">
        <w:rPr>
          <w:rFonts w:ascii="Garamond" w:hAnsi="Garamond" w:cstheme="minorHAnsi"/>
          <w:sz w:val="24"/>
          <w:szCs w:val="24"/>
          <w:lang w:val="en-GB"/>
        </w:rPr>
        <w:t>inability of modern</w:t>
      </w:r>
      <w:r w:rsidR="00954EAC" w:rsidRPr="00461D74">
        <w:rPr>
          <w:rFonts w:ascii="Garamond" w:hAnsi="Garamond" w:cstheme="minorHAnsi"/>
          <w:sz w:val="24"/>
          <w:szCs w:val="24"/>
          <w:lang w:val="en-GB"/>
        </w:rPr>
        <w:t xml:space="preserve"> </w:t>
      </w:r>
      <w:r w:rsidR="00AD3F3A" w:rsidRPr="00461D74">
        <w:rPr>
          <w:rFonts w:ascii="Garamond" w:hAnsi="Garamond" w:cstheme="minorHAnsi"/>
          <w:sz w:val="24"/>
          <w:szCs w:val="24"/>
          <w:lang w:val="en-GB"/>
        </w:rPr>
        <w:t xml:space="preserve">moral and </w:t>
      </w:r>
      <w:r w:rsidR="00954EAC" w:rsidRPr="00461D74">
        <w:rPr>
          <w:rFonts w:ascii="Garamond" w:hAnsi="Garamond" w:cstheme="minorHAnsi"/>
          <w:sz w:val="24"/>
          <w:szCs w:val="24"/>
          <w:lang w:val="en-GB"/>
        </w:rPr>
        <w:t>politic</w:t>
      </w:r>
      <w:r w:rsidR="00AD3F3A" w:rsidRPr="00461D74">
        <w:rPr>
          <w:rFonts w:ascii="Garamond" w:hAnsi="Garamond" w:cstheme="minorHAnsi"/>
          <w:sz w:val="24"/>
          <w:szCs w:val="24"/>
          <w:lang w:val="en-GB"/>
        </w:rPr>
        <w:t>al discour</w:t>
      </w:r>
      <w:r w:rsidR="00954EAC" w:rsidRPr="00461D74">
        <w:rPr>
          <w:rFonts w:ascii="Garamond" w:hAnsi="Garamond" w:cstheme="minorHAnsi"/>
          <w:sz w:val="24"/>
          <w:szCs w:val="24"/>
          <w:lang w:val="en-GB"/>
        </w:rPr>
        <w:t>s</w:t>
      </w:r>
      <w:r w:rsidR="00AD3F3A" w:rsidRPr="00461D74">
        <w:rPr>
          <w:rFonts w:ascii="Garamond" w:hAnsi="Garamond" w:cstheme="minorHAnsi"/>
          <w:sz w:val="24"/>
          <w:szCs w:val="24"/>
          <w:lang w:val="en-GB"/>
        </w:rPr>
        <w:t>e</w:t>
      </w:r>
      <w:r w:rsidR="00DC6616" w:rsidRPr="00461D74">
        <w:rPr>
          <w:rFonts w:ascii="Garamond" w:hAnsi="Garamond" w:cstheme="minorHAnsi"/>
          <w:sz w:val="24"/>
          <w:szCs w:val="24"/>
          <w:lang w:val="en-GB"/>
        </w:rPr>
        <w:t xml:space="preserve"> to converge on jointly conceived solutions</w:t>
      </w:r>
      <w:r w:rsidR="00CA6106" w:rsidRPr="00461D74">
        <w:rPr>
          <w:rFonts w:ascii="Garamond" w:hAnsi="Garamond" w:cstheme="minorHAnsi"/>
          <w:sz w:val="24"/>
          <w:szCs w:val="24"/>
          <w:lang w:val="en-GB"/>
        </w:rPr>
        <w:t>.</w:t>
      </w:r>
      <w:r w:rsidR="00D35B6C" w:rsidRPr="00461D74">
        <w:rPr>
          <w:rFonts w:ascii="Garamond" w:hAnsi="Garamond" w:cstheme="minorHAnsi"/>
          <w:sz w:val="24"/>
          <w:szCs w:val="24"/>
          <w:lang w:val="en-GB"/>
        </w:rPr>
        <w:t xml:space="preserve"> Nevertheless, </w:t>
      </w:r>
      <w:r w:rsidR="0035155B">
        <w:rPr>
          <w:rFonts w:ascii="Garamond" w:hAnsi="Garamond" w:cstheme="minorHAnsi"/>
          <w:sz w:val="24"/>
          <w:szCs w:val="24"/>
          <w:lang w:val="en-GB"/>
        </w:rPr>
        <w:t xml:space="preserve">I will argues that it turns out that </w:t>
      </w:r>
      <w:r w:rsidR="00D35B6C" w:rsidRPr="00461D74">
        <w:rPr>
          <w:rFonts w:ascii="Garamond" w:hAnsi="Garamond" w:cstheme="minorHAnsi"/>
          <w:sz w:val="24"/>
          <w:szCs w:val="24"/>
          <w:lang w:val="en-GB"/>
        </w:rPr>
        <w:t>the</w:t>
      </w:r>
      <w:r w:rsidR="009C7A71" w:rsidRPr="00461D74">
        <w:rPr>
          <w:rFonts w:ascii="Garamond" w:hAnsi="Garamond" w:cstheme="minorHAnsi"/>
          <w:sz w:val="24"/>
          <w:szCs w:val="24"/>
          <w:lang w:val="en-GB"/>
        </w:rPr>
        <w:t xml:space="preserve"> </w:t>
      </w:r>
      <w:r w:rsidR="00D35B6C" w:rsidRPr="00461D74">
        <w:rPr>
          <w:rFonts w:ascii="Garamond" w:hAnsi="Garamond" w:cstheme="minorHAnsi"/>
          <w:sz w:val="24"/>
          <w:szCs w:val="24"/>
          <w:lang w:val="en-GB"/>
        </w:rPr>
        <w:t xml:space="preserve">pragmatist </w:t>
      </w:r>
      <w:r w:rsidR="00ED1ECA" w:rsidRPr="00461D74">
        <w:rPr>
          <w:rFonts w:ascii="Garamond" w:hAnsi="Garamond" w:cstheme="minorHAnsi"/>
          <w:sz w:val="24"/>
          <w:szCs w:val="24"/>
          <w:lang w:val="en-GB"/>
        </w:rPr>
        <w:t>option offered</w:t>
      </w:r>
      <w:r w:rsidR="00D35B6C" w:rsidRPr="00461D74">
        <w:rPr>
          <w:rFonts w:ascii="Garamond" w:hAnsi="Garamond" w:cstheme="minorHAnsi"/>
          <w:sz w:val="24"/>
          <w:szCs w:val="24"/>
          <w:lang w:val="en-GB"/>
        </w:rPr>
        <w:t xml:space="preserve"> </w:t>
      </w:r>
      <w:r w:rsidR="00D35B6C" w:rsidRPr="00461D74">
        <w:rPr>
          <w:rFonts w:ascii="Garamond" w:hAnsi="Garamond" w:cstheme="minorHAnsi"/>
          <w:sz w:val="24"/>
          <w:szCs w:val="24"/>
          <w:lang w:val="en-GB"/>
        </w:rPr>
        <w:lastRenderedPageBreak/>
        <w:t xml:space="preserve">in this thesis, as part of a resolution </w:t>
      </w:r>
      <w:r w:rsidR="009C7A71" w:rsidRPr="00461D74">
        <w:rPr>
          <w:rFonts w:ascii="Garamond" w:hAnsi="Garamond" w:cstheme="minorHAnsi"/>
          <w:sz w:val="24"/>
          <w:szCs w:val="24"/>
          <w:lang w:val="en-GB"/>
        </w:rPr>
        <w:t xml:space="preserve">to the above two difficulties, </w:t>
      </w:r>
      <w:r w:rsidR="0035155B">
        <w:rPr>
          <w:rFonts w:ascii="Garamond" w:hAnsi="Garamond" w:cstheme="minorHAnsi"/>
          <w:sz w:val="24"/>
          <w:szCs w:val="24"/>
          <w:lang w:val="en-GB"/>
        </w:rPr>
        <w:t xml:space="preserve">can </w:t>
      </w:r>
      <w:r w:rsidR="008C1ABB" w:rsidRPr="00461D74">
        <w:rPr>
          <w:rFonts w:ascii="Garamond" w:hAnsi="Garamond" w:cstheme="minorHAnsi"/>
          <w:sz w:val="24"/>
          <w:szCs w:val="24"/>
          <w:lang w:val="en-GB"/>
        </w:rPr>
        <w:t xml:space="preserve">ultimately </w:t>
      </w:r>
      <w:r w:rsidR="00AA16DF" w:rsidRPr="00461D74">
        <w:rPr>
          <w:rFonts w:ascii="Garamond" w:hAnsi="Garamond" w:cstheme="minorHAnsi"/>
          <w:sz w:val="24"/>
          <w:szCs w:val="24"/>
          <w:lang w:val="en-GB"/>
        </w:rPr>
        <w:t xml:space="preserve">generate a more appealing </w:t>
      </w:r>
      <w:r w:rsidR="00AA16DF" w:rsidRPr="00461D74">
        <w:rPr>
          <w:rFonts w:ascii="Garamond" w:hAnsi="Garamond" w:cstheme="minorHAnsi"/>
          <w:i/>
          <w:sz w:val="24"/>
          <w:szCs w:val="24"/>
          <w:lang w:val="en-GB"/>
        </w:rPr>
        <w:t>via media</w:t>
      </w:r>
      <w:r w:rsidR="00AA16DF" w:rsidRPr="00461D74">
        <w:rPr>
          <w:rFonts w:ascii="Garamond" w:hAnsi="Garamond" w:cstheme="minorHAnsi"/>
          <w:sz w:val="24"/>
          <w:szCs w:val="24"/>
          <w:lang w:val="en-GB"/>
        </w:rPr>
        <w:t xml:space="preserve"> position</w:t>
      </w:r>
      <w:r w:rsidR="00893161" w:rsidRPr="00461D74">
        <w:rPr>
          <w:rFonts w:ascii="Garamond" w:hAnsi="Garamond" w:cstheme="minorHAnsi"/>
          <w:sz w:val="24"/>
          <w:szCs w:val="24"/>
          <w:lang w:val="en-GB"/>
        </w:rPr>
        <w:t xml:space="preserve"> </w:t>
      </w:r>
      <w:r w:rsidR="009C7A71" w:rsidRPr="00461D74">
        <w:rPr>
          <w:rFonts w:ascii="Garamond" w:hAnsi="Garamond" w:cstheme="minorHAnsi"/>
          <w:sz w:val="24"/>
          <w:szCs w:val="24"/>
          <w:lang w:val="en-GB"/>
        </w:rPr>
        <w:t>–</w:t>
      </w:r>
      <w:r w:rsidR="00893161" w:rsidRPr="00461D74">
        <w:rPr>
          <w:rFonts w:ascii="Garamond" w:hAnsi="Garamond" w:cstheme="minorHAnsi"/>
          <w:sz w:val="24"/>
          <w:szCs w:val="24"/>
          <w:lang w:val="en-GB"/>
        </w:rPr>
        <w:t xml:space="preserve"> </w:t>
      </w:r>
      <w:r w:rsidR="0014493A" w:rsidRPr="00461D74">
        <w:rPr>
          <w:rFonts w:ascii="Garamond" w:hAnsi="Garamond" w:cstheme="minorHAnsi"/>
          <w:sz w:val="24"/>
          <w:szCs w:val="24"/>
          <w:lang w:val="en-GB"/>
        </w:rPr>
        <w:t xml:space="preserve">one that </w:t>
      </w:r>
      <w:r w:rsidR="003B7387" w:rsidRPr="00461D74">
        <w:rPr>
          <w:rFonts w:ascii="Garamond" w:hAnsi="Garamond" w:cstheme="minorHAnsi"/>
          <w:sz w:val="24"/>
          <w:szCs w:val="24"/>
          <w:lang w:val="en-GB"/>
        </w:rPr>
        <w:t xml:space="preserve">avoids a foundational metaphysics, </w:t>
      </w:r>
      <w:r w:rsidR="009C7A71" w:rsidRPr="00461D74">
        <w:rPr>
          <w:rFonts w:ascii="Garamond" w:hAnsi="Garamond" w:cstheme="minorHAnsi"/>
          <w:sz w:val="24"/>
          <w:szCs w:val="24"/>
          <w:lang w:val="en-GB"/>
        </w:rPr>
        <w:t>ye</w:t>
      </w:r>
      <w:r w:rsidR="003B7387" w:rsidRPr="00461D74">
        <w:rPr>
          <w:rFonts w:ascii="Garamond" w:hAnsi="Garamond" w:cstheme="minorHAnsi"/>
          <w:sz w:val="24"/>
          <w:szCs w:val="24"/>
          <w:lang w:val="en-GB"/>
        </w:rPr>
        <w:t>t</w:t>
      </w:r>
      <w:r w:rsidR="003C615C" w:rsidRPr="00461D74">
        <w:rPr>
          <w:rFonts w:ascii="Garamond" w:hAnsi="Garamond" w:cstheme="minorHAnsi"/>
          <w:sz w:val="24"/>
          <w:szCs w:val="24"/>
          <w:lang w:val="en-GB"/>
        </w:rPr>
        <w:t xml:space="preserve"> also</w:t>
      </w:r>
      <w:r w:rsidR="003B7387" w:rsidRPr="00461D74">
        <w:rPr>
          <w:rFonts w:ascii="Garamond" w:hAnsi="Garamond" w:cstheme="minorHAnsi"/>
          <w:sz w:val="24"/>
          <w:szCs w:val="24"/>
          <w:lang w:val="en-GB"/>
        </w:rPr>
        <w:t xml:space="preserve"> remains </w:t>
      </w:r>
      <w:r w:rsidR="009C7A71" w:rsidRPr="00461D74">
        <w:rPr>
          <w:rFonts w:ascii="Garamond" w:hAnsi="Garamond" w:cstheme="minorHAnsi"/>
          <w:sz w:val="24"/>
          <w:szCs w:val="24"/>
          <w:lang w:val="en-GB"/>
        </w:rPr>
        <w:t xml:space="preserve">non-instrumental and substantive in ways that avoids </w:t>
      </w:r>
      <w:r w:rsidR="00ED1ECA" w:rsidRPr="00461D74">
        <w:rPr>
          <w:rFonts w:ascii="Garamond" w:hAnsi="Garamond" w:cstheme="minorHAnsi"/>
          <w:sz w:val="24"/>
          <w:szCs w:val="24"/>
          <w:lang w:val="en-GB"/>
        </w:rPr>
        <w:t xml:space="preserve">an important </w:t>
      </w:r>
      <w:r w:rsidR="009C7A71" w:rsidRPr="00461D74">
        <w:rPr>
          <w:rFonts w:ascii="Garamond" w:hAnsi="Garamond" w:cstheme="minorHAnsi"/>
          <w:sz w:val="24"/>
          <w:szCs w:val="24"/>
          <w:lang w:val="en-GB"/>
        </w:rPr>
        <w:t xml:space="preserve">shortcoming of MacIntyre’s original account in </w:t>
      </w:r>
      <w:r w:rsidR="009C7A71" w:rsidRPr="00461D74">
        <w:rPr>
          <w:rFonts w:ascii="Garamond" w:hAnsi="Garamond" w:cstheme="minorHAnsi"/>
          <w:i/>
          <w:sz w:val="24"/>
          <w:szCs w:val="24"/>
          <w:lang w:val="en-GB"/>
        </w:rPr>
        <w:t>After Virtue</w:t>
      </w:r>
      <w:r w:rsidR="008C1ABB" w:rsidRPr="00461D74">
        <w:rPr>
          <w:rFonts w:ascii="Garamond" w:hAnsi="Garamond" w:cstheme="minorHAnsi"/>
          <w:sz w:val="24"/>
          <w:szCs w:val="24"/>
          <w:lang w:val="en-GB"/>
        </w:rPr>
        <w:t>.</w:t>
      </w:r>
      <w:r w:rsidR="00ED1ECA" w:rsidRPr="00461D74">
        <w:rPr>
          <w:rFonts w:ascii="Garamond" w:hAnsi="Garamond" w:cstheme="minorHAnsi"/>
          <w:sz w:val="24"/>
          <w:szCs w:val="24"/>
          <w:lang w:val="en-GB"/>
        </w:rPr>
        <w:t xml:space="preserve"> </w:t>
      </w:r>
      <w:r w:rsidR="00893161" w:rsidRPr="00461D74">
        <w:rPr>
          <w:rFonts w:ascii="Garamond" w:hAnsi="Garamond" w:cstheme="minorHAnsi"/>
          <w:sz w:val="24"/>
          <w:szCs w:val="24"/>
          <w:lang w:val="en-GB"/>
        </w:rPr>
        <w:t>I will now briefly outline the structure of the thesis.</w:t>
      </w:r>
    </w:p>
    <w:p w:rsidR="005B38C1" w:rsidRPr="00461D74" w:rsidRDefault="00266B73"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In </w:t>
      </w:r>
      <w:r w:rsidR="00090F78" w:rsidRPr="00461D74">
        <w:rPr>
          <w:rFonts w:ascii="Garamond" w:hAnsi="Garamond" w:cstheme="minorHAnsi"/>
          <w:sz w:val="24"/>
          <w:szCs w:val="24"/>
          <w:lang w:val="en-GB"/>
        </w:rPr>
        <w:t>C</w:t>
      </w:r>
      <w:r w:rsidRPr="00461D74">
        <w:rPr>
          <w:rFonts w:ascii="Garamond" w:hAnsi="Garamond" w:cstheme="minorHAnsi"/>
          <w:sz w:val="24"/>
          <w:szCs w:val="24"/>
          <w:lang w:val="en-GB"/>
        </w:rPr>
        <w:t xml:space="preserve">hapter </w:t>
      </w:r>
      <w:r w:rsidR="00090F78" w:rsidRPr="00461D74">
        <w:rPr>
          <w:rFonts w:ascii="Garamond" w:hAnsi="Garamond" w:cstheme="minorHAnsi"/>
          <w:sz w:val="24"/>
          <w:szCs w:val="24"/>
          <w:lang w:val="en-GB"/>
        </w:rPr>
        <w:t>O</w:t>
      </w:r>
      <w:r w:rsidRPr="00461D74">
        <w:rPr>
          <w:rFonts w:ascii="Garamond" w:hAnsi="Garamond" w:cstheme="minorHAnsi"/>
          <w:sz w:val="24"/>
          <w:szCs w:val="24"/>
          <w:lang w:val="en-GB"/>
        </w:rPr>
        <w:t xml:space="preserve">ne, I will </w:t>
      </w:r>
      <w:r w:rsidR="005B38C1" w:rsidRPr="00461D74">
        <w:rPr>
          <w:rFonts w:ascii="Garamond" w:hAnsi="Garamond" w:cstheme="minorHAnsi"/>
          <w:sz w:val="24"/>
          <w:szCs w:val="24"/>
          <w:lang w:val="en-GB"/>
        </w:rPr>
        <w:t>consider</w:t>
      </w:r>
      <w:r w:rsidRPr="00461D74">
        <w:rPr>
          <w:rFonts w:ascii="Garamond" w:hAnsi="Garamond" w:cstheme="minorHAnsi"/>
          <w:sz w:val="24"/>
          <w:szCs w:val="24"/>
          <w:lang w:val="en-GB"/>
        </w:rPr>
        <w:t xml:space="preserve"> </w:t>
      </w:r>
      <w:r w:rsidR="005B38C1" w:rsidRPr="00461D74">
        <w:rPr>
          <w:rFonts w:ascii="Garamond" w:hAnsi="Garamond" w:cstheme="minorHAnsi"/>
          <w:sz w:val="24"/>
          <w:szCs w:val="24"/>
          <w:lang w:val="en-GB"/>
        </w:rPr>
        <w:t>MacIntyre’s account of the contemporary moral landscape. Here, MacIntyre argues that the seemingly interminable conflicts between various ethical views originate from the fact that each position appeals to different basic premises</w:t>
      </w:r>
      <w:r w:rsidR="00893161" w:rsidRPr="00461D74">
        <w:rPr>
          <w:rFonts w:ascii="Garamond" w:hAnsi="Garamond" w:cstheme="minorHAnsi"/>
          <w:sz w:val="24"/>
          <w:szCs w:val="24"/>
          <w:lang w:val="en-GB"/>
        </w:rPr>
        <w:t xml:space="preserve"> </w:t>
      </w:r>
      <w:r w:rsidR="005B38C1" w:rsidRPr="00461D74">
        <w:rPr>
          <w:rFonts w:ascii="Garamond" w:hAnsi="Garamond" w:cstheme="minorHAnsi"/>
          <w:sz w:val="24"/>
          <w:szCs w:val="24"/>
          <w:lang w:val="en-GB"/>
        </w:rPr>
        <w:t>–</w:t>
      </w:r>
      <w:r w:rsidR="00641580" w:rsidRPr="00461D74">
        <w:rPr>
          <w:rFonts w:ascii="Garamond" w:hAnsi="Garamond" w:cstheme="minorHAnsi"/>
          <w:sz w:val="24"/>
          <w:szCs w:val="24"/>
          <w:lang w:val="en-GB"/>
        </w:rPr>
        <w:t xml:space="preserve"> </w:t>
      </w:r>
      <w:r w:rsidR="005B38C1" w:rsidRPr="00461D74">
        <w:rPr>
          <w:rFonts w:ascii="Garamond" w:hAnsi="Garamond" w:cstheme="minorHAnsi"/>
          <w:sz w:val="24"/>
          <w:szCs w:val="24"/>
          <w:lang w:val="en-GB"/>
        </w:rPr>
        <w:t>premises that are underwritten in appeals to different accounts o</w:t>
      </w:r>
      <w:r w:rsidR="00DE27F0" w:rsidRPr="00461D74">
        <w:rPr>
          <w:rFonts w:ascii="Garamond" w:hAnsi="Garamond" w:cstheme="minorHAnsi"/>
          <w:sz w:val="24"/>
          <w:szCs w:val="24"/>
          <w:lang w:val="en-GB"/>
        </w:rPr>
        <w:t>f human nature and social life. And the various attempts at justification for moral claims put for</w:t>
      </w:r>
      <w:r w:rsidR="00893161" w:rsidRPr="00461D74">
        <w:rPr>
          <w:rFonts w:ascii="Garamond" w:hAnsi="Garamond" w:cstheme="minorHAnsi"/>
          <w:sz w:val="24"/>
          <w:szCs w:val="24"/>
          <w:lang w:val="en-GB"/>
        </w:rPr>
        <w:t>ward</w:t>
      </w:r>
      <w:r w:rsidR="00DE27F0" w:rsidRPr="00461D74">
        <w:rPr>
          <w:rFonts w:ascii="Garamond" w:hAnsi="Garamond" w:cstheme="minorHAnsi"/>
          <w:sz w:val="24"/>
          <w:szCs w:val="24"/>
          <w:lang w:val="en-GB"/>
        </w:rPr>
        <w:t xml:space="preserve"> by different </w:t>
      </w:r>
      <w:r w:rsidR="00E444A3" w:rsidRPr="00461D74">
        <w:rPr>
          <w:rFonts w:ascii="Garamond" w:hAnsi="Garamond" w:cstheme="minorHAnsi"/>
          <w:sz w:val="24"/>
          <w:szCs w:val="24"/>
          <w:lang w:val="en-GB"/>
        </w:rPr>
        <w:t>E</w:t>
      </w:r>
      <w:r w:rsidR="00DE27F0" w:rsidRPr="00461D74">
        <w:rPr>
          <w:rFonts w:ascii="Garamond" w:hAnsi="Garamond" w:cstheme="minorHAnsi"/>
          <w:sz w:val="24"/>
          <w:szCs w:val="24"/>
          <w:lang w:val="en-GB"/>
        </w:rPr>
        <w:t xml:space="preserve">nlightenment thinkers failed precisely </w:t>
      </w:r>
      <w:r w:rsidR="002C691A" w:rsidRPr="00461D74">
        <w:rPr>
          <w:rFonts w:ascii="Garamond" w:hAnsi="Garamond" w:cstheme="minorHAnsi"/>
          <w:sz w:val="24"/>
          <w:szCs w:val="24"/>
          <w:lang w:val="en-GB"/>
        </w:rPr>
        <w:t xml:space="preserve">because Aristotelian teleology had become discredited. </w:t>
      </w:r>
      <w:r w:rsidR="00DE27F0" w:rsidRPr="00461D74">
        <w:rPr>
          <w:rFonts w:ascii="Garamond" w:hAnsi="Garamond" w:cstheme="minorHAnsi"/>
          <w:sz w:val="24"/>
          <w:szCs w:val="24"/>
          <w:lang w:val="en-GB"/>
        </w:rPr>
        <w:t xml:space="preserve">MacIntyre </w:t>
      </w:r>
      <w:r w:rsidR="002C691A" w:rsidRPr="00461D74">
        <w:rPr>
          <w:rFonts w:ascii="Garamond" w:hAnsi="Garamond" w:cstheme="minorHAnsi"/>
          <w:sz w:val="24"/>
          <w:szCs w:val="24"/>
          <w:lang w:val="en-GB"/>
        </w:rPr>
        <w:t>then goes on</w:t>
      </w:r>
      <w:r w:rsidR="00DE27F0" w:rsidRPr="00461D74">
        <w:rPr>
          <w:rFonts w:ascii="Garamond" w:hAnsi="Garamond" w:cstheme="minorHAnsi"/>
          <w:sz w:val="24"/>
          <w:szCs w:val="24"/>
          <w:lang w:val="en-GB"/>
        </w:rPr>
        <w:t xml:space="preserve"> </w:t>
      </w:r>
      <w:r w:rsidR="002C691A" w:rsidRPr="00461D74">
        <w:rPr>
          <w:rFonts w:ascii="Garamond" w:hAnsi="Garamond" w:cstheme="minorHAnsi"/>
          <w:sz w:val="24"/>
          <w:szCs w:val="24"/>
          <w:lang w:val="en-GB"/>
        </w:rPr>
        <w:t xml:space="preserve">to </w:t>
      </w:r>
      <w:r w:rsidR="00DE27F0" w:rsidRPr="00461D74">
        <w:rPr>
          <w:rFonts w:ascii="Garamond" w:hAnsi="Garamond" w:cstheme="minorHAnsi"/>
          <w:sz w:val="24"/>
          <w:szCs w:val="24"/>
          <w:lang w:val="en-GB"/>
        </w:rPr>
        <w:t>offer a social teleolo</w:t>
      </w:r>
      <w:r w:rsidR="00123AEF" w:rsidRPr="00461D74">
        <w:rPr>
          <w:rFonts w:ascii="Garamond" w:hAnsi="Garamond" w:cstheme="minorHAnsi"/>
          <w:sz w:val="24"/>
          <w:szCs w:val="24"/>
          <w:lang w:val="en-GB"/>
        </w:rPr>
        <w:t xml:space="preserve">gy </w:t>
      </w:r>
      <w:r w:rsidR="00DE27F0" w:rsidRPr="00461D74">
        <w:rPr>
          <w:rFonts w:ascii="Garamond" w:hAnsi="Garamond" w:cstheme="minorHAnsi"/>
          <w:sz w:val="24"/>
          <w:szCs w:val="24"/>
          <w:lang w:val="en-GB"/>
        </w:rPr>
        <w:t xml:space="preserve">in </w:t>
      </w:r>
      <w:r w:rsidR="00204FBE" w:rsidRPr="00461D74">
        <w:rPr>
          <w:rFonts w:ascii="Garamond" w:hAnsi="Garamond" w:cstheme="minorHAnsi"/>
          <w:i/>
          <w:sz w:val="24"/>
          <w:szCs w:val="24"/>
          <w:lang w:val="en-GB"/>
        </w:rPr>
        <w:t>After Virtue</w:t>
      </w:r>
      <w:r w:rsidR="002C691A" w:rsidRPr="00461D74">
        <w:rPr>
          <w:rFonts w:ascii="Garamond" w:hAnsi="Garamond" w:cstheme="minorHAnsi"/>
          <w:sz w:val="24"/>
          <w:szCs w:val="24"/>
          <w:lang w:val="en-GB"/>
        </w:rPr>
        <w:t xml:space="preserve">, yet this attempt runs into </w:t>
      </w:r>
      <w:r w:rsidR="00123AEF" w:rsidRPr="00461D74">
        <w:rPr>
          <w:rFonts w:ascii="Garamond" w:hAnsi="Garamond" w:cstheme="minorHAnsi"/>
          <w:sz w:val="24"/>
          <w:szCs w:val="24"/>
          <w:lang w:val="en-GB"/>
        </w:rPr>
        <w:t>significant head winds</w:t>
      </w:r>
      <w:r w:rsidR="00C53ABF" w:rsidRPr="00461D74">
        <w:rPr>
          <w:rFonts w:ascii="Garamond" w:hAnsi="Garamond" w:cstheme="minorHAnsi"/>
          <w:sz w:val="24"/>
          <w:szCs w:val="24"/>
          <w:lang w:val="en-GB"/>
        </w:rPr>
        <w:t xml:space="preserve">, </w:t>
      </w:r>
      <w:r w:rsidR="00123AEF" w:rsidRPr="00461D74">
        <w:rPr>
          <w:rFonts w:ascii="Garamond" w:hAnsi="Garamond" w:cstheme="minorHAnsi"/>
          <w:sz w:val="24"/>
          <w:szCs w:val="24"/>
          <w:lang w:val="en-GB"/>
        </w:rPr>
        <w:t xml:space="preserve">in large part because his </w:t>
      </w:r>
      <w:r w:rsidR="00C53ABF" w:rsidRPr="00461D74">
        <w:rPr>
          <w:rFonts w:ascii="Garamond" w:hAnsi="Garamond" w:cstheme="minorHAnsi"/>
          <w:sz w:val="24"/>
          <w:szCs w:val="24"/>
          <w:lang w:val="en-GB"/>
        </w:rPr>
        <w:t xml:space="preserve">social teleology </w:t>
      </w:r>
      <w:r w:rsidR="00ED1ECA" w:rsidRPr="00461D74">
        <w:rPr>
          <w:rFonts w:ascii="Garamond" w:hAnsi="Garamond" w:cstheme="minorHAnsi"/>
          <w:sz w:val="24"/>
          <w:szCs w:val="24"/>
          <w:lang w:val="en-GB"/>
        </w:rPr>
        <w:t xml:space="preserve">remains </w:t>
      </w:r>
      <w:r w:rsidR="004851AC" w:rsidRPr="00461D74">
        <w:rPr>
          <w:rFonts w:ascii="Garamond" w:hAnsi="Garamond" w:cstheme="minorHAnsi"/>
          <w:sz w:val="24"/>
          <w:szCs w:val="24"/>
          <w:lang w:val="en-GB"/>
        </w:rPr>
        <w:t>grounded in a broad an</w:t>
      </w:r>
      <w:r w:rsidR="00893161" w:rsidRPr="00461D74">
        <w:rPr>
          <w:rFonts w:ascii="Garamond" w:hAnsi="Garamond" w:cstheme="minorHAnsi"/>
          <w:sz w:val="24"/>
          <w:szCs w:val="24"/>
          <w:lang w:val="en-GB"/>
        </w:rPr>
        <w:t>d</w:t>
      </w:r>
      <w:r w:rsidR="004851AC" w:rsidRPr="00461D74">
        <w:rPr>
          <w:rFonts w:ascii="Garamond" w:hAnsi="Garamond" w:cstheme="minorHAnsi"/>
          <w:sz w:val="24"/>
          <w:szCs w:val="24"/>
          <w:lang w:val="en-GB"/>
        </w:rPr>
        <w:t xml:space="preserve"> open-ended conception of the good</w:t>
      </w:r>
      <w:r w:rsidR="002C691A" w:rsidRPr="00461D74">
        <w:rPr>
          <w:rFonts w:ascii="Garamond" w:hAnsi="Garamond" w:cstheme="minorHAnsi"/>
          <w:sz w:val="24"/>
          <w:szCs w:val="24"/>
          <w:lang w:val="en-GB"/>
        </w:rPr>
        <w:t>.</w:t>
      </w:r>
      <w:r w:rsidR="00123AEF" w:rsidRPr="00461D74">
        <w:rPr>
          <w:rStyle w:val="FootnoteReference"/>
          <w:rFonts w:ascii="Garamond" w:hAnsi="Garamond" w:cstheme="minorHAnsi"/>
          <w:sz w:val="24"/>
          <w:szCs w:val="24"/>
          <w:lang w:val="en-GB"/>
        </w:rPr>
        <w:footnoteReference w:id="11"/>
      </w:r>
      <w:r w:rsidR="002C691A" w:rsidRPr="00461D74">
        <w:rPr>
          <w:rFonts w:ascii="Garamond" w:hAnsi="Garamond" w:cstheme="minorHAnsi"/>
          <w:sz w:val="24"/>
          <w:szCs w:val="24"/>
          <w:lang w:val="en-GB"/>
        </w:rPr>
        <w:t xml:space="preserve"> I will then argue that MacIntyre’s response in </w:t>
      </w:r>
      <w:r w:rsidR="002C691A" w:rsidRPr="00461D74">
        <w:rPr>
          <w:rFonts w:ascii="Garamond" w:hAnsi="Garamond" w:cstheme="minorHAnsi"/>
          <w:i/>
          <w:sz w:val="24"/>
          <w:szCs w:val="24"/>
          <w:lang w:val="en-GB"/>
        </w:rPr>
        <w:t>Whose Justice</w:t>
      </w:r>
      <w:r w:rsidR="00893161" w:rsidRPr="00461D74">
        <w:rPr>
          <w:rFonts w:ascii="Garamond" w:hAnsi="Garamond" w:cstheme="minorHAnsi"/>
          <w:i/>
          <w:sz w:val="24"/>
          <w:szCs w:val="24"/>
          <w:lang w:val="en-GB"/>
        </w:rPr>
        <w:t xml:space="preserve"> </w:t>
      </w:r>
      <w:r w:rsidR="002C691A" w:rsidRPr="00461D74">
        <w:rPr>
          <w:rFonts w:ascii="Garamond" w:hAnsi="Garamond" w:cstheme="minorHAnsi"/>
          <w:sz w:val="24"/>
          <w:szCs w:val="24"/>
          <w:lang w:val="en-GB"/>
        </w:rPr>
        <w:t>–</w:t>
      </w:r>
      <w:r w:rsidR="00893161" w:rsidRPr="00461D74">
        <w:rPr>
          <w:rFonts w:ascii="Garamond" w:hAnsi="Garamond" w:cstheme="minorHAnsi"/>
          <w:sz w:val="24"/>
          <w:szCs w:val="24"/>
          <w:lang w:val="en-GB"/>
        </w:rPr>
        <w:t xml:space="preserve"> </w:t>
      </w:r>
      <w:r w:rsidR="002C691A" w:rsidRPr="00461D74">
        <w:rPr>
          <w:rFonts w:ascii="Garamond" w:hAnsi="Garamond" w:cstheme="minorHAnsi"/>
          <w:sz w:val="24"/>
          <w:szCs w:val="24"/>
          <w:lang w:val="en-GB"/>
        </w:rPr>
        <w:t xml:space="preserve">where MacIntyre expands on the account he offers in </w:t>
      </w:r>
      <w:r w:rsidR="002C691A" w:rsidRPr="00461D74">
        <w:rPr>
          <w:rFonts w:ascii="Garamond" w:hAnsi="Garamond" w:cstheme="minorHAnsi"/>
          <w:i/>
          <w:sz w:val="24"/>
          <w:szCs w:val="24"/>
          <w:lang w:val="en-GB"/>
        </w:rPr>
        <w:t>After Virtue</w:t>
      </w:r>
      <w:r w:rsidR="00893161" w:rsidRPr="00461D74">
        <w:rPr>
          <w:rFonts w:ascii="Garamond" w:hAnsi="Garamond" w:cstheme="minorHAnsi"/>
          <w:i/>
          <w:sz w:val="24"/>
          <w:szCs w:val="24"/>
          <w:lang w:val="en-GB"/>
        </w:rPr>
        <w:t xml:space="preserve"> </w:t>
      </w:r>
      <w:r w:rsidR="002C691A" w:rsidRPr="00461D74">
        <w:rPr>
          <w:rFonts w:ascii="Garamond" w:hAnsi="Garamond" w:cstheme="minorHAnsi"/>
          <w:sz w:val="24"/>
          <w:szCs w:val="24"/>
          <w:lang w:val="en-GB"/>
        </w:rPr>
        <w:t>–</w:t>
      </w:r>
      <w:r w:rsidR="00893161" w:rsidRPr="00461D74">
        <w:rPr>
          <w:rFonts w:ascii="Garamond" w:hAnsi="Garamond" w:cstheme="minorHAnsi"/>
          <w:sz w:val="24"/>
          <w:szCs w:val="24"/>
          <w:lang w:val="en-GB"/>
        </w:rPr>
        <w:t xml:space="preserve"> </w:t>
      </w:r>
      <w:r w:rsidR="002C691A" w:rsidRPr="00461D74">
        <w:rPr>
          <w:rFonts w:ascii="Garamond" w:hAnsi="Garamond" w:cstheme="minorHAnsi"/>
          <w:sz w:val="24"/>
          <w:szCs w:val="24"/>
          <w:lang w:val="en-GB"/>
        </w:rPr>
        <w:t>can be viewed as a way of addressing this problem</w:t>
      </w:r>
      <w:r w:rsidR="00C53ABF" w:rsidRPr="00461D74">
        <w:rPr>
          <w:rFonts w:ascii="Garamond" w:hAnsi="Garamond" w:cstheme="minorHAnsi"/>
          <w:sz w:val="24"/>
          <w:szCs w:val="24"/>
          <w:lang w:val="en-GB"/>
        </w:rPr>
        <w:t xml:space="preserve">, precisely because the Aristotelian-Thomistic tradition subscribes to a more robust teleology which </w:t>
      </w:r>
      <w:r w:rsidR="00ED1ECA" w:rsidRPr="00461D74">
        <w:rPr>
          <w:rFonts w:ascii="Garamond" w:hAnsi="Garamond" w:cstheme="minorHAnsi"/>
          <w:sz w:val="24"/>
          <w:szCs w:val="24"/>
          <w:lang w:val="en-GB"/>
        </w:rPr>
        <w:t xml:space="preserve">potentially addresses </w:t>
      </w:r>
      <w:r w:rsidR="00C53ABF" w:rsidRPr="00461D74">
        <w:rPr>
          <w:rFonts w:ascii="Garamond" w:hAnsi="Garamond" w:cstheme="minorHAnsi"/>
          <w:sz w:val="24"/>
          <w:szCs w:val="24"/>
          <w:lang w:val="en-GB"/>
        </w:rPr>
        <w:t>th</w:t>
      </w:r>
      <w:r w:rsidR="00ED1ECA" w:rsidRPr="00461D74">
        <w:rPr>
          <w:rFonts w:ascii="Garamond" w:hAnsi="Garamond" w:cstheme="minorHAnsi"/>
          <w:sz w:val="24"/>
          <w:szCs w:val="24"/>
          <w:lang w:val="en-GB"/>
        </w:rPr>
        <w:t xml:space="preserve">e chief criticisms advanced against MacIntyre’s account in </w:t>
      </w:r>
      <w:r w:rsidR="00ED1ECA" w:rsidRPr="00461D74">
        <w:rPr>
          <w:rFonts w:ascii="Garamond" w:hAnsi="Garamond" w:cstheme="minorHAnsi"/>
          <w:i/>
          <w:sz w:val="24"/>
          <w:szCs w:val="24"/>
          <w:lang w:val="en-GB"/>
        </w:rPr>
        <w:t>After Virtue</w:t>
      </w:r>
      <w:r w:rsidR="00C53ABF" w:rsidRPr="00461D74">
        <w:rPr>
          <w:rFonts w:ascii="Garamond" w:hAnsi="Garamond" w:cstheme="minorHAnsi"/>
          <w:sz w:val="24"/>
          <w:szCs w:val="24"/>
          <w:lang w:val="en-GB"/>
        </w:rPr>
        <w:t>.</w:t>
      </w:r>
      <w:r w:rsidR="004851AC" w:rsidRPr="00461D74">
        <w:rPr>
          <w:rFonts w:ascii="Garamond" w:hAnsi="Garamond" w:cstheme="minorHAnsi"/>
          <w:sz w:val="24"/>
          <w:szCs w:val="24"/>
          <w:lang w:val="en-GB"/>
        </w:rPr>
        <w:t xml:space="preserve"> </w:t>
      </w:r>
      <w:r w:rsidR="002C691A" w:rsidRPr="00461D74">
        <w:rPr>
          <w:rFonts w:ascii="Garamond" w:hAnsi="Garamond" w:cstheme="minorHAnsi"/>
          <w:sz w:val="24"/>
          <w:szCs w:val="24"/>
          <w:lang w:val="en-GB"/>
        </w:rPr>
        <w:t xml:space="preserve">Nevertheless, </w:t>
      </w:r>
      <w:r w:rsidR="00B5452B" w:rsidRPr="00461D74">
        <w:rPr>
          <w:rFonts w:ascii="Garamond" w:hAnsi="Garamond" w:cstheme="minorHAnsi"/>
          <w:sz w:val="24"/>
          <w:szCs w:val="24"/>
          <w:lang w:val="en-GB"/>
        </w:rPr>
        <w:t xml:space="preserve">I will argue that </w:t>
      </w:r>
      <w:r w:rsidR="007A1607" w:rsidRPr="00461D74">
        <w:rPr>
          <w:rFonts w:ascii="Garamond" w:hAnsi="Garamond" w:cstheme="minorHAnsi"/>
          <w:sz w:val="24"/>
          <w:szCs w:val="24"/>
          <w:lang w:val="en-GB"/>
        </w:rPr>
        <w:t>MacIntyre’s endorsement of</w:t>
      </w:r>
      <w:r w:rsidR="002C691A" w:rsidRPr="00461D74">
        <w:rPr>
          <w:rFonts w:ascii="Garamond" w:hAnsi="Garamond" w:cstheme="minorHAnsi"/>
          <w:sz w:val="24"/>
          <w:szCs w:val="24"/>
          <w:lang w:val="en-GB"/>
        </w:rPr>
        <w:t xml:space="preserve"> Aristotelian-Thomism</w:t>
      </w:r>
      <w:r w:rsidR="007A1607" w:rsidRPr="00461D74">
        <w:rPr>
          <w:rFonts w:ascii="Garamond" w:hAnsi="Garamond" w:cstheme="minorHAnsi"/>
          <w:sz w:val="24"/>
          <w:szCs w:val="24"/>
          <w:lang w:val="en-GB"/>
        </w:rPr>
        <w:t xml:space="preserve"> as the best moral tradition thus far,</w:t>
      </w:r>
      <w:r w:rsidR="002C691A" w:rsidRPr="00461D74">
        <w:rPr>
          <w:rFonts w:ascii="Garamond" w:hAnsi="Garamond" w:cstheme="minorHAnsi"/>
          <w:sz w:val="24"/>
          <w:szCs w:val="24"/>
          <w:lang w:val="en-GB"/>
        </w:rPr>
        <w:t xml:space="preserve"> </w:t>
      </w:r>
      <w:r w:rsidR="004851AC" w:rsidRPr="00461D74">
        <w:rPr>
          <w:rFonts w:ascii="Garamond" w:hAnsi="Garamond" w:cstheme="minorHAnsi"/>
          <w:sz w:val="24"/>
          <w:szCs w:val="24"/>
          <w:lang w:val="en-GB"/>
        </w:rPr>
        <w:t>alongside</w:t>
      </w:r>
      <w:r w:rsidR="007A1607" w:rsidRPr="00461D74">
        <w:rPr>
          <w:rFonts w:ascii="Garamond" w:hAnsi="Garamond" w:cstheme="minorHAnsi"/>
          <w:sz w:val="24"/>
          <w:szCs w:val="24"/>
          <w:lang w:val="en-GB"/>
        </w:rPr>
        <w:t xml:space="preserve"> his acceptance of liberalism as the dominant contemporary tradition, generates two important difficulties (</w:t>
      </w:r>
      <w:r w:rsidR="00123AEF" w:rsidRPr="00461D74">
        <w:rPr>
          <w:rFonts w:ascii="Garamond" w:hAnsi="Garamond" w:cstheme="minorHAnsi"/>
          <w:sz w:val="24"/>
          <w:szCs w:val="24"/>
          <w:lang w:val="en-GB"/>
        </w:rPr>
        <w:t>or tensions</w:t>
      </w:r>
      <w:r w:rsidR="007A1607" w:rsidRPr="00461D74">
        <w:rPr>
          <w:rFonts w:ascii="Garamond" w:hAnsi="Garamond" w:cstheme="minorHAnsi"/>
          <w:sz w:val="24"/>
          <w:szCs w:val="24"/>
          <w:lang w:val="en-GB"/>
        </w:rPr>
        <w:t>)</w:t>
      </w:r>
      <w:r w:rsidR="00B5452B" w:rsidRPr="00461D74">
        <w:rPr>
          <w:rFonts w:ascii="Garamond" w:hAnsi="Garamond" w:cstheme="minorHAnsi"/>
          <w:sz w:val="24"/>
          <w:szCs w:val="24"/>
          <w:lang w:val="en-GB"/>
        </w:rPr>
        <w:t xml:space="preserve"> for his account</w:t>
      </w:r>
      <w:r w:rsidR="007A1607" w:rsidRPr="00461D74">
        <w:rPr>
          <w:rFonts w:ascii="Garamond" w:hAnsi="Garamond" w:cstheme="minorHAnsi"/>
          <w:sz w:val="24"/>
          <w:szCs w:val="24"/>
          <w:lang w:val="en-GB"/>
        </w:rPr>
        <w:t>.</w:t>
      </w:r>
    </w:p>
    <w:p w:rsidR="007A1607" w:rsidRPr="00461D74" w:rsidRDefault="004851AC"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I</w:t>
      </w:r>
      <w:r w:rsidR="00F2122C" w:rsidRPr="00461D74">
        <w:rPr>
          <w:rFonts w:ascii="Garamond" w:hAnsi="Garamond" w:cstheme="minorHAnsi"/>
          <w:sz w:val="24"/>
          <w:szCs w:val="24"/>
          <w:lang w:val="en-GB"/>
        </w:rPr>
        <w:t xml:space="preserve">n </w:t>
      </w:r>
      <w:r w:rsidR="00090F78" w:rsidRPr="00461D74">
        <w:rPr>
          <w:rFonts w:ascii="Garamond" w:hAnsi="Garamond" w:cstheme="minorHAnsi"/>
          <w:sz w:val="24"/>
          <w:szCs w:val="24"/>
          <w:lang w:val="en-GB"/>
        </w:rPr>
        <w:t>C</w:t>
      </w:r>
      <w:r w:rsidR="00F2122C" w:rsidRPr="00461D74">
        <w:rPr>
          <w:rFonts w:ascii="Garamond" w:hAnsi="Garamond" w:cstheme="minorHAnsi"/>
          <w:sz w:val="24"/>
          <w:szCs w:val="24"/>
          <w:lang w:val="en-GB"/>
        </w:rPr>
        <w:t xml:space="preserve">hapter </w:t>
      </w:r>
      <w:r w:rsidR="00090F78" w:rsidRPr="00461D74">
        <w:rPr>
          <w:rFonts w:ascii="Garamond" w:hAnsi="Garamond" w:cstheme="minorHAnsi"/>
          <w:sz w:val="24"/>
          <w:szCs w:val="24"/>
          <w:lang w:val="en-GB"/>
        </w:rPr>
        <w:t>T</w:t>
      </w:r>
      <w:r w:rsidR="00F2122C" w:rsidRPr="00461D74">
        <w:rPr>
          <w:rFonts w:ascii="Garamond" w:hAnsi="Garamond" w:cstheme="minorHAnsi"/>
          <w:sz w:val="24"/>
          <w:szCs w:val="24"/>
          <w:lang w:val="en-GB"/>
        </w:rPr>
        <w:t>wo I explore</w:t>
      </w:r>
      <w:r w:rsidR="00266B73" w:rsidRPr="00461D74">
        <w:rPr>
          <w:rFonts w:ascii="Garamond" w:hAnsi="Garamond" w:cstheme="minorHAnsi"/>
          <w:sz w:val="24"/>
          <w:szCs w:val="24"/>
          <w:lang w:val="en-GB"/>
        </w:rPr>
        <w:t xml:space="preserve"> the first </w:t>
      </w:r>
      <w:r w:rsidRPr="00461D74">
        <w:rPr>
          <w:rFonts w:ascii="Garamond" w:hAnsi="Garamond" w:cstheme="minorHAnsi"/>
          <w:sz w:val="24"/>
          <w:szCs w:val="24"/>
          <w:lang w:val="en-GB"/>
        </w:rPr>
        <w:t>of the</w:t>
      </w:r>
      <w:r w:rsidR="00F70514" w:rsidRPr="00461D74">
        <w:rPr>
          <w:rFonts w:ascii="Garamond" w:hAnsi="Garamond" w:cstheme="minorHAnsi"/>
          <w:sz w:val="24"/>
          <w:szCs w:val="24"/>
          <w:lang w:val="en-GB"/>
        </w:rPr>
        <w:t xml:space="preserve"> two</w:t>
      </w:r>
      <w:r w:rsidRPr="00461D74">
        <w:rPr>
          <w:rFonts w:ascii="Garamond" w:hAnsi="Garamond" w:cstheme="minorHAnsi"/>
          <w:sz w:val="24"/>
          <w:szCs w:val="24"/>
          <w:lang w:val="en-GB"/>
        </w:rPr>
        <w:t xml:space="preserve"> difficulties</w:t>
      </w:r>
      <w:r w:rsidR="00F2122C" w:rsidRPr="00461D74">
        <w:rPr>
          <w:rFonts w:ascii="Garamond" w:hAnsi="Garamond" w:cstheme="minorHAnsi"/>
          <w:sz w:val="24"/>
          <w:szCs w:val="24"/>
          <w:lang w:val="en-GB"/>
        </w:rPr>
        <w:t xml:space="preserve">, </w:t>
      </w:r>
      <w:r w:rsidR="007A1607" w:rsidRPr="00461D74">
        <w:rPr>
          <w:rFonts w:ascii="Garamond" w:hAnsi="Garamond" w:cstheme="minorHAnsi"/>
          <w:sz w:val="24"/>
          <w:szCs w:val="24"/>
          <w:lang w:val="en-GB"/>
        </w:rPr>
        <w:t>generated by M</w:t>
      </w:r>
      <w:r w:rsidRPr="00461D74">
        <w:rPr>
          <w:rFonts w:ascii="Garamond" w:hAnsi="Garamond" w:cstheme="minorHAnsi"/>
          <w:sz w:val="24"/>
          <w:szCs w:val="24"/>
          <w:lang w:val="en-GB"/>
        </w:rPr>
        <w:t xml:space="preserve">acIntyre’s </w:t>
      </w:r>
      <w:r w:rsidR="00F2122C" w:rsidRPr="00461D74">
        <w:rPr>
          <w:rFonts w:ascii="Garamond" w:hAnsi="Garamond" w:cstheme="minorHAnsi"/>
          <w:sz w:val="24"/>
          <w:szCs w:val="24"/>
          <w:lang w:val="en-GB"/>
        </w:rPr>
        <w:t>later adoption of Thomism</w:t>
      </w:r>
      <w:r w:rsidRPr="00461D74">
        <w:rPr>
          <w:rFonts w:ascii="Garamond" w:hAnsi="Garamond" w:cstheme="minorHAnsi"/>
          <w:sz w:val="24"/>
          <w:szCs w:val="24"/>
          <w:lang w:val="en-GB"/>
        </w:rPr>
        <w:t xml:space="preserve">. </w:t>
      </w:r>
      <w:r w:rsidR="007A1607" w:rsidRPr="00461D74">
        <w:rPr>
          <w:rFonts w:ascii="Garamond" w:hAnsi="Garamond" w:cstheme="minorHAnsi"/>
          <w:sz w:val="24"/>
          <w:szCs w:val="24"/>
          <w:lang w:val="en-GB"/>
        </w:rPr>
        <w:t xml:space="preserve">I argue that MacIntyre </w:t>
      </w:r>
      <w:r w:rsidR="00621748" w:rsidRPr="00461D74">
        <w:rPr>
          <w:rFonts w:ascii="Garamond" w:hAnsi="Garamond" w:cstheme="minorHAnsi"/>
          <w:sz w:val="24"/>
          <w:szCs w:val="24"/>
          <w:lang w:val="en-GB"/>
        </w:rPr>
        <w:t xml:space="preserve">implicitly, if not explicitly, </w:t>
      </w:r>
      <w:r w:rsidR="007A1607" w:rsidRPr="00461D74">
        <w:rPr>
          <w:rFonts w:ascii="Garamond" w:hAnsi="Garamond" w:cstheme="minorHAnsi"/>
          <w:sz w:val="24"/>
          <w:szCs w:val="24"/>
          <w:lang w:val="en-GB"/>
        </w:rPr>
        <w:t xml:space="preserve">recognises that his endorsement of Aristotelian-Thomism </w:t>
      </w:r>
      <w:r w:rsidR="003C615C" w:rsidRPr="00461D74">
        <w:rPr>
          <w:rFonts w:ascii="Garamond" w:hAnsi="Garamond" w:cstheme="minorHAnsi"/>
          <w:sz w:val="24"/>
          <w:szCs w:val="24"/>
          <w:lang w:val="en-GB"/>
        </w:rPr>
        <w:t xml:space="preserve">gives </w:t>
      </w:r>
      <w:r w:rsidR="003C615C" w:rsidRPr="00461D74">
        <w:rPr>
          <w:rFonts w:ascii="Garamond" w:hAnsi="Garamond" w:cstheme="minorHAnsi"/>
          <w:sz w:val="24"/>
          <w:szCs w:val="24"/>
          <w:lang w:val="en-GB"/>
        </w:rPr>
        <w:lastRenderedPageBreak/>
        <w:t>rise to</w:t>
      </w:r>
      <w:r w:rsidR="007A1607" w:rsidRPr="00461D74">
        <w:rPr>
          <w:rFonts w:ascii="Garamond" w:hAnsi="Garamond" w:cstheme="minorHAnsi"/>
          <w:sz w:val="24"/>
          <w:szCs w:val="24"/>
          <w:lang w:val="en-GB"/>
        </w:rPr>
        <w:t xml:space="preserve"> </w:t>
      </w:r>
      <w:r w:rsidR="00ED561F" w:rsidRPr="00461D74">
        <w:rPr>
          <w:rFonts w:ascii="Garamond" w:hAnsi="Garamond" w:cstheme="minorHAnsi"/>
          <w:sz w:val="24"/>
          <w:szCs w:val="24"/>
          <w:lang w:val="en-GB"/>
        </w:rPr>
        <w:t>an important dif</w:t>
      </w:r>
      <w:r w:rsidR="00411E46" w:rsidRPr="00461D74">
        <w:rPr>
          <w:rFonts w:ascii="Garamond" w:hAnsi="Garamond" w:cstheme="minorHAnsi"/>
          <w:sz w:val="24"/>
          <w:szCs w:val="24"/>
          <w:lang w:val="en-GB"/>
        </w:rPr>
        <w:t>ficulty (which I identified in Chapter O</w:t>
      </w:r>
      <w:r w:rsidR="00ED561F" w:rsidRPr="00461D74">
        <w:rPr>
          <w:rFonts w:ascii="Garamond" w:hAnsi="Garamond" w:cstheme="minorHAnsi"/>
          <w:sz w:val="24"/>
          <w:szCs w:val="24"/>
          <w:lang w:val="en-GB"/>
        </w:rPr>
        <w:t>ne) for his account</w:t>
      </w:r>
      <w:r w:rsidR="00DD1539" w:rsidRPr="00461D74">
        <w:rPr>
          <w:rFonts w:ascii="Garamond" w:hAnsi="Garamond" w:cstheme="minorHAnsi"/>
          <w:sz w:val="24"/>
          <w:szCs w:val="24"/>
          <w:lang w:val="en-GB"/>
        </w:rPr>
        <w:t>:</w:t>
      </w:r>
      <w:r w:rsidR="00ED561F" w:rsidRPr="00461D74">
        <w:rPr>
          <w:rFonts w:ascii="Garamond" w:hAnsi="Garamond" w:cstheme="minorHAnsi"/>
          <w:sz w:val="24"/>
          <w:szCs w:val="24"/>
          <w:lang w:val="en-GB"/>
        </w:rPr>
        <w:t xml:space="preserve"> </w:t>
      </w:r>
      <w:r w:rsidR="00DD1539" w:rsidRPr="00461D74">
        <w:rPr>
          <w:rFonts w:ascii="Garamond" w:hAnsi="Garamond" w:cstheme="minorHAnsi"/>
          <w:sz w:val="24"/>
          <w:szCs w:val="24"/>
          <w:lang w:val="en-GB"/>
        </w:rPr>
        <w:t>n</w:t>
      </w:r>
      <w:r w:rsidR="00ED561F" w:rsidRPr="00461D74">
        <w:rPr>
          <w:rFonts w:ascii="Garamond" w:hAnsi="Garamond" w:cstheme="minorHAnsi"/>
          <w:sz w:val="24"/>
          <w:szCs w:val="24"/>
          <w:lang w:val="en-GB"/>
        </w:rPr>
        <w:t xml:space="preserve">amely, it </w:t>
      </w:r>
      <w:r w:rsidRPr="00461D74">
        <w:rPr>
          <w:rFonts w:ascii="Garamond" w:hAnsi="Garamond" w:cstheme="minorHAnsi"/>
          <w:sz w:val="24"/>
          <w:szCs w:val="24"/>
          <w:lang w:val="en-GB"/>
        </w:rPr>
        <w:t>appears</w:t>
      </w:r>
      <w:r w:rsidR="00ED561F" w:rsidRPr="00461D74">
        <w:rPr>
          <w:rFonts w:ascii="Garamond" w:hAnsi="Garamond" w:cstheme="minorHAnsi"/>
          <w:sz w:val="24"/>
          <w:szCs w:val="24"/>
          <w:lang w:val="en-GB"/>
        </w:rPr>
        <w:t xml:space="preserve"> that on MacIntyre’s historical account of moral traditions, liberalism as the dominant contemporary tradition in western societies has displaced, or otherwise marginalised, the Aristotelian-Thomistic tradition. </w:t>
      </w:r>
      <w:r w:rsidR="00C53ABF" w:rsidRPr="00461D74">
        <w:rPr>
          <w:rFonts w:ascii="Garamond" w:hAnsi="Garamond" w:cstheme="minorHAnsi"/>
          <w:sz w:val="24"/>
          <w:szCs w:val="24"/>
          <w:lang w:val="en-GB"/>
        </w:rPr>
        <w:t xml:space="preserve">I will then consider what I take to be an attempt by MacIntyre to address this problem. While MacIntyre recognises that the Aristotelian-Thomistic tradition was in fact sidelined, he goes on to argue that the </w:t>
      </w:r>
      <w:r w:rsidR="006B6FF5" w:rsidRPr="00461D74">
        <w:rPr>
          <w:rFonts w:ascii="Garamond" w:hAnsi="Garamond" w:cstheme="minorHAnsi"/>
          <w:sz w:val="24"/>
          <w:szCs w:val="24"/>
          <w:lang w:val="en-GB"/>
        </w:rPr>
        <w:t>loss</w:t>
      </w:r>
      <w:r w:rsidR="00C53ABF" w:rsidRPr="00461D74">
        <w:rPr>
          <w:rFonts w:ascii="Garamond" w:hAnsi="Garamond" w:cstheme="minorHAnsi"/>
          <w:sz w:val="24"/>
          <w:szCs w:val="24"/>
          <w:lang w:val="en-GB"/>
        </w:rPr>
        <w:t xml:space="preserve"> of </w:t>
      </w:r>
      <w:r w:rsidR="006B6FF5" w:rsidRPr="00461D74">
        <w:rPr>
          <w:rFonts w:ascii="Garamond" w:hAnsi="Garamond" w:cstheme="minorHAnsi"/>
          <w:sz w:val="24"/>
          <w:szCs w:val="24"/>
          <w:lang w:val="en-GB"/>
        </w:rPr>
        <w:t xml:space="preserve">the </w:t>
      </w:r>
      <w:r w:rsidR="00C53ABF" w:rsidRPr="00461D74">
        <w:rPr>
          <w:rFonts w:ascii="Garamond" w:hAnsi="Garamond" w:cstheme="minorHAnsi"/>
          <w:sz w:val="24"/>
          <w:szCs w:val="24"/>
          <w:lang w:val="en-GB"/>
        </w:rPr>
        <w:t>Aristote</w:t>
      </w:r>
      <w:r w:rsidR="006B6FF5" w:rsidRPr="00461D74">
        <w:rPr>
          <w:rFonts w:ascii="Garamond" w:hAnsi="Garamond" w:cstheme="minorHAnsi"/>
          <w:sz w:val="24"/>
          <w:szCs w:val="24"/>
          <w:lang w:val="en-GB"/>
        </w:rPr>
        <w:t>lian moral tradition</w:t>
      </w:r>
      <w:r w:rsidR="005C4459" w:rsidRPr="00461D74">
        <w:rPr>
          <w:rFonts w:ascii="Garamond" w:hAnsi="Garamond" w:cstheme="minorHAnsi"/>
          <w:sz w:val="24"/>
          <w:szCs w:val="24"/>
          <w:lang w:val="en-GB"/>
        </w:rPr>
        <w:t>, and more specifically the teleology at the heart of that project,</w:t>
      </w:r>
      <w:r w:rsidR="006B6FF5" w:rsidRPr="00461D74">
        <w:rPr>
          <w:rFonts w:ascii="Garamond" w:hAnsi="Garamond" w:cstheme="minorHAnsi"/>
          <w:sz w:val="24"/>
          <w:szCs w:val="24"/>
          <w:lang w:val="en-GB"/>
        </w:rPr>
        <w:t xml:space="preserve"> </w:t>
      </w:r>
      <w:r w:rsidR="00621748" w:rsidRPr="00461D74">
        <w:rPr>
          <w:rFonts w:ascii="Garamond" w:hAnsi="Garamond" w:cstheme="minorHAnsi"/>
          <w:sz w:val="24"/>
          <w:szCs w:val="24"/>
          <w:lang w:val="en-GB"/>
        </w:rPr>
        <w:t xml:space="preserve">in part </w:t>
      </w:r>
      <w:r w:rsidR="006B6FF5" w:rsidRPr="00461D74">
        <w:rPr>
          <w:rFonts w:ascii="Garamond" w:hAnsi="Garamond" w:cstheme="minorHAnsi"/>
          <w:sz w:val="24"/>
          <w:szCs w:val="24"/>
          <w:lang w:val="en-GB"/>
        </w:rPr>
        <w:t xml:space="preserve">originated in a number of mistakes </w:t>
      </w:r>
      <w:r w:rsidR="005C4459" w:rsidRPr="00461D74">
        <w:rPr>
          <w:rFonts w:ascii="Garamond" w:hAnsi="Garamond" w:cstheme="minorHAnsi"/>
          <w:sz w:val="24"/>
          <w:szCs w:val="24"/>
          <w:lang w:val="en-GB"/>
        </w:rPr>
        <w:t>that were made by</w:t>
      </w:r>
      <w:r w:rsidR="006B6FF5" w:rsidRPr="00461D74">
        <w:rPr>
          <w:rFonts w:ascii="Garamond" w:hAnsi="Garamond" w:cstheme="minorHAnsi"/>
          <w:sz w:val="24"/>
          <w:szCs w:val="24"/>
          <w:lang w:val="en-GB"/>
        </w:rPr>
        <w:t xml:space="preserve"> Renaissance Aristotelians</w:t>
      </w:r>
      <w:r w:rsidR="009B38D1" w:rsidRPr="00461D74">
        <w:rPr>
          <w:rFonts w:ascii="Garamond" w:hAnsi="Garamond" w:cstheme="minorHAnsi"/>
          <w:sz w:val="24"/>
          <w:szCs w:val="24"/>
          <w:lang w:val="en-GB"/>
        </w:rPr>
        <w:t>.</w:t>
      </w:r>
      <w:r w:rsidR="005C4459" w:rsidRPr="00461D74">
        <w:rPr>
          <w:rFonts w:ascii="Garamond" w:hAnsi="Garamond" w:cstheme="minorHAnsi"/>
          <w:sz w:val="24"/>
          <w:szCs w:val="24"/>
          <w:lang w:val="en-GB"/>
        </w:rPr>
        <w:t xml:space="preserve"> Specifically MacIntyre argues that Renaissance Aristotelians had begun to deviate from Aristotle’s ethics in ways that undermined substantive Aristotelian claims with respect to moral education and knowledge. I </w:t>
      </w:r>
      <w:r w:rsidR="00621748" w:rsidRPr="00461D74">
        <w:rPr>
          <w:rFonts w:ascii="Garamond" w:hAnsi="Garamond" w:cstheme="minorHAnsi"/>
          <w:sz w:val="24"/>
          <w:szCs w:val="24"/>
          <w:lang w:val="en-GB"/>
        </w:rPr>
        <w:t xml:space="preserve">carefully </w:t>
      </w:r>
      <w:r w:rsidR="005C4459" w:rsidRPr="00461D74">
        <w:rPr>
          <w:rFonts w:ascii="Garamond" w:hAnsi="Garamond" w:cstheme="minorHAnsi"/>
          <w:sz w:val="24"/>
          <w:szCs w:val="24"/>
          <w:lang w:val="en-GB"/>
        </w:rPr>
        <w:t xml:space="preserve">consider MacIntyre’s </w:t>
      </w:r>
      <w:r w:rsidR="00B158CB" w:rsidRPr="00461D74">
        <w:rPr>
          <w:rFonts w:ascii="Garamond" w:hAnsi="Garamond" w:cstheme="minorHAnsi"/>
          <w:sz w:val="24"/>
          <w:szCs w:val="24"/>
          <w:lang w:val="en-GB"/>
        </w:rPr>
        <w:t>hypothesis</w:t>
      </w:r>
      <w:r w:rsidR="00621748" w:rsidRPr="00461D74">
        <w:rPr>
          <w:rFonts w:ascii="Garamond" w:hAnsi="Garamond" w:cstheme="minorHAnsi"/>
          <w:sz w:val="24"/>
          <w:szCs w:val="24"/>
          <w:lang w:val="en-GB"/>
        </w:rPr>
        <w:t>; yet I</w:t>
      </w:r>
      <w:r w:rsidR="008818A9" w:rsidRPr="00461D74">
        <w:rPr>
          <w:rFonts w:ascii="Garamond" w:hAnsi="Garamond" w:cstheme="minorHAnsi"/>
          <w:sz w:val="24"/>
          <w:szCs w:val="24"/>
          <w:lang w:val="en-GB"/>
        </w:rPr>
        <w:t xml:space="preserve"> </w:t>
      </w:r>
      <w:r w:rsidR="005C4459" w:rsidRPr="00461D74">
        <w:rPr>
          <w:rFonts w:ascii="Garamond" w:hAnsi="Garamond" w:cstheme="minorHAnsi"/>
          <w:sz w:val="24"/>
          <w:szCs w:val="24"/>
          <w:lang w:val="en-GB"/>
        </w:rPr>
        <w:t xml:space="preserve">nevertheless </w:t>
      </w:r>
      <w:r w:rsidR="00B158CB" w:rsidRPr="00461D74">
        <w:rPr>
          <w:rFonts w:ascii="Garamond" w:hAnsi="Garamond" w:cstheme="minorHAnsi"/>
          <w:sz w:val="24"/>
          <w:szCs w:val="24"/>
          <w:lang w:val="en-GB"/>
        </w:rPr>
        <w:t>argue</w:t>
      </w:r>
      <w:r w:rsidR="005C4459" w:rsidRPr="00461D74">
        <w:rPr>
          <w:rFonts w:ascii="Garamond" w:hAnsi="Garamond" w:cstheme="minorHAnsi"/>
          <w:sz w:val="24"/>
          <w:szCs w:val="24"/>
          <w:lang w:val="en-GB"/>
        </w:rPr>
        <w:t xml:space="preserve"> that there is a more plausible explanation for the decline of the Aristotelian-Thomistic teleology. More importantly, I will </w:t>
      </w:r>
      <w:r w:rsidR="00B158CB" w:rsidRPr="00461D74">
        <w:rPr>
          <w:rFonts w:ascii="Garamond" w:hAnsi="Garamond" w:cstheme="minorHAnsi"/>
          <w:sz w:val="24"/>
          <w:szCs w:val="24"/>
          <w:lang w:val="en-GB"/>
        </w:rPr>
        <w:t>suggest</w:t>
      </w:r>
      <w:r w:rsidR="005C4459" w:rsidRPr="00461D74">
        <w:rPr>
          <w:rFonts w:ascii="Garamond" w:hAnsi="Garamond" w:cstheme="minorHAnsi"/>
          <w:sz w:val="24"/>
          <w:szCs w:val="24"/>
          <w:lang w:val="en-GB"/>
        </w:rPr>
        <w:t xml:space="preserve"> that MacIntyre</w:t>
      </w:r>
      <w:r w:rsidR="00B158CB" w:rsidRPr="00461D74">
        <w:rPr>
          <w:rFonts w:ascii="Garamond" w:hAnsi="Garamond" w:cstheme="minorHAnsi"/>
          <w:sz w:val="24"/>
          <w:szCs w:val="24"/>
          <w:lang w:val="en-GB"/>
        </w:rPr>
        <w:t>’s hypothesis</w:t>
      </w:r>
      <w:r w:rsidR="005C4459" w:rsidRPr="00461D74">
        <w:rPr>
          <w:rFonts w:ascii="Garamond" w:hAnsi="Garamond" w:cstheme="minorHAnsi"/>
          <w:sz w:val="24"/>
          <w:szCs w:val="24"/>
          <w:lang w:val="en-GB"/>
        </w:rPr>
        <w:t xml:space="preserve"> </w:t>
      </w:r>
      <w:r w:rsidR="00B158CB" w:rsidRPr="00461D74">
        <w:rPr>
          <w:rFonts w:ascii="Garamond" w:hAnsi="Garamond" w:cstheme="minorHAnsi"/>
          <w:sz w:val="24"/>
          <w:szCs w:val="24"/>
          <w:lang w:val="en-GB"/>
        </w:rPr>
        <w:t xml:space="preserve">here could just as </w:t>
      </w:r>
      <w:r w:rsidR="008818A9" w:rsidRPr="00461D74">
        <w:rPr>
          <w:rFonts w:ascii="Garamond" w:hAnsi="Garamond" w:cstheme="minorHAnsi"/>
          <w:sz w:val="24"/>
          <w:szCs w:val="24"/>
          <w:lang w:val="en-GB"/>
        </w:rPr>
        <w:t>well</w:t>
      </w:r>
      <w:r w:rsidR="00B158CB" w:rsidRPr="00461D74">
        <w:rPr>
          <w:rFonts w:ascii="Garamond" w:hAnsi="Garamond" w:cstheme="minorHAnsi"/>
          <w:sz w:val="24"/>
          <w:szCs w:val="24"/>
          <w:lang w:val="en-GB"/>
        </w:rPr>
        <w:t xml:space="preserve"> </w:t>
      </w:r>
      <w:r w:rsidR="005C4459" w:rsidRPr="00461D74">
        <w:rPr>
          <w:rFonts w:ascii="Garamond" w:hAnsi="Garamond" w:cstheme="minorHAnsi"/>
          <w:sz w:val="24"/>
          <w:szCs w:val="24"/>
          <w:lang w:val="en-GB"/>
        </w:rPr>
        <w:t>appl</w:t>
      </w:r>
      <w:r w:rsidR="00B158CB" w:rsidRPr="00461D74">
        <w:rPr>
          <w:rFonts w:ascii="Garamond" w:hAnsi="Garamond" w:cstheme="minorHAnsi"/>
          <w:sz w:val="24"/>
          <w:szCs w:val="24"/>
          <w:lang w:val="en-GB"/>
        </w:rPr>
        <w:t>y to Aquinas</w:t>
      </w:r>
      <w:r w:rsidR="009257DC" w:rsidRPr="00461D74">
        <w:rPr>
          <w:rFonts w:ascii="Garamond" w:hAnsi="Garamond" w:cstheme="minorHAnsi"/>
          <w:sz w:val="24"/>
          <w:szCs w:val="24"/>
          <w:lang w:val="en-GB"/>
        </w:rPr>
        <w:t>’ modifications</w:t>
      </w:r>
      <w:r w:rsidR="00B158CB" w:rsidRPr="00461D74">
        <w:rPr>
          <w:rFonts w:ascii="Garamond" w:hAnsi="Garamond" w:cstheme="minorHAnsi"/>
          <w:sz w:val="24"/>
          <w:szCs w:val="24"/>
          <w:lang w:val="en-GB"/>
        </w:rPr>
        <w:t xml:space="preserve"> </w:t>
      </w:r>
      <w:r w:rsidR="009257DC" w:rsidRPr="00461D74">
        <w:rPr>
          <w:rFonts w:ascii="Garamond" w:hAnsi="Garamond" w:cstheme="minorHAnsi"/>
          <w:sz w:val="24"/>
          <w:szCs w:val="24"/>
          <w:lang w:val="en-GB"/>
        </w:rPr>
        <w:t>of</w:t>
      </w:r>
      <w:r w:rsidR="00B158CB" w:rsidRPr="00461D74">
        <w:rPr>
          <w:rFonts w:ascii="Garamond" w:hAnsi="Garamond" w:cstheme="minorHAnsi"/>
          <w:sz w:val="24"/>
          <w:szCs w:val="24"/>
          <w:lang w:val="en-GB"/>
        </w:rPr>
        <w:t xml:space="preserve"> the standard Aristotelian account.</w:t>
      </w:r>
      <w:r w:rsidR="009257DC" w:rsidRPr="00461D74">
        <w:rPr>
          <w:rFonts w:ascii="Garamond" w:hAnsi="Garamond" w:cstheme="minorHAnsi"/>
          <w:sz w:val="24"/>
          <w:szCs w:val="24"/>
          <w:lang w:val="en-GB"/>
        </w:rPr>
        <w:t xml:space="preserve"> I conclude that MacIntyre’s hypothesis here isn’t ultimately successful in recovering and securing the teleological resources of the Aristotelian-Thomistic tradition; and the absence of a viable teleology renders MacIntyre’s acc</w:t>
      </w:r>
      <w:r w:rsidR="0026212B" w:rsidRPr="00461D74">
        <w:rPr>
          <w:rFonts w:ascii="Garamond" w:hAnsi="Garamond" w:cstheme="minorHAnsi"/>
          <w:sz w:val="24"/>
          <w:szCs w:val="24"/>
          <w:lang w:val="en-GB"/>
        </w:rPr>
        <w:t xml:space="preserve">ount vulnerable to a </w:t>
      </w:r>
      <w:r w:rsidR="00621748" w:rsidRPr="00461D74">
        <w:rPr>
          <w:rFonts w:ascii="Garamond" w:hAnsi="Garamond" w:cstheme="minorHAnsi"/>
          <w:sz w:val="24"/>
          <w:szCs w:val="24"/>
          <w:lang w:val="en-GB"/>
        </w:rPr>
        <w:t xml:space="preserve">number </w:t>
      </w:r>
      <w:r w:rsidR="0026212B" w:rsidRPr="00461D74">
        <w:rPr>
          <w:rFonts w:ascii="Garamond" w:hAnsi="Garamond" w:cstheme="minorHAnsi"/>
          <w:sz w:val="24"/>
          <w:szCs w:val="24"/>
          <w:lang w:val="en-GB"/>
        </w:rPr>
        <w:t>of objections.</w:t>
      </w:r>
    </w:p>
    <w:p w:rsidR="00166B7F" w:rsidRPr="00461D74" w:rsidRDefault="009257DC" w:rsidP="00164E4D">
      <w:pPr>
        <w:spacing w:line="360" w:lineRule="auto"/>
        <w:ind w:firstLine="720"/>
        <w:jc w:val="both"/>
        <w:rPr>
          <w:rFonts w:ascii="Garamond" w:hAnsi="Garamond"/>
          <w:sz w:val="24"/>
          <w:szCs w:val="24"/>
        </w:rPr>
      </w:pPr>
      <w:r w:rsidRPr="00461D74">
        <w:rPr>
          <w:rFonts w:ascii="Garamond" w:hAnsi="Garamond" w:cstheme="minorHAnsi"/>
          <w:sz w:val="24"/>
          <w:szCs w:val="24"/>
          <w:lang w:val="en-GB"/>
        </w:rPr>
        <w:t xml:space="preserve">In </w:t>
      </w:r>
      <w:r w:rsidR="00090F78" w:rsidRPr="00461D74">
        <w:rPr>
          <w:rFonts w:ascii="Garamond" w:hAnsi="Garamond" w:cstheme="minorHAnsi"/>
          <w:sz w:val="24"/>
          <w:szCs w:val="24"/>
          <w:lang w:val="en-GB"/>
        </w:rPr>
        <w:t>C</w:t>
      </w:r>
      <w:r w:rsidRPr="00461D74">
        <w:rPr>
          <w:rFonts w:ascii="Garamond" w:hAnsi="Garamond" w:cstheme="minorHAnsi"/>
          <w:sz w:val="24"/>
          <w:szCs w:val="24"/>
          <w:lang w:val="en-GB"/>
        </w:rPr>
        <w:t xml:space="preserve">hapter </w:t>
      </w:r>
      <w:r w:rsidR="00090F78" w:rsidRPr="00461D74">
        <w:rPr>
          <w:rFonts w:ascii="Garamond" w:hAnsi="Garamond" w:cstheme="minorHAnsi"/>
          <w:sz w:val="24"/>
          <w:szCs w:val="24"/>
          <w:lang w:val="en-GB"/>
        </w:rPr>
        <w:t>T</w:t>
      </w:r>
      <w:r w:rsidRPr="00461D74">
        <w:rPr>
          <w:rFonts w:ascii="Garamond" w:hAnsi="Garamond" w:cstheme="minorHAnsi"/>
          <w:sz w:val="24"/>
          <w:szCs w:val="24"/>
          <w:lang w:val="en-GB"/>
        </w:rPr>
        <w:t xml:space="preserve">hree, I </w:t>
      </w:r>
      <w:r w:rsidR="0026212B" w:rsidRPr="00461D74">
        <w:rPr>
          <w:rFonts w:ascii="Garamond" w:hAnsi="Garamond" w:cstheme="minorHAnsi"/>
          <w:sz w:val="24"/>
          <w:szCs w:val="24"/>
          <w:lang w:val="en-GB"/>
        </w:rPr>
        <w:t xml:space="preserve">move to consider a Deweyan solution that will </w:t>
      </w:r>
      <w:r w:rsidR="008767FA" w:rsidRPr="00461D74">
        <w:rPr>
          <w:rFonts w:ascii="Garamond" w:hAnsi="Garamond" w:cstheme="minorHAnsi"/>
          <w:sz w:val="24"/>
          <w:szCs w:val="24"/>
          <w:lang w:val="en-GB"/>
        </w:rPr>
        <w:t xml:space="preserve">attenuate </w:t>
      </w:r>
      <w:r w:rsidR="0026212B" w:rsidRPr="00461D74">
        <w:rPr>
          <w:rFonts w:ascii="Garamond" w:hAnsi="Garamond" w:cstheme="minorHAnsi"/>
          <w:sz w:val="24"/>
          <w:szCs w:val="24"/>
          <w:lang w:val="en-GB"/>
        </w:rPr>
        <w:t>the lack of a viable teleology in MacIntyre’s account.</w:t>
      </w:r>
      <w:r w:rsidR="00CE5156" w:rsidRPr="00461D74">
        <w:rPr>
          <w:rFonts w:ascii="Garamond" w:hAnsi="Garamond" w:cstheme="minorHAnsi"/>
          <w:sz w:val="24"/>
          <w:szCs w:val="24"/>
          <w:lang w:val="en-GB"/>
        </w:rPr>
        <w:t xml:space="preserve"> I will argue that Deweyan democracy</w:t>
      </w:r>
      <w:r w:rsidR="008767FA" w:rsidRPr="00461D74">
        <w:rPr>
          <w:rFonts w:ascii="Garamond" w:hAnsi="Garamond" w:cstheme="minorHAnsi"/>
          <w:sz w:val="24"/>
          <w:szCs w:val="24"/>
          <w:lang w:val="en-GB"/>
        </w:rPr>
        <w:t xml:space="preserve"> –</w:t>
      </w:r>
      <w:r w:rsidR="00CE5156" w:rsidRPr="00461D74">
        <w:rPr>
          <w:rFonts w:ascii="Garamond" w:hAnsi="Garamond" w:cstheme="minorHAnsi"/>
          <w:sz w:val="24"/>
          <w:szCs w:val="24"/>
          <w:lang w:val="en-GB"/>
        </w:rPr>
        <w:t xml:space="preserve"> namely, democracy as a way of life</w:t>
      </w:r>
      <w:r w:rsidR="008767FA" w:rsidRPr="00461D74">
        <w:rPr>
          <w:rFonts w:ascii="Garamond" w:hAnsi="Garamond" w:cstheme="minorHAnsi"/>
          <w:sz w:val="24"/>
          <w:szCs w:val="24"/>
          <w:lang w:val="en-GB"/>
        </w:rPr>
        <w:t xml:space="preserve"> –</w:t>
      </w:r>
      <w:r w:rsidR="00CE5156" w:rsidRPr="00461D74">
        <w:rPr>
          <w:rFonts w:ascii="Garamond" w:hAnsi="Garamond" w:cstheme="minorHAnsi"/>
          <w:sz w:val="24"/>
          <w:szCs w:val="24"/>
          <w:lang w:val="en-GB"/>
        </w:rPr>
        <w:t xml:space="preserve"> </w:t>
      </w:r>
      <w:r w:rsidR="00F76EF5" w:rsidRPr="00461D74">
        <w:rPr>
          <w:rFonts w:ascii="Garamond" w:hAnsi="Garamond" w:cstheme="minorHAnsi"/>
          <w:sz w:val="24"/>
          <w:szCs w:val="24"/>
          <w:lang w:val="en-GB"/>
        </w:rPr>
        <w:t xml:space="preserve">can stand as a teleological framework, and therefore possesses the </w:t>
      </w:r>
      <w:r w:rsidR="00CE5156" w:rsidRPr="00461D74">
        <w:rPr>
          <w:rFonts w:ascii="Garamond" w:hAnsi="Garamond" w:cstheme="minorHAnsi"/>
          <w:sz w:val="24"/>
          <w:szCs w:val="24"/>
          <w:lang w:val="en-GB"/>
        </w:rPr>
        <w:t xml:space="preserve">kind of resources </w:t>
      </w:r>
      <w:r w:rsidR="008767FA" w:rsidRPr="00461D74">
        <w:rPr>
          <w:rFonts w:ascii="Garamond" w:hAnsi="Garamond" w:cstheme="minorHAnsi"/>
          <w:sz w:val="24"/>
          <w:szCs w:val="24"/>
          <w:lang w:val="en-GB"/>
        </w:rPr>
        <w:t>capable of</w:t>
      </w:r>
      <w:r w:rsidR="00CE5156" w:rsidRPr="00461D74">
        <w:rPr>
          <w:rFonts w:ascii="Garamond" w:hAnsi="Garamond" w:cstheme="minorHAnsi"/>
          <w:sz w:val="24"/>
          <w:szCs w:val="24"/>
          <w:lang w:val="en-GB"/>
        </w:rPr>
        <w:t xml:space="preserve"> address</w:t>
      </w:r>
      <w:r w:rsidR="008767FA" w:rsidRPr="00461D74">
        <w:rPr>
          <w:rFonts w:ascii="Garamond" w:hAnsi="Garamond" w:cstheme="minorHAnsi"/>
          <w:sz w:val="24"/>
          <w:szCs w:val="24"/>
          <w:lang w:val="en-GB"/>
        </w:rPr>
        <w:t>ing</w:t>
      </w:r>
      <w:r w:rsidR="00CE5156" w:rsidRPr="00461D74">
        <w:rPr>
          <w:rFonts w:ascii="Garamond" w:hAnsi="Garamond" w:cstheme="minorHAnsi"/>
          <w:sz w:val="24"/>
          <w:szCs w:val="24"/>
          <w:lang w:val="en-GB"/>
        </w:rPr>
        <w:t xml:space="preserve"> this problem</w:t>
      </w:r>
      <w:r w:rsidR="008767FA" w:rsidRPr="00461D74">
        <w:rPr>
          <w:rFonts w:ascii="Garamond" w:hAnsi="Garamond" w:cstheme="minorHAnsi"/>
          <w:sz w:val="24"/>
          <w:szCs w:val="24"/>
          <w:lang w:val="en-GB"/>
        </w:rPr>
        <w:t>,</w:t>
      </w:r>
      <w:r w:rsidR="00CE5156" w:rsidRPr="00461D74">
        <w:rPr>
          <w:rFonts w:ascii="Garamond" w:hAnsi="Garamond" w:cstheme="minorHAnsi"/>
          <w:sz w:val="24"/>
          <w:szCs w:val="24"/>
          <w:lang w:val="en-GB"/>
        </w:rPr>
        <w:t xml:space="preserve"> and ultimately </w:t>
      </w:r>
      <w:r w:rsidR="008767FA" w:rsidRPr="00461D74">
        <w:rPr>
          <w:rFonts w:ascii="Garamond" w:hAnsi="Garamond" w:cstheme="minorHAnsi"/>
          <w:sz w:val="24"/>
          <w:szCs w:val="24"/>
          <w:lang w:val="en-GB"/>
        </w:rPr>
        <w:t xml:space="preserve">is able to offer a resolution of </w:t>
      </w:r>
      <w:r w:rsidR="00CE5156" w:rsidRPr="00461D74">
        <w:rPr>
          <w:rFonts w:ascii="Garamond" w:hAnsi="Garamond" w:cstheme="minorHAnsi"/>
          <w:sz w:val="24"/>
          <w:szCs w:val="24"/>
          <w:lang w:val="en-GB"/>
        </w:rPr>
        <w:t>the first tension in MacIntyre’s account.</w:t>
      </w:r>
      <w:r w:rsidR="006309C1" w:rsidRPr="00461D74">
        <w:rPr>
          <w:rFonts w:ascii="Garamond" w:hAnsi="Garamond" w:cstheme="minorHAnsi"/>
          <w:sz w:val="24"/>
          <w:szCs w:val="24"/>
          <w:lang w:val="en-GB"/>
        </w:rPr>
        <w:t xml:space="preserve"> I then move to consider a number of objections against the Deweyan account. First,</w:t>
      </w:r>
      <w:r w:rsidR="00FA25B7" w:rsidRPr="00461D74">
        <w:rPr>
          <w:rFonts w:ascii="Garamond" w:hAnsi="Garamond" w:cstheme="minorHAnsi"/>
          <w:sz w:val="24"/>
          <w:szCs w:val="24"/>
          <w:lang w:val="en-GB"/>
        </w:rPr>
        <w:t xml:space="preserve"> I consider whether Dewey’s teleology</w:t>
      </w:r>
      <w:r w:rsidR="008818A9" w:rsidRPr="00461D74">
        <w:rPr>
          <w:rFonts w:ascii="Garamond" w:hAnsi="Garamond" w:cstheme="minorHAnsi"/>
          <w:sz w:val="24"/>
          <w:szCs w:val="24"/>
          <w:lang w:val="en-GB"/>
        </w:rPr>
        <w:t xml:space="preserve"> </w:t>
      </w:r>
      <w:r w:rsidR="00FA25B7"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FA25B7" w:rsidRPr="00461D74">
        <w:rPr>
          <w:rFonts w:ascii="Garamond" w:hAnsi="Garamond" w:cstheme="minorHAnsi"/>
          <w:sz w:val="24"/>
          <w:szCs w:val="24"/>
          <w:lang w:val="en-GB"/>
        </w:rPr>
        <w:t>democracy as a way of life</w:t>
      </w:r>
      <w:r w:rsidR="008818A9" w:rsidRPr="00461D74">
        <w:rPr>
          <w:rFonts w:ascii="Garamond" w:hAnsi="Garamond" w:cstheme="minorHAnsi"/>
          <w:sz w:val="24"/>
          <w:szCs w:val="24"/>
          <w:lang w:val="en-GB"/>
        </w:rPr>
        <w:t xml:space="preserve"> </w:t>
      </w:r>
      <w:r w:rsidR="00FA25B7"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FA25B7" w:rsidRPr="00461D74">
        <w:rPr>
          <w:rFonts w:ascii="Garamond" w:hAnsi="Garamond" w:cstheme="minorHAnsi"/>
          <w:sz w:val="24"/>
          <w:szCs w:val="24"/>
          <w:lang w:val="en-GB"/>
        </w:rPr>
        <w:t>is</w:t>
      </w:r>
      <w:r w:rsidR="006309C1" w:rsidRPr="00461D74">
        <w:rPr>
          <w:rFonts w:ascii="Garamond" w:hAnsi="Garamond" w:cstheme="minorHAnsi"/>
          <w:sz w:val="24"/>
          <w:szCs w:val="24"/>
          <w:lang w:val="en-GB"/>
        </w:rPr>
        <w:t xml:space="preserve"> </w:t>
      </w:r>
      <w:r w:rsidR="00FA25B7" w:rsidRPr="00461D74">
        <w:rPr>
          <w:rFonts w:ascii="Garamond" w:hAnsi="Garamond" w:cstheme="minorHAnsi"/>
          <w:sz w:val="24"/>
          <w:szCs w:val="24"/>
          <w:lang w:val="en-GB"/>
        </w:rPr>
        <w:t xml:space="preserve">sufficiently </w:t>
      </w:r>
      <w:r w:rsidR="006309C1" w:rsidRPr="00461D74">
        <w:rPr>
          <w:rFonts w:ascii="Garamond" w:hAnsi="Garamond"/>
          <w:sz w:val="24"/>
          <w:szCs w:val="24"/>
        </w:rPr>
        <w:t>substantive to generate a distinctive conception of flourishing</w:t>
      </w:r>
      <w:r w:rsidR="00E175C1">
        <w:rPr>
          <w:rFonts w:ascii="Garamond" w:hAnsi="Garamond"/>
          <w:sz w:val="24"/>
          <w:szCs w:val="24"/>
        </w:rPr>
        <w:t>;</w:t>
      </w:r>
      <w:r w:rsidR="006309C1" w:rsidRPr="00461D74">
        <w:rPr>
          <w:rFonts w:ascii="Garamond" w:hAnsi="Garamond"/>
          <w:sz w:val="24"/>
          <w:szCs w:val="24"/>
        </w:rPr>
        <w:t xml:space="preserve"> </w:t>
      </w:r>
      <w:r w:rsidR="00166B7F" w:rsidRPr="00461D74">
        <w:rPr>
          <w:rFonts w:ascii="Garamond" w:hAnsi="Garamond"/>
          <w:sz w:val="24"/>
          <w:szCs w:val="24"/>
        </w:rPr>
        <w:t>I will argue that</w:t>
      </w:r>
      <w:r w:rsidR="00E175C1">
        <w:rPr>
          <w:rFonts w:ascii="Garamond" w:hAnsi="Garamond"/>
          <w:sz w:val="24"/>
          <w:szCs w:val="24"/>
        </w:rPr>
        <w:t xml:space="preserve"> it can</w:t>
      </w:r>
      <w:r w:rsidR="00166B7F" w:rsidRPr="00461D74">
        <w:rPr>
          <w:rFonts w:ascii="Garamond" w:hAnsi="Garamond"/>
          <w:sz w:val="24"/>
          <w:szCs w:val="24"/>
        </w:rPr>
        <w:t xml:space="preserve">. </w:t>
      </w:r>
      <w:r w:rsidR="006309C1" w:rsidRPr="00461D74">
        <w:rPr>
          <w:rFonts w:ascii="Garamond" w:hAnsi="Garamond"/>
          <w:sz w:val="24"/>
          <w:szCs w:val="24"/>
        </w:rPr>
        <w:t xml:space="preserve">Second, I </w:t>
      </w:r>
      <w:r w:rsidR="00F76EF5" w:rsidRPr="00461D74">
        <w:rPr>
          <w:rFonts w:ascii="Garamond" w:hAnsi="Garamond"/>
          <w:sz w:val="24"/>
          <w:szCs w:val="24"/>
        </w:rPr>
        <w:t>e</w:t>
      </w:r>
      <w:r w:rsidR="0065553F" w:rsidRPr="00461D74">
        <w:rPr>
          <w:rFonts w:ascii="Garamond" w:hAnsi="Garamond"/>
          <w:sz w:val="24"/>
          <w:szCs w:val="24"/>
        </w:rPr>
        <w:t xml:space="preserve">xplore whether Dewey’s teleology amounts to a kind of teleology that can defend </w:t>
      </w:r>
      <w:r w:rsidR="008818A9" w:rsidRPr="00461D74">
        <w:rPr>
          <w:rFonts w:ascii="Garamond" w:hAnsi="Garamond"/>
          <w:sz w:val="24"/>
          <w:szCs w:val="24"/>
        </w:rPr>
        <w:t xml:space="preserve">itself </w:t>
      </w:r>
      <w:r w:rsidR="0065553F" w:rsidRPr="00461D74">
        <w:rPr>
          <w:rFonts w:ascii="Garamond" w:hAnsi="Garamond"/>
          <w:sz w:val="24"/>
          <w:szCs w:val="24"/>
        </w:rPr>
        <w:t xml:space="preserve">against an important objection raised against MacIntyre’s social teleology </w:t>
      </w:r>
      <w:r w:rsidR="0065553F" w:rsidRPr="00461D74">
        <w:rPr>
          <w:rFonts w:ascii="Garamond" w:hAnsi="Garamond"/>
          <w:sz w:val="24"/>
          <w:szCs w:val="24"/>
        </w:rPr>
        <w:lastRenderedPageBreak/>
        <w:t xml:space="preserve">in </w:t>
      </w:r>
      <w:r w:rsidR="0065553F" w:rsidRPr="00461D74">
        <w:rPr>
          <w:rFonts w:ascii="Garamond" w:hAnsi="Garamond"/>
          <w:i/>
          <w:sz w:val="24"/>
          <w:szCs w:val="24"/>
        </w:rPr>
        <w:t>After Virtue</w:t>
      </w:r>
      <w:r w:rsidR="0065553F" w:rsidRPr="00461D74">
        <w:rPr>
          <w:rFonts w:ascii="Garamond" w:hAnsi="Garamond"/>
          <w:sz w:val="24"/>
          <w:szCs w:val="24"/>
        </w:rPr>
        <w:t xml:space="preserve">. </w:t>
      </w:r>
      <w:r w:rsidR="00166B7F" w:rsidRPr="00461D74">
        <w:rPr>
          <w:rFonts w:ascii="Garamond" w:hAnsi="Garamond"/>
          <w:sz w:val="24"/>
          <w:szCs w:val="24"/>
        </w:rPr>
        <w:t xml:space="preserve">I try to show that the Deweyan account can deflect those kinds of criticisms. </w:t>
      </w:r>
      <w:r w:rsidR="0065553F" w:rsidRPr="00461D74">
        <w:rPr>
          <w:rFonts w:ascii="Garamond" w:hAnsi="Garamond"/>
          <w:sz w:val="24"/>
          <w:szCs w:val="24"/>
        </w:rPr>
        <w:t xml:space="preserve">Third, </w:t>
      </w:r>
      <w:r w:rsidR="00166B7F" w:rsidRPr="00461D74">
        <w:rPr>
          <w:rFonts w:ascii="Garamond" w:hAnsi="Garamond"/>
          <w:sz w:val="24"/>
          <w:szCs w:val="24"/>
        </w:rPr>
        <w:t xml:space="preserve">I address the objection that Dewey’s instrumentalist account does not sit well with MacIntyre’s </w:t>
      </w:r>
      <w:r w:rsidR="008767FA" w:rsidRPr="00461D74">
        <w:rPr>
          <w:rFonts w:ascii="Garamond" w:hAnsi="Garamond"/>
          <w:sz w:val="24"/>
          <w:szCs w:val="24"/>
        </w:rPr>
        <w:t xml:space="preserve">later </w:t>
      </w:r>
      <w:r w:rsidR="00166B7F" w:rsidRPr="00461D74">
        <w:rPr>
          <w:rFonts w:ascii="Garamond" w:hAnsi="Garamond"/>
          <w:sz w:val="24"/>
          <w:szCs w:val="24"/>
        </w:rPr>
        <w:t>Thomistic turn.</w:t>
      </w:r>
      <w:r w:rsidR="00426A39" w:rsidRPr="00461D74">
        <w:rPr>
          <w:rStyle w:val="FootnoteReference"/>
          <w:rFonts w:ascii="Garamond" w:hAnsi="Garamond"/>
          <w:sz w:val="24"/>
          <w:szCs w:val="24"/>
        </w:rPr>
        <w:footnoteReference w:id="12"/>
      </w:r>
      <w:r w:rsidR="00166B7F" w:rsidRPr="00461D74">
        <w:rPr>
          <w:rFonts w:ascii="Garamond" w:hAnsi="Garamond"/>
          <w:sz w:val="24"/>
          <w:szCs w:val="24"/>
        </w:rPr>
        <w:t xml:space="preserve"> </w:t>
      </w:r>
      <w:r w:rsidR="008818A9" w:rsidRPr="00461D74">
        <w:rPr>
          <w:rFonts w:ascii="Garamond" w:hAnsi="Garamond"/>
          <w:sz w:val="24"/>
          <w:szCs w:val="24"/>
        </w:rPr>
        <w:t xml:space="preserve">In response, </w:t>
      </w:r>
      <w:r w:rsidR="00166B7F" w:rsidRPr="00461D74">
        <w:rPr>
          <w:rFonts w:ascii="Garamond" w:hAnsi="Garamond"/>
          <w:sz w:val="24"/>
          <w:szCs w:val="24"/>
        </w:rPr>
        <w:t xml:space="preserve">I accept that </w:t>
      </w:r>
      <w:r w:rsidR="003C615C" w:rsidRPr="00461D74">
        <w:rPr>
          <w:rFonts w:ascii="Garamond" w:hAnsi="Garamond"/>
          <w:sz w:val="24"/>
          <w:szCs w:val="24"/>
        </w:rPr>
        <w:t xml:space="preserve">while </w:t>
      </w:r>
      <w:r w:rsidR="00166B7F" w:rsidRPr="00461D74">
        <w:rPr>
          <w:rFonts w:ascii="Garamond" w:hAnsi="Garamond"/>
          <w:sz w:val="24"/>
          <w:szCs w:val="24"/>
        </w:rPr>
        <w:t xml:space="preserve">Dewey’s account may not convince the later (Thomistic) MacIntyre, it remains a serious contender for supplementing the problems that are generated by MacIntyre’s account in </w:t>
      </w:r>
      <w:r w:rsidR="00166B7F" w:rsidRPr="00461D74">
        <w:rPr>
          <w:rFonts w:ascii="Garamond" w:hAnsi="Garamond"/>
          <w:i/>
          <w:sz w:val="24"/>
          <w:szCs w:val="24"/>
        </w:rPr>
        <w:t>After Virtue</w:t>
      </w:r>
      <w:r w:rsidR="00166B7F" w:rsidRPr="00461D74">
        <w:rPr>
          <w:rFonts w:ascii="Garamond" w:hAnsi="Garamond"/>
          <w:sz w:val="24"/>
          <w:szCs w:val="24"/>
        </w:rPr>
        <w:t>. Finally, I consider a final objection: namely, that Deweyan teleology</w:t>
      </w:r>
      <w:r w:rsidR="008818A9" w:rsidRPr="00461D74">
        <w:rPr>
          <w:rFonts w:ascii="Garamond" w:hAnsi="Garamond"/>
          <w:sz w:val="24"/>
          <w:szCs w:val="24"/>
        </w:rPr>
        <w:t xml:space="preserve"> </w:t>
      </w:r>
      <w:r w:rsidR="00166B7F" w:rsidRPr="00461D74">
        <w:rPr>
          <w:rFonts w:ascii="Garamond" w:hAnsi="Garamond"/>
          <w:sz w:val="24"/>
          <w:szCs w:val="24"/>
        </w:rPr>
        <w:t>–</w:t>
      </w:r>
      <w:r w:rsidR="008818A9" w:rsidRPr="00461D74">
        <w:rPr>
          <w:rFonts w:ascii="Garamond" w:hAnsi="Garamond"/>
          <w:sz w:val="24"/>
          <w:szCs w:val="24"/>
        </w:rPr>
        <w:t xml:space="preserve"> </w:t>
      </w:r>
      <w:r w:rsidR="00166B7F" w:rsidRPr="00461D74">
        <w:rPr>
          <w:rFonts w:ascii="Garamond" w:hAnsi="Garamond"/>
          <w:sz w:val="24"/>
          <w:szCs w:val="24"/>
        </w:rPr>
        <w:t>democracy as a way of life</w:t>
      </w:r>
      <w:r w:rsidR="008818A9" w:rsidRPr="00461D74">
        <w:rPr>
          <w:rFonts w:ascii="Garamond" w:hAnsi="Garamond"/>
          <w:sz w:val="24"/>
          <w:szCs w:val="24"/>
        </w:rPr>
        <w:t xml:space="preserve"> </w:t>
      </w:r>
      <w:r w:rsidR="00166B7F" w:rsidRPr="00461D74">
        <w:rPr>
          <w:rFonts w:ascii="Garamond" w:hAnsi="Garamond"/>
          <w:sz w:val="24"/>
          <w:szCs w:val="24"/>
        </w:rPr>
        <w:t>–</w:t>
      </w:r>
      <w:r w:rsidR="008818A9" w:rsidRPr="00461D74">
        <w:rPr>
          <w:rFonts w:ascii="Garamond" w:hAnsi="Garamond"/>
          <w:sz w:val="24"/>
          <w:szCs w:val="24"/>
        </w:rPr>
        <w:t xml:space="preserve"> </w:t>
      </w:r>
      <w:r w:rsidR="00166B7F" w:rsidRPr="00461D74">
        <w:rPr>
          <w:rFonts w:ascii="Garamond" w:hAnsi="Garamond"/>
          <w:sz w:val="24"/>
          <w:szCs w:val="24"/>
        </w:rPr>
        <w:t xml:space="preserve">rests on the assumption that the </w:t>
      </w:r>
      <w:r w:rsidR="00832C28" w:rsidRPr="00461D74">
        <w:rPr>
          <w:rFonts w:ascii="Garamond" w:hAnsi="Garamond"/>
          <w:sz w:val="24"/>
          <w:szCs w:val="24"/>
        </w:rPr>
        <w:t xml:space="preserve">pragmatist </w:t>
      </w:r>
      <w:r w:rsidR="00166B7F" w:rsidRPr="00461D74">
        <w:rPr>
          <w:rFonts w:ascii="Garamond" w:hAnsi="Garamond"/>
          <w:sz w:val="24"/>
          <w:szCs w:val="24"/>
        </w:rPr>
        <w:t>methodology of inquiry</w:t>
      </w:r>
      <w:r w:rsidR="00832C28" w:rsidRPr="00461D74">
        <w:rPr>
          <w:rFonts w:ascii="Garamond" w:hAnsi="Garamond"/>
          <w:sz w:val="24"/>
          <w:szCs w:val="24"/>
        </w:rPr>
        <w:t xml:space="preserve"> can just as well apply to moral inquiry as it does to other areas of inquiry, and especially scientific forms of inquiry</w:t>
      </w:r>
      <w:r w:rsidR="00166B7F" w:rsidRPr="00461D74">
        <w:rPr>
          <w:rFonts w:ascii="Garamond" w:hAnsi="Garamond"/>
          <w:sz w:val="24"/>
          <w:szCs w:val="24"/>
        </w:rPr>
        <w:t>.</w:t>
      </w:r>
      <w:r w:rsidR="00832C28" w:rsidRPr="00461D74">
        <w:rPr>
          <w:rFonts w:ascii="Garamond" w:hAnsi="Garamond"/>
          <w:sz w:val="24"/>
          <w:szCs w:val="24"/>
        </w:rPr>
        <w:t xml:space="preserve"> </w:t>
      </w:r>
      <w:r w:rsidR="008818A9" w:rsidRPr="00461D74">
        <w:rPr>
          <w:rFonts w:ascii="Garamond" w:hAnsi="Garamond"/>
          <w:sz w:val="24"/>
          <w:szCs w:val="24"/>
        </w:rPr>
        <w:t>H</w:t>
      </w:r>
      <w:r w:rsidR="00832C28" w:rsidRPr="00461D74">
        <w:rPr>
          <w:rFonts w:ascii="Garamond" w:hAnsi="Garamond"/>
          <w:sz w:val="24"/>
          <w:szCs w:val="24"/>
        </w:rPr>
        <w:t>ere I will utilise the work of the philosopher Hilary Put</w:t>
      </w:r>
      <w:r w:rsidR="00E175C1">
        <w:rPr>
          <w:rFonts w:ascii="Garamond" w:hAnsi="Garamond"/>
          <w:sz w:val="24"/>
          <w:szCs w:val="24"/>
        </w:rPr>
        <w:t>n</w:t>
      </w:r>
      <w:r w:rsidR="00832C28" w:rsidRPr="00461D74">
        <w:rPr>
          <w:rFonts w:ascii="Garamond" w:hAnsi="Garamond"/>
          <w:sz w:val="24"/>
          <w:szCs w:val="24"/>
        </w:rPr>
        <w:t xml:space="preserve">am to answer </w:t>
      </w:r>
      <w:r w:rsidR="0023572F" w:rsidRPr="00461D74">
        <w:rPr>
          <w:rFonts w:ascii="Garamond" w:hAnsi="Garamond"/>
          <w:sz w:val="24"/>
          <w:szCs w:val="24"/>
        </w:rPr>
        <w:t>this</w:t>
      </w:r>
      <w:r w:rsidR="00832C28" w:rsidRPr="00461D74">
        <w:rPr>
          <w:rFonts w:ascii="Garamond" w:hAnsi="Garamond"/>
          <w:sz w:val="24"/>
          <w:szCs w:val="24"/>
        </w:rPr>
        <w:t xml:space="preserve"> objection.</w:t>
      </w:r>
    </w:p>
    <w:p w:rsidR="00BF436A" w:rsidRPr="00461D74" w:rsidRDefault="00753C0F" w:rsidP="00164E4D">
      <w:pPr>
        <w:spacing w:line="360" w:lineRule="auto"/>
        <w:ind w:firstLine="720"/>
        <w:jc w:val="both"/>
        <w:rPr>
          <w:rFonts w:ascii="Garamond" w:hAnsi="Garamond" w:cstheme="minorHAnsi"/>
          <w:sz w:val="24"/>
          <w:szCs w:val="24"/>
          <w:lang w:val="en-GB"/>
        </w:rPr>
      </w:pPr>
      <w:r w:rsidRPr="00461D74">
        <w:rPr>
          <w:rFonts w:ascii="Garamond" w:hAnsi="Garamond"/>
          <w:sz w:val="24"/>
          <w:szCs w:val="24"/>
        </w:rPr>
        <w:t xml:space="preserve">Next, in </w:t>
      </w:r>
      <w:r w:rsidR="00090F78" w:rsidRPr="00461D74">
        <w:rPr>
          <w:rFonts w:ascii="Garamond" w:hAnsi="Garamond"/>
          <w:sz w:val="24"/>
          <w:szCs w:val="24"/>
        </w:rPr>
        <w:t>C</w:t>
      </w:r>
      <w:r w:rsidRPr="00461D74">
        <w:rPr>
          <w:rFonts w:ascii="Garamond" w:hAnsi="Garamond"/>
          <w:sz w:val="24"/>
          <w:szCs w:val="24"/>
        </w:rPr>
        <w:t xml:space="preserve">hapter </w:t>
      </w:r>
      <w:r w:rsidR="00090F78" w:rsidRPr="00461D74">
        <w:rPr>
          <w:rFonts w:ascii="Garamond" w:hAnsi="Garamond"/>
          <w:sz w:val="24"/>
          <w:szCs w:val="24"/>
        </w:rPr>
        <w:t>F</w:t>
      </w:r>
      <w:r w:rsidRPr="00461D74">
        <w:rPr>
          <w:rFonts w:ascii="Garamond" w:hAnsi="Garamond"/>
          <w:sz w:val="24"/>
          <w:szCs w:val="24"/>
        </w:rPr>
        <w:t>our</w:t>
      </w:r>
      <w:r w:rsidRPr="00461D74">
        <w:rPr>
          <w:rFonts w:ascii="Garamond" w:hAnsi="Garamond" w:cstheme="minorHAnsi"/>
          <w:sz w:val="24"/>
          <w:szCs w:val="24"/>
          <w:lang w:val="en-GB" w:eastAsia="en-US"/>
        </w:rPr>
        <w:t xml:space="preserve">, I move to </w:t>
      </w:r>
      <w:r w:rsidR="00EE1987" w:rsidRPr="00461D74">
        <w:rPr>
          <w:rFonts w:ascii="Garamond" w:hAnsi="Garamond" w:cstheme="minorHAnsi"/>
          <w:sz w:val="24"/>
          <w:szCs w:val="24"/>
          <w:lang w:val="en-GB"/>
        </w:rPr>
        <w:t xml:space="preserve">explore </w:t>
      </w:r>
      <w:r w:rsidRPr="00461D74">
        <w:rPr>
          <w:rFonts w:ascii="Garamond" w:hAnsi="Garamond" w:cstheme="minorHAnsi"/>
          <w:sz w:val="24"/>
          <w:szCs w:val="24"/>
          <w:lang w:val="en-GB"/>
        </w:rPr>
        <w:t xml:space="preserve">in some detail </w:t>
      </w:r>
      <w:r w:rsidR="00EE1987" w:rsidRPr="00461D74">
        <w:rPr>
          <w:rFonts w:ascii="Garamond" w:hAnsi="Garamond" w:cstheme="minorHAnsi"/>
          <w:sz w:val="24"/>
          <w:szCs w:val="24"/>
          <w:lang w:val="en-GB"/>
        </w:rPr>
        <w:t xml:space="preserve">the second difficulty </w:t>
      </w:r>
      <w:r w:rsidRPr="00461D74">
        <w:rPr>
          <w:rFonts w:ascii="Garamond" w:hAnsi="Garamond" w:cstheme="minorHAnsi"/>
          <w:sz w:val="24"/>
          <w:szCs w:val="24"/>
          <w:lang w:val="en-GB"/>
        </w:rPr>
        <w:t>that emerges for MacIntyre’s political account. First, I</w:t>
      </w:r>
      <w:r w:rsidR="00EE1987" w:rsidRPr="00461D74">
        <w:rPr>
          <w:rFonts w:ascii="Garamond" w:hAnsi="Garamond" w:cstheme="minorHAnsi"/>
          <w:sz w:val="24"/>
          <w:szCs w:val="24"/>
          <w:lang w:val="en-GB"/>
        </w:rPr>
        <w:t xml:space="preserve"> unpack some of the consequences </w:t>
      </w:r>
      <w:r w:rsidR="00DD2234" w:rsidRPr="00461D74">
        <w:rPr>
          <w:rFonts w:ascii="Garamond" w:hAnsi="Garamond" w:cstheme="minorHAnsi"/>
          <w:sz w:val="24"/>
          <w:szCs w:val="24"/>
          <w:lang w:val="en-GB"/>
        </w:rPr>
        <w:t xml:space="preserve">that are </w:t>
      </w:r>
      <w:r w:rsidR="00EE1987" w:rsidRPr="00461D74">
        <w:rPr>
          <w:rFonts w:ascii="Garamond" w:hAnsi="Garamond" w:cstheme="minorHAnsi"/>
          <w:sz w:val="24"/>
          <w:szCs w:val="24"/>
          <w:lang w:val="en-GB"/>
        </w:rPr>
        <w:t xml:space="preserve">generated by </w:t>
      </w:r>
      <w:r w:rsidR="002F0B54" w:rsidRPr="00461D74">
        <w:rPr>
          <w:rFonts w:ascii="Garamond" w:hAnsi="Garamond" w:cstheme="minorHAnsi"/>
          <w:sz w:val="24"/>
          <w:szCs w:val="24"/>
          <w:lang w:val="en-GB"/>
        </w:rPr>
        <w:t>the second tension in MacIntyre’s work</w:t>
      </w:r>
      <w:r w:rsidR="00EE1987"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Second, I consider whether MacIntyre’s engagement with Marx and Hegel immunises his </w:t>
      </w:r>
      <w:r w:rsidR="007A5B24" w:rsidRPr="00461D74">
        <w:rPr>
          <w:rFonts w:ascii="Garamond" w:hAnsi="Garamond" w:cstheme="minorHAnsi"/>
          <w:sz w:val="24"/>
          <w:szCs w:val="24"/>
          <w:lang w:val="en-GB"/>
        </w:rPr>
        <w:t>political account</w:t>
      </w:r>
      <w:r w:rsidRPr="00461D74">
        <w:rPr>
          <w:rFonts w:ascii="Garamond" w:hAnsi="Garamond" w:cstheme="minorHAnsi"/>
          <w:sz w:val="24"/>
          <w:szCs w:val="24"/>
          <w:lang w:val="en-GB"/>
        </w:rPr>
        <w:t xml:space="preserve"> against the kind of objections that </w:t>
      </w:r>
      <w:r w:rsidR="007A5B24" w:rsidRPr="00461D74">
        <w:rPr>
          <w:rFonts w:ascii="Garamond" w:hAnsi="Garamond" w:cstheme="minorHAnsi"/>
          <w:sz w:val="24"/>
          <w:szCs w:val="24"/>
          <w:lang w:val="en-GB"/>
        </w:rPr>
        <w:t>emanate</w:t>
      </w:r>
      <w:r w:rsidRPr="00461D74">
        <w:rPr>
          <w:rFonts w:ascii="Garamond" w:hAnsi="Garamond" w:cstheme="minorHAnsi"/>
          <w:sz w:val="24"/>
          <w:szCs w:val="24"/>
          <w:lang w:val="en-GB"/>
        </w:rPr>
        <w:t xml:space="preserve"> from the second tension </w:t>
      </w:r>
      <w:r w:rsidR="007A5B24" w:rsidRPr="00461D74">
        <w:rPr>
          <w:rFonts w:ascii="Garamond" w:hAnsi="Garamond" w:cstheme="minorHAnsi"/>
          <w:sz w:val="24"/>
          <w:szCs w:val="24"/>
          <w:lang w:val="en-GB"/>
        </w:rPr>
        <w:t xml:space="preserve">(or difficulty) </w:t>
      </w:r>
      <w:r w:rsidRPr="00461D74">
        <w:rPr>
          <w:rFonts w:ascii="Garamond" w:hAnsi="Garamond" w:cstheme="minorHAnsi"/>
          <w:sz w:val="24"/>
          <w:szCs w:val="24"/>
          <w:lang w:val="en-GB"/>
        </w:rPr>
        <w:t xml:space="preserve">in MacIntyre’s </w:t>
      </w:r>
      <w:r w:rsidR="007A5B24" w:rsidRPr="00461D74">
        <w:rPr>
          <w:rFonts w:ascii="Garamond" w:hAnsi="Garamond" w:cstheme="minorHAnsi"/>
          <w:sz w:val="24"/>
          <w:szCs w:val="24"/>
          <w:lang w:val="en-GB"/>
        </w:rPr>
        <w:t>work</w:t>
      </w:r>
      <w:r w:rsidRPr="00461D74">
        <w:rPr>
          <w:rFonts w:ascii="Garamond" w:hAnsi="Garamond" w:cstheme="minorHAnsi"/>
          <w:sz w:val="24"/>
          <w:szCs w:val="24"/>
          <w:lang w:val="en-GB"/>
        </w:rPr>
        <w:t xml:space="preserve">. I will suggest that MacIntyre’s engagement with Hegel and Marx isn’t sufficient to address the worries </w:t>
      </w:r>
      <w:r w:rsidR="007A5B24" w:rsidRPr="00461D74">
        <w:rPr>
          <w:rFonts w:ascii="Garamond" w:hAnsi="Garamond" w:cstheme="minorHAnsi"/>
          <w:sz w:val="24"/>
          <w:szCs w:val="24"/>
          <w:lang w:val="en-GB"/>
        </w:rPr>
        <w:t>that emerge from his primary focus on communal politics, at the expense of ignoring the problems posed by large-scale political structures</w:t>
      </w:r>
      <w:r w:rsidR="008818A9" w:rsidRPr="00461D74">
        <w:rPr>
          <w:rFonts w:ascii="Garamond" w:hAnsi="Garamond" w:cstheme="minorHAnsi"/>
          <w:sz w:val="24"/>
          <w:szCs w:val="24"/>
          <w:lang w:val="en-GB"/>
        </w:rPr>
        <w:t xml:space="preserve"> </w:t>
      </w:r>
      <w:r w:rsidR="007A5B24"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7A5B24" w:rsidRPr="00461D74">
        <w:rPr>
          <w:rFonts w:ascii="Garamond" w:hAnsi="Garamond" w:cstheme="minorHAnsi"/>
          <w:sz w:val="24"/>
          <w:szCs w:val="24"/>
          <w:lang w:val="en-GB"/>
        </w:rPr>
        <w:t>namely, the state</w:t>
      </w:r>
      <w:r w:rsidR="004C147B" w:rsidRPr="00461D74">
        <w:rPr>
          <w:rFonts w:ascii="Garamond" w:hAnsi="Garamond" w:cstheme="minorHAnsi"/>
          <w:sz w:val="24"/>
          <w:szCs w:val="24"/>
          <w:lang w:val="en-GB"/>
        </w:rPr>
        <w:t xml:space="preserve"> </w:t>
      </w:r>
      <w:r w:rsidR="007A5B24" w:rsidRPr="00461D74">
        <w:rPr>
          <w:rFonts w:ascii="Garamond" w:hAnsi="Garamond" w:cstheme="minorHAnsi"/>
          <w:sz w:val="24"/>
          <w:szCs w:val="24"/>
          <w:lang w:val="en-GB"/>
        </w:rPr>
        <w:t xml:space="preserve">and </w:t>
      </w:r>
      <w:r w:rsidR="004C147B" w:rsidRPr="00461D74">
        <w:rPr>
          <w:rFonts w:ascii="Garamond" w:hAnsi="Garamond" w:cstheme="minorHAnsi"/>
          <w:sz w:val="24"/>
          <w:szCs w:val="24"/>
          <w:lang w:val="en-GB"/>
        </w:rPr>
        <w:t xml:space="preserve">its </w:t>
      </w:r>
      <w:r w:rsidR="007A5B24" w:rsidRPr="00461D74">
        <w:rPr>
          <w:rFonts w:ascii="Garamond" w:hAnsi="Garamond" w:cstheme="minorHAnsi"/>
          <w:sz w:val="24"/>
          <w:szCs w:val="24"/>
          <w:lang w:val="en-GB"/>
        </w:rPr>
        <w:t xml:space="preserve">institutions. Third, </w:t>
      </w:r>
      <w:r w:rsidR="002F0B54" w:rsidRPr="00461D74">
        <w:rPr>
          <w:rFonts w:ascii="Garamond" w:hAnsi="Garamond" w:cstheme="minorHAnsi"/>
          <w:sz w:val="24"/>
          <w:szCs w:val="24"/>
          <w:lang w:val="en-GB"/>
        </w:rPr>
        <w:t xml:space="preserve">I </w:t>
      </w:r>
      <w:r w:rsidR="004C147B" w:rsidRPr="00461D74">
        <w:rPr>
          <w:rFonts w:ascii="Garamond" w:hAnsi="Garamond" w:cstheme="minorHAnsi"/>
          <w:sz w:val="24"/>
          <w:szCs w:val="24"/>
          <w:lang w:val="en-GB"/>
        </w:rPr>
        <w:t>go on</w:t>
      </w:r>
      <w:r w:rsidR="008818A9" w:rsidRPr="00461D74">
        <w:rPr>
          <w:rFonts w:ascii="Garamond" w:hAnsi="Garamond" w:cstheme="minorHAnsi"/>
          <w:sz w:val="24"/>
          <w:szCs w:val="24"/>
          <w:lang w:val="en-GB"/>
        </w:rPr>
        <w:t xml:space="preserve"> </w:t>
      </w:r>
      <w:r w:rsidR="002F0B54" w:rsidRPr="00461D74">
        <w:rPr>
          <w:rFonts w:ascii="Garamond" w:hAnsi="Garamond" w:cstheme="minorHAnsi"/>
          <w:sz w:val="24"/>
          <w:szCs w:val="24"/>
          <w:lang w:val="en-GB"/>
        </w:rPr>
        <w:t xml:space="preserve">to unpack </w:t>
      </w:r>
      <w:r w:rsidR="007A5B24" w:rsidRPr="00461D74">
        <w:rPr>
          <w:rFonts w:ascii="Garamond" w:hAnsi="Garamond" w:cstheme="minorHAnsi"/>
          <w:sz w:val="24"/>
          <w:szCs w:val="24"/>
          <w:lang w:val="en-GB"/>
        </w:rPr>
        <w:t>some</w:t>
      </w:r>
      <w:r w:rsidR="004C147B" w:rsidRPr="00461D74">
        <w:rPr>
          <w:rFonts w:ascii="Garamond" w:hAnsi="Garamond" w:cstheme="minorHAnsi"/>
          <w:sz w:val="24"/>
          <w:szCs w:val="24"/>
          <w:lang w:val="en-GB"/>
        </w:rPr>
        <w:t xml:space="preserve"> of the</w:t>
      </w:r>
      <w:r w:rsidR="007A5B24" w:rsidRPr="00461D74">
        <w:rPr>
          <w:rFonts w:ascii="Garamond" w:hAnsi="Garamond" w:cstheme="minorHAnsi"/>
          <w:sz w:val="24"/>
          <w:szCs w:val="24"/>
          <w:lang w:val="en-GB"/>
        </w:rPr>
        <w:t xml:space="preserve"> important claims that MacIntyre </w:t>
      </w:r>
      <w:r w:rsidR="004C147B" w:rsidRPr="00461D74">
        <w:rPr>
          <w:rFonts w:ascii="Garamond" w:hAnsi="Garamond" w:cstheme="minorHAnsi"/>
          <w:sz w:val="24"/>
          <w:szCs w:val="24"/>
          <w:lang w:val="en-GB"/>
        </w:rPr>
        <w:t>appears to make</w:t>
      </w:r>
      <w:r w:rsidR="007A5B24" w:rsidRPr="00461D74">
        <w:rPr>
          <w:rFonts w:ascii="Garamond" w:hAnsi="Garamond" w:cstheme="minorHAnsi"/>
          <w:sz w:val="24"/>
          <w:szCs w:val="24"/>
          <w:lang w:val="en-GB"/>
        </w:rPr>
        <w:t xml:space="preserve">, and reflect on </w:t>
      </w:r>
      <w:r w:rsidR="004C147B" w:rsidRPr="00461D74">
        <w:rPr>
          <w:rFonts w:ascii="Garamond" w:hAnsi="Garamond" w:cstheme="minorHAnsi"/>
          <w:sz w:val="24"/>
          <w:szCs w:val="24"/>
          <w:lang w:val="en-GB"/>
        </w:rPr>
        <w:t>the</w:t>
      </w:r>
      <w:r w:rsidR="007A5B24" w:rsidRPr="00461D74">
        <w:rPr>
          <w:rFonts w:ascii="Garamond" w:hAnsi="Garamond" w:cstheme="minorHAnsi"/>
          <w:sz w:val="24"/>
          <w:szCs w:val="24"/>
          <w:lang w:val="en-GB"/>
        </w:rPr>
        <w:t xml:space="preserve"> consequences</w:t>
      </w:r>
      <w:r w:rsidR="002F0B54" w:rsidRPr="00461D74">
        <w:rPr>
          <w:rFonts w:ascii="Garamond" w:hAnsi="Garamond" w:cstheme="minorHAnsi"/>
          <w:sz w:val="24"/>
          <w:szCs w:val="24"/>
          <w:lang w:val="en-GB"/>
        </w:rPr>
        <w:t xml:space="preserve"> </w:t>
      </w:r>
      <w:r w:rsidR="007A5B24" w:rsidRPr="00461D74">
        <w:rPr>
          <w:rFonts w:ascii="Garamond" w:hAnsi="Garamond" w:cstheme="minorHAnsi"/>
          <w:sz w:val="24"/>
          <w:szCs w:val="24"/>
          <w:lang w:val="en-GB"/>
        </w:rPr>
        <w:t xml:space="preserve">that </w:t>
      </w:r>
      <w:r w:rsidR="004C147B" w:rsidRPr="00461D74">
        <w:rPr>
          <w:rFonts w:ascii="Garamond" w:hAnsi="Garamond" w:cstheme="minorHAnsi"/>
          <w:sz w:val="24"/>
          <w:szCs w:val="24"/>
          <w:lang w:val="en-GB"/>
        </w:rPr>
        <w:t>appear to follow from those claims</w:t>
      </w:r>
      <w:r w:rsidR="007A5B24" w:rsidRPr="00461D74">
        <w:rPr>
          <w:rFonts w:ascii="Garamond" w:hAnsi="Garamond" w:cstheme="minorHAnsi"/>
          <w:sz w:val="24"/>
          <w:szCs w:val="24"/>
          <w:lang w:val="en-GB"/>
        </w:rPr>
        <w:t xml:space="preserve">. </w:t>
      </w:r>
      <w:r w:rsidR="00EE1987" w:rsidRPr="00461D74">
        <w:rPr>
          <w:rFonts w:ascii="Garamond" w:hAnsi="Garamond" w:cstheme="minorHAnsi"/>
          <w:sz w:val="24"/>
          <w:szCs w:val="24"/>
          <w:lang w:val="en-GB"/>
        </w:rPr>
        <w:t>Specifically, I consid</w:t>
      </w:r>
      <w:r w:rsidR="00DD2234" w:rsidRPr="00461D74">
        <w:rPr>
          <w:rFonts w:ascii="Garamond" w:hAnsi="Garamond" w:cstheme="minorHAnsi"/>
          <w:sz w:val="24"/>
          <w:szCs w:val="24"/>
          <w:lang w:val="en-GB"/>
        </w:rPr>
        <w:t xml:space="preserve">er two </w:t>
      </w:r>
      <w:r w:rsidR="00E92F70" w:rsidRPr="00461D74">
        <w:rPr>
          <w:rFonts w:ascii="Garamond" w:hAnsi="Garamond" w:cstheme="minorHAnsi"/>
          <w:sz w:val="24"/>
          <w:szCs w:val="24"/>
          <w:lang w:val="en-GB"/>
        </w:rPr>
        <w:t xml:space="preserve">particular </w:t>
      </w:r>
      <w:r w:rsidR="00DD2234" w:rsidRPr="00461D74">
        <w:rPr>
          <w:rFonts w:ascii="Garamond" w:hAnsi="Garamond" w:cstheme="minorHAnsi"/>
          <w:sz w:val="24"/>
          <w:szCs w:val="24"/>
          <w:lang w:val="en-GB"/>
        </w:rPr>
        <w:t>difficulties</w:t>
      </w:r>
      <w:r w:rsidR="00B31EBA" w:rsidRPr="00461D74">
        <w:rPr>
          <w:rFonts w:ascii="Garamond" w:hAnsi="Garamond" w:cstheme="minorHAnsi"/>
          <w:sz w:val="24"/>
          <w:szCs w:val="24"/>
          <w:lang w:val="en-GB"/>
        </w:rPr>
        <w:t xml:space="preserve"> that</w:t>
      </w:r>
      <w:r w:rsidR="00DD2234" w:rsidRPr="00461D74">
        <w:rPr>
          <w:rFonts w:ascii="Garamond" w:hAnsi="Garamond" w:cstheme="minorHAnsi"/>
          <w:sz w:val="24"/>
          <w:szCs w:val="24"/>
          <w:lang w:val="en-GB"/>
        </w:rPr>
        <w:t xml:space="preserve"> emerge</w:t>
      </w:r>
      <w:r w:rsidR="00EE1987" w:rsidRPr="00461D74">
        <w:rPr>
          <w:rFonts w:ascii="Garamond" w:hAnsi="Garamond" w:cstheme="minorHAnsi"/>
          <w:sz w:val="24"/>
          <w:szCs w:val="24"/>
          <w:lang w:val="en-GB"/>
        </w:rPr>
        <w:t xml:space="preserve"> as a result of MacIntyre’s </w:t>
      </w:r>
      <w:r w:rsidR="007A5B24" w:rsidRPr="00461D74">
        <w:rPr>
          <w:rFonts w:ascii="Garamond" w:hAnsi="Garamond" w:cstheme="minorHAnsi"/>
          <w:sz w:val="24"/>
          <w:szCs w:val="24"/>
          <w:lang w:val="en-GB"/>
        </w:rPr>
        <w:t xml:space="preserve">rejection of large-scale politics, and </w:t>
      </w:r>
      <w:r w:rsidR="003D1837" w:rsidRPr="00461D74">
        <w:rPr>
          <w:rFonts w:ascii="Garamond" w:hAnsi="Garamond" w:cstheme="minorHAnsi"/>
          <w:sz w:val="24"/>
          <w:szCs w:val="24"/>
          <w:lang w:val="en-GB"/>
        </w:rPr>
        <w:t xml:space="preserve">his </w:t>
      </w:r>
      <w:r w:rsidR="00E92F70" w:rsidRPr="00461D74">
        <w:rPr>
          <w:rFonts w:ascii="Garamond" w:hAnsi="Garamond" w:cstheme="minorHAnsi"/>
          <w:sz w:val="24"/>
          <w:szCs w:val="24"/>
          <w:lang w:val="en-GB"/>
        </w:rPr>
        <w:t>sole focus on</w:t>
      </w:r>
      <w:r w:rsidR="00DD2234" w:rsidRPr="00461D74">
        <w:rPr>
          <w:rFonts w:ascii="Garamond" w:hAnsi="Garamond" w:cstheme="minorHAnsi"/>
          <w:sz w:val="24"/>
          <w:szCs w:val="24"/>
          <w:lang w:val="en-GB"/>
        </w:rPr>
        <w:t xml:space="preserve"> </w:t>
      </w:r>
      <w:r w:rsidR="003D1837" w:rsidRPr="00461D74">
        <w:rPr>
          <w:rFonts w:ascii="Garamond" w:hAnsi="Garamond" w:cstheme="minorHAnsi"/>
          <w:sz w:val="24"/>
          <w:szCs w:val="24"/>
          <w:lang w:val="en-GB"/>
        </w:rPr>
        <w:t>communal</w:t>
      </w:r>
      <w:r w:rsidR="007A5B24" w:rsidRPr="00461D74">
        <w:rPr>
          <w:rFonts w:ascii="Garamond" w:hAnsi="Garamond" w:cstheme="minorHAnsi"/>
          <w:sz w:val="24"/>
          <w:szCs w:val="24"/>
          <w:lang w:val="en-GB"/>
        </w:rPr>
        <w:t xml:space="preserve"> </w:t>
      </w:r>
      <w:r w:rsidR="00DD2234" w:rsidRPr="00461D74">
        <w:rPr>
          <w:rFonts w:ascii="Garamond" w:hAnsi="Garamond" w:cstheme="minorHAnsi"/>
          <w:sz w:val="24"/>
          <w:szCs w:val="24"/>
          <w:lang w:val="en-GB"/>
        </w:rPr>
        <w:t>politics</w:t>
      </w:r>
      <w:r w:rsidR="00BF436A" w:rsidRPr="00461D74">
        <w:rPr>
          <w:rFonts w:ascii="Garamond" w:hAnsi="Garamond" w:cstheme="minorHAnsi"/>
          <w:sz w:val="24"/>
          <w:szCs w:val="24"/>
          <w:lang w:val="en-GB"/>
        </w:rPr>
        <w:t>.</w:t>
      </w:r>
      <w:r w:rsidR="00B60B9C" w:rsidRPr="00461D74">
        <w:rPr>
          <w:rFonts w:ascii="Garamond" w:hAnsi="Garamond" w:cstheme="minorHAnsi"/>
          <w:sz w:val="24"/>
          <w:szCs w:val="24"/>
          <w:lang w:val="en-GB"/>
        </w:rPr>
        <w:t xml:space="preserve"> </w:t>
      </w:r>
      <w:r w:rsidR="001F6226" w:rsidRPr="00461D74">
        <w:rPr>
          <w:rFonts w:ascii="Garamond" w:hAnsi="Garamond" w:cstheme="minorHAnsi"/>
          <w:sz w:val="24"/>
          <w:szCs w:val="24"/>
          <w:lang w:val="en-GB"/>
        </w:rPr>
        <w:t>I</w:t>
      </w:r>
      <w:r w:rsidR="00CD2784" w:rsidRPr="00461D74">
        <w:rPr>
          <w:rFonts w:ascii="Garamond" w:hAnsi="Garamond" w:cstheme="minorHAnsi"/>
          <w:sz w:val="24"/>
          <w:szCs w:val="24"/>
          <w:lang w:val="en-GB"/>
        </w:rPr>
        <w:t xml:space="preserve"> </w:t>
      </w:r>
      <w:r w:rsidR="00B31EBA" w:rsidRPr="00461D74">
        <w:rPr>
          <w:rFonts w:ascii="Garamond" w:hAnsi="Garamond" w:cstheme="minorHAnsi"/>
          <w:sz w:val="24"/>
          <w:szCs w:val="24"/>
          <w:lang w:val="en-GB"/>
        </w:rPr>
        <w:t>conclude</w:t>
      </w:r>
      <w:r w:rsidR="00DD2234" w:rsidRPr="00461D74">
        <w:rPr>
          <w:rFonts w:ascii="Garamond" w:hAnsi="Garamond" w:cstheme="minorHAnsi"/>
          <w:sz w:val="24"/>
          <w:szCs w:val="24"/>
          <w:lang w:val="en-GB"/>
        </w:rPr>
        <w:t xml:space="preserve"> </w:t>
      </w:r>
      <w:r w:rsidR="004C147B" w:rsidRPr="00461D74">
        <w:rPr>
          <w:rFonts w:ascii="Garamond" w:hAnsi="Garamond" w:cstheme="minorHAnsi"/>
          <w:sz w:val="24"/>
          <w:szCs w:val="24"/>
          <w:lang w:val="en-GB"/>
        </w:rPr>
        <w:t xml:space="preserve">that </w:t>
      </w:r>
      <w:r w:rsidR="00DD2234" w:rsidRPr="00461D74">
        <w:rPr>
          <w:rFonts w:ascii="Garamond" w:hAnsi="Garamond" w:cstheme="minorHAnsi"/>
          <w:sz w:val="24"/>
          <w:szCs w:val="24"/>
          <w:lang w:val="en-GB"/>
        </w:rPr>
        <w:t xml:space="preserve">MacIntyre’s </w:t>
      </w:r>
      <w:r w:rsidR="001F6226" w:rsidRPr="00461D74">
        <w:rPr>
          <w:rFonts w:ascii="Garamond" w:hAnsi="Garamond" w:cstheme="minorHAnsi"/>
          <w:sz w:val="24"/>
          <w:szCs w:val="24"/>
          <w:lang w:val="en-GB"/>
        </w:rPr>
        <w:t>politics</w:t>
      </w:r>
      <w:r w:rsidR="004C147B" w:rsidRPr="00461D74">
        <w:rPr>
          <w:rFonts w:ascii="Garamond" w:hAnsi="Garamond" w:cstheme="minorHAnsi"/>
          <w:sz w:val="24"/>
          <w:szCs w:val="24"/>
          <w:lang w:val="en-GB"/>
        </w:rPr>
        <w:t xml:space="preserve"> is not coherent</w:t>
      </w:r>
      <w:r w:rsidR="001F6226" w:rsidRPr="00461D74">
        <w:rPr>
          <w:rFonts w:ascii="Garamond" w:hAnsi="Garamond" w:cstheme="minorHAnsi"/>
          <w:sz w:val="24"/>
          <w:szCs w:val="24"/>
          <w:lang w:val="en-GB"/>
        </w:rPr>
        <w:t xml:space="preserve">. </w:t>
      </w:r>
      <w:r w:rsidR="00CD2784" w:rsidRPr="00461D74">
        <w:rPr>
          <w:rFonts w:ascii="Garamond" w:hAnsi="Garamond" w:cstheme="minorHAnsi"/>
          <w:sz w:val="24"/>
          <w:szCs w:val="24"/>
          <w:lang w:val="en-GB"/>
        </w:rPr>
        <w:t>I</w:t>
      </w:r>
      <w:r w:rsidR="001F6226" w:rsidRPr="00461D74">
        <w:rPr>
          <w:rFonts w:ascii="Garamond" w:hAnsi="Garamond" w:cstheme="minorHAnsi"/>
          <w:sz w:val="24"/>
          <w:szCs w:val="24"/>
          <w:lang w:val="en-GB"/>
        </w:rPr>
        <w:t>f MacIntyre</w:t>
      </w:r>
      <w:r w:rsidR="00B31EBA" w:rsidRPr="00461D74">
        <w:rPr>
          <w:rFonts w:ascii="Garamond" w:hAnsi="Garamond" w:cstheme="minorHAnsi"/>
          <w:sz w:val="24"/>
          <w:szCs w:val="24"/>
          <w:lang w:val="en-GB"/>
        </w:rPr>
        <w:t xml:space="preserve"> </w:t>
      </w:r>
      <w:r w:rsidR="00CD2784" w:rsidRPr="00461D74">
        <w:rPr>
          <w:rFonts w:ascii="Garamond" w:hAnsi="Garamond" w:cstheme="minorHAnsi"/>
          <w:sz w:val="24"/>
          <w:szCs w:val="24"/>
          <w:lang w:val="en-GB"/>
        </w:rPr>
        <w:t xml:space="preserve">indeed </w:t>
      </w:r>
      <w:r w:rsidR="001F6226" w:rsidRPr="00461D74">
        <w:rPr>
          <w:rFonts w:ascii="Garamond" w:hAnsi="Garamond" w:cstheme="minorHAnsi"/>
          <w:sz w:val="24"/>
          <w:szCs w:val="24"/>
          <w:lang w:val="en-GB"/>
        </w:rPr>
        <w:t>accepts that the shortcomings of</w:t>
      </w:r>
      <w:r w:rsidR="00B60B9C" w:rsidRPr="00461D74">
        <w:rPr>
          <w:rFonts w:ascii="Garamond" w:hAnsi="Garamond" w:cstheme="minorHAnsi"/>
          <w:sz w:val="24"/>
          <w:szCs w:val="24"/>
          <w:lang w:val="en-GB"/>
        </w:rPr>
        <w:t xml:space="preserve"> </w:t>
      </w:r>
      <w:r w:rsidR="00BF436A" w:rsidRPr="00461D74">
        <w:rPr>
          <w:rFonts w:ascii="Garamond" w:hAnsi="Garamond" w:cstheme="minorHAnsi"/>
          <w:sz w:val="24"/>
          <w:szCs w:val="24"/>
          <w:lang w:val="en-GB"/>
        </w:rPr>
        <w:t>large-scale political systems</w:t>
      </w:r>
      <w:r w:rsidR="001F6226" w:rsidRPr="00461D74">
        <w:rPr>
          <w:rFonts w:ascii="Garamond" w:hAnsi="Garamond" w:cstheme="minorHAnsi"/>
          <w:sz w:val="24"/>
          <w:szCs w:val="24"/>
          <w:lang w:val="en-GB"/>
        </w:rPr>
        <w:t xml:space="preserve"> are for the most part permanent</w:t>
      </w:r>
      <w:r w:rsidR="00D932B1" w:rsidRPr="00461D74">
        <w:rPr>
          <w:rFonts w:ascii="Garamond" w:hAnsi="Garamond" w:cstheme="minorHAnsi"/>
          <w:sz w:val="24"/>
          <w:szCs w:val="24"/>
          <w:lang w:val="en-GB"/>
        </w:rPr>
        <w:t>,</w:t>
      </w:r>
      <w:r w:rsidR="00BF436A" w:rsidRPr="00461D74">
        <w:rPr>
          <w:rFonts w:ascii="Garamond" w:hAnsi="Garamond" w:cstheme="minorHAnsi"/>
          <w:sz w:val="24"/>
          <w:szCs w:val="24"/>
          <w:lang w:val="en-GB"/>
        </w:rPr>
        <w:t xml:space="preserve"> </w:t>
      </w:r>
      <w:r w:rsidR="001F6226" w:rsidRPr="00461D74">
        <w:rPr>
          <w:rFonts w:ascii="Garamond" w:hAnsi="Garamond" w:cstheme="minorHAnsi"/>
          <w:sz w:val="24"/>
          <w:szCs w:val="24"/>
          <w:lang w:val="en-GB"/>
        </w:rPr>
        <w:t xml:space="preserve">he </w:t>
      </w:r>
      <w:r w:rsidR="00BF436A" w:rsidRPr="00461D74">
        <w:rPr>
          <w:rFonts w:ascii="Garamond" w:hAnsi="Garamond" w:cstheme="minorHAnsi"/>
          <w:sz w:val="24"/>
          <w:szCs w:val="24"/>
          <w:lang w:val="en-GB"/>
        </w:rPr>
        <w:t xml:space="preserve">leaves open </w:t>
      </w:r>
      <w:r w:rsidR="00D932B1" w:rsidRPr="00461D74">
        <w:rPr>
          <w:rFonts w:ascii="Garamond" w:hAnsi="Garamond" w:cstheme="minorHAnsi"/>
          <w:sz w:val="24"/>
          <w:szCs w:val="24"/>
          <w:lang w:val="en-GB"/>
        </w:rPr>
        <w:t xml:space="preserve">the possibility that local political structures are </w:t>
      </w:r>
      <w:r w:rsidR="00D932B1" w:rsidRPr="00461D74">
        <w:rPr>
          <w:rFonts w:ascii="Garamond" w:hAnsi="Garamond" w:cstheme="minorHAnsi"/>
          <w:sz w:val="24"/>
          <w:szCs w:val="24"/>
          <w:lang w:val="en-GB"/>
        </w:rPr>
        <w:lastRenderedPageBreak/>
        <w:t xml:space="preserve">inevitably corrupted </w:t>
      </w:r>
      <w:r w:rsidR="00CD2784" w:rsidRPr="00461D74">
        <w:rPr>
          <w:rFonts w:ascii="Garamond" w:hAnsi="Garamond" w:cstheme="minorHAnsi"/>
          <w:sz w:val="24"/>
          <w:szCs w:val="24"/>
          <w:lang w:val="en-GB"/>
        </w:rPr>
        <w:t>on the account</w:t>
      </w:r>
      <w:r w:rsidR="00D932B1" w:rsidRPr="00461D74">
        <w:rPr>
          <w:rFonts w:ascii="Garamond" w:hAnsi="Garamond" w:cstheme="minorHAnsi"/>
          <w:sz w:val="24"/>
          <w:szCs w:val="24"/>
          <w:lang w:val="en-GB"/>
        </w:rPr>
        <w:t xml:space="preserve"> </w:t>
      </w:r>
      <w:r w:rsidR="00CD2784" w:rsidRPr="00461D74">
        <w:rPr>
          <w:rFonts w:ascii="Garamond" w:hAnsi="Garamond" w:cstheme="minorHAnsi"/>
          <w:sz w:val="24"/>
          <w:szCs w:val="24"/>
          <w:lang w:val="en-GB"/>
        </w:rPr>
        <w:t>of their</w:t>
      </w:r>
      <w:r w:rsidR="00D932B1" w:rsidRPr="00461D74">
        <w:rPr>
          <w:rFonts w:ascii="Garamond" w:hAnsi="Garamond" w:cstheme="minorHAnsi"/>
          <w:sz w:val="24"/>
          <w:szCs w:val="24"/>
          <w:lang w:val="en-GB"/>
        </w:rPr>
        <w:t xml:space="preserve"> </w:t>
      </w:r>
      <w:r w:rsidR="00D62162" w:rsidRPr="00461D74">
        <w:rPr>
          <w:rFonts w:ascii="Garamond" w:hAnsi="Garamond" w:cstheme="minorHAnsi"/>
          <w:sz w:val="24"/>
          <w:szCs w:val="24"/>
          <w:lang w:val="en-GB"/>
        </w:rPr>
        <w:t xml:space="preserve">essential </w:t>
      </w:r>
      <w:r w:rsidR="00CD2784" w:rsidRPr="00461D74">
        <w:rPr>
          <w:rFonts w:ascii="Garamond" w:hAnsi="Garamond" w:cstheme="minorHAnsi"/>
          <w:sz w:val="24"/>
          <w:szCs w:val="24"/>
          <w:lang w:val="en-GB"/>
        </w:rPr>
        <w:t xml:space="preserve">vulnerability </w:t>
      </w:r>
      <w:r w:rsidR="00D932B1" w:rsidRPr="00461D74">
        <w:rPr>
          <w:rFonts w:ascii="Garamond" w:hAnsi="Garamond" w:cstheme="minorHAnsi"/>
          <w:sz w:val="24"/>
          <w:szCs w:val="24"/>
          <w:lang w:val="en-GB"/>
        </w:rPr>
        <w:t>to political machinations</w:t>
      </w:r>
      <w:r w:rsidR="003C615C" w:rsidRPr="00461D74">
        <w:rPr>
          <w:rFonts w:ascii="Garamond" w:hAnsi="Garamond" w:cstheme="minorHAnsi"/>
          <w:sz w:val="24"/>
          <w:szCs w:val="24"/>
          <w:lang w:val="en-GB"/>
        </w:rPr>
        <w:t xml:space="preserve"> </w:t>
      </w:r>
      <w:r w:rsidR="001F6226" w:rsidRPr="00461D74">
        <w:rPr>
          <w:rFonts w:ascii="Garamond" w:hAnsi="Garamond" w:cstheme="minorHAnsi"/>
          <w:sz w:val="24"/>
          <w:szCs w:val="24"/>
          <w:lang w:val="en-GB"/>
        </w:rPr>
        <w:t>which</w:t>
      </w:r>
      <w:r w:rsidR="00D932B1" w:rsidRPr="00461D74">
        <w:rPr>
          <w:rFonts w:ascii="Garamond" w:hAnsi="Garamond" w:cstheme="minorHAnsi"/>
          <w:sz w:val="24"/>
          <w:szCs w:val="24"/>
          <w:lang w:val="en-GB"/>
        </w:rPr>
        <w:t xml:space="preserve"> on MacIntyre’s </w:t>
      </w:r>
      <w:r w:rsidR="00B60B9C" w:rsidRPr="00461D74">
        <w:rPr>
          <w:rFonts w:ascii="Garamond" w:hAnsi="Garamond" w:cstheme="minorHAnsi"/>
          <w:sz w:val="24"/>
          <w:szCs w:val="24"/>
          <w:lang w:val="en-GB"/>
        </w:rPr>
        <w:t>view</w:t>
      </w:r>
      <w:r w:rsidR="003C615C" w:rsidRPr="00461D74">
        <w:rPr>
          <w:rFonts w:ascii="Garamond" w:hAnsi="Garamond" w:cstheme="minorHAnsi"/>
          <w:sz w:val="24"/>
          <w:szCs w:val="24"/>
          <w:lang w:val="en-GB"/>
        </w:rPr>
        <w:t xml:space="preserve"> </w:t>
      </w:r>
      <w:r w:rsidR="00D932B1" w:rsidRPr="00461D74">
        <w:rPr>
          <w:rFonts w:ascii="Garamond" w:hAnsi="Garamond" w:cstheme="minorHAnsi"/>
          <w:sz w:val="24"/>
          <w:szCs w:val="24"/>
          <w:lang w:val="en-GB"/>
        </w:rPr>
        <w:t xml:space="preserve">are </w:t>
      </w:r>
      <w:r w:rsidR="001F6226" w:rsidRPr="00461D74">
        <w:rPr>
          <w:rFonts w:ascii="Garamond" w:hAnsi="Garamond" w:cstheme="minorHAnsi"/>
          <w:sz w:val="24"/>
          <w:szCs w:val="24"/>
          <w:lang w:val="en-GB"/>
        </w:rPr>
        <w:t>a</w:t>
      </w:r>
      <w:r w:rsidR="00D62162" w:rsidRPr="00461D74">
        <w:rPr>
          <w:rFonts w:ascii="Garamond" w:hAnsi="Garamond" w:cstheme="minorHAnsi"/>
          <w:sz w:val="24"/>
          <w:szCs w:val="24"/>
          <w:lang w:val="en-GB"/>
        </w:rPr>
        <w:t>n inevitable</w:t>
      </w:r>
      <w:r w:rsidR="001F6226" w:rsidRPr="00461D74">
        <w:rPr>
          <w:rFonts w:ascii="Garamond" w:hAnsi="Garamond" w:cstheme="minorHAnsi"/>
          <w:sz w:val="24"/>
          <w:szCs w:val="24"/>
          <w:lang w:val="en-GB"/>
        </w:rPr>
        <w:t xml:space="preserve"> </w:t>
      </w:r>
      <w:r w:rsidR="00D62162" w:rsidRPr="00461D74">
        <w:rPr>
          <w:rFonts w:ascii="Garamond" w:hAnsi="Garamond" w:cstheme="minorHAnsi"/>
          <w:sz w:val="24"/>
          <w:szCs w:val="24"/>
          <w:lang w:val="en-GB"/>
        </w:rPr>
        <w:t>feature</w:t>
      </w:r>
      <w:r w:rsidR="00D932B1" w:rsidRPr="00461D74">
        <w:rPr>
          <w:rFonts w:ascii="Garamond" w:hAnsi="Garamond" w:cstheme="minorHAnsi"/>
          <w:sz w:val="24"/>
          <w:szCs w:val="24"/>
          <w:lang w:val="en-GB"/>
        </w:rPr>
        <w:t xml:space="preserve"> of </w:t>
      </w:r>
      <w:r w:rsidR="00B60B9C" w:rsidRPr="00461D74">
        <w:rPr>
          <w:rFonts w:ascii="Garamond" w:hAnsi="Garamond" w:cstheme="minorHAnsi"/>
          <w:sz w:val="24"/>
          <w:szCs w:val="24"/>
          <w:lang w:val="en-GB"/>
        </w:rPr>
        <w:t xml:space="preserve">all </w:t>
      </w:r>
      <w:r w:rsidR="001F6226" w:rsidRPr="00461D74">
        <w:rPr>
          <w:rFonts w:ascii="Garamond" w:hAnsi="Garamond" w:cstheme="minorHAnsi"/>
          <w:sz w:val="24"/>
          <w:szCs w:val="24"/>
          <w:lang w:val="en-GB"/>
        </w:rPr>
        <w:t xml:space="preserve">contemporary </w:t>
      </w:r>
      <w:r w:rsidR="00D932B1" w:rsidRPr="00461D74">
        <w:rPr>
          <w:rFonts w:ascii="Garamond" w:hAnsi="Garamond" w:cstheme="minorHAnsi"/>
          <w:sz w:val="24"/>
          <w:szCs w:val="24"/>
          <w:lang w:val="en-GB"/>
        </w:rPr>
        <w:t>large-scale political systems.</w:t>
      </w:r>
      <w:r w:rsidR="00B60B9C" w:rsidRPr="00461D74">
        <w:rPr>
          <w:rFonts w:ascii="Garamond" w:hAnsi="Garamond" w:cstheme="minorHAnsi"/>
          <w:sz w:val="24"/>
          <w:szCs w:val="24"/>
          <w:lang w:val="en-GB"/>
        </w:rPr>
        <w:t xml:space="preserve"> Therefore, MacIntyre’s communal politics is </w:t>
      </w:r>
      <w:r w:rsidR="003D1837" w:rsidRPr="00461D74">
        <w:rPr>
          <w:rFonts w:ascii="Garamond" w:hAnsi="Garamond" w:cstheme="minorHAnsi"/>
          <w:sz w:val="24"/>
          <w:szCs w:val="24"/>
          <w:lang w:val="en-GB"/>
        </w:rPr>
        <w:t>susceptible</w:t>
      </w:r>
      <w:r w:rsidR="004C147B" w:rsidRPr="00461D74">
        <w:rPr>
          <w:rFonts w:ascii="Garamond" w:hAnsi="Garamond" w:cstheme="minorHAnsi"/>
          <w:sz w:val="24"/>
          <w:szCs w:val="24"/>
          <w:lang w:val="en-GB"/>
        </w:rPr>
        <w:t xml:space="preserve"> to what he identifies as the subversive nature of large-scale political systems</w:t>
      </w:r>
      <w:r w:rsidR="00CD2784" w:rsidRPr="00461D74">
        <w:rPr>
          <w:rFonts w:ascii="Garamond" w:hAnsi="Garamond" w:cstheme="minorHAnsi"/>
          <w:sz w:val="24"/>
          <w:szCs w:val="24"/>
          <w:lang w:val="en-GB"/>
        </w:rPr>
        <w:t>; and</w:t>
      </w:r>
      <w:r w:rsidR="00BF436A" w:rsidRPr="00461D74">
        <w:rPr>
          <w:rFonts w:ascii="Garamond" w:hAnsi="Garamond" w:cstheme="minorHAnsi"/>
          <w:sz w:val="24"/>
          <w:szCs w:val="24"/>
          <w:lang w:val="en-GB"/>
        </w:rPr>
        <w:t xml:space="preserve"> </w:t>
      </w:r>
      <w:r w:rsidR="001F6226" w:rsidRPr="00461D74">
        <w:rPr>
          <w:rFonts w:ascii="Garamond" w:hAnsi="Garamond" w:cstheme="minorHAnsi"/>
          <w:sz w:val="24"/>
          <w:szCs w:val="24"/>
          <w:lang w:val="en-GB"/>
        </w:rPr>
        <w:t>in the absence of a sufficiently</w:t>
      </w:r>
      <w:r w:rsidR="00BF436A" w:rsidRPr="00461D74">
        <w:rPr>
          <w:rFonts w:ascii="Garamond" w:hAnsi="Garamond" w:cstheme="minorHAnsi"/>
          <w:sz w:val="24"/>
          <w:szCs w:val="24"/>
          <w:lang w:val="en-GB"/>
        </w:rPr>
        <w:t xml:space="preserve"> detailed constructive </w:t>
      </w:r>
      <w:r w:rsidR="001F6226" w:rsidRPr="00461D74">
        <w:rPr>
          <w:rFonts w:ascii="Garamond" w:hAnsi="Garamond" w:cstheme="minorHAnsi"/>
          <w:sz w:val="24"/>
          <w:szCs w:val="24"/>
          <w:lang w:val="en-GB"/>
        </w:rPr>
        <w:t>approach</w:t>
      </w:r>
      <w:r w:rsidR="00BF436A" w:rsidRPr="00461D74">
        <w:rPr>
          <w:rFonts w:ascii="Garamond" w:hAnsi="Garamond" w:cstheme="minorHAnsi"/>
          <w:sz w:val="24"/>
          <w:szCs w:val="24"/>
          <w:lang w:val="en-GB"/>
        </w:rPr>
        <w:t xml:space="preserve"> </w:t>
      </w:r>
      <w:r w:rsidR="00FA1452" w:rsidRPr="00461D74">
        <w:rPr>
          <w:rFonts w:ascii="Garamond" w:hAnsi="Garamond" w:cstheme="minorHAnsi"/>
          <w:sz w:val="24"/>
          <w:szCs w:val="24"/>
          <w:lang w:val="en-GB"/>
        </w:rPr>
        <w:t>to politics</w:t>
      </w:r>
      <w:r w:rsidR="008818A9" w:rsidRPr="00461D74">
        <w:rPr>
          <w:rFonts w:ascii="Garamond" w:hAnsi="Garamond" w:cstheme="minorHAnsi"/>
          <w:sz w:val="24"/>
          <w:szCs w:val="24"/>
          <w:lang w:val="en-GB"/>
        </w:rPr>
        <w:t xml:space="preserve"> </w:t>
      </w:r>
      <w:r w:rsidR="00FA1452"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FA1452" w:rsidRPr="00461D74">
        <w:rPr>
          <w:rFonts w:ascii="Garamond" w:hAnsi="Garamond" w:cstheme="minorHAnsi"/>
          <w:sz w:val="24"/>
          <w:szCs w:val="24"/>
          <w:lang w:val="en-GB"/>
        </w:rPr>
        <w:t xml:space="preserve">one that </w:t>
      </w:r>
      <w:r w:rsidR="00BF436A" w:rsidRPr="00461D74">
        <w:rPr>
          <w:rFonts w:ascii="Garamond" w:hAnsi="Garamond" w:cstheme="minorHAnsi"/>
          <w:sz w:val="24"/>
          <w:szCs w:val="24"/>
          <w:lang w:val="en-GB"/>
        </w:rPr>
        <w:t xml:space="preserve">could potentially mitigate the subversive effects of large-scale political </w:t>
      </w:r>
      <w:r w:rsidR="00FA1452" w:rsidRPr="00461D74">
        <w:rPr>
          <w:rFonts w:ascii="Garamond" w:hAnsi="Garamond" w:cstheme="minorHAnsi"/>
          <w:sz w:val="24"/>
          <w:szCs w:val="24"/>
          <w:lang w:val="en-GB"/>
        </w:rPr>
        <w:t>structures</w:t>
      </w:r>
      <w:r w:rsidR="008818A9" w:rsidRPr="00461D74">
        <w:rPr>
          <w:rFonts w:ascii="Garamond" w:hAnsi="Garamond" w:cstheme="minorHAnsi"/>
          <w:sz w:val="24"/>
          <w:szCs w:val="24"/>
          <w:lang w:val="en-GB"/>
        </w:rPr>
        <w:t xml:space="preserve"> </w:t>
      </w:r>
      <w:r w:rsidR="00FA1452"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1F6226" w:rsidRPr="00461D74">
        <w:rPr>
          <w:rFonts w:ascii="Garamond" w:hAnsi="Garamond" w:cstheme="minorHAnsi"/>
          <w:sz w:val="24"/>
          <w:szCs w:val="24"/>
          <w:lang w:val="en-GB"/>
        </w:rPr>
        <w:t>we are unable to defend local communities</w:t>
      </w:r>
      <w:r w:rsidR="00D62162" w:rsidRPr="00461D74">
        <w:rPr>
          <w:rFonts w:ascii="Garamond" w:hAnsi="Garamond" w:cstheme="minorHAnsi"/>
          <w:sz w:val="24"/>
          <w:szCs w:val="24"/>
          <w:lang w:val="en-GB"/>
        </w:rPr>
        <w:t xml:space="preserve">, and those communities remain largely </w:t>
      </w:r>
      <w:r w:rsidR="001F6226" w:rsidRPr="00461D74">
        <w:rPr>
          <w:rFonts w:ascii="Garamond" w:hAnsi="Garamond" w:cstheme="minorHAnsi"/>
          <w:sz w:val="24"/>
          <w:szCs w:val="24"/>
          <w:lang w:val="en-GB"/>
        </w:rPr>
        <w:t xml:space="preserve">at the mercy of </w:t>
      </w:r>
      <w:r w:rsidR="00D62162" w:rsidRPr="00461D74">
        <w:rPr>
          <w:rFonts w:ascii="Garamond" w:hAnsi="Garamond" w:cstheme="minorHAnsi"/>
          <w:sz w:val="24"/>
          <w:szCs w:val="24"/>
          <w:lang w:val="en-GB"/>
        </w:rPr>
        <w:t xml:space="preserve">the powers exercised by </w:t>
      </w:r>
      <w:r w:rsidR="001F6226" w:rsidRPr="00461D74">
        <w:rPr>
          <w:rFonts w:ascii="Garamond" w:hAnsi="Garamond" w:cstheme="minorHAnsi"/>
          <w:sz w:val="24"/>
          <w:szCs w:val="24"/>
          <w:lang w:val="en-GB"/>
        </w:rPr>
        <w:t>large-scale political arrangements.</w:t>
      </w:r>
    </w:p>
    <w:p w:rsidR="00E308EE" w:rsidRPr="00461D74" w:rsidRDefault="00EE1987"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In </w:t>
      </w:r>
      <w:r w:rsidR="00090F78" w:rsidRPr="00461D74">
        <w:rPr>
          <w:rFonts w:ascii="Garamond" w:hAnsi="Garamond" w:cstheme="minorHAnsi"/>
          <w:sz w:val="24"/>
          <w:szCs w:val="24"/>
          <w:lang w:val="en-GB"/>
        </w:rPr>
        <w:t>C</w:t>
      </w:r>
      <w:r w:rsidRPr="00461D74">
        <w:rPr>
          <w:rFonts w:ascii="Garamond" w:hAnsi="Garamond" w:cstheme="minorHAnsi"/>
          <w:sz w:val="24"/>
          <w:szCs w:val="24"/>
          <w:lang w:val="en-GB"/>
        </w:rPr>
        <w:t xml:space="preserve">hapter </w:t>
      </w:r>
      <w:r w:rsidR="00090F78" w:rsidRPr="00461D74">
        <w:rPr>
          <w:rFonts w:ascii="Garamond" w:hAnsi="Garamond" w:cstheme="minorHAnsi"/>
          <w:sz w:val="24"/>
          <w:szCs w:val="24"/>
          <w:lang w:val="en-GB"/>
        </w:rPr>
        <w:t>F</w:t>
      </w:r>
      <w:r w:rsidRPr="00461D74">
        <w:rPr>
          <w:rFonts w:ascii="Garamond" w:hAnsi="Garamond" w:cstheme="minorHAnsi"/>
          <w:sz w:val="24"/>
          <w:szCs w:val="24"/>
          <w:lang w:val="en-GB"/>
        </w:rPr>
        <w:t>ive, I consider two possible strategies</w:t>
      </w:r>
      <w:r w:rsidR="00EA12F8" w:rsidRPr="00461D74">
        <w:rPr>
          <w:rFonts w:ascii="Garamond" w:hAnsi="Garamond" w:cstheme="minorHAnsi"/>
          <w:sz w:val="24"/>
          <w:szCs w:val="24"/>
          <w:lang w:val="en-GB"/>
        </w:rPr>
        <w:t xml:space="preserve"> that MacIntyre can </w:t>
      </w:r>
      <w:r w:rsidR="00F57A8C" w:rsidRPr="00461D74">
        <w:rPr>
          <w:rFonts w:ascii="Garamond" w:hAnsi="Garamond" w:cstheme="minorHAnsi"/>
          <w:sz w:val="24"/>
          <w:szCs w:val="24"/>
          <w:lang w:val="en-GB"/>
        </w:rPr>
        <w:t>utilise</w:t>
      </w:r>
      <w:r w:rsidR="00EA12F8" w:rsidRPr="00461D74">
        <w:rPr>
          <w:rFonts w:ascii="Garamond" w:hAnsi="Garamond" w:cstheme="minorHAnsi"/>
          <w:sz w:val="24"/>
          <w:szCs w:val="24"/>
          <w:lang w:val="en-GB"/>
        </w:rPr>
        <w:t xml:space="preserve"> to ans</w:t>
      </w:r>
      <w:r w:rsidR="00FF1A6C" w:rsidRPr="00461D74">
        <w:rPr>
          <w:rFonts w:ascii="Garamond" w:hAnsi="Garamond" w:cstheme="minorHAnsi"/>
          <w:sz w:val="24"/>
          <w:szCs w:val="24"/>
          <w:lang w:val="en-GB"/>
        </w:rPr>
        <w:t xml:space="preserve">wer </w:t>
      </w:r>
      <w:r w:rsidR="00F57A8C" w:rsidRPr="00461D74">
        <w:rPr>
          <w:rFonts w:ascii="Garamond" w:hAnsi="Garamond" w:cstheme="minorHAnsi"/>
          <w:sz w:val="24"/>
          <w:szCs w:val="24"/>
          <w:lang w:val="en-GB"/>
        </w:rPr>
        <w:t>the</w:t>
      </w:r>
      <w:r w:rsidR="00FF1A6C" w:rsidRPr="00461D74">
        <w:rPr>
          <w:rFonts w:ascii="Garamond" w:hAnsi="Garamond" w:cstheme="minorHAnsi"/>
          <w:sz w:val="24"/>
          <w:szCs w:val="24"/>
          <w:lang w:val="en-GB"/>
        </w:rPr>
        <w:t xml:space="preserve"> objections </w:t>
      </w:r>
      <w:r w:rsidR="00F57A8C" w:rsidRPr="00461D74">
        <w:rPr>
          <w:rFonts w:ascii="Garamond" w:hAnsi="Garamond" w:cstheme="minorHAnsi"/>
          <w:sz w:val="24"/>
          <w:szCs w:val="24"/>
          <w:lang w:val="en-GB"/>
        </w:rPr>
        <w:t xml:space="preserve">I raised against </w:t>
      </w:r>
      <w:r w:rsidR="00FF1A6C" w:rsidRPr="00461D74">
        <w:rPr>
          <w:rFonts w:ascii="Garamond" w:hAnsi="Garamond" w:cstheme="minorHAnsi"/>
          <w:sz w:val="24"/>
          <w:szCs w:val="24"/>
          <w:lang w:val="en-GB"/>
        </w:rPr>
        <w:t>his political account</w:t>
      </w:r>
      <w:r w:rsidR="00411E46" w:rsidRPr="00461D74">
        <w:rPr>
          <w:rFonts w:ascii="Garamond" w:hAnsi="Garamond" w:cstheme="minorHAnsi"/>
          <w:sz w:val="24"/>
          <w:szCs w:val="24"/>
          <w:lang w:val="en-GB"/>
        </w:rPr>
        <w:t xml:space="preserve"> in Chapter F</w:t>
      </w:r>
      <w:r w:rsidR="00F57A8C" w:rsidRPr="00461D74">
        <w:rPr>
          <w:rFonts w:ascii="Garamond" w:hAnsi="Garamond" w:cstheme="minorHAnsi"/>
          <w:sz w:val="24"/>
          <w:szCs w:val="24"/>
          <w:lang w:val="en-GB"/>
        </w:rPr>
        <w:t>our</w:t>
      </w:r>
      <w:r w:rsidR="00FF1A6C" w:rsidRPr="00461D74">
        <w:rPr>
          <w:rFonts w:ascii="Garamond" w:hAnsi="Garamond" w:cstheme="minorHAnsi"/>
          <w:sz w:val="24"/>
          <w:szCs w:val="24"/>
          <w:lang w:val="en-GB"/>
        </w:rPr>
        <w:t xml:space="preserve">. </w:t>
      </w:r>
      <w:r w:rsidR="00E913A5" w:rsidRPr="00461D74">
        <w:rPr>
          <w:rFonts w:ascii="Garamond" w:hAnsi="Garamond" w:cstheme="minorHAnsi"/>
          <w:sz w:val="24"/>
          <w:szCs w:val="24"/>
          <w:lang w:val="en-GB"/>
        </w:rPr>
        <w:t xml:space="preserve">The first strategy requires that we read MacIntyre as an ideal theorist. I first </w:t>
      </w:r>
      <w:r w:rsidR="008818A9" w:rsidRPr="00461D74">
        <w:rPr>
          <w:rFonts w:ascii="Garamond" w:hAnsi="Garamond" w:cstheme="minorHAnsi"/>
          <w:sz w:val="24"/>
          <w:szCs w:val="24"/>
          <w:lang w:val="en-GB"/>
        </w:rPr>
        <w:t xml:space="preserve">spell out </w:t>
      </w:r>
      <w:r w:rsidR="00E913A5" w:rsidRPr="00461D74">
        <w:rPr>
          <w:rFonts w:ascii="Garamond" w:hAnsi="Garamond" w:cstheme="minorHAnsi"/>
          <w:sz w:val="24"/>
          <w:szCs w:val="24"/>
          <w:lang w:val="en-GB"/>
        </w:rPr>
        <w:t>the differences between ideal political theory and its theoretical opposite</w:t>
      </w:r>
      <w:r w:rsidR="008818A9" w:rsidRPr="00461D74">
        <w:rPr>
          <w:rFonts w:ascii="Garamond" w:hAnsi="Garamond" w:cstheme="minorHAnsi"/>
          <w:sz w:val="24"/>
          <w:szCs w:val="24"/>
          <w:lang w:val="en-GB"/>
        </w:rPr>
        <w:t xml:space="preserve"> </w:t>
      </w:r>
      <w:r w:rsidR="00E913A5"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E913A5" w:rsidRPr="00461D74">
        <w:rPr>
          <w:rFonts w:ascii="Garamond" w:hAnsi="Garamond" w:cstheme="minorHAnsi"/>
          <w:sz w:val="24"/>
          <w:szCs w:val="24"/>
          <w:lang w:val="en-GB"/>
        </w:rPr>
        <w:t xml:space="preserve">real theory; </w:t>
      </w:r>
      <w:r w:rsidR="008818A9" w:rsidRPr="00461D74">
        <w:rPr>
          <w:rFonts w:ascii="Garamond" w:hAnsi="Garamond" w:cstheme="minorHAnsi"/>
          <w:sz w:val="24"/>
          <w:szCs w:val="24"/>
          <w:lang w:val="en-GB"/>
        </w:rPr>
        <w:t xml:space="preserve">I then </w:t>
      </w:r>
      <w:r w:rsidR="00E913A5" w:rsidRPr="00461D74">
        <w:rPr>
          <w:rFonts w:ascii="Garamond" w:hAnsi="Garamond" w:cstheme="minorHAnsi"/>
          <w:sz w:val="24"/>
          <w:szCs w:val="24"/>
          <w:lang w:val="en-GB"/>
        </w:rPr>
        <w:t xml:space="preserve">move to place MacIntyre’s various political commitments within the larger debate between these two sides. </w:t>
      </w:r>
      <w:r w:rsidR="004B195B" w:rsidRPr="00461D74">
        <w:rPr>
          <w:rFonts w:ascii="Garamond" w:hAnsi="Garamond" w:cstheme="minorHAnsi"/>
          <w:sz w:val="24"/>
          <w:szCs w:val="24"/>
          <w:lang w:val="en-GB"/>
        </w:rPr>
        <w:t xml:space="preserve">Next, </w:t>
      </w:r>
      <w:r w:rsidR="00E913A5" w:rsidRPr="00461D74">
        <w:rPr>
          <w:rFonts w:ascii="Garamond" w:hAnsi="Garamond" w:cstheme="minorHAnsi"/>
          <w:sz w:val="24"/>
          <w:szCs w:val="24"/>
          <w:lang w:val="en-GB"/>
        </w:rPr>
        <w:t xml:space="preserve">I make a serious attempt to reconcile an ideal reading of MacIntyre’s political philosophy with other internal commitments that </w:t>
      </w:r>
      <w:r w:rsidR="004B195B" w:rsidRPr="00461D74">
        <w:rPr>
          <w:rFonts w:ascii="Garamond" w:hAnsi="Garamond" w:cstheme="minorHAnsi"/>
          <w:sz w:val="24"/>
          <w:szCs w:val="24"/>
          <w:lang w:val="en-GB"/>
        </w:rPr>
        <w:t>comprise</w:t>
      </w:r>
      <w:r w:rsidR="00E913A5" w:rsidRPr="00461D74">
        <w:rPr>
          <w:rFonts w:ascii="Garamond" w:hAnsi="Garamond" w:cstheme="minorHAnsi"/>
          <w:sz w:val="24"/>
          <w:szCs w:val="24"/>
          <w:lang w:val="en-GB"/>
        </w:rPr>
        <w:t xml:space="preserve"> his philosophical account. I go on</w:t>
      </w:r>
      <w:r w:rsidR="008818A9" w:rsidRPr="00461D74">
        <w:rPr>
          <w:rFonts w:ascii="Garamond" w:hAnsi="Garamond" w:cstheme="minorHAnsi"/>
          <w:sz w:val="24"/>
          <w:szCs w:val="24"/>
          <w:lang w:val="en-GB"/>
        </w:rPr>
        <w:t xml:space="preserve"> </w:t>
      </w:r>
      <w:r w:rsidR="00E913A5" w:rsidRPr="00461D74">
        <w:rPr>
          <w:rFonts w:ascii="Garamond" w:hAnsi="Garamond" w:cstheme="minorHAnsi"/>
          <w:sz w:val="24"/>
          <w:szCs w:val="24"/>
          <w:lang w:val="en-GB"/>
        </w:rPr>
        <w:t xml:space="preserve">to show that this approach isn’t </w:t>
      </w:r>
      <w:r w:rsidR="004B195B" w:rsidRPr="00461D74">
        <w:rPr>
          <w:rFonts w:ascii="Garamond" w:hAnsi="Garamond" w:cstheme="minorHAnsi"/>
          <w:sz w:val="24"/>
          <w:szCs w:val="24"/>
          <w:lang w:val="en-GB"/>
        </w:rPr>
        <w:t xml:space="preserve">altogether </w:t>
      </w:r>
      <w:r w:rsidR="00E913A5" w:rsidRPr="00461D74">
        <w:rPr>
          <w:rFonts w:ascii="Garamond" w:hAnsi="Garamond" w:cstheme="minorHAnsi"/>
          <w:sz w:val="24"/>
          <w:szCs w:val="24"/>
          <w:lang w:val="en-GB"/>
        </w:rPr>
        <w:t xml:space="preserve">successful. </w:t>
      </w:r>
      <w:r w:rsidR="006110BB" w:rsidRPr="00461D74">
        <w:rPr>
          <w:rFonts w:ascii="Garamond" w:hAnsi="Garamond" w:cstheme="minorHAnsi"/>
          <w:sz w:val="24"/>
          <w:szCs w:val="24"/>
          <w:lang w:val="en-GB"/>
        </w:rPr>
        <w:t xml:space="preserve">I </w:t>
      </w:r>
      <w:r w:rsidR="004B195B" w:rsidRPr="00461D74">
        <w:rPr>
          <w:rFonts w:ascii="Garamond" w:hAnsi="Garamond" w:cstheme="minorHAnsi"/>
          <w:sz w:val="24"/>
          <w:szCs w:val="24"/>
          <w:lang w:val="en-GB"/>
        </w:rPr>
        <w:t xml:space="preserve">then </w:t>
      </w:r>
      <w:r w:rsidR="006110BB" w:rsidRPr="00461D74">
        <w:rPr>
          <w:rFonts w:ascii="Garamond" w:hAnsi="Garamond" w:cstheme="minorHAnsi"/>
          <w:sz w:val="24"/>
          <w:szCs w:val="24"/>
          <w:lang w:val="en-GB"/>
        </w:rPr>
        <w:t xml:space="preserve">consider a second strategy </w:t>
      </w:r>
      <w:r w:rsidR="004B195B" w:rsidRPr="00461D74">
        <w:rPr>
          <w:rFonts w:ascii="Garamond" w:hAnsi="Garamond" w:cstheme="minorHAnsi"/>
          <w:sz w:val="24"/>
          <w:szCs w:val="24"/>
          <w:lang w:val="en-GB"/>
        </w:rPr>
        <w:t xml:space="preserve">through </w:t>
      </w:r>
      <w:r w:rsidR="006110BB" w:rsidRPr="00461D74">
        <w:rPr>
          <w:rFonts w:ascii="Garamond" w:hAnsi="Garamond" w:cstheme="minorHAnsi"/>
          <w:sz w:val="24"/>
          <w:szCs w:val="24"/>
          <w:lang w:val="en-GB"/>
        </w:rPr>
        <w:t>which MacIntyre can revive a more traditional Aristotelian-Thomis</w:t>
      </w:r>
      <w:r w:rsidR="00FC5BAE" w:rsidRPr="00461D74">
        <w:rPr>
          <w:rFonts w:ascii="Garamond" w:hAnsi="Garamond" w:cstheme="minorHAnsi"/>
          <w:sz w:val="24"/>
          <w:szCs w:val="24"/>
          <w:lang w:val="en-GB"/>
        </w:rPr>
        <w:t>tic politics</w:t>
      </w:r>
      <w:r w:rsidR="009E55A3" w:rsidRPr="00461D74">
        <w:rPr>
          <w:rFonts w:ascii="Garamond" w:hAnsi="Garamond" w:cstheme="minorHAnsi"/>
          <w:sz w:val="24"/>
          <w:szCs w:val="24"/>
          <w:lang w:val="en-GB"/>
        </w:rPr>
        <w:t xml:space="preserve">, without the various </w:t>
      </w:r>
      <w:r w:rsidR="00E867DF" w:rsidRPr="00461D74">
        <w:rPr>
          <w:rFonts w:ascii="Garamond" w:hAnsi="Garamond" w:cstheme="minorHAnsi"/>
          <w:sz w:val="24"/>
          <w:szCs w:val="24"/>
          <w:lang w:val="en-GB"/>
        </w:rPr>
        <w:t>historicist</w:t>
      </w:r>
      <w:r w:rsidR="009E55A3" w:rsidRPr="00461D74">
        <w:rPr>
          <w:rFonts w:ascii="Garamond" w:hAnsi="Garamond" w:cstheme="minorHAnsi"/>
          <w:sz w:val="24"/>
          <w:szCs w:val="24"/>
          <w:lang w:val="en-GB"/>
        </w:rPr>
        <w:t xml:space="preserve"> commitments that </w:t>
      </w:r>
      <w:r w:rsidR="00E867DF" w:rsidRPr="00461D74">
        <w:rPr>
          <w:rFonts w:ascii="Garamond" w:hAnsi="Garamond" w:cstheme="minorHAnsi"/>
          <w:sz w:val="24"/>
          <w:szCs w:val="24"/>
          <w:lang w:val="en-GB"/>
        </w:rPr>
        <w:t>seem</w:t>
      </w:r>
      <w:r w:rsidR="009E55A3" w:rsidRPr="00461D74">
        <w:rPr>
          <w:rFonts w:ascii="Garamond" w:hAnsi="Garamond" w:cstheme="minorHAnsi"/>
          <w:sz w:val="24"/>
          <w:szCs w:val="24"/>
          <w:lang w:val="en-GB"/>
        </w:rPr>
        <w:t xml:space="preserve"> to muddy the philosophical waters</w:t>
      </w:r>
      <w:r w:rsidR="006110BB" w:rsidRPr="00461D74">
        <w:rPr>
          <w:rFonts w:ascii="Garamond" w:hAnsi="Garamond" w:cstheme="minorHAnsi"/>
          <w:sz w:val="24"/>
          <w:szCs w:val="24"/>
          <w:lang w:val="en-GB"/>
        </w:rPr>
        <w:t xml:space="preserve">. </w:t>
      </w:r>
      <w:r w:rsidR="004B195B" w:rsidRPr="00461D74">
        <w:rPr>
          <w:rFonts w:ascii="Garamond" w:hAnsi="Garamond" w:cstheme="minorHAnsi"/>
          <w:sz w:val="24"/>
          <w:szCs w:val="24"/>
          <w:lang w:val="en-GB"/>
        </w:rPr>
        <w:t>I</w:t>
      </w:r>
      <w:r w:rsidR="009E55A3" w:rsidRPr="00461D74">
        <w:rPr>
          <w:rFonts w:ascii="Garamond" w:hAnsi="Garamond" w:cstheme="minorHAnsi"/>
          <w:sz w:val="24"/>
          <w:szCs w:val="24"/>
          <w:lang w:val="en-GB"/>
        </w:rPr>
        <w:t>t will appear</w:t>
      </w:r>
      <w:r w:rsidR="004B195B" w:rsidRPr="00461D74">
        <w:rPr>
          <w:rFonts w:ascii="Garamond" w:hAnsi="Garamond" w:cstheme="minorHAnsi"/>
          <w:sz w:val="24"/>
          <w:szCs w:val="24"/>
          <w:lang w:val="en-GB"/>
        </w:rPr>
        <w:t>, at least initially,</w:t>
      </w:r>
      <w:r w:rsidR="009E55A3" w:rsidRPr="00461D74">
        <w:rPr>
          <w:rFonts w:ascii="Garamond" w:hAnsi="Garamond" w:cstheme="minorHAnsi"/>
          <w:sz w:val="24"/>
          <w:szCs w:val="24"/>
          <w:lang w:val="en-GB"/>
        </w:rPr>
        <w:t xml:space="preserve"> that Thomism </w:t>
      </w:r>
      <w:r w:rsidR="004B195B" w:rsidRPr="00461D74">
        <w:rPr>
          <w:rFonts w:ascii="Garamond" w:hAnsi="Garamond" w:cstheme="minorHAnsi"/>
          <w:sz w:val="24"/>
          <w:szCs w:val="24"/>
          <w:lang w:val="en-GB"/>
        </w:rPr>
        <w:t xml:space="preserve">does </w:t>
      </w:r>
      <w:r w:rsidR="00E175C1">
        <w:rPr>
          <w:rFonts w:ascii="Garamond" w:hAnsi="Garamond" w:cstheme="minorHAnsi"/>
          <w:sz w:val="24"/>
          <w:szCs w:val="24"/>
          <w:lang w:val="en-GB"/>
        </w:rPr>
        <w:t xml:space="preserve">indeed </w:t>
      </w:r>
      <w:r w:rsidR="009E55A3" w:rsidRPr="00461D74">
        <w:rPr>
          <w:rFonts w:ascii="Garamond" w:hAnsi="Garamond" w:cstheme="minorHAnsi"/>
          <w:sz w:val="24"/>
          <w:szCs w:val="24"/>
          <w:lang w:val="en-GB"/>
        </w:rPr>
        <w:t>possess the kinds of resources that can be utilised to formulate a positive political account</w:t>
      </w:r>
      <w:r w:rsidR="008818A9" w:rsidRPr="00461D74">
        <w:rPr>
          <w:rFonts w:ascii="Garamond" w:hAnsi="Garamond" w:cstheme="minorHAnsi"/>
          <w:sz w:val="24"/>
          <w:szCs w:val="24"/>
          <w:lang w:val="en-GB"/>
        </w:rPr>
        <w:t xml:space="preserve"> </w:t>
      </w:r>
      <w:r w:rsidR="009E55A3" w:rsidRPr="00461D74">
        <w:rPr>
          <w:rFonts w:ascii="Garamond" w:hAnsi="Garamond" w:cstheme="minorHAnsi"/>
          <w:sz w:val="24"/>
          <w:szCs w:val="24"/>
          <w:lang w:val="en-GB"/>
        </w:rPr>
        <w:t>–</w:t>
      </w:r>
      <w:r w:rsidR="008818A9" w:rsidRPr="00461D74">
        <w:rPr>
          <w:rFonts w:ascii="Garamond" w:hAnsi="Garamond" w:cstheme="minorHAnsi"/>
          <w:sz w:val="24"/>
          <w:szCs w:val="24"/>
          <w:lang w:val="en-GB"/>
        </w:rPr>
        <w:t xml:space="preserve"> </w:t>
      </w:r>
      <w:r w:rsidR="002B4063" w:rsidRPr="00461D74">
        <w:rPr>
          <w:rFonts w:ascii="Garamond" w:hAnsi="Garamond" w:cstheme="minorHAnsi"/>
          <w:sz w:val="24"/>
          <w:szCs w:val="24"/>
          <w:lang w:val="en-GB"/>
        </w:rPr>
        <w:t>one</w:t>
      </w:r>
      <w:r w:rsidR="009E55A3" w:rsidRPr="00461D74">
        <w:rPr>
          <w:rFonts w:ascii="Garamond" w:hAnsi="Garamond" w:cstheme="minorHAnsi"/>
          <w:sz w:val="24"/>
          <w:szCs w:val="24"/>
          <w:lang w:val="en-GB"/>
        </w:rPr>
        <w:t xml:space="preserve"> that is </w:t>
      </w:r>
      <w:r w:rsidR="00E867DF" w:rsidRPr="00461D74">
        <w:rPr>
          <w:rFonts w:ascii="Garamond" w:hAnsi="Garamond" w:cstheme="minorHAnsi"/>
          <w:sz w:val="24"/>
          <w:szCs w:val="24"/>
          <w:lang w:val="en-GB"/>
        </w:rPr>
        <w:t xml:space="preserve">also </w:t>
      </w:r>
      <w:r w:rsidR="000D5193" w:rsidRPr="00461D74">
        <w:rPr>
          <w:rFonts w:ascii="Garamond" w:hAnsi="Garamond" w:cstheme="minorHAnsi"/>
          <w:sz w:val="24"/>
          <w:szCs w:val="24"/>
          <w:lang w:val="en-GB"/>
        </w:rPr>
        <w:t>capable of</w:t>
      </w:r>
      <w:r w:rsidR="009E55A3" w:rsidRPr="00461D74">
        <w:rPr>
          <w:rFonts w:ascii="Garamond" w:hAnsi="Garamond" w:cstheme="minorHAnsi"/>
          <w:sz w:val="24"/>
          <w:szCs w:val="24"/>
          <w:lang w:val="en-GB"/>
        </w:rPr>
        <w:t xml:space="preserve"> defend</w:t>
      </w:r>
      <w:r w:rsidR="000D5193" w:rsidRPr="00461D74">
        <w:rPr>
          <w:rFonts w:ascii="Garamond" w:hAnsi="Garamond" w:cstheme="minorHAnsi"/>
          <w:sz w:val="24"/>
          <w:szCs w:val="24"/>
          <w:lang w:val="en-GB"/>
        </w:rPr>
        <w:t>ing</w:t>
      </w:r>
      <w:r w:rsidR="009E55A3" w:rsidRPr="00461D74">
        <w:rPr>
          <w:rFonts w:ascii="Garamond" w:hAnsi="Garamond" w:cstheme="minorHAnsi"/>
          <w:sz w:val="24"/>
          <w:szCs w:val="24"/>
          <w:lang w:val="en-GB"/>
        </w:rPr>
        <w:t xml:space="preserve"> local communities.</w:t>
      </w:r>
      <w:r w:rsidR="00261775" w:rsidRPr="00461D74">
        <w:rPr>
          <w:rFonts w:ascii="Garamond" w:hAnsi="Garamond" w:cstheme="minorHAnsi"/>
          <w:sz w:val="24"/>
          <w:szCs w:val="24"/>
          <w:lang w:val="en-GB"/>
        </w:rPr>
        <w:t xml:space="preserve"> Nevertheless, there </w:t>
      </w:r>
      <w:r w:rsidR="004B195B" w:rsidRPr="00461D74">
        <w:rPr>
          <w:rFonts w:ascii="Garamond" w:hAnsi="Garamond" w:cstheme="minorHAnsi"/>
          <w:sz w:val="24"/>
          <w:szCs w:val="24"/>
          <w:lang w:val="en-GB"/>
        </w:rPr>
        <w:t xml:space="preserve">remains </w:t>
      </w:r>
      <w:r w:rsidR="00261775" w:rsidRPr="00461D74">
        <w:rPr>
          <w:rFonts w:ascii="Garamond" w:hAnsi="Garamond" w:cstheme="minorHAnsi"/>
          <w:sz w:val="24"/>
          <w:szCs w:val="24"/>
          <w:lang w:val="en-GB"/>
        </w:rPr>
        <w:t>an important problem with this second strategy. MacIntyre argues that the common good defined in the Aristotelian-Thomistic tradition is not available in the modern social context in which large-scale political systems play a</w:t>
      </w:r>
      <w:r w:rsidR="00F10253">
        <w:rPr>
          <w:rFonts w:ascii="Garamond" w:hAnsi="Garamond" w:cstheme="minorHAnsi"/>
          <w:sz w:val="24"/>
          <w:szCs w:val="24"/>
          <w:lang w:val="en-GB"/>
        </w:rPr>
        <w:t xml:space="preserve"> major </w:t>
      </w:r>
      <w:r w:rsidR="00261775" w:rsidRPr="00461D74">
        <w:rPr>
          <w:rFonts w:ascii="Garamond" w:hAnsi="Garamond" w:cstheme="minorHAnsi"/>
          <w:sz w:val="24"/>
          <w:szCs w:val="24"/>
          <w:lang w:val="en-GB"/>
        </w:rPr>
        <w:t xml:space="preserve">role. </w:t>
      </w:r>
      <w:r w:rsidR="004B195B" w:rsidRPr="00461D74">
        <w:rPr>
          <w:rFonts w:ascii="Garamond" w:hAnsi="Garamond" w:cstheme="minorHAnsi"/>
          <w:sz w:val="24"/>
          <w:szCs w:val="24"/>
          <w:lang w:val="en-GB"/>
        </w:rPr>
        <w:t xml:space="preserve">Thus, notwithstanding the initial success of this option, </w:t>
      </w:r>
      <w:r w:rsidR="00261775" w:rsidRPr="00461D74">
        <w:rPr>
          <w:rFonts w:ascii="Garamond" w:hAnsi="Garamond" w:cstheme="minorHAnsi"/>
          <w:sz w:val="24"/>
          <w:szCs w:val="24"/>
          <w:lang w:val="en-GB"/>
        </w:rPr>
        <w:t xml:space="preserve">because the Thomistic common good grounds this second strategy, the lack of a viable conception of the common good in the modern social context </w:t>
      </w:r>
      <w:r w:rsidR="004B195B" w:rsidRPr="00461D74">
        <w:rPr>
          <w:rFonts w:ascii="Garamond" w:hAnsi="Garamond" w:cstheme="minorHAnsi"/>
          <w:sz w:val="24"/>
          <w:szCs w:val="24"/>
          <w:lang w:val="en-GB"/>
        </w:rPr>
        <w:t xml:space="preserve">ultimately </w:t>
      </w:r>
      <w:r w:rsidR="00261775" w:rsidRPr="00461D74">
        <w:rPr>
          <w:rFonts w:ascii="Garamond" w:hAnsi="Garamond" w:cstheme="minorHAnsi"/>
          <w:sz w:val="24"/>
          <w:szCs w:val="24"/>
          <w:lang w:val="en-GB"/>
        </w:rPr>
        <w:t xml:space="preserve">undermines this </w:t>
      </w:r>
      <w:r w:rsidR="004B195B" w:rsidRPr="00461D74">
        <w:rPr>
          <w:rFonts w:ascii="Garamond" w:hAnsi="Garamond" w:cstheme="minorHAnsi"/>
          <w:sz w:val="24"/>
          <w:szCs w:val="24"/>
          <w:lang w:val="en-GB"/>
        </w:rPr>
        <w:t>approach</w:t>
      </w:r>
      <w:r w:rsidR="00261775" w:rsidRPr="00461D74">
        <w:rPr>
          <w:rFonts w:ascii="Garamond" w:hAnsi="Garamond" w:cstheme="minorHAnsi"/>
          <w:sz w:val="24"/>
          <w:szCs w:val="24"/>
          <w:lang w:val="en-GB"/>
        </w:rPr>
        <w:t xml:space="preserve">. Therefore, both of these strategies ultimately fail in </w:t>
      </w:r>
      <w:r w:rsidR="00261775" w:rsidRPr="00461D74">
        <w:rPr>
          <w:rFonts w:ascii="Garamond" w:hAnsi="Garamond" w:cstheme="minorHAnsi"/>
          <w:sz w:val="24"/>
          <w:szCs w:val="24"/>
          <w:lang w:val="en-GB"/>
        </w:rPr>
        <w:lastRenderedPageBreak/>
        <w:t>advancing a viable political account that can alleviate the second tension in MacIntyre’s account.</w:t>
      </w:r>
    </w:p>
    <w:p w:rsidR="00E308EE" w:rsidRPr="00461D74" w:rsidRDefault="00721062" w:rsidP="00164E4D">
      <w:pPr>
        <w:spacing w:line="360" w:lineRule="auto"/>
        <w:ind w:firstLine="720"/>
        <w:jc w:val="both"/>
        <w:rPr>
          <w:rFonts w:ascii="Garamond" w:eastAsiaTheme="majorEastAsia" w:hAnsi="Garamond" w:cstheme="majorBidi"/>
          <w:b/>
          <w:bCs/>
          <w:color w:val="2F5496" w:themeColor="accent1" w:themeShade="BF"/>
          <w:sz w:val="28"/>
          <w:szCs w:val="28"/>
          <w:lang w:val="en-GB"/>
        </w:rPr>
      </w:pPr>
      <w:r w:rsidRPr="00461D74">
        <w:rPr>
          <w:rFonts w:ascii="Garamond" w:hAnsi="Garamond" w:cstheme="minorHAnsi"/>
          <w:sz w:val="24"/>
          <w:szCs w:val="24"/>
          <w:lang w:val="en-GB"/>
        </w:rPr>
        <w:t xml:space="preserve">Finally, </w:t>
      </w:r>
      <w:r w:rsidR="00FF1A6C" w:rsidRPr="00461D74">
        <w:rPr>
          <w:rFonts w:ascii="Garamond" w:hAnsi="Garamond" w:cstheme="minorHAnsi"/>
          <w:sz w:val="24"/>
          <w:szCs w:val="24"/>
          <w:lang w:val="en-GB"/>
        </w:rPr>
        <w:t xml:space="preserve">in </w:t>
      </w:r>
      <w:r w:rsidR="00090F78" w:rsidRPr="00461D74">
        <w:rPr>
          <w:rFonts w:ascii="Garamond" w:hAnsi="Garamond" w:cstheme="minorHAnsi"/>
          <w:sz w:val="24"/>
          <w:szCs w:val="24"/>
          <w:lang w:val="en-GB"/>
        </w:rPr>
        <w:t>C</w:t>
      </w:r>
      <w:r w:rsidR="00FF1A6C" w:rsidRPr="00461D74">
        <w:rPr>
          <w:rFonts w:ascii="Garamond" w:hAnsi="Garamond" w:cstheme="minorHAnsi"/>
          <w:sz w:val="24"/>
          <w:szCs w:val="24"/>
          <w:lang w:val="en-GB"/>
        </w:rPr>
        <w:t xml:space="preserve">hapter </w:t>
      </w:r>
      <w:r w:rsidR="00090F78" w:rsidRPr="00461D74">
        <w:rPr>
          <w:rFonts w:ascii="Garamond" w:hAnsi="Garamond" w:cstheme="minorHAnsi"/>
          <w:sz w:val="24"/>
          <w:szCs w:val="24"/>
          <w:lang w:val="en-GB"/>
        </w:rPr>
        <w:t>S</w:t>
      </w:r>
      <w:r w:rsidR="00FF1A6C" w:rsidRPr="00461D74">
        <w:rPr>
          <w:rFonts w:ascii="Garamond" w:hAnsi="Garamond" w:cstheme="minorHAnsi"/>
          <w:sz w:val="24"/>
          <w:szCs w:val="24"/>
          <w:lang w:val="en-GB"/>
        </w:rPr>
        <w:t xml:space="preserve">ix, </w:t>
      </w:r>
      <w:r w:rsidRPr="00461D74">
        <w:rPr>
          <w:rFonts w:ascii="Garamond" w:hAnsi="Garamond" w:cstheme="minorHAnsi"/>
          <w:sz w:val="24"/>
          <w:szCs w:val="24"/>
          <w:lang w:val="en-GB"/>
        </w:rPr>
        <w:t>I look to advance an</w:t>
      </w:r>
      <w:r w:rsidR="00FF1A6C" w:rsidRPr="00461D74">
        <w:rPr>
          <w:rFonts w:ascii="Garamond" w:hAnsi="Garamond" w:cstheme="minorHAnsi"/>
          <w:sz w:val="24"/>
          <w:szCs w:val="24"/>
          <w:lang w:val="en-GB"/>
        </w:rPr>
        <w:t xml:space="preserve"> alternative pragmatist </w:t>
      </w:r>
      <w:r w:rsidRPr="00461D74">
        <w:rPr>
          <w:rFonts w:ascii="Garamond" w:hAnsi="Garamond" w:cstheme="minorHAnsi"/>
          <w:sz w:val="24"/>
          <w:szCs w:val="24"/>
          <w:lang w:val="en-GB"/>
        </w:rPr>
        <w:t xml:space="preserve">form of </w:t>
      </w:r>
      <w:r w:rsidR="00FF1A6C" w:rsidRPr="00461D74">
        <w:rPr>
          <w:rFonts w:ascii="Garamond" w:hAnsi="Garamond" w:cstheme="minorHAnsi"/>
          <w:sz w:val="24"/>
          <w:szCs w:val="24"/>
          <w:lang w:val="en-GB"/>
        </w:rPr>
        <w:t xml:space="preserve">politics </w:t>
      </w:r>
      <w:r w:rsidRPr="00461D74">
        <w:rPr>
          <w:rFonts w:ascii="Garamond" w:hAnsi="Garamond" w:cstheme="minorHAnsi"/>
          <w:sz w:val="24"/>
          <w:szCs w:val="24"/>
          <w:lang w:val="en-GB"/>
        </w:rPr>
        <w:t>that</w:t>
      </w:r>
      <w:r w:rsidR="00FF1A6C" w:rsidRPr="00461D74">
        <w:rPr>
          <w:rFonts w:ascii="Garamond" w:hAnsi="Garamond" w:cstheme="minorHAnsi"/>
          <w:sz w:val="24"/>
          <w:szCs w:val="24"/>
          <w:lang w:val="en-GB"/>
        </w:rPr>
        <w:t xml:space="preserve"> </w:t>
      </w:r>
      <w:r w:rsidR="00432993" w:rsidRPr="00461D74">
        <w:rPr>
          <w:rFonts w:ascii="Garamond" w:hAnsi="Garamond" w:cstheme="minorHAnsi"/>
          <w:sz w:val="24"/>
          <w:szCs w:val="24"/>
          <w:lang w:val="en-GB"/>
        </w:rPr>
        <w:t xml:space="preserve">can </w:t>
      </w:r>
      <w:r w:rsidR="00FF1A6C" w:rsidRPr="00461D74">
        <w:rPr>
          <w:rFonts w:ascii="Garamond" w:hAnsi="Garamond" w:cstheme="minorHAnsi"/>
          <w:sz w:val="24"/>
          <w:szCs w:val="24"/>
          <w:lang w:val="en-GB"/>
        </w:rPr>
        <w:t xml:space="preserve">potentially </w:t>
      </w:r>
      <w:r w:rsidR="00432993" w:rsidRPr="00461D74">
        <w:rPr>
          <w:rFonts w:ascii="Garamond" w:hAnsi="Garamond" w:cstheme="minorHAnsi"/>
          <w:sz w:val="24"/>
          <w:szCs w:val="24"/>
          <w:lang w:val="en-GB"/>
        </w:rPr>
        <w:t>address</w:t>
      </w:r>
      <w:r w:rsidR="00FF1A6C" w:rsidRPr="00461D74">
        <w:rPr>
          <w:rFonts w:ascii="Garamond" w:hAnsi="Garamond" w:cstheme="minorHAnsi"/>
          <w:sz w:val="24"/>
          <w:szCs w:val="24"/>
          <w:lang w:val="en-GB"/>
        </w:rPr>
        <w:t xml:space="preserve"> the </w:t>
      </w:r>
      <w:r w:rsidRPr="00461D74">
        <w:rPr>
          <w:rFonts w:ascii="Garamond" w:hAnsi="Garamond" w:cstheme="minorHAnsi"/>
          <w:sz w:val="24"/>
          <w:szCs w:val="24"/>
          <w:lang w:val="en-GB"/>
        </w:rPr>
        <w:t>inconsistencies</w:t>
      </w:r>
      <w:r w:rsidR="00432993" w:rsidRPr="00461D74">
        <w:rPr>
          <w:rFonts w:ascii="Garamond" w:hAnsi="Garamond" w:cstheme="minorHAnsi"/>
          <w:sz w:val="24"/>
          <w:szCs w:val="24"/>
          <w:lang w:val="en-GB"/>
        </w:rPr>
        <w:t xml:space="preserve"> </w:t>
      </w:r>
      <w:r w:rsidR="00B4523F" w:rsidRPr="00461D74">
        <w:rPr>
          <w:rFonts w:ascii="Garamond" w:hAnsi="Garamond" w:cstheme="minorHAnsi"/>
          <w:sz w:val="24"/>
          <w:szCs w:val="24"/>
          <w:lang w:val="en-GB"/>
        </w:rPr>
        <w:t>which</w:t>
      </w:r>
      <w:r w:rsidR="00432993" w:rsidRPr="00461D74">
        <w:rPr>
          <w:rFonts w:ascii="Garamond" w:hAnsi="Garamond" w:cstheme="minorHAnsi"/>
          <w:sz w:val="24"/>
          <w:szCs w:val="24"/>
          <w:lang w:val="en-GB"/>
        </w:rPr>
        <w:t xml:space="preserve"> </w:t>
      </w:r>
      <w:r w:rsidRPr="00461D74">
        <w:rPr>
          <w:rFonts w:ascii="Garamond" w:hAnsi="Garamond" w:cstheme="minorHAnsi"/>
          <w:sz w:val="24"/>
          <w:szCs w:val="24"/>
          <w:lang w:val="en-GB"/>
        </w:rPr>
        <w:t>are generated</w:t>
      </w:r>
      <w:r w:rsidR="00432993" w:rsidRPr="00461D74">
        <w:rPr>
          <w:rFonts w:ascii="Garamond" w:hAnsi="Garamond" w:cstheme="minorHAnsi"/>
          <w:sz w:val="24"/>
          <w:szCs w:val="24"/>
          <w:lang w:val="en-GB"/>
        </w:rPr>
        <w:t xml:space="preserve"> as a </w:t>
      </w:r>
      <w:r w:rsidR="00180586" w:rsidRPr="00461D74">
        <w:rPr>
          <w:rFonts w:ascii="Garamond" w:hAnsi="Garamond" w:cstheme="minorHAnsi"/>
          <w:sz w:val="24"/>
          <w:szCs w:val="24"/>
          <w:lang w:val="en-GB"/>
        </w:rPr>
        <w:t>consequence</w:t>
      </w:r>
      <w:r w:rsidR="00432993" w:rsidRPr="00461D74">
        <w:rPr>
          <w:rFonts w:ascii="Garamond" w:hAnsi="Garamond" w:cstheme="minorHAnsi"/>
          <w:sz w:val="24"/>
          <w:szCs w:val="24"/>
          <w:lang w:val="en-GB"/>
        </w:rPr>
        <w:t xml:space="preserve"> of </w:t>
      </w:r>
      <w:r w:rsidRPr="00461D74">
        <w:rPr>
          <w:rFonts w:ascii="Garamond" w:hAnsi="Garamond" w:cstheme="minorHAnsi"/>
          <w:sz w:val="24"/>
          <w:szCs w:val="24"/>
          <w:lang w:val="en-GB"/>
        </w:rPr>
        <w:t>MacIntyre’s</w:t>
      </w:r>
      <w:r w:rsidR="00432993" w:rsidRPr="00461D74">
        <w:rPr>
          <w:rFonts w:ascii="Garamond" w:hAnsi="Garamond" w:cstheme="minorHAnsi"/>
          <w:sz w:val="24"/>
          <w:szCs w:val="24"/>
          <w:lang w:val="en-GB"/>
        </w:rPr>
        <w:t xml:space="preserve"> </w:t>
      </w:r>
      <w:r w:rsidR="00180586" w:rsidRPr="00461D74">
        <w:rPr>
          <w:rFonts w:ascii="Garamond" w:hAnsi="Garamond" w:cstheme="minorHAnsi"/>
          <w:sz w:val="24"/>
          <w:szCs w:val="24"/>
          <w:lang w:val="en-GB"/>
        </w:rPr>
        <w:t>political account</w:t>
      </w:r>
      <w:r w:rsidR="00FF1A6C" w:rsidRPr="00461D74">
        <w:rPr>
          <w:rFonts w:ascii="Garamond" w:hAnsi="Garamond" w:cstheme="minorHAnsi"/>
          <w:sz w:val="24"/>
          <w:szCs w:val="24"/>
          <w:lang w:val="en-GB"/>
        </w:rPr>
        <w:t>.</w:t>
      </w:r>
      <w:r w:rsidR="00316F82" w:rsidRPr="00461D74">
        <w:rPr>
          <w:rFonts w:ascii="Garamond" w:hAnsi="Garamond" w:cstheme="minorHAnsi"/>
          <w:sz w:val="24"/>
          <w:szCs w:val="24"/>
          <w:lang w:val="en-GB"/>
        </w:rPr>
        <w:t xml:space="preserve"> First, I </w:t>
      </w:r>
      <w:r w:rsidR="00A024BE" w:rsidRPr="00461D74">
        <w:rPr>
          <w:rFonts w:ascii="Garamond" w:hAnsi="Garamond" w:cstheme="minorHAnsi"/>
          <w:sz w:val="24"/>
          <w:szCs w:val="24"/>
          <w:lang w:val="en-GB"/>
        </w:rPr>
        <w:t>summarise</w:t>
      </w:r>
      <w:r w:rsidR="00316F82" w:rsidRPr="00461D74">
        <w:rPr>
          <w:rFonts w:ascii="Garamond" w:hAnsi="Garamond" w:cstheme="minorHAnsi"/>
          <w:sz w:val="24"/>
          <w:szCs w:val="24"/>
          <w:lang w:val="en-GB"/>
        </w:rPr>
        <w:t xml:space="preserve"> the particular deficiencies of MacIntyre’s political account</w:t>
      </w:r>
      <w:r w:rsidR="00A024BE" w:rsidRPr="00461D74">
        <w:rPr>
          <w:rFonts w:ascii="Garamond" w:hAnsi="Garamond" w:cstheme="minorHAnsi"/>
          <w:sz w:val="24"/>
          <w:szCs w:val="24"/>
          <w:lang w:val="en-GB"/>
        </w:rPr>
        <w:t>; using that as a template</w:t>
      </w:r>
      <w:r w:rsidR="00E175C1">
        <w:rPr>
          <w:rFonts w:ascii="Garamond" w:hAnsi="Garamond" w:cstheme="minorHAnsi"/>
          <w:sz w:val="24"/>
          <w:szCs w:val="24"/>
          <w:lang w:val="en-GB"/>
        </w:rPr>
        <w:t>,</w:t>
      </w:r>
      <w:r w:rsidR="00A024BE" w:rsidRPr="00461D74">
        <w:rPr>
          <w:rFonts w:ascii="Garamond" w:hAnsi="Garamond" w:cstheme="minorHAnsi"/>
          <w:sz w:val="24"/>
          <w:szCs w:val="24"/>
          <w:lang w:val="en-GB"/>
        </w:rPr>
        <w:t xml:space="preserve"> I offer general desiderata </w:t>
      </w:r>
      <w:r w:rsidR="003C615C" w:rsidRPr="00461D74">
        <w:rPr>
          <w:rFonts w:ascii="Garamond" w:hAnsi="Garamond" w:cstheme="minorHAnsi"/>
          <w:sz w:val="24"/>
          <w:szCs w:val="24"/>
          <w:lang w:val="en-GB"/>
        </w:rPr>
        <w:t>for</w:t>
      </w:r>
      <w:r w:rsidR="00A024BE" w:rsidRPr="00461D74">
        <w:rPr>
          <w:rFonts w:ascii="Garamond" w:hAnsi="Garamond" w:cstheme="minorHAnsi"/>
          <w:sz w:val="24"/>
          <w:szCs w:val="24"/>
          <w:lang w:val="en-GB"/>
        </w:rPr>
        <w:t xml:space="preserve"> our proposed solution. Second, </w:t>
      </w:r>
      <w:r w:rsidR="00175E47" w:rsidRPr="00461D74">
        <w:rPr>
          <w:rFonts w:ascii="Garamond" w:hAnsi="Garamond" w:cstheme="minorHAnsi"/>
          <w:sz w:val="24"/>
          <w:szCs w:val="24"/>
          <w:lang w:val="en-GB"/>
        </w:rPr>
        <w:t xml:space="preserve">I move to consider an alternative pragmatist approach which I define as participatory democracy. </w:t>
      </w:r>
      <w:r w:rsidR="00BA6641" w:rsidRPr="00461D74">
        <w:rPr>
          <w:rFonts w:ascii="Garamond" w:hAnsi="Garamond" w:cstheme="minorHAnsi"/>
          <w:sz w:val="24"/>
          <w:szCs w:val="24"/>
          <w:lang w:val="en-GB"/>
        </w:rPr>
        <w:t xml:space="preserve">Third, </w:t>
      </w:r>
      <w:r w:rsidR="00175E47" w:rsidRPr="00461D74">
        <w:rPr>
          <w:rFonts w:ascii="Garamond" w:hAnsi="Garamond" w:cstheme="minorHAnsi"/>
          <w:sz w:val="24"/>
          <w:szCs w:val="24"/>
          <w:lang w:val="en-GB"/>
        </w:rPr>
        <w:t xml:space="preserve">I consider some examples of </w:t>
      </w:r>
      <w:r w:rsidR="00BA6641" w:rsidRPr="00461D74">
        <w:rPr>
          <w:rFonts w:ascii="Garamond" w:hAnsi="Garamond" w:cstheme="minorHAnsi"/>
          <w:sz w:val="24"/>
          <w:szCs w:val="24"/>
          <w:lang w:val="en-GB"/>
        </w:rPr>
        <w:t>just such an</w:t>
      </w:r>
      <w:r w:rsidR="00175E47" w:rsidRPr="00461D74">
        <w:rPr>
          <w:rFonts w:ascii="Garamond" w:hAnsi="Garamond" w:cstheme="minorHAnsi"/>
          <w:sz w:val="24"/>
          <w:szCs w:val="24"/>
          <w:lang w:val="en-GB"/>
        </w:rPr>
        <w:t xml:space="preserve"> </w:t>
      </w:r>
      <w:r w:rsidR="00BA6641" w:rsidRPr="00461D74">
        <w:rPr>
          <w:rFonts w:ascii="Garamond" w:hAnsi="Garamond" w:cstheme="minorHAnsi"/>
          <w:sz w:val="24"/>
          <w:szCs w:val="24"/>
          <w:lang w:val="en-GB"/>
        </w:rPr>
        <w:t xml:space="preserve">alternative (pragmatist) </w:t>
      </w:r>
      <w:r w:rsidR="00175E47" w:rsidRPr="00461D74">
        <w:rPr>
          <w:rFonts w:ascii="Garamond" w:hAnsi="Garamond" w:cstheme="minorHAnsi"/>
          <w:sz w:val="24"/>
          <w:szCs w:val="24"/>
          <w:lang w:val="en-GB"/>
        </w:rPr>
        <w:t xml:space="preserve">approach highlighted in the political accounts offered by Cheryl </w:t>
      </w:r>
      <w:proofErr w:type="spellStart"/>
      <w:r w:rsidR="00175E47" w:rsidRPr="00461D74">
        <w:rPr>
          <w:rFonts w:ascii="Garamond" w:hAnsi="Garamond" w:cstheme="minorHAnsi"/>
          <w:sz w:val="24"/>
          <w:szCs w:val="24"/>
          <w:lang w:val="en-GB"/>
        </w:rPr>
        <w:t>Misak</w:t>
      </w:r>
      <w:proofErr w:type="spellEnd"/>
      <w:r w:rsidR="00175E47" w:rsidRPr="00461D74">
        <w:rPr>
          <w:rFonts w:ascii="Garamond" w:hAnsi="Garamond" w:cstheme="minorHAnsi"/>
          <w:sz w:val="24"/>
          <w:szCs w:val="24"/>
          <w:lang w:val="en-GB"/>
        </w:rPr>
        <w:t xml:space="preserve">, Michael </w:t>
      </w:r>
      <w:proofErr w:type="spellStart"/>
      <w:r w:rsidR="00175E47" w:rsidRPr="00461D74">
        <w:rPr>
          <w:rFonts w:ascii="Garamond" w:hAnsi="Garamond" w:cstheme="minorHAnsi"/>
          <w:sz w:val="24"/>
          <w:szCs w:val="24"/>
          <w:lang w:val="en-GB"/>
        </w:rPr>
        <w:t>Walzer</w:t>
      </w:r>
      <w:proofErr w:type="spellEnd"/>
      <w:r w:rsidR="00175E47" w:rsidRPr="00461D74">
        <w:rPr>
          <w:rFonts w:ascii="Garamond" w:hAnsi="Garamond" w:cstheme="minorHAnsi"/>
          <w:sz w:val="24"/>
          <w:szCs w:val="24"/>
          <w:lang w:val="en-GB"/>
        </w:rPr>
        <w:t xml:space="preserve">, and John Dewey. </w:t>
      </w:r>
      <w:r w:rsidR="00145330" w:rsidRPr="00461D74">
        <w:rPr>
          <w:rFonts w:ascii="Garamond" w:hAnsi="Garamond" w:cstheme="minorHAnsi"/>
          <w:sz w:val="24"/>
          <w:szCs w:val="24"/>
          <w:lang w:val="en-GB"/>
        </w:rPr>
        <w:t xml:space="preserve">Next, I consider how the alternatives offered in the accounts of </w:t>
      </w:r>
      <w:proofErr w:type="spellStart"/>
      <w:r w:rsidR="00145330" w:rsidRPr="00461D74">
        <w:rPr>
          <w:rFonts w:ascii="Garamond" w:hAnsi="Garamond" w:cstheme="minorHAnsi"/>
          <w:sz w:val="24"/>
          <w:szCs w:val="24"/>
          <w:lang w:val="en-GB"/>
        </w:rPr>
        <w:t>Misak</w:t>
      </w:r>
      <w:proofErr w:type="spellEnd"/>
      <w:r w:rsidR="00145330" w:rsidRPr="00461D74">
        <w:rPr>
          <w:rFonts w:ascii="Garamond" w:hAnsi="Garamond" w:cstheme="minorHAnsi"/>
          <w:sz w:val="24"/>
          <w:szCs w:val="24"/>
          <w:lang w:val="en-GB"/>
        </w:rPr>
        <w:t xml:space="preserve">, </w:t>
      </w:r>
      <w:proofErr w:type="spellStart"/>
      <w:r w:rsidR="00145330" w:rsidRPr="00461D74">
        <w:rPr>
          <w:rFonts w:ascii="Garamond" w:hAnsi="Garamond" w:cstheme="minorHAnsi"/>
          <w:sz w:val="24"/>
          <w:szCs w:val="24"/>
          <w:lang w:val="en-GB"/>
        </w:rPr>
        <w:t>Walzer</w:t>
      </w:r>
      <w:proofErr w:type="spellEnd"/>
      <w:r w:rsidR="00145330" w:rsidRPr="00461D74">
        <w:rPr>
          <w:rFonts w:ascii="Garamond" w:hAnsi="Garamond" w:cstheme="minorHAnsi"/>
          <w:sz w:val="24"/>
          <w:szCs w:val="24"/>
          <w:lang w:val="en-GB"/>
        </w:rPr>
        <w:t xml:space="preserve">, and Dewey </w:t>
      </w:r>
      <w:r w:rsidR="00C52860" w:rsidRPr="00461D74">
        <w:rPr>
          <w:rFonts w:ascii="Garamond" w:hAnsi="Garamond" w:cstheme="minorHAnsi"/>
          <w:sz w:val="24"/>
          <w:szCs w:val="24"/>
          <w:lang w:val="en-GB"/>
        </w:rPr>
        <w:t>can potentially answer the problems outlined at the beginning of this chapter.</w:t>
      </w:r>
      <w:r w:rsidR="00BA6641" w:rsidRPr="00461D74">
        <w:rPr>
          <w:rFonts w:ascii="Garamond" w:hAnsi="Garamond" w:cstheme="minorHAnsi"/>
          <w:sz w:val="24"/>
          <w:szCs w:val="24"/>
          <w:lang w:val="en-GB"/>
        </w:rPr>
        <w:t xml:space="preserve"> </w:t>
      </w:r>
      <w:r w:rsidR="007654EC" w:rsidRPr="00461D74">
        <w:rPr>
          <w:rFonts w:ascii="Garamond" w:hAnsi="Garamond" w:cstheme="minorHAnsi"/>
          <w:sz w:val="24"/>
          <w:szCs w:val="24"/>
          <w:lang w:val="en-GB"/>
        </w:rPr>
        <w:t xml:space="preserve">I </w:t>
      </w:r>
      <w:r w:rsidR="00B4523F" w:rsidRPr="00461D74">
        <w:rPr>
          <w:rFonts w:ascii="Garamond" w:hAnsi="Garamond" w:cstheme="minorHAnsi"/>
          <w:sz w:val="24"/>
          <w:szCs w:val="24"/>
          <w:lang w:val="en-GB"/>
        </w:rPr>
        <w:t>then look</w:t>
      </w:r>
      <w:r w:rsidR="007654EC" w:rsidRPr="00461D74">
        <w:rPr>
          <w:rFonts w:ascii="Garamond" w:hAnsi="Garamond" w:cstheme="minorHAnsi"/>
          <w:sz w:val="24"/>
          <w:szCs w:val="24"/>
          <w:lang w:val="en-GB"/>
        </w:rPr>
        <w:t xml:space="preserve"> to answer a final possible objection: whether MacIntyre could acce</w:t>
      </w:r>
      <w:r w:rsidR="00B4523F" w:rsidRPr="00461D74">
        <w:rPr>
          <w:rFonts w:ascii="Garamond" w:hAnsi="Garamond" w:cstheme="minorHAnsi"/>
          <w:sz w:val="24"/>
          <w:szCs w:val="24"/>
          <w:lang w:val="en-GB"/>
        </w:rPr>
        <w:t xml:space="preserve">pt </w:t>
      </w:r>
      <w:r w:rsidR="003B3BFB" w:rsidRPr="00461D74">
        <w:rPr>
          <w:rFonts w:ascii="Garamond" w:hAnsi="Garamond" w:cstheme="minorHAnsi"/>
          <w:sz w:val="24"/>
          <w:szCs w:val="24"/>
          <w:lang w:val="en-GB"/>
        </w:rPr>
        <w:t xml:space="preserve">the proposed </w:t>
      </w:r>
      <w:r w:rsidR="00B4523F" w:rsidRPr="00461D74">
        <w:rPr>
          <w:rFonts w:ascii="Garamond" w:hAnsi="Garamond" w:cstheme="minorHAnsi"/>
          <w:sz w:val="24"/>
          <w:szCs w:val="24"/>
          <w:lang w:val="en-GB"/>
        </w:rPr>
        <w:t>alternative as a promising approach that is largely allied with his account</w:t>
      </w:r>
      <w:r w:rsidR="003B3BFB" w:rsidRPr="00461D74">
        <w:rPr>
          <w:rFonts w:ascii="Garamond" w:hAnsi="Garamond" w:cstheme="minorHAnsi"/>
          <w:sz w:val="24"/>
          <w:szCs w:val="24"/>
          <w:lang w:val="en-GB"/>
        </w:rPr>
        <w:t xml:space="preserve">, yet, one that can also be seen as </w:t>
      </w:r>
      <w:r w:rsidR="00B4523F" w:rsidRPr="00461D74">
        <w:rPr>
          <w:rFonts w:ascii="Garamond" w:hAnsi="Garamond" w:cstheme="minorHAnsi"/>
          <w:sz w:val="24"/>
          <w:szCs w:val="24"/>
          <w:lang w:val="en-GB"/>
        </w:rPr>
        <w:t xml:space="preserve">a </w:t>
      </w:r>
      <w:r w:rsidR="00B4523F" w:rsidRPr="00461D74">
        <w:rPr>
          <w:rFonts w:ascii="Garamond" w:hAnsi="Garamond" w:cstheme="minorHAnsi"/>
          <w:i/>
          <w:sz w:val="24"/>
          <w:szCs w:val="24"/>
          <w:lang w:val="en-GB"/>
        </w:rPr>
        <w:t>via media</w:t>
      </w:r>
      <w:r w:rsidR="00B4523F" w:rsidRPr="00461D74">
        <w:rPr>
          <w:rFonts w:ascii="Garamond" w:hAnsi="Garamond" w:cstheme="minorHAnsi"/>
          <w:sz w:val="24"/>
          <w:szCs w:val="24"/>
          <w:lang w:val="en-GB"/>
        </w:rPr>
        <w:t xml:space="preserve"> alternative</w:t>
      </w:r>
      <w:r w:rsidR="003B3BFB" w:rsidRPr="00461D74">
        <w:rPr>
          <w:rFonts w:ascii="Garamond" w:hAnsi="Garamond" w:cstheme="minorHAnsi"/>
          <w:sz w:val="24"/>
          <w:szCs w:val="24"/>
          <w:lang w:val="en-GB"/>
        </w:rPr>
        <w:t xml:space="preserve"> </w:t>
      </w:r>
      <w:r w:rsidR="00B4523F" w:rsidRPr="00461D74">
        <w:rPr>
          <w:rFonts w:ascii="Garamond" w:hAnsi="Garamond" w:cstheme="minorHAnsi"/>
          <w:sz w:val="24"/>
          <w:szCs w:val="24"/>
          <w:lang w:val="en-GB"/>
        </w:rPr>
        <w:t xml:space="preserve">that can </w:t>
      </w:r>
      <w:r w:rsidR="003B3BFB" w:rsidRPr="00461D74">
        <w:rPr>
          <w:rFonts w:ascii="Garamond" w:hAnsi="Garamond" w:cstheme="minorHAnsi"/>
          <w:sz w:val="24"/>
          <w:szCs w:val="24"/>
          <w:lang w:val="en-GB"/>
        </w:rPr>
        <w:t>act</w:t>
      </w:r>
      <w:r w:rsidR="00B4523F" w:rsidRPr="00461D74">
        <w:rPr>
          <w:rFonts w:ascii="Garamond" w:hAnsi="Garamond" w:cstheme="minorHAnsi"/>
          <w:sz w:val="24"/>
          <w:szCs w:val="24"/>
          <w:lang w:val="en-GB"/>
        </w:rPr>
        <w:t xml:space="preserve"> </w:t>
      </w:r>
      <w:r w:rsidR="003B3BFB" w:rsidRPr="00461D74">
        <w:rPr>
          <w:rFonts w:ascii="Garamond" w:hAnsi="Garamond" w:cstheme="minorHAnsi"/>
          <w:sz w:val="24"/>
          <w:szCs w:val="24"/>
          <w:lang w:val="en-GB"/>
        </w:rPr>
        <w:t xml:space="preserve">as </w:t>
      </w:r>
      <w:r w:rsidR="00B4523F" w:rsidRPr="00461D74">
        <w:rPr>
          <w:rFonts w:ascii="Garamond" w:hAnsi="Garamond" w:cstheme="minorHAnsi"/>
          <w:sz w:val="24"/>
          <w:szCs w:val="24"/>
          <w:lang w:val="en-GB"/>
        </w:rPr>
        <w:t xml:space="preserve">a bridge between standard liberal accounts, and more normatively inclined approaches </w:t>
      </w:r>
      <w:r w:rsidR="003B3BFB" w:rsidRPr="00461D74">
        <w:rPr>
          <w:rFonts w:ascii="Garamond" w:hAnsi="Garamond" w:cstheme="minorHAnsi"/>
          <w:sz w:val="24"/>
          <w:szCs w:val="24"/>
          <w:lang w:val="en-GB"/>
        </w:rPr>
        <w:t xml:space="preserve">to moral/political philosophy </w:t>
      </w:r>
      <w:r w:rsidR="00B4523F" w:rsidRPr="00461D74">
        <w:rPr>
          <w:rFonts w:ascii="Garamond" w:hAnsi="Garamond" w:cstheme="minorHAnsi"/>
          <w:sz w:val="24"/>
          <w:szCs w:val="24"/>
          <w:lang w:val="en-GB"/>
        </w:rPr>
        <w:t>for which his account stands as a prime example. Finally</w:t>
      </w:r>
      <w:r w:rsidR="00854BC1" w:rsidRPr="00461D74">
        <w:rPr>
          <w:rFonts w:ascii="Garamond" w:hAnsi="Garamond" w:cstheme="minorHAnsi"/>
          <w:sz w:val="24"/>
          <w:szCs w:val="24"/>
          <w:lang w:val="en-GB"/>
        </w:rPr>
        <w:t>,</w:t>
      </w:r>
      <w:r w:rsidR="00B4523F" w:rsidRPr="00461D74">
        <w:rPr>
          <w:rFonts w:ascii="Garamond" w:hAnsi="Garamond" w:cstheme="minorHAnsi"/>
          <w:sz w:val="24"/>
          <w:szCs w:val="24"/>
          <w:lang w:val="en-GB"/>
        </w:rPr>
        <w:t xml:space="preserve"> I conclude wit</w:t>
      </w:r>
      <w:r w:rsidR="007A4964" w:rsidRPr="00461D74">
        <w:rPr>
          <w:rFonts w:ascii="Garamond" w:hAnsi="Garamond" w:cstheme="minorHAnsi"/>
          <w:sz w:val="24"/>
          <w:szCs w:val="24"/>
          <w:lang w:val="en-GB"/>
        </w:rPr>
        <w:t>h some conceptual possibilities</w:t>
      </w:r>
      <w:r w:rsidR="00B4523F" w:rsidRPr="00461D74">
        <w:rPr>
          <w:rFonts w:ascii="Garamond" w:hAnsi="Garamond" w:cstheme="minorHAnsi"/>
          <w:sz w:val="24"/>
          <w:szCs w:val="24"/>
          <w:lang w:val="en-GB"/>
        </w:rPr>
        <w:t xml:space="preserve"> as well as some practical examples by which we can defend sma</w:t>
      </w:r>
      <w:r w:rsidR="007A4964" w:rsidRPr="00461D74">
        <w:rPr>
          <w:rFonts w:ascii="Garamond" w:hAnsi="Garamond" w:cstheme="minorHAnsi"/>
          <w:sz w:val="24"/>
          <w:szCs w:val="24"/>
          <w:lang w:val="en-GB"/>
        </w:rPr>
        <w:t>ll-scale political arrangements</w:t>
      </w:r>
      <w:r w:rsidR="00854BC1" w:rsidRPr="00461D74">
        <w:rPr>
          <w:rFonts w:ascii="Garamond" w:hAnsi="Garamond" w:cstheme="minorHAnsi"/>
          <w:sz w:val="24"/>
          <w:szCs w:val="24"/>
          <w:lang w:val="en-GB"/>
        </w:rPr>
        <w:t>,</w:t>
      </w:r>
      <w:r w:rsidR="00B4523F" w:rsidRPr="00461D74">
        <w:rPr>
          <w:rFonts w:ascii="Garamond" w:hAnsi="Garamond" w:cstheme="minorHAnsi"/>
          <w:sz w:val="24"/>
          <w:szCs w:val="24"/>
          <w:lang w:val="en-GB"/>
        </w:rPr>
        <w:t xml:space="preserve"> since </w:t>
      </w:r>
      <w:r w:rsidR="00854BC1" w:rsidRPr="00461D74">
        <w:rPr>
          <w:rFonts w:ascii="Garamond" w:hAnsi="Garamond" w:cstheme="minorHAnsi"/>
          <w:sz w:val="24"/>
          <w:szCs w:val="24"/>
          <w:lang w:val="en-GB"/>
        </w:rPr>
        <w:t>mounting such</w:t>
      </w:r>
      <w:r w:rsidR="007A4964" w:rsidRPr="00461D74">
        <w:rPr>
          <w:rFonts w:ascii="Garamond" w:hAnsi="Garamond" w:cstheme="minorHAnsi"/>
          <w:sz w:val="24"/>
          <w:szCs w:val="24"/>
          <w:lang w:val="en-GB"/>
        </w:rPr>
        <w:t xml:space="preserve"> a defence </w:t>
      </w:r>
      <w:r w:rsidR="00854BC1" w:rsidRPr="00461D74">
        <w:rPr>
          <w:rFonts w:ascii="Garamond" w:hAnsi="Garamond" w:cstheme="minorHAnsi"/>
          <w:sz w:val="24"/>
          <w:szCs w:val="24"/>
          <w:lang w:val="en-GB"/>
        </w:rPr>
        <w:t>remains</w:t>
      </w:r>
      <w:r w:rsidR="00B4523F" w:rsidRPr="00461D74">
        <w:rPr>
          <w:rFonts w:ascii="Garamond" w:hAnsi="Garamond" w:cstheme="minorHAnsi"/>
          <w:sz w:val="24"/>
          <w:szCs w:val="24"/>
          <w:lang w:val="en-GB"/>
        </w:rPr>
        <w:t xml:space="preserve"> a chief concern of MacIntyre’s political account.</w:t>
      </w:r>
    </w:p>
    <w:p w:rsidR="009B08FB" w:rsidRPr="00461D74" w:rsidRDefault="009B08FB" w:rsidP="00164E4D">
      <w:pPr>
        <w:pStyle w:val="Heading1"/>
        <w:spacing w:line="360" w:lineRule="auto"/>
        <w:jc w:val="both"/>
        <w:rPr>
          <w:rFonts w:ascii="Garamond" w:hAnsi="Garamond"/>
        </w:rPr>
        <w:sectPr w:rsidR="009B08FB" w:rsidRPr="00461D74" w:rsidSect="00A2752B">
          <w:footerReference w:type="default" r:id="rId9"/>
          <w:footnotePr>
            <w:numRestart w:val="eachSect"/>
          </w:footnotePr>
          <w:pgSz w:w="11907" w:h="16839" w:code="9"/>
          <w:pgMar w:top="1985" w:right="2268" w:bottom="2268" w:left="2268" w:header="709" w:footer="709" w:gutter="0"/>
          <w:pgNumType w:start="1"/>
          <w:cols w:space="708"/>
          <w:docGrid w:linePitch="360"/>
          <w:sectPrChange w:id="5" w:author="Ahmad Fattah" w:date="2018-11-30T11:54:00Z">
            <w:sectPr w:rsidR="009B08FB" w:rsidRPr="00461D74" w:rsidSect="00A2752B">
              <w:pgSz w:w="12240" w:h="15840" w:code="0"/>
            </w:sectPr>
          </w:sectPrChange>
        </w:sectPr>
      </w:pPr>
    </w:p>
    <w:p w:rsidR="00665157" w:rsidRDefault="00016049">
      <w:pPr>
        <w:pStyle w:val="Heading1"/>
        <w:spacing w:line="360" w:lineRule="auto"/>
        <w:jc w:val="both"/>
        <w:rPr>
          <w:rFonts w:cstheme="majorHAnsi"/>
        </w:rPr>
      </w:pPr>
      <w:bookmarkStart w:id="6" w:name="_Toc528077788"/>
      <w:r w:rsidRPr="00461D74">
        <w:rPr>
          <w:rFonts w:cstheme="majorHAnsi"/>
        </w:rPr>
        <w:lastRenderedPageBreak/>
        <w:t>Chapter 1</w:t>
      </w:r>
      <w:r w:rsidR="00996D1B" w:rsidRPr="00461D74">
        <w:rPr>
          <w:rFonts w:cstheme="majorHAnsi"/>
        </w:rPr>
        <w:t>:</w:t>
      </w:r>
      <w:r w:rsidR="0079724B" w:rsidRPr="00461D74">
        <w:rPr>
          <w:rFonts w:cstheme="majorHAnsi"/>
        </w:rPr>
        <w:t xml:space="preserve"> MacIntyre’s </w:t>
      </w:r>
      <w:r w:rsidR="00E7193C" w:rsidRPr="00461D74">
        <w:rPr>
          <w:rFonts w:cstheme="majorHAnsi"/>
        </w:rPr>
        <w:t>H</w:t>
      </w:r>
      <w:r w:rsidR="0079724B" w:rsidRPr="00461D74">
        <w:rPr>
          <w:rFonts w:cstheme="majorHAnsi"/>
        </w:rPr>
        <w:t xml:space="preserve">istorical </w:t>
      </w:r>
      <w:r w:rsidR="00E7193C" w:rsidRPr="00461D74">
        <w:rPr>
          <w:rFonts w:cstheme="majorHAnsi"/>
        </w:rPr>
        <w:t>T</w:t>
      </w:r>
      <w:r w:rsidR="0079724B" w:rsidRPr="00461D74">
        <w:rPr>
          <w:rFonts w:cstheme="majorHAnsi"/>
        </w:rPr>
        <w:t>radition-</w:t>
      </w:r>
      <w:r w:rsidR="0077419A" w:rsidRPr="00461D74">
        <w:rPr>
          <w:rFonts w:cstheme="majorHAnsi"/>
        </w:rPr>
        <w:t>Guided</w:t>
      </w:r>
      <w:r w:rsidR="00646E8B" w:rsidRPr="00461D74">
        <w:rPr>
          <w:rFonts w:cstheme="majorHAnsi"/>
        </w:rPr>
        <w:t xml:space="preserve"> </w:t>
      </w:r>
      <w:r w:rsidR="00E7193C" w:rsidRPr="00461D74">
        <w:rPr>
          <w:rFonts w:cstheme="majorHAnsi"/>
        </w:rPr>
        <w:t>A</w:t>
      </w:r>
      <w:r w:rsidR="00153C61" w:rsidRPr="00461D74">
        <w:rPr>
          <w:rFonts w:cstheme="majorHAnsi"/>
        </w:rPr>
        <w:t xml:space="preserve">ccount of </w:t>
      </w:r>
      <w:r w:rsidR="00E7193C" w:rsidRPr="00461D74">
        <w:rPr>
          <w:rFonts w:cstheme="majorHAnsi"/>
        </w:rPr>
        <w:t>M</w:t>
      </w:r>
      <w:r w:rsidR="00646E8B" w:rsidRPr="00461D74">
        <w:rPr>
          <w:rFonts w:cstheme="majorHAnsi"/>
        </w:rPr>
        <w:t>oral</w:t>
      </w:r>
      <w:r w:rsidR="0079724B" w:rsidRPr="00461D74">
        <w:rPr>
          <w:rFonts w:cstheme="majorHAnsi"/>
        </w:rPr>
        <w:t xml:space="preserve"> </w:t>
      </w:r>
      <w:r w:rsidR="00E7193C" w:rsidRPr="00461D74">
        <w:rPr>
          <w:rFonts w:cstheme="majorHAnsi"/>
        </w:rPr>
        <w:t>I</w:t>
      </w:r>
      <w:r w:rsidR="0079724B" w:rsidRPr="00461D74">
        <w:rPr>
          <w:rFonts w:cstheme="majorHAnsi"/>
        </w:rPr>
        <w:t>nquiry</w:t>
      </w:r>
      <w:bookmarkEnd w:id="6"/>
      <w:r w:rsidR="0079724B" w:rsidRPr="00461D74">
        <w:rPr>
          <w:rFonts w:cstheme="majorHAnsi"/>
        </w:rPr>
        <w:t xml:space="preserve"> </w:t>
      </w:r>
    </w:p>
    <w:p w:rsidR="00665157" w:rsidRDefault="00665157">
      <w:pPr>
        <w:spacing w:line="360" w:lineRule="auto"/>
        <w:jc w:val="both"/>
        <w:rPr>
          <w:rFonts w:ascii="Garamond" w:hAnsi="Garamond"/>
          <w:sz w:val="24"/>
          <w:szCs w:val="24"/>
        </w:rPr>
      </w:pPr>
    </w:p>
    <w:p w:rsidR="00665157" w:rsidRDefault="00195ABA">
      <w:pPr>
        <w:pStyle w:val="Heading2"/>
        <w:spacing w:line="360" w:lineRule="auto"/>
        <w:jc w:val="both"/>
        <w:rPr>
          <w:rFonts w:cstheme="majorHAnsi"/>
        </w:rPr>
      </w:pPr>
      <w:bookmarkStart w:id="7" w:name="_Toc528077789"/>
      <w:r w:rsidRPr="00461D74">
        <w:rPr>
          <w:rFonts w:cstheme="majorHAnsi"/>
        </w:rPr>
        <w:t xml:space="preserve">1. </w:t>
      </w:r>
      <w:r w:rsidR="00016049" w:rsidRPr="00461D74">
        <w:rPr>
          <w:rFonts w:cstheme="majorHAnsi"/>
        </w:rPr>
        <w:t>Introduction</w:t>
      </w:r>
      <w:bookmarkEnd w:id="7"/>
    </w:p>
    <w:p w:rsidR="00EC6689" w:rsidRPr="00461D74" w:rsidRDefault="00EC6689" w:rsidP="00164E4D">
      <w:pPr>
        <w:spacing w:line="360" w:lineRule="auto"/>
        <w:jc w:val="both"/>
        <w:rPr>
          <w:rFonts w:ascii="Garamond" w:hAnsi="Garamond"/>
          <w:sz w:val="24"/>
          <w:szCs w:val="24"/>
        </w:rPr>
      </w:pP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 xml:space="preserve">Alasdair MacIntyre’s philosophical project should be best understood as a stark challenge to the </w:t>
      </w:r>
      <w:r w:rsidR="000C71A5">
        <w:rPr>
          <w:rFonts w:ascii="Garamond" w:hAnsi="Garamond"/>
          <w:sz w:val="24"/>
          <w:szCs w:val="24"/>
        </w:rPr>
        <w:t xml:space="preserve">terms in which </w:t>
      </w:r>
      <w:r w:rsidR="00F10253">
        <w:rPr>
          <w:rFonts w:ascii="Garamond" w:hAnsi="Garamond"/>
          <w:sz w:val="24"/>
          <w:szCs w:val="24"/>
        </w:rPr>
        <w:t>a variety</w:t>
      </w:r>
      <w:r w:rsidR="000C71A5">
        <w:rPr>
          <w:rFonts w:ascii="Garamond" w:hAnsi="Garamond"/>
          <w:sz w:val="24"/>
          <w:szCs w:val="24"/>
        </w:rPr>
        <w:t xml:space="preserve"> of debates in </w:t>
      </w:r>
      <w:r w:rsidRPr="00461D74">
        <w:rPr>
          <w:rFonts w:ascii="Garamond" w:hAnsi="Garamond"/>
          <w:sz w:val="24"/>
          <w:szCs w:val="24"/>
        </w:rPr>
        <w:t>contemporary moral and political philosophy</w:t>
      </w:r>
      <w:r w:rsidR="00A67097" w:rsidRPr="00461D74">
        <w:rPr>
          <w:rFonts w:ascii="Garamond" w:hAnsi="Garamond"/>
          <w:sz w:val="24"/>
          <w:szCs w:val="24"/>
        </w:rPr>
        <w:t xml:space="preserve"> </w:t>
      </w:r>
      <w:r w:rsidR="000C71A5">
        <w:rPr>
          <w:rFonts w:ascii="Garamond" w:hAnsi="Garamond"/>
          <w:sz w:val="24"/>
          <w:szCs w:val="24"/>
        </w:rPr>
        <w:t>are structured</w:t>
      </w:r>
      <w:r w:rsidRPr="00461D74">
        <w:rPr>
          <w:rFonts w:ascii="Garamond" w:hAnsi="Garamond"/>
          <w:sz w:val="24"/>
          <w:szCs w:val="24"/>
        </w:rPr>
        <w:t xml:space="preserve">. </w:t>
      </w:r>
      <w:r w:rsidR="000C71A5">
        <w:rPr>
          <w:rFonts w:ascii="Garamond" w:hAnsi="Garamond"/>
          <w:sz w:val="24"/>
          <w:szCs w:val="24"/>
        </w:rPr>
        <w:t xml:space="preserve">Now, </w:t>
      </w:r>
      <w:r w:rsidRPr="00461D74">
        <w:rPr>
          <w:rFonts w:ascii="Garamond" w:hAnsi="Garamond"/>
          <w:sz w:val="24"/>
          <w:szCs w:val="24"/>
        </w:rPr>
        <w:t>MacIntyre</w:t>
      </w:r>
      <w:r w:rsidR="000C71A5">
        <w:rPr>
          <w:rFonts w:ascii="Garamond" w:hAnsi="Garamond"/>
          <w:sz w:val="24"/>
          <w:szCs w:val="24"/>
        </w:rPr>
        <w:t>’s challenge should not be viewed as affording</w:t>
      </w:r>
      <w:r w:rsidRPr="00461D74">
        <w:rPr>
          <w:rFonts w:ascii="Garamond" w:hAnsi="Garamond"/>
          <w:sz w:val="24"/>
          <w:szCs w:val="24"/>
        </w:rPr>
        <w:t xml:space="preserve"> </w:t>
      </w:r>
      <w:r w:rsidR="00664346" w:rsidRPr="00461D74">
        <w:rPr>
          <w:rFonts w:ascii="Garamond" w:hAnsi="Garamond"/>
          <w:sz w:val="24"/>
          <w:szCs w:val="24"/>
        </w:rPr>
        <w:t xml:space="preserve">us </w:t>
      </w:r>
      <w:r w:rsidRPr="00461D74">
        <w:rPr>
          <w:rFonts w:ascii="Garamond" w:hAnsi="Garamond"/>
          <w:sz w:val="24"/>
          <w:szCs w:val="24"/>
        </w:rPr>
        <w:t xml:space="preserve">another set of arguments that challenge this or that particular view in moral and political philosophy. Instead, he is placing the complete philosophical framework of modern moral discourse under question. This challenge to the prevalent modern modes of moral </w:t>
      </w:r>
      <w:r w:rsidR="00A67097" w:rsidRPr="00461D74">
        <w:rPr>
          <w:rFonts w:ascii="Garamond" w:hAnsi="Garamond"/>
          <w:sz w:val="24"/>
          <w:szCs w:val="24"/>
        </w:rPr>
        <w:t xml:space="preserve">theorising </w:t>
      </w:r>
      <w:r w:rsidRPr="00461D74">
        <w:rPr>
          <w:rFonts w:ascii="Garamond" w:hAnsi="Garamond"/>
          <w:sz w:val="24"/>
          <w:szCs w:val="24"/>
        </w:rPr>
        <w:t xml:space="preserve">does not only take place at the level of philosophy, but also sociology, anthropology, politics, and economics. In order to best understand MacIntyre’s challenge, perhaps there is no better way to begin our exploration </w:t>
      </w:r>
      <w:r w:rsidR="00411D7A" w:rsidRPr="00461D74">
        <w:rPr>
          <w:rFonts w:ascii="Garamond" w:hAnsi="Garamond"/>
          <w:sz w:val="24"/>
          <w:szCs w:val="24"/>
        </w:rPr>
        <w:t xml:space="preserve">than </w:t>
      </w:r>
      <w:r w:rsidRPr="00461D74">
        <w:rPr>
          <w:rFonts w:ascii="Garamond" w:hAnsi="Garamond"/>
          <w:sz w:val="24"/>
          <w:szCs w:val="24"/>
        </w:rPr>
        <w:t xml:space="preserve">with a hypothesis that he presents to his reader at the beginning of </w:t>
      </w:r>
      <w:r w:rsidRPr="00461D74">
        <w:rPr>
          <w:rFonts w:ascii="Garamond" w:hAnsi="Garamond"/>
          <w:i/>
          <w:iCs/>
          <w:sz w:val="24"/>
          <w:szCs w:val="24"/>
        </w:rPr>
        <w:t>After Virtue</w:t>
      </w:r>
      <w:proofErr w:type="gramStart"/>
      <w:r w:rsidR="00280475" w:rsidRPr="00461D74">
        <w:rPr>
          <w:rFonts w:ascii="Garamond" w:hAnsi="Garamond"/>
          <w:sz w:val="24"/>
          <w:szCs w:val="24"/>
        </w:rPr>
        <w:t>,</w:t>
      </w:r>
      <w:proofErr w:type="gramEnd"/>
      <w:r w:rsidR="00E20A7B" w:rsidRPr="00461D74">
        <w:rPr>
          <w:rStyle w:val="FootnoteReference"/>
          <w:rFonts w:ascii="Garamond" w:hAnsi="Garamond"/>
          <w:sz w:val="24"/>
          <w:szCs w:val="24"/>
        </w:rPr>
        <w:footnoteReference w:id="13"/>
      </w:r>
      <w:r w:rsidR="00280475" w:rsidRPr="00461D74">
        <w:rPr>
          <w:rFonts w:ascii="Garamond" w:hAnsi="Garamond"/>
          <w:sz w:val="24"/>
          <w:szCs w:val="24"/>
        </w:rPr>
        <w:t>often considered MacIntyre’s most important work.</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MacIntyre presents us with the example of a fictional world where a series of catastrophes are blamed on natural science. In the aftermath of these disasters a political movement against science</w:t>
      </w:r>
      <w:r w:rsidR="00FE0247" w:rsidRPr="00461D74">
        <w:rPr>
          <w:rFonts w:ascii="Garamond" w:hAnsi="Garamond"/>
          <w:sz w:val="24"/>
          <w:szCs w:val="24"/>
        </w:rPr>
        <w:t xml:space="preserve"> and scientific understanding</w:t>
      </w:r>
      <w:r w:rsidRPr="00461D74">
        <w:rPr>
          <w:rFonts w:ascii="Garamond" w:hAnsi="Garamond"/>
          <w:sz w:val="24"/>
          <w:szCs w:val="24"/>
        </w:rPr>
        <w:t xml:space="preserve"> takes power. Scientific books are burned, scientists are killed or executed, science labs are </w:t>
      </w:r>
      <w:r w:rsidRPr="00461D74">
        <w:rPr>
          <w:rFonts w:ascii="Garamond" w:hAnsi="Garamond"/>
          <w:sz w:val="24"/>
          <w:szCs w:val="24"/>
        </w:rPr>
        <w:lastRenderedPageBreak/>
        <w:t>destroyed, and the teaching of all science is banned. Much later on, perhaps</w:t>
      </w:r>
      <w:r w:rsidR="00FE0247" w:rsidRPr="00461D74">
        <w:rPr>
          <w:rFonts w:ascii="Garamond" w:hAnsi="Garamond"/>
          <w:sz w:val="24"/>
          <w:szCs w:val="24"/>
        </w:rPr>
        <w:t>,</w:t>
      </w:r>
      <w:r w:rsidRPr="00461D74">
        <w:rPr>
          <w:rFonts w:ascii="Garamond" w:hAnsi="Garamond"/>
          <w:sz w:val="24"/>
          <w:szCs w:val="24"/>
        </w:rPr>
        <w:t xml:space="preserve"> </w:t>
      </w:r>
      <w:r w:rsidR="00FE0247" w:rsidRPr="00461D74">
        <w:rPr>
          <w:rFonts w:ascii="Garamond" w:hAnsi="Garamond"/>
          <w:sz w:val="24"/>
          <w:szCs w:val="24"/>
        </w:rPr>
        <w:t xml:space="preserve">after </w:t>
      </w:r>
      <w:r w:rsidRPr="00461D74">
        <w:rPr>
          <w:rFonts w:ascii="Garamond" w:hAnsi="Garamond"/>
          <w:sz w:val="24"/>
          <w:szCs w:val="24"/>
        </w:rPr>
        <w:t xml:space="preserve">many generations, a revival </w:t>
      </w:r>
      <w:r w:rsidR="00FE0247" w:rsidRPr="00461D74">
        <w:rPr>
          <w:rFonts w:ascii="Garamond" w:hAnsi="Garamond"/>
          <w:sz w:val="24"/>
          <w:szCs w:val="24"/>
        </w:rPr>
        <w:t xml:space="preserve">scientific </w:t>
      </w:r>
      <w:r w:rsidRPr="00461D74">
        <w:rPr>
          <w:rFonts w:ascii="Garamond" w:hAnsi="Garamond"/>
          <w:sz w:val="24"/>
          <w:szCs w:val="24"/>
        </w:rPr>
        <w:t xml:space="preserve">movement </w:t>
      </w:r>
      <w:r w:rsidR="00236EF1" w:rsidRPr="00461D74">
        <w:rPr>
          <w:rFonts w:ascii="Garamond" w:hAnsi="Garamond"/>
          <w:sz w:val="24"/>
          <w:szCs w:val="24"/>
        </w:rPr>
        <w:t>attracts</w:t>
      </w:r>
      <w:r w:rsidRPr="00461D74">
        <w:rPr>
          <w:rFonts w:ascii="Garamond" w:hAnsi="Garamond"/>
          <w:sz w:val="24"/>
          <w:szCs w:val="24"/>
        </w:rPr>
        <w:t xml:space="preserve"> adherents who strive to restore humanity’s scientific culture. </w:t>
      </w:r>
      <w:r w:rsidR="0083044A" w:rsidRPr="00461D74">
        <w:rPr>
          <w:rFonts w:ascii="Garamond" w:hAnsi="Garamond"/>
          <w:sz w:val="24"/>
          <w:szCs w:val="24"/>
        </w:rPr>
        <w:t xml:space="preserve">However, a </w:t>
      </w:r>
      <w:r w:rsidRPr="00461D74">
        <w:rPr>
          <w:rFonts w:ascii="Garamond" w:hAnsi="Garamond"/>
          <w:sz w:val="24"/>
          <w:szCs w:val="24"/>
        </w:rPr>
        <w:t>problem that present</w:t>
      </w:r>
      <w:r w:rsidR="0083044A" w:rsidRPr="00461D74">
        <w:rPr>
          <w:rFonts w:ascii="Garamond" w:hAnsi="Garamond"/>
          <w:sz w:val="24"/>
          <w:szCs w:val="24"/>
        </w:rPr>
        <w:t>s itself</w:t>
      </w:r>
      <w:r w:rsidRPr="00461D74">
        <w:rPr>
          <w:rFonts w:ascii="Garamond" w:hAnsi="Garamond"/>
          <w:sz w:val="24"/>
          <w:szCs w:val="24"/>
        </w:rPr>
        <w:t xml:space="preserve"> for those seeking this revival is that from the remnants of the science practiced in earlier times, </w:t>
      </w:r>
      <w:r w:rsidR="0083044A" w:rsidRPr="00461D74">
        <w:rPr>
          <w:rFonts w:ascii="Garamond" w:hAnsi="Garamond"/>
          <w:sz w:val="24"/>
          <w:szCs w:val="24"/>
        </w:rPr>
        <w:t xml:space="preserve">nothing more than </w:t>
      </w:r>
      <w:r w:rsidRPr="00461D74">
        <w:rPr>
          <w:rFonts w:ascii="Garamond" w:hAnsi="Garamond"/>
          <w:sz w:val="24"/>
          <w:szCs w:val="24"/>
        </w:rPr>
        <w:t xml:space="preserve">partial fragments </w:t>
      </w:r>
      <w:r w:rsidR="0083044A" w:rsidRPr="00461D74">
        <w:rPr>
          <w:rFonts w:ascii="Garamond" w:hAnsi="Garamond"/>
          <w:sz w:val="24"/>
          <w:szCs w:val="24"/>
        </w:rPr>
        <w:t>have survived the uprooting of science and scientific inquiry</w:t>
      </w:r>
      <w:r w:rsidRPr="00461D74">
        <w:rPr>
          <w:rFonts w:ascii="Garamond" w:hAnsi="Garamond"/>
          <w:sz w:val="24"/>
          <w:szCs w:val="24"/>
        </w:rPr>
        <w:t xml:space="preserve">; and because those aspiring to revive the lost scientific culture are only able to put together disparate charred fragments of this earlier science, </w:t>
      </w:r>
      <w:r w:rsidR="0091322D" w:rsidRPr="00461D74">
        <w:rPr>
          <w:rFonts w:ascii="Garamond" w:hAnsi="Garamond"/>
          <w:sz w:val="24"/>
          <w:szCs w:val="24"/>
        </w:rPr>
        <w:t>the</w:t>
      </w:r>
      <w:r w:rsidRPr="00461D74">
        <w:rPr>
          <w:rFonts w:ascii="Garamond" w:hAnsi="Garamond"/>
          <w:sz w:val="24"/>
          <w:szCs w:val="24"/>
        </w:rPr>
        <w:t xml:space="preserve"> result </w:t>
      </w:r>
      <w:r w:rsidR="0091322D" w:rsidRPr="00461D74">
        <w:rPr>
          <w:rFonts w:ascii="Garamond" w:hAnsi="Garamond"/>
          <w:sz w:val="24"/>
          <w:szCs w:val="24"/>
        </w:rPr>
        <w:t xml:space="preserve">is that </w:t>
      </w:r>
      <w:r w:rsidRPr="00461D74">
        <w:rPr>
          <w:rFonts w:ascii="Garamond" w:hAnsi="Garamond"/>
          <w:sz w:val="24"/>
          <w:szCs w:val="24"/>
        </w:rPr>
        <w:t xml:space="preserve">this reconstituted scientific knowledge is itself fragmented and incoherent. So for example: theories are not understood in the context of other core theories that </w:t>
      </w:r>
      <w:r w:rsidR="00D335F0" w:rsidRPr="00461D74">
        <w:rPr>
          <w:rFonts w:ascii="Garamond" w:hAnsi="Garamond"/>
          <w:sz w:val="24"/>
          <w:szCs w:val="24"/>
        </w:rPr>
        <w:t>are now</w:t>
      </w:r>
      <w:r w:rsidRPr="00461D74">
        <w:rPr>
          <w:rFonts w:ascii="Garamond" w:hAnsi="Garamond"/>
          <w:sz w:val="24"/>
          <w:szCs w:val="24"/>
        </w:rPr>
        <w:t xml:space="preserve"> lost; partial observational data is divorced and separated from the theoretical context in which it was coherent; scientific instruments and their observational uses that were developed in the context of a complete theoretical framework, are no longer coherent in the wider context of what can be described as a partially resuscitated fragmented science. The upshot of MacIntyre’s example is that in this imaginary world, the language of natural science because it was </w:t>
      </w:r>
      <w:r w:rsidR="00D335F0" w:rsidRPr="00461D74">
        <w:rPr>
          <w:rFonts w:ascii="Garamond" w:hAnsi="Garamond"/>
          <w:sz w:val="24"/>
          <w:szCs w:val="24"/>
        </w:rPr>
        <w:t xml:space="preserve">fashioned anew </w:t>
      </w:r>
      <w:r w:rsidRPr="00461D74">
        <w:rPr>
          <w:rFonts w:ascii="Garamond" w:hAnsi="Garamond"/>
          <w:sz w:val="24"/>
          <w:szCs w:val="24"/>
        </w:rPr>
        <w:t xml:space="preserve">in an ad hoc fragmentary </w:t>
      </w:r>
      <w:r w:rsidR="00D335F0" w:rsidRPr="00461D74">
        <w:rPr>
          <w:rFonts w:ascii="Garamond" w:hAnsi="Garamond"/>
          <w:sz w:val="24"/>
          <w:szCs w:val="24"/>
        </w:rPr>
        <w:t>manner</w:t>
      </w:r>
      <w:r w:rsidRPr="00461D74">
        <w:rPr>
          <w:rFonts w:ascii="Garamond" w:hAnsi="Garamond"/>
          <w:sz w:val="24"/>
          <w:szCs w:val="24"/>
        </w:rPr>
        <w:t xml:space="preserve">, </w:t>
      </w:r>
      <w:r w:rsidR="00D335F0" w:rsidRPr="00461D74">
        <w:rPr>
          <w:rFonts w:ascii="Garamond" w:hAnsi="Garamond"/>
          <w:sz w:val="24"/>
          <w:szCs w:val="24"/>
        </w:rPr>
        <w:t xml:space="preserve">remains </w:t>
      </w:r>
      <w:r w:rsidRPr="00461D74">
        <w:rPr>
          <w:rFonts w:ascii="Garamond" w:hAnsi="Garamond"/>
          <w:sz w:val="24"/>
          <w:szCs w:val="24"/>
        </w:rPr>
        <w:t>in a state of disorder.</w:t>
      </w:r>
      <w:r w:rsidRPr="00461D74">
        <w:rPr>
          <w:rStyle w:val="FootnoteReference"/>
          <w:rFonts w:ascii="Garamond" w:hAnsi="Garamond"/>
          <w:sz w:val="24"/>
          <w:szCs w:val="24"/>
        </w:rPr>
        <w:footnoteReference w:id="14"/>
      </w:r>
    </w:p>
    <w:p w:rsidR="00340474"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MacIntyre then advances his far-reaching and controversial hypothesis with respect to modern moral philosophy</w:t>
      </w:r>
      <w:r w:rsidR="003A7F5D" w:rsidRPr="00461D74">
        <w:rPr>
          <w:rFonts w:ascii="Garamond" w:hAnsi="Garamond"/>
          <w:sz w:val="24"/>
          <w:szCs w:val="24"/>
        </w:rPr>
        <w:t>:</w:t>
      </w:r>
    </w:p>
    <w:p w:rsidR="00016049" w:rsidRPr="00461D74" w:rsidRDefault="00016049" w:rsidP="00164E4D">
      <w:pPr>
        <w:spacing w:line="360" w:lineRule="auto"/>
        <w:ind w:left="1440"/>
        <w:jc w:val="both"/>
        <w:rPr>
          <w:rFonts w:ascii="Garamond" w:hAnsi="Garamond"/>
        </w:rPr>
      </w:pPr>
      <w:r w:rsidRPr="00461D74">
        <w:rPr>
          <w:rFonts w:ascii="Garamond" w:hAnsi="Garamond"/>
        </w:rPr>
        <w:t>“</w:t>
      </w:r>
      <w:proofErr w:type="gramStart"/>
      <w:r w:rsidRPr="00461D74">
        <w:rPr>
          <w:rFonts w:ascii="Garamond" w:hAnsi="Garamond"/>
        </w:rPr>
        <w:t>that</w:t>
      </w:r>
      <w:proofErr w:type="gramEnd"/>
      <w:r w:rsidRPr="00461D74">
        <w:rPr>
          <w:rFonts w:ascii="Garamond" w:hAnsi="Garamond"/>
        </w:rPr>
        <w:t xml:space="preserve"> in the actual world which we inhabit the language of morality is in the same state of grave disorder as the language of natural science in the imaginary world which I described. What we possess, if this view is true, are the fragments of a conceptual scheme, parts which now lack those contexts from which their significance is derived. We possess indeed the simulacra of morality.”</w:t>
      </w:r>
      <w:r w:rsidRPr="00461D74">
        <w:rPr>
          <w:rStyle w:val="FootnoteReference"/>
          <w:rFonts w:ascii="Garamond" w:hAnsi="Garamond"/>
        </w:rPr>
        <w:footnoteReference w:id="15"/>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lastRenderedPageBreak/>
        <w:t xml:space="preserve">He also claims that because the techniques of analytic philosophy are essentially descriptive, this </w:t>
      </w:r>
      <w:r w:rsidR="000B5FB7" w:rsidRPr="00461D74">
        <w:rPr>
          <w:rFonts w:ascii="Garamond" w:hAnsi="Garamond"/>
          <w:sz w:val="24"/>
          <w:szCs w:val="24"/>
        </w:rPr>
        <w:t xml:space="preserve">form </w:t>
      </w:r>
      <w:r w:rsidRPr="00461D74">
        <w:rPr>
          <w:rFonts w:ascii="Garamond" w:hAnsi="Garamond"/>
          <w:sz w:val="24"/>
          <w:szCs w:val="24"/>
        </w:rPr>
        <w:t xml:space="preserve">of philosophy isn’t </w:t>
      </w:r>
      <w:r w:rsidR="000B5FB7" w:rsidRPr="00461D74">
        <w:rPr>
          <w:rFonts w:ascii="Garamond" w:hAnsi="Garamond"/>
          <w:sz w:val="24"/>
          <w:szCs w:val="24"/>
        </w:rPr>
        <w:t xml:space="preserve">well suited </w:t>
      </w:r>
      <w:r w:rsidRPr="00461D74">
        <w:rPr>
          <w:rFonts w:ascii="Garamond" w:hAnsi="Garamond"/>
          <w:sz w:val="24"/>
          <w:szCs w:val="24"/>
        </w:rPr>
        <w:t>to detect</w:t>
      </w:r>
      <w:r w:rsidR="000B5FB7" w:rsidRPr="00461D74">
        <w:rPr>
          <w:rFonts w:ascii="Garamond" w:hAnsi="Garamond"/>
          <w:sz w:val="24"/>
          <w:szCs w:val="24"/>
        </w:rPr>
        <w:t>ing</w:t>
      </w:r>
      <w:r w:rsidRPr="00461D74">
        <w:rPr>
          <w:rFonts w:ascii="Garamond" w:hAnsi="Garamond"/>
          <w:sz w:val="24"/>
          <w:szCs w:val="24"/>
        </w:rPr>
        <w:t xml:space="preserve"> the state of the disorder in moral philosophy. Why is that? Just like those inhabitants of our imaginary world where science is lost and then again revived, in describing the conceptual structures of scientific discourse, </w:t>
      </w:r>
      <w:r w:rsidR="00C141B4" w:rsidRPr="00461D74">
        <w:rPr>
          <w:rFonts w:ascii="Garamond" w:hAnsi="Garamond"/>
          <w:sz w:val="24"/>
          <w:szCs w:val="24"/>
        </w:rPr>
        <w:t xml:space="preserve">our imaginary scientists </w:t>
      </w:r>
      <w:r w:rsidRPr="00461D74">
        <w:rPr>
          <w:rFonts w:ascii="Garamond" w:hAnsi="Garamond"/>
          <w:sz w:val="24"/>
          <w:szCs w:val="24"/>
        </w:rPr>
        <w:t xml:space="preserve">are essentially describing the structure of a fragmented science as it has been revived. Similarly, </w:t>
      </w:r>
      <w:r w:rsidR="00F940EB" w:rsidRPr="00461D74">
        <w:rPr>
          <w:rFonts w:ascii="Garamond" w:hAnsi="Garamond"/>
          <w:sz w:val="24"/>
          <w:szCs w:val="24"/>
        </w:rPr>
        <w:t xml:space="preserve">the description offered by </w:t>
      </w:r>
      <w:r w:rsidRPr="00461D74">
        <w:rPr>
          <w:rFonts w:ascii="Garamond" w:hAnsi="Garamond"/>
          <w:sz w:val="24"/>
          <w:szCs w:val="24"/>
        </w:rPr>
        <w:t xml:space="preserve">analytic philosophers </w:t>
      </w:r>
      <w:r w:rsidR="00F940EB" w:rsidRPr="00461D74">
        <w:rPr>
          <w:rFonts w:ascii="Garamond" w:hAnsi="Garamond"/>
          <w:sz w:val="24"/>
          <w:szCs w:val="24"/>
        </w:rPr>
        <w:t xml:space="preserve">for the </w:t>
      </w:r>
      <w:r w:rsidRPr="00461D74">
        <w:rPr>
          <w:rFonts w:ascii="Garamond" w:hAnsi="Garamond"/>
          <w:sz w:val="24"/>
          <w:szCs w:val="24"/>
        </w:rPr>
        <w:t>conceptual structure</w:t>
      </w:r>
      <w:r w:rsidR="00F940EB" w:rsidRPr="00461D74">
        <w:rPr>
          <w:rFonts w:ascii="Garamond" w:hAnsi="Garamond"/>
          <w:sz w:val="24"/>
          <w:szCs w:val="24"/>
        </w:rPr>
        <w:t>s</w:t>
      </w:r>
      <w:r w:rsidRPr="00461D74">
        <w:rPr>
          <w:rFonts w:ascii="Garamond" w:hAnsi="Garamond"/>
          <w:sz w:val="24"/>
          <w:szCs w:val="24"/>
        </w:rPr>
        <w:t xml:space="preserve"> of </w:t>
      </w:r>
      <w:r w:rsidR="00F940EB" w:rsidRPr="00461D74">
        <w:rPr>
          <w:rFonts w:ascii="Garamond" w:hAnsi="Garamond"/>
          <w:sz w:val="24"/>
          <w:szCs w:val="24"/>
        </w:rPr>
        <w:t xml:space="preserve">contemporary </w:t>
      </w:r>
      <w:r w:rsidRPr="00461D74">
        <w:rPr>
          <w:rFonts w:ascii="Garamond" w:hAnsi="Garamond"/>
          <w:sz w:val="24"/>
          <w:szCs w:val="24"/>
        </w:rPr>
        <w:t>moral discourse</w:t>
      </w:r>
      <w:r w:rsidR="00F940EB" w:rsidRPr="00461D74">
        <w:rPr>
          <w:rFonts w:ascii="Garamond" w:hAnsi="Garamond"/>
          <w:sz w:val="24"/>
          <w:szCs w:val="24"/>
        </w:rPr>
        <w:t>,</w:t>
      </w:r>
      <w:r w:rsidRPr="00461D74">
        <w:rPr>
          <w:rFonts w:ascii="Garamond" w:hAnsi="Garamond"/>
          <w:sz w:val="24"/>
          <w:szCs w:val="24"/>
        </w:rPr>
        <w:t xml:space="preserve"> are </w:t>
      </w:r>
      <w:r w:rsidR="009B7B42" w:rsidRPr="00461D74">
        <w:rPr>
          <w:rFonts w:ascii="Garamond" w:hAnsi="Garamond"/>
          <w:sz w:val="24"/>
          <w:szCs w:val="24"/>
        </w:rPr>
        <w:t xml:space="preserve">in effect </w:t>
      </w:r>
      <w:r w:rsidRPr="00461D74">
        <w:rPr>
          <w:rFonts w:ascii="Garamond" w:hAnsi="Garamond"/>
          <w:sz w:val="24"/>
          <w:szCs w:val="24"/>
        </w:rPr>
        <w:t xml:space="preserve">describing concepts and structures </w:t>
      </w:r>
      <w:r w:rsidR="00F940EB" w:rsidRPr="00461D74">
        <w:rPr>
          <w:rFonts w:ascii="Garamond" w:hAnsi="Garamond"/>
          <w:sz w:val="24"/>
          <w:szCs w:val="24"/>
        </w:rPr>
        <w:t xml:space="preserve">that are </w:t>
      </w:r>
      <w:r w:rsidR="000B5FB7" w:rsidRPr="00461D74">
        <w:rPr>
          <w:rFonts w:ascii="Garamond" w:hAnsi="Garamond"/>
          <w:sz w:val="24"/>
          <w:szCs w:val="24"/>
        </w:rPr>
        <w:t xml:space="preserve">essentially </w:t>
      </w:r>
      <w:r w:rsidR="00F940EB" w:rsidRPr="00461D74">
        <w:rPr>
          <w:rFonts w:ascii="Garamond" w:hAnsi="Garamond"/>
          <w:sz w:val="24"/>
          <w:szCs w:val="24"/>
        </w:rPr>
        <w:t>divorced from the original context</w:t>
      </w:r>
      <w:r w:rsidR="009B7B42" w:rsidRPr="00461D74">
        <w:rPr>
          <w:rFonts w:ascii="Garamond" w:hAnsi="Garamond"/>
          <w:sz w:val="24"/>
          <w:szCs w:val="24"/>
        </w:rPr>
        <w:t xml:space="preserve"> that afforded their motivating force</w:t>
      </w:r>
      <w:r w:rsidRPr="00461D74">
        <w:rPr>
          <w:rFonts w:ascii="Garamond" w:hAnsi="Garamond"/>
          <w:sz w:val="24"/>
          <w:szCs w:val="24"/>
        </w:rPr>
        <w:t xml:space="preserve">. Thus, there is no clear way of connecting the fragmented conceptual structures to the original context which furnished them with their </w:t>
      </w:r>
      <w:r w:rsidR="009B7B42" w:rsidRPr="00461D74">
        <w:rPr>
          <w:rFonts w:ascii="Garamond" w:hAnsi="Garamond"/>
          <w:sz w:val="24"/>
          <w:szCs w:val="24"/>
        </w:rPr>
        <w:t xml:space="preserve">intended </w:t>
      </w:r>
      <w:r w:rsidRPr="00461D74">
        <w:rPr>
          <w:rFonts w:ascii="Garamond" w:hAnsi="Garamond"/>
          <w:sz w:val="24"/>
          <w:szCs w:val="24"/>
        </w:rPr>
        <w:t>meaning.</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But MacIntyre says that our current dilemma in diagnosing the fragmented state of moral philosophy, if his hypothesis is in fact true, is not entirely hopeless: “a prerequisite for understanding the present disordered state of the imaginary world was to understand its history, a history that is written in three distinct stages.” In the first stage such a history would inform us of a period where the sciences flourished; followed by a second stage where they suffered from the catastrophe; and finally the third stage where they are restored in a fragmentary and disordered manner.</w:t>
      </w:r>
      <w:r w:rsidRPr="00461D74">
        <w:rPr>
          <w:rStyle w:val="FootnoteReference"/>
          <w:rFonts w:ascii="Garamond" w:hAnsi="Garamond"/>
          <w:sz w:val="24"/>
          <w:szCs w:val="24"/>
        </w:rPr>
        <w:footnoteReference w:id="16"/>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Thus MacIntyre’s </w:t>
      </w:r>
      <w:r w:rsidR="00040CE1" w:rsidRPr="00461D74">
        <w:rPr>
          <w:rFonts w:ascii="Garamond" w:hAnsi="Garamond"/>
          <w:sz w:val="24"/>
          <w:szCs w:val="24"/>
        </w:rPr>
        <w:t>methodology</w:t>
      </w:r>
      <w:r w:rsidRPr="00461D74">
        <w:rPr>
          <w:rFonts w:ascii="Garamond" w:hAnsi="Garamond"/>
          <w:sz w:val="24"/>
          <w:szCs w:val="24"/>
        </w:rPr>
        <w:t xml:space="preserve"> is essentially historical</w:t>
      </w:r>
      <w:r w:rsidR="00444EC8" w:rsidRPr="00461D74">
        <w:rPr>
          <w:rFonts w:ascii="Garamond" w:hAnsi="Garamond"/>
          <w:sz w:val="24"/>
          <w:szCs w:val="24"/>
        </w:rPr>
        <w:t>, but also</w:t>
      </w:r>
      <w:r w:rsidRPr="00461D74">
        <w:rPr>
          <w:rFonts w:ascii="Garamond" w:hAnsi="Garamond"/>
          <w:sz w:val="24"/>
          <w:szCs w:val="24"/>
        </w:rPr>
        <w:t xml:space="preserve"> philosophical </w:t>
      </w:r>
      <w:r w:rsidR="00040CE1" w:rsidRPr="00461D74">
        <w:rPr>
          <w:rFonts w:ascii="Garamond" w:hAnsi="Garamond"/>
          <w:sz w:val="24"/>
          <w:szCs w:val="24"/>
        </w:rPr>
        <w:t xml:space="preserve">(or conceptual) </w:t>
      </w:r>
      <w:r w:rsidRPr="00461D74">
        <w:rPr>
          <w:rFonts w:ascii="Garamond" w:hAnsi="Garamond"/>
          <w:sz w:val="24"/>
          <w:szCs w:val="24"/>
        </w:rPr>
        <w:t>– that is, it is a</w:t>
      </w:r>
      <w:r w:rsidR="00974D4A">
        <w:rPr>
          <w:rFonts w:ascii="Garamond" w:hAnsi="Garamond"/>
          <w:sz w:val="24"/>
          <w:szCs w:val="24"/>
        </w:rPr>
        <w:t>n</w:t>
      </w:r>
      <w:r w:rsidRPr="00461D74">
        <w:rPr>
          <w:rFonts w:ascii="Garamond" w:hAnsi="Garamond"/>
          <w:sz w:val="24"/>
          <w:szCs w:val="24"/>
        </w:rPr>
        <w:t xml:space="preserve"> historical analysis of how moral philosophical debates in the intervening historical periods generated and shaped the fragmented nature of contemporary moral discourse.</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As part of formulating the problematic that will be the focus of my engagement with MacIntyre’s work in </w:t>
      </w:r>
      <w:r w:rsidR="00444EC8" w:rsidRPr="00461D74">
        <w:rPr>
          <w:rFonts w:ascii="Garamond" w:hAnsi="Garamond"/>
          <w:sz w:val="24"/>
          <w:szCs w:val="24"/>
        </w:rPr>
        <w:t xml:space="preserve">this </w:t>
      </w:r>
      <w:r w:rsidRPr="00461D74">
        <w:rPr>
          <w:rFonts w:ascii="Garamond" w:hAnsi="Garamond"/>
          <w:sz w:val="24"/>
          <w:szCs w:val="24"/>
        </w:rPr>
        <w:t xml:space="preserve">thesis, I will complete a literature review </w:t>
      </w:r>
      <w:r w:rsidR="00444EC8" w:rsidRPr="00461D74">
        <w:rPr>
          <w:rFonts w:ascii="Garamond" w:hAnsi="Garamond"/>
          <w:sz w:val="24"/>
          <w:szCs w:val="24"/>
        </w:rPr>
        <w:lastRenderedPageBreak/>
        <w:t xml:space="preserve">in this chapter </w:t>
      </w:r>
      <w:r w:rsidRPr="00461D74">
        <w:rPr>
          <w:rFonts w:ascii="Garamond" w:hAnsi="Garamond"/>
          <w:sz w:val="24"/>
          <w:szCs w:val="24"/>
        </w:rPr>
        <w:t xml:space="preserve">that will examine important parts of MacIntyre’s works in </w:t>
      </w:r>
      <w:r w:rsidRPr="00461D74">
        <w:rPr>
          <w:rFonts w:ascii="Garamond" w:hAnsi="Garamond"/>
          <w:i/>
          <w:sz w:val="24"/>
          <w:szCs w:val="24"/>
        </w:rPr>
        <w:t>After Virtue</w:t>
      </w:r>
      <w:r w:rsidRPr="00461D74">
        <w:rPr>
          <w:rFonts w:ascii="Garamond" w:hAnsi="Garamond"/>
          <w:sz w:val="24"/>
          <w:szCs w:val="24"/>
        </w:rPr>
        <w:t xml:space="preserve"> and </w:t>
      </w:r>
      <w:r w:rsidRPr="00461D74">
        <w:rPr>
          <w:rFonts w:ascii="Garamond" w:hAnsi="Garamond"/>
          <w:i/>
          <w:sz w:val="24"/>
          <w:szCs w:val="24"/>
        </w:rPr>
        <w:t>Whose Justice? Which Rationality?</w:t>
      </w:r>
      <w:r w:rsidRPr="00461D74">
        <w:rPr>
          <w:rFonts w:ascii="Garamond" w:hAnsi="Garamond"/>
          <w:sz w:val="24"/>
          <w:szCs w:val="24"/>
        </w:rPr>
        <w:t xml:space="preserve"> It is my contention that these two works hold the key to understanding MacIntyre’s project. </w:t>
      </w:r>
      <w:r w:rsidR="00301CDB" w:rsidRPr="00461D74">
        <w:rPr>
          <w:rFonts w:ascii="Garamond" w:hAnsi="Garamond"/>
          <w:sz w:val="24"/>
          <w:szCs w:val="24"/>
        </w:rPr>
        <w:t>U</w:t>
      </w:r>
      <w:r w:rsidRPr="00461D74">
        <w:rPr>
          <w:rFonts w:ascii="Garamond" w:hAnsi="Garamond"/>
          <w:sz w:val="24"/>
          <w:szCs w:val="24"/>
        </w:rPr>
        <w:t>sing MacIntyre’s own terminology</w:t>
      </w:r>
      <w:r w:rsidR="00301CDB" w:rsidRPr="00461D74">
        <w:rPr>
          <w:rFonts w:ascii="Garamond" w:hAnsi="Garamond"/>
          <w:sz w:val="24"/>
          <w:szCs w:val="24"/>
        </w:rPr>
        <w:t>, I will</w:t>
      </w:r>
      <w:r w:rsidRPr="00461D74">
        <w:rPr>
          <w:rFonts w:ascii="Garamond" w:hAnsi="Garamond"/>
          <w:sz w:val="24"/>
          <w:szCs w:val="24"/>
        </w:rPr>
        <w:t xml:space="preserve"> try to develop a narrative that connects MacIntyre’s works in way</w:t>
      </w:r>
      <w:r w:rsidR="007A0671" w:rsidRPr="00461D74">
        <w:rPr>
          <w:rFonts w:ascii="Garamond" w:hAnsi="Garamond"/>
          <w:sz w:val="24"/>
          <w:szCs w:val="24"/>
        </w:rPr>
        <w:t>s</w:t>
      </w:r>
      <w:r w:rsidRPr="00461D74">
        <w:rPr>
          <w:rFonts w:ascii="Garamond" w:hAnsi="Garamond"/>
          <w:sz w:val="24"/>
          <w:szCs w:val="24"/>
        </w:rPr>
        <w:t xml:space="preserve"> that help clarify the problems that I will explore in </w:t>
      </w:r>
      <w:r w:rsidR="007A0671" w:rsidRPr="00461D74">
        <w:rPr>
          <w:rFonts w:ascii="Garamond" w:hAnsi="Garamond"/>
          <w:sz w:val="24"/>
          <w:szCs w:val="24"/>
        </w:rPr>
        <w:t xml:space="preserve">this </w:t>
      </w:r>
      <w:r w:rsidRPr="00461D74">
        <w:rPr>
          <w:rFonts w:ascii="Garamond" w:hAnsi="Garamond"/>
          <w:sz w:val="24"/>
          <w:szCs w:val="24"/>
        </w:rPr>
        <w:t>thesis.</w:t>
      </w:r>
    </w:p>
    <w:p w:rsidR="00A966CC"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However, before I continue with</w:t>
      </w:r>
      <w:r w:rsidR="005E5707" w:rsidRPr="00461D74">
        <w:rPr>
          <w:rFonts w:ascii="Garamond" w:hAnsi="Garamond"/>
          <w:sz w:val="24"/>
          <w:szCs w:val="24"/>
        </w:rPr>
        <w:t xml:space="preserve"> a careful consideration of the important </w:t>
      </w:r>
      <w:r w:rsidRPr="00461D74">
        <w:rPr>
          <w:rFonts w:ascii="Garamond" w:hAnsi="Garamond"/>
          <w:sz w:val="24"/>
          <w:szCs w:val="24"/>
        </w:rPr>
        <w:t xml:space="preserve">elements </w:t>
      </w:r>
      <w:r w:rsidR="005E5707" w:rsidRPr="00461D74">
        <w:rPr>
          <w:rFonts w:ascii="Garamond" w:hAnsi="Garamond"/>
          <w:sz w:val="24"/>
          <w:szCs w:val="24"/>
        </w:rPr>
        <w:t>in</w:t>
      </w:r>
      <w:r w:rsidRPr="00461D74">
        <w:rPr>
          <w:rFonts w:ascii="Garamond" w:hAnsi="Garamond"/>
          <w:sz w:val="24"/>
          <w:szCs w:val="24"/>
        </w:rPr>
        <w:t xml:space="preserve"> MacIntyre’s work</w:t>
      </w:r>
      <w:r w:rsidR="005E5707" w:rsidRPr="00461D74">
        <w:rPr>
          <w:rFonts w:ascii="Garamond" w:hAnsi="Garamond"/>
          <w:sz w:val="24"/>
          <w:szCs w:val="24"/>
        </w:rPr>
        <w:t>,</w:t>
      </w:r>
      <w:r w:rsidRPr="00461D74">
        <w:rPr>
          <w:rFonts w:ascii="Garamond" w:hAnsi="Garamond"/>
          <w:sz w:val="24"/>
          <w:szCs w:val="24"/>
        </w:rPr>
        <w:t xml:space="preserve"> and </w:t>
      </w:r>
      <w:r w:rsidR="007A0671" w:rsidRPr="00461D74">
        <w:rPr>
          <w:rFonts w:ascii="Garamond" w:hAnsi="Garamond"/>
          <w:sz w:val="24"/>
          <w:szCs w:val="24"/>
        </w:rPr>
        <w:t xml:space="preserve">hence prior to </w:t>
      </w:r>
      <w:r w:rsidR="005E5707" w:rsidRPr="00461D74">
        <w:rPr>
          <w:rFonts w:ascii="Garamond" w:hAnsi="Garamond"/>
          <w:sz w:val="24"/>
          <w:szCs w:val="24"/>
        </w:rPr>
        <w:t xml:space="preserve">advancing a clear formulation of the problems that emerge </w:t>
      </w:r>
      <w:r w:rsidR="007A0671" w:rsidRPr="00461D74">
        <w:rPr>
          <w:rFonts w:ascii="Garamond" w:hAnsi="Garamond"/>
          <w:sz w:val="24"/>
          <w:szCs w:val="24"/>
        </w:rPr>
        <w:t xml:space="preserve">under </w:t>
      </w:r>
      <w:r w:rsidR="005E5707" w:rsidRPr="00461D74">
        <w:rPr>
          <w:rFonts w:ascii="Garamond" w:hAnsi="Garamond"/>
          <w:sz w:val="24"/>
          <w:szCs w:val="24"/>
        </w:rPr>
        <w:t>his account</w:t>
      </w:r>
      <w:r w:rsidR="00301CDB" w:rsidRPr="00461D74">
        <w:rPr>
          <w:rFonts w:ascii="Garamond" w:hAnsi="Garamond"/>
          <w:sz w:val="24"/>
          <w:szCs w:val="24"/>
        </w:rPr>
        <w:t xml:space="preserve">, </w:t>
      </w:r>
      <w:r w:rsidRPr="00461D74">
        <w:rPr>
          <w:rFonts w:ascii="Garamond" w:hAnsi="Garamond"/>
          <w:sz w:val="24"/>
          <w:szCs w:val="24"/>
        </w:rPr>
        <w:t xml:space="preserve">I will offer some guidance on the nature and shape of my exploration in this chapter. In this review I </w:t>
      </w:r>
      <w:r w:rsidR="007A0671" w:rsidRPr="00461D74">
        <w:rPr>
          <w:rFonts w:ascii="Garamond" w:hAnsi="Garamond"/>
          <w:sz w:val="24"/>
          <w:szCs w:val="24"/>
        </w:rPr>
        <w:t xml:space="preserve">intend to </w:t>
      </w:r>
      <w:r w:rsidRPr="00461D74">
        <w:rPr>
          <w:rFonts w:ascii="Garamond" w:hAnsi="Garamond"/>
          <w:sz w:val="24"/>
          <w:szCs w:val="24"/>
        </w:rPr>
        <w:t xml:space="preserve">pay close attention to the historical narrative that MacIntyre </w:t>
      </w:r>
      <w:r w:rsidR="002C08ED" w:rsidRPr="00461D74">
        <w:rPr>
          <w:rFonts w:ascii="Garamond" w:hAnsi="Garamond"/>
          <w:sz w:val="24"/>
          <w:szCs w:val="24"/>
        </w:rPr>
        <w:t xml:space="preserve">guides </w:t>
      </w:r>
      <w:r w:rsidRPr="00461D74">
        <w:rPr>
          <w:rFonts w:ascii="Garamond" w:hAnsi="Garamond"/>
          <w:sz w:val="24"/>
          <w:szCs w:val="24"/>
        </w:rPr>
        <w:t xml:space="preserve">his </w:t>
      </w:r>
      <w:r w:rsidR="007A0671" w:rsidRPr="00461D74">
        <w:rPr>
          <w:rFonts w:ascii="Garamond" w:hAnsi="Garamond"/>
          <w:sz w:val="24"/>
          <w:szCs w:val="24"/>
        </w:rPr>
        <w:t xml:space="preserve">reader </w:t>
      </w:r>
      <w:r w:rsidR="002C08ED" w:rsidRPr="00461D74">
        <w:rPr>
          <w:rFonts w:ascii="Garamond" w:hAnsi="Garamond"/>
          <w:sz w:val="24"/>
          <w:szCs w:val="24"/>
        </w:rPr>
        <w:t xml:space="preserve">through </w:t>
      </w:r>
      <w:r w:rsidRPr="00461D74">
        <w:rPr>
          <w:rFonts w:ascii="Garamond" w:hAnsi="Garamond"/>
          <w:sz w:val="24"/>
          <w:szCs w:val="24"/>
        </w:rPr>
        <w:t xml:space="preserve">in </w:t>
      </w:r>
      <w:r w:rsidRPr="00461D74">
        <w:rPr>
          <w:rFonts w:ascii="Garamond" w:hAnsi="Garamond"/>
          <w:i/>
          <w:iCs/>
          <w:sz w:val="24"/>
          <w:szCs w:val="24"/>
        </w:rPr>
        <w:t>After Virtue</w:t>
      </w:r>
      <w:r w:rsidR="002C08ED" w:rsidRPr="00461D74">
        <w:rPr>
          <w:rFonts w:ascii="Garamond" w:hAnsi="Garamond"/>
          <w:sz w:val="24"/>
          <w:szCs w:val="24"/>
        </w:rPr>
        <w:t xml:space="preserve">. This narrative </w:t>
      </w:r>
      <w:r w:rsidRPr="00461D74">
        <w:rPr>
          <w:rFonts w:ascii="Garamond" w:hAnsi="Garamond"/>
          <w:sz w:val="24"/>
          <w:szCs w:val="24"/>
        </w:rPr>
        <w:t xml:space="preserve">starts with MacIntyre’s controversial hypothesis: that moral philosophy is fragmented in much the same way </w:t>
      </w:r>
      <w:r w:rsidR="00301CDB" w:rsidRPr="00461D74">
        <w:rPr>
          <w:rFonts w:ascii="Garamond" w:hAnsi="Garamond"/>
          <w:sz w:val="24"/>
          <w:szCs w:val="24"/>
        </w:rPr>
        <w:t xml:space="preserve">that </w:t>
      </w:r>
      <w:r w:rsidRPr="00461D74">
        <w:rPr>
          <w:rFonts w:ascii="Garamond" w:hAnsi="Garamond"/>
          <w:sz w:val="24"/>
          <w:szCs w:val="24"/>
        </w:rPr>
        <w:t xml:space="preserve">science is fragmented in his imaginary possible world. </w:t>
      </w:r>
    </w:p>
    <w:p w:rsidR="002C08ED" w:rsidRPr="00461D74" w:rsidRDefault="002C08ED" w:rsidP="00164E4D">
      <w:pPr>
        <w:spacing w:line="360" w:lineRule="auto"/>
        <w:ind w:firstLine="720"/>
        <w:jc w:val="both"/>
        <w:rPr>
          <w:rFonts w:ascii="Garamond" w:hAnsi="Garamond"/>
          <w:sz w:val="24"/>
          <w:szCs w:val="24"/>
        </w:rPr>
      </w:pPr>
      <w:r w:rsidRPr="00461D74">
        <w:rPr>
          <w:rFonts w:ascii="Garamond" w:hAnsi="Garamond"/>
          <w:sz w:val="24"/>
          <w:szCs w:val="24"/>
        </w:rPr>
        <w:t xml:space="preserve">First, </w:t>
      </w:r>
      <w:r w:rsidR="00016049" w:rsidRPr="00461D74">
        <w:rPr>
          <w:rFonts w:ascii="Garamond" w:hAnsi="Garamond"/>
          <w:sz w:val="24"/>
          <w:szCs w:val="24"/>
        </w:rPr>
        <w:t xml:space="preserve">I </w:t>
      </w:r>
      <w:r w:rsidRPr="00461D74">
        <w:rPr>
          <w:rFonts w:ascii="Garamond" w:hAnsi="Garamond"/>
          <w:sz w:val="24"/>
          <w:szCs w:val="24"/>
        </w:rPr>
        <w:t xml:space="preserve">consider </w:t>
      </w:r>
      <w:r w:rsidR="00016049" w:rsidRPr="00461D74">
        <w:rPr>
          <w:rFonts w:ascii="Garamond" w:hAnsi="Garamond"/>
          <w:sz w:val="24"/>
          <w:szCs w:val="24"/>
        </w:rPr>
        <w:t xml:space="preserve">MacIntyre’s analysis of the state of </w:t>
      </w:r>
      <w:r w:rsidR="004B3B7A" w:rsidRPr="00461D74">
        <w:rPr>
          <w:rFonts w:ascii="Garamond" w:hAnsi="Garamond"/>
          <w:sz w:val="24"/>
          <w:szCs w:val="24"/>
        </w:rPr>
        <w:t xml:space="preserve">contemporary </w:t>
      </w:r>
      <w:r w:rsidR="00016049" w:rsidRPr="00461D74">
        <w:rPr>
          <w:rFonts w:ascii="Garamond" w:hAnsi="Garamond"/>
          <w:sz w:val="24"/>
          <w:szCs w:val="24"/>
        </w:rPr>
        <w:t>moral philosophy and its connection to emotivism</w:t>
      </w:r>
      <w:r w:rsidR="003A7F5D" w:rsidRPr="00461D74">
        <w:rPr>
          <w:rFonts w:ascii="Garamond" w:hAnsi="Garamond"/>
          <w:sz w:val="24"/>
          <w:szCs w:val="24"/>
        </w:rPr>
        <w:t>,</w:t>
      </w:r>
      <w:r w:rsidR="00016049" w:rsidRPr="00461D74">
        <w:rPr>
          <w:rFonts w:ascii="Garamond" w:hAnsi="Garamond"/>
          <w:sz w:val="24"/>
          <w:szCs w:val="24"/>
        </w:rPr>
        <w:t xml:space="preserve"> since MacIntyre maintains that his thesis should be understood as a confrontation with emotivism.</w:t>
      </w:r>
      <w:r w:rsidR="004C6347" w:rsidRPr="00461D74">
        <w:rPr>
          <w:rStyle w:val="FootnoteReference"/>
          <w:rFonts w:ascii="Garamond" w:hAnsi="Garamond"/>
          <w:sz w:val="24"/>
          <w:szCs w:val="24"/>
        </w:rPr>
        <w:footnoteReference w:id="17"/>
      </w:r>
      <w:r w:rsidR="00016049" w:rsidRPr="00461D74">
        <w:rPr>
          <w:rFonts w:ascii="Garamond" w:hAnsi="Garamond"/>
          <w:sz w:val="24"/>
          <w:szCs w:val="24"/>
        </w:rPr>
        <w:t xml:space="preserve"> I then </w:t>
      </w:r>
      <w:r w:rsidRPr="00461D74">
        <w:rPr>
          <w:rFonts w:ascii="Garamond" w:hAnsi="Garamond"/>
          <w:sz w:val="24"/>
          <w:szCs w:val="24"/>
        </w:rPr>
        <w:t>illustrate</w:t>
      </w:r>
      <w:r w:rsidR="00016049" w:rsidRPr="00461D74">
        <w:rPr>
          <w:rFonts w:ascii="Garamond" w:hAnsi="Garamond"/>
          <w:sz w:val="24"/>
          <w:szCs w:val="24"/>
        </w:rPr>
        <w:t xml:space="preserve"> how MacIntyre connects the emergence of emotivism with earlier </w:t>
      </w:r>
      <w:r w:rsidR="00CF0798" w:rsidRPr="00461D74">
        <w:rPr>
          <w:rFonts w:ascii="Garamond" w:hAnsi="Garamond"/>
          <w:sz w:val="24"/>
          <w:szCs w:val="24"/>
        </w:rPr>
        <w:t xml:space="preserve">enlightenment attempts that sought to develop an independent rational justification of morality on the basis of </w:t>
      </w:r>
      <w:r w:rsidR="001130C9" w:rsidRPr="00461D74">
        <w:rPr>
          <w:rFonts w:ascii="Garamond" w:hAnsi="Garamond"/>
          <w:sz w:val="24"/>
          <w:szCs w:val="24"/>
        </w:rPr>
        <w:t xml:space="preserve">a set of </w:t>
      </w:r>
      <w:r w:rsidR="00CF0798" w:rsidRPr="00461D74">
        <w:rPr>
          <w:rFonts w:ascii="Garamond" w:hAnsi="Garamond"/>
          <w:sz w:val="24"/>
          <w:szCs w:val="24"/>
        </w:rPr>
        <w:t>universal standards</w:t>
      </w:r>
      <w:r w:rsidR="00016049" w:rsidRPr="00461D74">
        <w:rPr>
          <w:rFonts w:ascii="Garamond" w:hAnsi="Garamond"/>
          <w:sz w:val="24"/>
          <w:szCs w:val="24"/>
        </w:rPr>
        <w:t xml:space="preserve">. Later, I explore the connection between what MacIntyre defines as the </w:t>
      </w:r>
      <w:r w:rsidR="00016049" w:rsidRPr="00461D74">
        <w:rPr>
          <w:rFonts w:ascii="Garamond" w:hAnsi="Garamond"/>
          <w:i/>
          <w:sz w:val="24"/>
          <w:szCs w:val="24"/>
        </w:rPr>
        <w:t>Enlightenment Project of Rationally Justifying Morality</w:t>
      </w:r>
      <w:r w:rsidR="00016049" w:rsidRPr="00461D74">
        <w:rPr>
          <w:rFonts w:ascii="Garamond" w:hAnsi="Garamond"/>
          <w:sz w:val="24"/>
          <w:szCs w:val="24"/>
        </w:rPr>
        <w:t xml:space="preserve">, </w:t>
      </w:r>
      <w:r w:rsidRPr="00461D74">
        <w:rPr>
          <w:rFonts w:ascii="Garamond" w:hAnsi="Garamond"/>
          <w:sz w:val="24"/>
          <w:szCs w:val="24"/>
        </w:rPr>
        <w:t xml:space="preserve">and </w:t>
      </w:r>
      <w:r w:rsidR="00016049" w:rsidRPr="00461D74">
        <w:rPr>
          <w:rFonts w:ascii="Garamond" w:hAnsi="Garamond"/>
          <w:sz w:val="24"/>
          <w:szCs w:val="24"/>
        </w:rPr>
        <w:t xml:space="preserve">the loss of Aristotelian teleology and </w:t>
      </w:r>
      <w:r w:rsidRPr="00461D74">
        <w:rPr>
          <w:rFonts w:ascii="Garamond" w:hAnsi="Garamond"/>
          <w:sz w:val="24"/>
          <w:szCs w:val="24"/>
        </w:rPr>
        <w:t xml:space="preserve">related </w:t>
      </w:r>
      <w:r w:rsidR="00016049" w:rsidRPr="00461D74">
        <w:rPr>
          <w:rFonts w:ascii="Garamond" w:hAnsi="Garamond"/>
          <w:sz w:val="24"/>
          <w:szCs w:val="24"/>
        </w:rPr>
        <w:t>concepts which were central to that particular conception of ethic</w:t>
      </w:r>
      <w:r w:rsidRPr="00461D74">
        <w:rPr>
          <w:rFonts w:ascii="Garamond" w:hAnsi="Garamond"/>
          <w:sz w:val="24"/>
          <w:szCs w:val="24"/>
        </w:rPr>
        <w:t>al inquiry</w:t>
      </w:r>
      <w:r w:rsidR="00016049" w:rsidRPr="00461D74">
        <w:rPr>
          <w:rFonts w:ascii="Garamond" w:hAnsi="Garamond"/>
          <w:sz w:val="24"/>
          <w:szCs w:val="24"/>
        </w:rPr>
        <w:t xml:space="preserve">. I </w:t>
      </w:r>
      <w:r w:rsidRPr="00461D74">
        <w:rPr>
          <w:rFonts w:ascii="Garamond" w:hAnsi="Garamond"/>
          <w:sz w:val="24"/>
          <w:szCs w:val="24"/>
        </w:rPr>
        <w:t xml:space="preserve">move to survey </w:t>
      </w:r>
      <w:r w:rsidR="00016049" w:rsidRPr="00461D74">
        <w:rPr>
          <w:rFonts w:ascii="Garamond" w:hAnsi="Garamond"/>
          <w:sz w:val="24"/>
          <w:szCs w:val="24"/>
        </w:rPr>
        <w:t xml:space="preserve">MacIntyre’s verdict on the Enlightenment Project and </w:t>
      </w:r>
      <w:r w:rsidRPr="00461D74">
        <w:rPr>
          <w:rFonts w:ascii="Garamond" w:hAnsi="Garamond"/>
          <w:sz w:val="24"/>
          <w:szCs w:val="24"/>
        </w:rPr>
        <w:t xml:space="preserve">try to come to terms with the </w:t>
      </w:r>
      <w:r w:rsidR="00016049" w:rsidRPr="00461D74">
        <w:rPr>
          <w:rFonts w:ascii="Garamond" w:hAnsi="Garamond"/>
          <w:sz w:val="24"/>
          <w:szCs w:val="24"/>
        </w:rPr>
        <w:t xml:space="preserve">reasons </w:t>
      </w:r>
      <w:r w:rsidRPr="00461D74">
        <w:rPr>
          <w:rFonts w:ascii="Garamond" w:hAnsi="Garamond"/>
          <w:sz w:val="24"/>
          <w:szCs w:val="24"/>
        </w:rPr>
        <w:t xml:space="preserve">he </w:t>
      </w:r>
      <w:r w:rsidR="00AE3679" w:rsidRPr="00461D74">
        <w:rPr>
          <w:rFonts w:ascii="Garamond" w:hAnsi="Garamond"/>
          <w:sz w:val="24"/>
          <w:szCs w:val="24"/>
        </w:rPr>
        <w:t>offers up to</w:t>
      </w:r>
      <w:r w:rsidRPr="00461D74">
        <w:rPr>
          <w:rFonts w:ascii="Garamond" w:hAnsi="Garamond"/>
          <w:sz w:val="24"/>
          <w:szCs w:val="24"/>
        </w:rPr>
        <w:t xml:space="preserve"> </w:t>
      </w:r>
      <w:r w:rsidR="00AE3679" w:rsidRPr="00461D74">
        <w:rPr>
          <w:rFonts w:ascii="Garamond" w:hAnsi="Garamond"/>
          <w:sz w:val="24"/>
          <w:szCs w:val="24"/>
        </w:rPr>
        <w:t xml:space="preserve">his readers </w:t>
      </w:r>
      <w:r w:rsidR="004C6347" w:rsidRPr="00461D74">
        <w:rPr>
          <w:rFonts w:ascii="Garamond" w:hAnsi="Garamond"/>
          <w:sz w:val="24"/>
          <w:szCs w:val="24"/>
        </w:rPr>
        <w:t xml:space="preserve">as to </w:t>
      </w:r>
      <w:r w:rsidR="00016049" w:rsidRPr="00461D74">
        <w:rPr>
          <w:rFonts w:ascii="Garamond" w:hAnsi="Garamond"/>
          <w:sz w:val="24"/>
          <w:szCs w:val="24"/>
        </w:rPr>
        <w:t>why th</w:t>
      </w:r>
      <w:r w:rsidR="00F8070A" w:rsidRPr="00461D74">
        <w:rPr>
          <w:rFonts w:ascii="Garamond" w:hAnsi="Garamond"/>
          <w:sz w:val="24"/>
          <w:szCs w:val="24"/>
        </w:rPr>
        <w:t>is</w:t>
      </w:r>
      <w:r w:rsidR="00016049" w:rsidRPr="00461D74">
        <w:rPr>
          <w:rFonts w:ascii="Garamond" w:hAnsi="Garamond"/>
          <w:sz w:val="24"/>
          <w:szCs w:val="24"/>
        </w:rPr>
        <w:t xml:space="preserve"> project </w:t>
      </w:r>
      <w:r w:rsidR="009C481D" w:rsidRPr="00461D74">
        <w:rPr>
          <w:rFonts w:ascii="Garamond" w:hAnsi="Garamond"/>
          <w:sz w:val="24"/>
          <w:szCs w:val="24"/>
        </w:rPr>
        <w:t xml:space="preserve">was destined </w:t>
      </w:r>
      <w:r w:rsidR="00016049" w:rsidRPr="00461D74">
        <w:rPr>
          <w:rFonts w:ascii="Garamond" w:hAnsi="Garamond"/>
          <w:sz w:val="24"/>
          <w:szCs w:val="24"/>
        </w:rPr>
        <w:t xml:space="preserve">to fail. </w:t>
      </w:r>
      <w:r w:rsidR="00A966CC" w:rsidRPr="00461D74">
        <w:rPr>
          <w:rFonts w:ascii="Garamond" w:hAnsi="Garamond"/>
          <w:sz w:val="24"/>
          <w:szCs w:val="24"/>
        </w:rPr>
        <w:t>I will suggest that</w:t>
      </w:r>
      <w:r w:rsidR="00016049" w:rsidRPr="00461D74">
        <w:rPr>
          <w:rFonts w:ascii="Garamond" w:hAnsi="Garamond"/>
          <w:sz w:val="24"/>
          <w:szCs w:val="24"/>
        </w:rPr>
        <w:t xml:space="preserve"> this failure, on MacIntyre’s view, is intimately connected to the </w:t>
      </w:r>
      <w:r w:rsidR="00016049" w:rsidRPr="00461D74">
        <w:rPr>
          <w:rFonts w:ascii="Garamond" w:hAnsi="Garamond"/>
          <w:sz w:val="24"/>
          <w:szCs w:val="24"/>
        </w:rPr>
        <w:lastRenderedPageBreak/>
        <w:t>loss of the specific conceptual schemes that were available in Aristotle’s teleological conception of ethics.</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I then </w:t>
      </w:r>
      <w:r w:rsidR="002C08ED" w:rsidRPr="00461D74">
        <w:rPr>
          <w:rFonts w:ascii="Garamond" w:hAnsi="Garamond"/>
          <w:sz w:val="24"/>
          <w:szCs w:val="24"/>
        </w:rPr>
        <w:t xml:space="preserve">advance the discussion </w:t>
      </w:r>
      <w:r w:rsidRPr="00461D74">
        <w:rPr>
          <w:rFonts w:ascii="Garamond" w:hAnsi="Garamond"/>
          <w:sz w:val="24"/>
          <w:szCs w:val="24"/>
        </w:rPr>
        <w:t xml:space="preserve">to the second half of </w:t>
      </w:r>
      <w:r w:rsidRPr="00461D74">
        <w:rPr>
          <w:rFonts w:ascii="Garamond" w:hAnsi="Garamond"/>
          <w:i/>
          <w:sz w:val="24"/>
          <w:szCs w:val="24"/>
        </w:rPr>
        <w:t>After Virtue</w:t>
      </w:r>
      <w:r w:rsidRPr="00461D74">
        <w:rPr>
          <w:rFonts w:ascii="Garamond" w:hAnsi="Garamond"/>
          <w:sz w:val="24"/>
          <w:szCs w:val="24"/>
        </w:rPr>
        <w:t xml:space="preserve"> in which MacIntyre considers the </w:t>
      </w:r>
      <w:r w:rsidR="004C6347" w:rsidRPr="00461D74">
        <w:rPr>
          <w:rFonts w:ascii="Garamond" w:hAnsi="Garamond"/>
          <w:sz w:val="24"/>
          <w:szCs w:val="24"/>
        </w:rPr>
        <w:t xml:space="preserve">aftermath of the </w:t>
      </w:r>
      <w:r w:rsidRPr="00461D74">
        <w:rPr>
          <w:rFonts w:ascii="Garamond" w:hAnsi="Garamond"/>
          <w:sz w:val="24"/>
          <w:szCs w:val="24"/>
        </w:rPr>
        <w:t>failure of the Enlightenment Project</w:t>
      </w:r>
      <w:r w:rsidR="004C6347" w:rsidRPr="00461D74">
        <w:rPr>
          <w:rFonts w:ascii="Garamond" w:hAnsi="Garamond"/>
          <w:sz w:val="24"/>
          <w:szCs w:val="24"/>
        </w:rPr>
        <w:t>. MacIntyre</w:t>
      </w:r>
      <w:r w:rsidR="007F72A4" w:rsidRPr="00461D74">
        <w:rPr>
          <w:rFonts w:ascii="Garamond" w:hAnsi="Garamond"/>
          <w:sz w:val="24"/>
          <w:szCs w:val="24"/>
        </w:rPr>
        <w:t xml:space="preserve"> suggests that the failure of the Enlightenment Project leaves us </w:t>
      </w:r>
      <w:r w:rsidR="004C6347" w:rsidRPr="00461D74">
        <w:rPr>
          <w:rFonts w:ascii="Garamond" w:hAnsi="Garamond"/>
          <w:sz w:val="24"/>
          <w:szCs w:val="24"/>
        </w:rPr>
        <w:t xml:space="preserve">with a </w:t>
      </w:r>
      <w:r w:rsidR="003A7F5D" w:rsidRPr="00461D74">
        <w:rPr>
          <w:rFonts w:ascii="Garamond" w:hAnsi="Garamond"/>
          <w:sz w:val="24"/>
          <w:szCs w:val="24"/>
        </w:rPr>
        <w:t>choice</w:t>
      </w:r>
      <w:r w:rsidRPr="00461D74">
        <w:rPr>
          <w:rFonts w:ascii="Garamond" w:hAnsi="Garamond"/>
          <w:sz w:val="24"/>
          <w:szCs w:val="24"/>
        </w:rPr>
        <w:t xml:space="preserve"> </w:t>
      </w:r>
      <w:r w:rsidR="004C6347" w:rsidRPr="00461D74">
        <w:rPr>
          <w:rFonts w:ascii="Garamond" w:hAnsi="Garamond"/>
          <w:sz w:val="24"/>
          <w:szCs w:val="24"/>
        </w:rPr>
        <w:t xml:space="preserve">between </w:t>
      </w:r>
      <w:r w:rsidRPr="00461D74">
        <w:rPr>
          <w:rFonts w:ascii="Garamond" w:hAnsi="Garamond"/>
          <w:sz w:val="24"/>
          <w:szCs w:val="24"/>
        </w:rPr>
        <w:t>an Aristotelian</w:t>
      </w:r>
      <w:r w:rsidR="007F72A4" w:rsidRPr="00461D74">
        <w:rPr>
          <w:rFonts w:ascii="Garamond" w:hAnsi="Garamond"/>
          <w:sz w:val="24"/>
          <w:szCs w:val="24"/>
        </w:rPr>
        <w:t>,</w:t>
      </w:r>
      <w:r w:rsidRPr="00461D74">
        <w:rPr>
          <w:rFonts w:ascii="Garamond" w:hAnsi="Garamond"/>
          <w:sz w:val="24"/>
          <w:szCs w:val="24"/>
        </w:rPr>
        <w:t xml:space="preserve"> or a Nietzschean</w:t>
      </w:r>
      <w:r w:rsidR="007F72A4" w:rsidRPr="00461D74">
        <w:rPr>
          <w:rFonts w:ascii="Garamond" w:hAnsi="Garamond"/>
          <w:sz w:val="24"/>
          <w:szCs w:val="24"/>
        </w:rPr>
        <w:t>,</w:t>
      </w:r>
      <w:r w:rsidRPr="00461D74">
        <w:rPr>
          <w:rFonts w:ascii="Garamond" w:hAnsi="Garamond"/>
          <w:sz w:val="24"/>
          <w:szCs w:val="24"/>
        </w:rPr>
        <w:t xml:space="preserve"> morality. MacIntyre</w:t>
      </w:r>
      <w:r w:rsidR="007F72A4" w:rsidRPr="00461D74">
        <w:rPr>
          <w:rFonts w:ascii="Garamond" w:hAnsi="Garamond"/>
          <w:sz w:val="24"/>
          <w:szCs w:val="24"/>
        </w:rPr>
        <w:t xml:space="preserve"> of course argues </w:t>
      </w:r>
      <w:r w:rsidRPr="00461D74">
        <w:rPr>
          <w:rFonts w:ascii="Garamond" w:hAnsi="Garamond"/>
          <w:sz w:val="24"/>
          <w:szCs w:val="24"/>
        </w:rPr>
        <w:t xml:space="preserve">that we find ourselves in this perilous position </w:t>
      </w:r>
      <w:r w:rsidR="007F72A4" w:rsidRPr="00461D74">
        <w:rPr>
          <w:rFonts w:ascii="Garamond" w:hAnsi="Garamond"/>
          <w:sz w:val="24"/>
          <w:szCs w:val="24"/>
        </w:rPr>
        <w:t xml:space="preserve">precisely </w:t>
      </w:r>
      <w:r w:rsidRPr="00461D74">
        <w:rPr>
          <w:rFonts w:ascii="Garamond" w:hAnsi="Garamond"/>
          <w:sz w:val="24"/>
          <w:szCs w:val="24"/>
        </w:rPr>
        <w:t>because we have lost Aristotle</w:t>
      </w:r>
      <w:r w:rsidR="00F8070A" w:rsidRPr="00461D74">
        <w:rPr>
          <w:rFonts w:ascii="Garamond" w:hAnsi="Garamond"/>
          <w:sz w:val="24"/>
          <w:szCs w:val="24"/>
        </w:rPr>
        <w:t>, and more specifically the teleology that informed Aristotle’s account</w:t>
      </w:r>
      <w:r w:rsidRPr="00461D74">
        <w:rPr>
          <w:rFonts w:ascii="Garamond" w:hAnsi="Garamond"/>
          <w:sz w:val="24"/>
          <w:szCs w:val="24"/>
        </w:rPr>
        <w:t xml:space="preserve">. MacIntyre </w:t>
      </w:r>
      <w:r w:rsidR="00262FCF" w:rsidRPr="00461D74">
        <w:rPr>
          <w:rFonts w:ascii="Garamond" w:hAnsi="Garamond"/>
          <w:sz w:val="24"/>
          <w:szCs w:val="24"/>
        </w:rPr>
        <w:t>then</w:t>
      </w:r>
      <w:r w:rsidR="00F8070A" w:rsidRPr="00461D74">
        <w:rPr>
          <w:rFonts w:ascii="Garamond" w:hAnsi="Garamond"/>
          <w:sz w:val="24"/>
          <w:szCs w:val="24"/>
        </w:rPr>
        <w:t xml:space="preserve"> </w:t>
      </w:r>
      <w:r w:rsidR="00D51026" w:rsidRPr="00461D74">
        <w:rPr>
          <w:rFonts w:ascii="Garamond" w:hAnsi="Garamond"/>
          <w:sz w:val="24"/>
          <w:szCs w:val="24"/>
        </w:rPr>
        <w:t>moves to</w:t>
      </w:r>
      <w:r w:rsidR="00262FCF" w:rsidRPr="00461D74">
        <w:rPr>
          <w:rFonts w:ascii="Garamond" w:hAnsi="Garamond"/>
          <w:sz w:val="24"/>
          <w:szCs w:val="24"/>
        </w:rPr>
        <w:t xml:space="preserve"> </w:t>
      </w:r>
      <w:r w:rsidRPr="00461D74">
        <w:rPr>
          <w:rFonts w:ascii="Garamond" w:hAnsi="Garamond"/>
          <w:sz w:val="24"/>
          <w:szCs w:val="24"/>
        </w:rPr>
        <w:t>construct a Neo</w:t>
      </w:r>
      <w:r w:rsidR="00B5575A" w:rsidRPr="00461D74">
        <w:rPr>
          <w:rFonts w:ascii="Garamond" w:hAnsi="Garamond"/>
          <w:sz w:val="24"/>
          <w:szCs w:val="24"/>
        </w:rPr>
        <w:t>-</w:t>
      </w:r>
      <w:r w:rsidRPr="00461D74">
        <w:rPr>
          <w:rFonts w:ascii="Garamond" w:hAnsi="Garamond"/>
          <w:sz w:val="24"/>
          <w:szCs w:val="24"/>
        </w:rPr>
        <w:t>Aristotelian view</w:t>
      </w:r>
      <w:r w:rsidR="00D51026" w:rsidRPr="00461D74">
        <w:rPr>
          <w:rFonts w:ascii="Garamond" w:hAnsi="Garamond"/>
          <w:sz w:val="24"/>
          <w:szCs w:val="24"/>
        </w:rPr>
        <w:t xml:space="preserve"> – one</w:t>
      </w:r>
      <w:r w:rsidRPr="00461D74">
        <w:rPr>
          <w:rFonts w:ascii="Garamond" w:hAnsi="Garamond"/>
          <w:sz w:val="24"/>
          <w:szCs w:val="24"/>
        </w:rPr>
        <w:t xml:space="preserve"> that tries to resolve </w:t>
      </w:r>
      <w:r w:rsidR="00262FCF" w:rsidRPr="00461D74">
        <w:rPr>
          <w:rFonts w:ascii="Garamond" w:hAnsi="Garamond"/>
          <w:sz w:val="24"/>
          <w:szCs w:val="24"/>
        </w:rPr>
        <w:t xml:space="preserve">this </w:t>
      </w:r>
      <w:r w:rsidRPr="00461D74">
        <w:rPr>
          <w:rFonts w:ascii="Garamond" w:hAnsi="Garamond"/>
          <w:sz w:val="24"/>
          <w:szCs w:val="24"/>
        </w:rPr>
        <w:t>problem</w:t>
      </w:r>
      <w:r w:rsidR="00D51026" w:rsidRPr="00461D74">
        <w:rPr>
          <w:rFonts w:ascii="Garamond" w:hAnsi="Garamond"/>
          <w:sz w:val="24"/>
          <w:szCs w:val="24"/>
        </w:rPr>
        <w:t xml:space="preserve"> by offering a three-fold concept of the virtues that </w:t>
      </w:r>
      <w:r w:rsidR="00AD64DC" w:rsidRPr="00461D74">
        <w:rPr>
          <w:rFonts w:ascii="Garamond" w:hAnsi="Garamond"/>
          <w:sz w:val="24"/>
          <w:szCs w:val="24"/>
        </w:rPr>
        <w:t>i</w:t>
      </w:r>
      <w:r w:rsidR="00D51026" w:rsidRPr="00461D74">
        <w:rPr>
          <w:rFonts w:ascii="Garamond" w:hAnsi="Garamond"/>
          <w:sz w:val="24"/>
          <w:szCs w:val="24"/>
        </w:rPr>
        <w:t>s supposed to stand</w:t>
      </w:r>
      <w:r w:rsidR="0081072A" w:rsidRPr="00461D74">
        <w:rPr>
          <w:rFonts w:ascii="Garamond" w:hAnsi="Garamond"/>
          <w:sz w:val="24"/>
          <w:szCs w:val="24"/>
        </w:rPr>
        <w:t>-in</w:t>
      </w:r>
      <w:r w:rsidR="00D51026" w:rsidRPr="00461D74">
        <w:rPr>
          <w:rFonts w:ascii="Garamond" w:hAnsi="Garamond"/>
          <w:sz w:val="24"/>
          <w:szCs w:val="24"/>
        </w:rPr>
        <w:t xml:space="preserve"> as a kind of social, as opposed to a metaphysical, teleology.</w:t>
      </w:r>
    </w:p>
    <w:p w:rsidR="00A917BE" w:rsidRPr="00461D74" w:rsidRDefault="00262FCF" w:rsidP="00164E4D">
      <w:pPr>
        <w:spacing w:line="360" w:lineRule="auto"/>
        <w:ind w:firstLine="720"/>
        <w:jc w:val="both"/>
        <w:rPr>
          <w:rFonts w:ascii="Garamond" w:hAnsi="Garamond"/>
          <w:sz w:val="24"/>
          <w:szCs w:val="24"/>
        </w:rPr>
      </w:pPr>
      <w:r w:rsidRPr="00461D74">
        <w:rPr>
          <w:rFonts w:ascii="Garamond" w:hAnsi="Garamond"/>
          <w:sz w:val="24"/>
          <w:szCs w:val="24"/>
        </w:rPr>
        <w:t xml:space="preserve">Nonetheless, </w:t>
      </w:r>
      <w:r w:rsidR="00016049" w:rsidRPr="00461D74">
        <w:rPr>
          <w:rFonts w:ascii="Garamond" w:hAnsi="Garamond"/>
          <w:sz w:val="24"/>
          <w:szCs w:val="24"/>
        </w:rPr>
        <w:t xml:space="preserve">I will suggest that the resolution of the problem </w:t>
      </w:r>
      <w:r w:rsidRPr="00461D74">
        <w:rPr>
          <w:rFonts w:ascii="Garamond" w:hAnsi="Garamond"/>
          <w:sz w:val="24"/>
          <w:szCs w:val="24"/>
        </w:rPr>
        <w:t xml:space="preserve">which MacIntyre advances </w:t>
      </w:r>
      <w:r w:rsidR="00016049" w:rsidRPr="00461D74">
        <w:rPr>
          <w:rFonts w:ascii="Garamond" w:hAnsi="Garamond"/>
          <w:sz w:val="24"/>
          <w:szCs w:val="24"/>
        </w:rPr>
        <w:t xml:space="preserve">at the end of </w:t>
      </w:r>
      <w:r w:rsidR="00016049" w:rsidRPr="00461D74">
        <w:rPr>
          <w:rFonts w:ascii="Garamond" w:hAnsi="Garamond"/>
          <w:i/>
          <w:sz w:val="24"/>
          <w:szCs w:val="24"/>
        </w:rPr>
        <w:t>After Virtue</w:t>
      </w:r>
      <w:r w:rsidR="00016049" w:rsidRPr="00461D74">
        <w:rPr>
          <w:rFonts w:ascii="Garamond" w:hAnsi="Garamond"/>
          <w:sz w:val="24"/>
          <w:szCs w:val="24"/>
        </w:rPr>
        <w:t xml:space="preserve">, because of some important criticisms advanced against it by </w:t>
      </w:r>
      <w:r w:rsidR="00055EFD">
        <w:rPr>
          <w:rFonts w:ascii="Garamond" w:hAnsi="Garamond"/>
          <w:sz w:val="24"/>
          <w:szCs w:val="24"/>
        </w:rPr>
        <w:t xml:space="preserve">Richard </w:t>
      </w:r>
      <w:r w:rsidR="00016049" w:rsidRPr="00461D74">
        <w:rPr>
          <w:rFonts w:ascii="Garamond" w:hAnsi="Garamond"/>
          <w:sz w:val="24"/>
          <w:szCs w:val="24"/>
        </w:rPr>
        <w:t xml:space="preserve">Bernstein and </w:t>
      </w:r>
      <w:r w:rsidR="00055EFD">
        <w:rPr>
          <w:rFonts w:ascii="Garamond" w:hAnsi="Garamond"/>
          <w:sz w:val="24"/>
          <w:szCs w:val="24"/>
        </w:rPr>
        <w:t xml:space="preserve">Jerome B. </w:t>
      </w:r>
      <w:proofErr w:type="spellStart"/>
      <w:r w:rsidR="00016049" w:rsidRPr="00461D74">
        <w:rPr>
          <w:rFonts w:ascii="Garamond" w:hAnsi="Garamond"/>
          <w:sz w:val="24"/>
          <w:szCs w:val="24"/>
        </w:rPr>
        <w:t>Schneewind</w:t>
      </w:r>
      <w:proofErr w:type="spellEnd"/>
      <w:r w:rsidR="00016049" w:rsidRPr="00461D74">
        <w:rPr>
          <w:rFonts w:ascii="Garamond" w:hAnsi="Garamond"/>
          <w:sz w:val="24"/>
          <w:szCs w:val="24"/>
        </w:rPr>
        <w:t xml:space="preserve">, </w:t>
      </w:r>
      <w:r w:rsidR="00F8070A" w:rsidRPr="00461D74">
        <w:rPr>
          <w:rFonts w:ascii="Garamond" w:hAnsi="Garamond"/>
          <w:sz w:val="24"/>
          <w:szCs w:val="24"/>
        </w:rPr>
        <w:t xml:space="preserve">doesn’t really resolve </w:t>
      </w:r>
      <w:r w:rsidR="00D51026" w:rsidRPr="00461D74">
        <w:rPr>
          <w:rFonts w:ascii="Garamond" w:hAnsi="Garamond"/>
          <w:sz w:val="24"/>
          <w:szCs w:val="24"/>
        </w:rPr>
        <w:t>the</w:t>
      </w:r>
      <w:r w:rsidR="00F8070A" w:rsidRPr="00461D74">
        <w:rPr>
          <w:rFonts w:ascii="Garamond" w:hAnsi="Garamond"/>
          <w:sz w:val="24"/>
          <w:szCs w:val="24"/>
        </w:rPr>
        <w:t xml:space="preserve"> problem</w:t>
      </w:r>
      <w:r w:rsidR="00D51026" w:rsidRPr="00461D74">
        <w:rPr>
          <w:rFonts w:ascii="Garamond" w:hAnsi="Garamond"/>
          <w:sz w:val="24"/>
          <w:szCs w:val="24"/>
        </w:rPr>
        <w:t xml:space="preserve">. More importantly, </w:t>
      </w:r>
      <w:r w:rsidR="00F8070A" w:rsidRPr="00461D74">
        <w:rPr>
          <w:rFonts w:ascii="Garamond" w:hAnsi="Garamond"/>
          <w:sz w:val="24"/>
          <w:szCs w:val="24"/>
        </w:rPr>
        <w:t>I will suggest</w:t>
      </w:r>
      <w:r w:rsidR="00D51026" w:rsidRPr="00461D74">
        <w:rPr>
          <w:rFonts w:ascii="Garamond" w:hAnsi="Garamond"/>
          <w:sz w:val="24"/>
          <w:szCs w:val="24"/>
        </w:rPr>
        <w:t>,</w:t>
      </w:r>
      <w:r w:rsidR="00F8070A" w:rsidRPr="00461D74">
        <w:rPr>
          <w:rFonts w:ascii="Garamond" w:hAnsi="Garamond"/>
          <w:sz w:val="24"/>
          <w:szCs w:val="24"/>
        </w:rPr>
        <w:t xml:space="preserve"> that </w:t>
      </w:r>
      <w:r w:rsidR="00406D2A" w:rsidRPr="00461D74">
        <w:rPr>
          <w:rFonts w:ascii="Garamond" w:hAnsi="Garamond"/>
          <w:sz w:val="24"/>
          <w:szCs w:val="24"/>
        </w:rPr>
        <w:t>MacIntyre’s</w:t>
      </w:r>
      <w:r w:rsidR="007F72A4" w:rsidRPr="00461D74">
        <w:rPr>
          <w:rFonts w:ascii="Garamond" w:hAnsi="Garamond"/>
          <w:sz w:val="24"/>
          <w:szCs w:val="24"/>
        </w:rPr>
        <w:t xml:space="preserve"> failure </w:t>
      </w:r>
      <w:r w:rsidR="00406D2A" w:rsidRPr="00461D74">
        <w:rPr>
          <w:rFonts w:ascii="Garamond" w:hAnsi="Garamond"/>
          <w:sz w:val="24"/>
          <w:szCs w:val="24"/>
        </w:rPr>
        <w:t xml:space="preserve">to successfully rebut </w:t>
      </w:r>
      <w:r w:rsidR="007F72A4" w:rsidRPr="00461D74">
        <w:rPr>
          <w:rFonts w:ascii="Garamond" w:hAnsi="Garamond"/>
          <w:sz w:val="24"/>
          <w:szCs w:val="24"/>
        </w:rPr>
        <w:t>these sorts of criticisms</w:t>
      </w:r>
      <w:r w:rsidR="00F8070A" w:rsidRPr="00461D74">
        <w:rPr>
          <w:rFonts w:ascii="Garamond" w:hAnsi="Garamond"/>
          <w:sz w:val="24"/>
          <w:szCs w:val="24"/>
        </w:rPr>
        <w:t xml:space="preserve"> </w:t>
      </w:r>
      <w:r w:rsidR="00C93384" w:rsidRPr="00461D74">
        <w:rPr>
          <w:rFonts w:ascii="Garamond" w:hAnsi="Garamond"/>
          <w:sz w:val="24"/>
          <w:szCs w:val="24"/>
        </w:rPr>
        <w:t>in fact</w:t>
      </w:r>
      <w:r w:rsidR="00F8070A" w:rsidRPr="00461D74">
        <w:rPr>
          <w:rFonts w:ascii="Garamond" w:hAnsi="Garamond"/>
          <w:sz w:val="24"/>
          <w:szCs w:val="24"/>
        </w:rPr>
        <w:t xml:space="preserve"> </w:t>
      </w:r>
      <w:r w:rsidR="00016049" w:rsidRPr="00461D74">
        <w:rPr>
          <w:rFonts w:ascii="Garamond" w:hAnsi="Garamond"/>
          <w:sz w:val="24"/>
          <w:szCs w:val="24"/>
        </w:rPr>
        <w:t xml:space="preserve">led MacIntyre into the project </w:t>
      </w:r>
      <w:r w:rsidR="00C93384" w:rsidRPr="00461D74">
        <w:rPr>
          <w:rFonts w:ascii="Garamond" w:hAnsi="Garamond"/>
          <w:sz w:val="24"/>
          <w:szCs w:val="24"/>
        </w:rPr>
        <w:t>of</w:t>
      </w:r>
      <w:r w:rsidR="00A917BE" w:rsidRPr="00461D74">
        <w:rPr>
          <w:rFonts w:ascii="Garamond" w:hAnsi="Garamond"/>
          <w:sz w:val="24"/>
          <w:szCs w:val="24"/>
        </w:rPr>
        <w:t xml:space="preserve"> </w:t>
      </w:r>
      <w:r w:rsidR="00016049" w:rsidRPr="00461D74">
        <w:rPr>
          <w:rFonts w:ascii="Garamond" w:hAnsi="Garamond"/>
          <w:i/>
          <w:sz w:val="24"/>
          <w:szCs w:val="24"/>
        </w:rPr>
        <w:t>Whose Justice</w:t>
      </w:r>
      <w:r w:rsidR="00016049" w:rsidRPr="00461D74">
        <w:rPr>
          <w:rFonts w:ascii="Garamond" w:hAnsi="Garamond"/>
          <w:sz w:val="24"/>
          <w:szCs w:val="24"/>
        </w:rPr>
        <w:t>.</w:t>
      </w:r>
      <w:r w:rsidR="00F83190" w:rsidRPr="00461D74">
        <w:rPr>
          <w:rStyle w:val="FootnoteReference"/>
          <w:rFonts w:ascii="Garamond" w:hAnsi="Garamond"/>
          <w:sz w:val="24"/>
          <w:szCs w:val="24"/>
        </w:rPr>
        <w:footnoteReference w:id="18"/>
      </w:r>
    </w:p>
    <w:p w:rsidR="00A917BE" w:rsidRPr="00461D74" w:rsidRDefault="007F72A4" w:rsidP="00164E4D">
      <w:pPr>
        <w:spacing w:line="360" w:lineRule="auto"/>
        <w:ind w:firstLine="720"/>
        <w:jc w:val="both"/>
        <w:rPr>
          <w:rFonts w:ascii="Garamond" w:hAnsi="Garamond"/>
          <w:sz w:val="24"/>
          <w:szCs w:val="24"/>
        </w:rPr>
      </w:pPr>
      <w:r w:rsidRPr="00461D74">
        <w:rPr>
          <w:rFonts w:ascii="Garamond" w:hAnsi="Garamond"/>
          <w:sz w:val="24"/>
          <w:szCs w:val="24"/>
        </w:rPr>
        <w:t xml:space="preserve">Here, </w:t>
      </w:r>
      <w:r w:rsidR="00016049" w:rsidRPr="00461D74">
        <w:rPr>
          <w:rFonts w:ascii="Garamond" w:hAnsi="Garamond"/>
          <w:sz w:val="24"/>
          <w:szCs w:val="24"/>
        </w:rPr>
        <w:t xml:space="preserve">I will begin by considering MacIntyre’s project in </w:t>
      </w:r>
      <w:r w:rsidR="00016049" w:rsidRPr="00461D74">
        <w:rPr>
          <w:rFonts w:ascii="Garamond" w:hAnsi="Garamond"/>
          <w:i/>
          <w:sz w:val="24"/>
          <w:szCs w:val="24"/>
        </w:rPr>
        <w:t>Whose Justice</w:t>
      </w:r>
      <w:r w:rsidR="00016049" w:rsidRPr="00461D74">
        <w:rPr>
          <w:rFonts w:ascii="Garamond" w:hAnsi="Garamond"/>
          <w:sz w:val="24"/>
          <w:szCs w:val="24"/>
        </w:rPr>
        <w:t xml:space="preserve"> in which he </w:t>
      </w:r>
      <w:r w:rsidR="0081072A" w:rsidRPr="00461D74">
        <w:rPr>
          <w:rFonts w:ascii="Garamond" w:hAnsi="Garamond"/>
          <w:sz w:val="24"/>
          <w:szCs w:val="24"/>
        </w:rPr>
        <w:t>illustrates</w:t>
      </w:r>
      <w:r w:rsidR="00016049" w:rsidRPr="00461D74">
        <w:rPr>
          <w:rFonts w:ascii="Garamond" w:hAnsi="Garamond"/>
          <w:sz w:val="24"/>
          <w:szCs w:val="24"/>
        </w:rPr>
        <w:t xml:space="preserve"> how traditions can in fact progress historically. In the historical reconstruction that MacIntyre offers</w:t>
      </w:r>
      <w:r w:rsidR="003A7F5D" w:rsidRPr="00461D74">
        <w:rPr>
          <w:rFonts w:ascii="Garamond" w:hAnsi="Garamond"/>
          <w:sz w:val="24"/>
          <w:szCs w:val="24"/>
        </w:rPr>
        <w:t>,</w:t>
      </w:r>
      <w:r w:rsidR="00016049" w:rsidRPr="00461D74">
        <w:rPr>
          <w:rFonts w:ascii="Garamond" w:hAnsi="Garamond"/>
          <w:sz w:val="24"/>
          <w:szCs w:val="24"/>
        </w:rPr>
        <w:t xml:space="preserve"> he </w:t>
      </w:r>
      <w:r w:rsidR="0081072A" w:rsidRPr="00461D74">
        <w:rPr>
          <w:rFonts w:ascii="Garamond" w:hAnsi="Garamond"/>
          <w:sz w:val="24"/>
          <w:szCs w:val="24"/>
        </w:rPr>
        <w:t>argues that</w:t>
      </w:r>
      <w:r w:rsidR="00016049" w:rsidRPr="00461D74">
        <w:rPr>
          <w:rFonts w:ascii="Garamond" w:hAnsi="Garamond"/>
          <w:sz w:val="24"/>
          <w:szCs w:val="24"/>
        </w:rPr>
        <w:t xml:space="preserve"> Thomism synthesizes the Aristotelian and Augustinian tradition into a coherent system that surpasses the limitations of </w:t>
      </w:r>
      <w:r w:rsidR="0081072A" w:rsidRPr="00461D74">
        <w:rPr>
          <w:rFonts w:ascii="Garamond" w:hAnsi="Garamond"/>
          <w:sz w:val="24"/>
          <w:szCs w:val="24"/>
        </w:rPr>
        <w:t xml:space="preserve">both </w:t>
      </w:r>
      <w:r w:rsidR="00016049" w:rsidRPr="00461D74">
        <w:rPr>
          <w:rFonts w:ascii="Garamond" w:hAnsi="Garamond"/>
          <w:sz w:val="24"/>
          <w:szCs w:val="24"/>
        </w:rPr>
        <w:t xml:space="preserve">its rivals and </w:t>
      </w:r>
      <w:r w:rsidR="00417BCB" w:rsidRPr="00461D74">
        <w:rPr>
          <w:rFonts w:ascii="Garamond" w:hAnsi="Garamond"/>
          <w:sz w:val="24"/>
          <w:szCs w:val="24"/>
        </w:rPr>
        <w:t xml:space="preserve">its </w:t>
      </w:r>
      <w:r w:rsidR="00016049" w:rsidRPr="00461D74">
        <w:rPr>
          <w:rFonts w:ascii="Garamond" w:hAnsi="Garamond"/>
          <w:sz w:val="24"/>
          <w:szCs w:val="24"/>
        </w:rPr>
        <w:t xml:space="preserve">predecessors. </w:t>
      </w:r>
      <w:r w:rsidR="00A917BE" w:rsidRPr="00461D74">
        <w:rPr>
          <w:rFonts w:ascii="Garamond" w:hAnsi="Garamond"/>
          <w:i/>
          <w:sz w:val="24"/>
          <w:szCs w:val="24"/>
        </w:rPr>
        <w:t>Whose Justice</w:t>
      </w:r>
      <w:r w:rsidR="00A917BE" w:rsidRPr="00461D74">
        <w:rPr>
          <w:rFonts w:ascii="Garamond" w:hAnsi="Garamond"/>
          <w:sz w:val="24"/>
          <w:szCs w:val="24"/>
        </w:rPr>
        <w:t xml:space="preserve"> is then written in the context of MacIntyre offering his allegiance to the Thomistic tradition and </w:t>
      </w:r>
      <w:r w:rsidR="00A917BE" w:rsidRPr="00461D74">
        <w:rPr>
          <w:rFonts w:ascii="Garamond" w:hAnsi="Garamond"/>
          <w:sz w:val="24"/>
          <w:szCs w:val="24"/>
        </w:rPr>
        <w:lastRenderedPageBreak/>
        <w:t>MacIntyre’s attempt at showing how Thomism is the best tradition formulated thus far.</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However, towards the end of </w:t>
      </w:r>
      <w:r w:rsidRPr="00461D74">
        <w:rPr>
          <w:rFonts w:ascii="Garamond" w:hAnsi="Garamond"/>
          <w:i/>
          <w:sz w:val="24"/>
          <w:szCs w:val="24"/>
        </w:rPr>
        <w:t>Whose Justice</w:t>
      </w:r>
      <w:r w:rsidR="003A7F5D" w:rsidRPr="00461D74">
        <w:rPr>
          <w:rFonts w:ascii="Garamond" w:hAnsi="Garamond"/>
          <w:i/>
          <w:sz w:val="24"/>
          <w:szCs w:val="24"/>
        </w:rPr>
        <w:t>,</w:t>
      </w:r>
      <w:r w:rsidRPr="00461D74">
        <w:rPr>
          <w:rFonts w:ascii="Garamond" w:hAnsi="Garamond"/>
          <w:sz w:val="24"/>
          <w:szCs w:val="24"/>
        </w:rPr>
        <w:t xml:space="preserve"> MacIntyre claims that liberalism is in fact the dominant contemporary tradition. He </w:t>
      </w:r>
      <w:r w:rsidR="004E46DB" w:rsidRPr="00461D74">
        <w:rPr>
          <w:rFonts w:ascii="Garamond" w:hAnsi="Garamond"/>
          <w:sz w:val="24"/>
          <w:szCs w:val="24"/>
        </w:rPr>
        <w:t>suggests</w:t>
      </w:r>
      <w:r w:rsidRPr="00461D74">
        <w:rPr>
          <w:rFonts w:ascii="Garamond" w:hAnsi="Garamond"/>
          <w:sz w:val="24"/>
          <w:szCs w:val="24"/>
        </w:rPr>
        <w:t xml:space="preserve"> that the tradition of Aquinas was gradually sidelined in ways which paved the way for what he </w:t>
      </w:r>
      <w:r w:rsidR="004E46DB" w:rsidRPr="00461D74">
        <w:rPr>
          <w:rFonts w:ascii="Garamond" w:hAnsi="Garamond"/>
          <w:sz w:val="24"/>
          <w:szCs w:val="24"/>
        </w:rPr>
        <w:t xml:space="preserve">defines as </w:t>
      </w:r>
      <w:r w:rsidRPr="00461D74">
        <w:rPr>
          <w:rFonts w:ascii="Garamond" w:hAnsi="Garamond"/>
          <w:sz w:val="24"/>
          <w:szCs w:val="24"/>
        </w:rPr>
        <w:t xml:space="preserve">the Enlightenment Project of Rationally Justifying Morality. This project, as we </w:t>
      </w:r>
      <w:r w:rsidR="004E46DB" w:rsidRPr="00461D74">
        <w:rPr>
          <w:rFonts w:ascii="Garamond" w:hAnsi="Garamond"/>
          <w:sz w:val="24"/>
          <w:szCs w:val="24"/>
        </w:rPr>
        <w:t xml:space="preserve">shall </w:t>
      </w:r>
      <w:r w:rsidRPr="00461D74">
        <w:rPr>
          <w:rFonts w:ascii="Garamond" w:hAnsi="Garamond"/>
          <w:sz w:val="24"/>
          <w:szCs w:val="24"/>
        </w:rPr>
        <w:t xml:space="preserve">observe in </w:t>
      </w:r>
      <w:r w:rsidRPr="00461D74">
        <w:rPr>
          <w:rFonts w:ascii="Garamond" w:hAnsi="Garamond"/>
          <w:i/>
          <w:sz w:val="24"/>
          <w:szCs w:val="24"/>
        </w:rPr>
        <w:t>After Virtue</w:t>
      </w:r>
      <w:r w:rsidRPr="00461D74">
        <w:rPr>
          <w:rFonts w:ascii="Garamond" w:hAnsi="Garamond"/>
          <w:sz w:val="24"/>
          <w:szCs w:val="24"/>
        </w:rPr>
        <w:t xml:space="preserve">, sets the stage for </w:t>
      </w:r>
      <w:proofErr w:type="spellStart"/>
      <w:r w:rsidRPr="00461D74">
        <w:rPr>
          <w:rFonts w:ascii="Garamond" w:hAnsi="Garamond"/>
          <w:sz w:val="24"/>
          <w:szCs w:val="24"/>
        </w:rPr>
        <w:t>emotivist</w:t>
      </w:r>
      <w:proofErr w:type="spellEnd"/>
      <w:r w:rsidRPr="00461D74">
        <w:rPr>
          <w:rFonts w:ascii="Garamond" w:hAnsi="Garamond"/>
          <w:sz w:val="24"/>
          <w:szCs w:val="24"/>
        </w:rPr>
        <w:t xml:space="preserve"> ethics and liberalism as the successor tradition.</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After a careful consideration of what are widely held to be MacIntyre’s two most important works in this chapter, I will suggest that </w:t>
      </w:r>
      <w:r w:rsidR="004E46DB" w:rsidRPr="00461D74">
        <w:rPr>
          <w:rFonts w:ascii="Garamond" w:hAnsi="Garamond"/>
          <w:sz w:val="24"/>
          <w:szCs w:val="24"/>
        </w:rPr>
        <w:t xml:space="preserve">in particular </w:t>
      </w:r>
      <w:r w:rsidRPr="00461D74">
        <w:rPr>
          <w:rFonts w:ascii="Garamond" w:hAnsi="Garamond"/>
          <w:sz w:val="24"/>
          <w:szCs w:val="24"/>
        </w:rPr>
        <w:t>two crucial</w:t>
      </w:r>
      <w:r w:rsidR="004E46DB" w:rsidRPr="00461D74">
        <w:rPr>
          <w:rFonts w:ascii="Garamond" w:hAnsi="Garamond"/>
          <w:sz w:val="24"/>
          <w:szCs w:val="24"/>
        </w:rPr>
        <w:t>ly</w:t>
      </w:r>
      <w:r w:rsidRPr="00461D74">
        <w:rPr>
          <w:rFonts w:ascii="Garamond" w:hAnsi="Garamond"/>
          <w:sz w:val="24"/>
          <w:szCs w:val="24"/>
        </w:rPr>
        <w:t xml:space="preserve"> critical questions </w:t>
      </w:r>
      <w:r w:rsidR="004E46DB" w:rsidRPr="00461D74">
        <w:rPr>
          <w:rFonts w:ascii="Garamond" w:hAnsi="Garamond"/>
          <w:sz w:val="24"/>
          <w:szCs w:val="24"/>
        </w:rPr>
        <w:t>are generated by his account</w:t>
      </w:r>
      <w:r w:rsidRPr="00461D74">
        <w:rPr>
          <w:rFonts w:ascii="Garamond" w:hAnsi="Garamond"/>
          <w:sz w:val="24"/>
          <w:szCs w:val="24"/>
        </w:rPr>
        <w:t xml:space="preserve">. First of all, given MacIntyre’s conception of the way in which traditions make rational progress over time, how can he hold onto the Thomistic tradition, when by his own account </w:t>
      </w:r>
      <w:r w:rsidR="00EC6689" w:rsidRPr="00461D74">
        <w:rPr>
          <w:rFonts w:ascii="Garamond" w:hAnsi="Garamond"/>
          <w:sz w:val="24"/>
          <w:szCs w:val="24"/>
        </w:rPr>
        <w:t>Thomism has been sidelined by the unfolding of historical events</w:t>
      </w:r>
      <w:r w:rsidRPr="00461D74">
        <w:rPr>
          <w:rFonts w:ascii="Garamond" w:hAnsi="Garamond"/>
          <w:sz w:val="24"/>
          <w:szCs w:val="24"/>
        </w:rPr>
        <w:t xml:space="preserve"> and </w:t>
      </w:r>
      <w:r w:rsidR="00932590">
        <w:rPr>
          <w:rFonts w:ascii="Garamond" w:hAnsi="Garamond"/>
          <w:sz w:val="24"/>
          <w:szCs w:val="24"/>
        </w:rPr>
        <w:t xml:space="preserve">ultimately </w:t>
      </w:r>
      <w:r w:rsidRPr="00461D74">
        <w:rPr>
          <w:rFonts w:ascii="Garamond" w:hAnsi="Garamond"/>
          <w:sz w:val="24"/>
          <w:szCs w:val="24"/>
        </w:rPr>
        <w:t>displaced by the liberal tradition? Th</w:t>
      </w:r>
      <w:r w:rsidR="00EC6689" w:rsidRPr="00461D74">
        <w:rPr>
          <w:rFonts w:ascii="Garamond" w:hAnsi="Garamond"/>
          <w:sz w:val="24"/>
          <w:szCs w:val="24"/>
        </w:rPr>
        <w:t>e</w:t>
      </w:r>
      <w:r w:rsidRPr="00461D74">
        <w:rPr>
          <w:rFonts w:ascii="Garamond" w:hAnsi="Garamond"/>
          <w:sz w:val="24"/>
          <w:szCs w:val="24"/>
        </w:rPr>
        <w:t xml:space="preserve"> second problem that I </w:t>
      </w:r>
      <w:r w:rsidR="00EC6689" w:rsidRPr="00461D74">
        <w:rPr>
          <w:rFonts w:ascii="Garamond" w:hAnsi="Garamond"/>
          <w:sz w:val="24"/>
          <w:szCs w:val="24"/>
        </w:rPr>
        <w:t>plan to</w:t>
      </w:r>
      <w:r w:rsidRPr="00461D74">
        <w:rPr>
          <w:rFonts w:ascii="Garamond" w:hAnsi="Garamond"/>
          <w:sz w:val="24"/>
          <w:szCs w:val="24"/>
        </w:rPr>
        <w:t xml:space="preserve"> discuss is itself generated in part by th</w:t>
      </w:r>
      <w:r w:rsidR="00EC6689" w:rsidRPr="00461D74">
        <w:rPr>
          <w:rFonts w:ascii="Garamond" w:hAnsi="Garamond"/>
          <w:sz w:val="24"/>
          <w:szCs w:val="24"/>
        </w:rPr>
        <w:t>is</w:t>
      </w:r>
      <w:r w:rsidRPr="00461D74">
        <w:rPr>
          <w:rFonts w:ascii="Garamond" w:hAnsi="Garamond"/>
          <w:sz w:val="24"/>
          <w:szCs w:val="24"/>
        </w:rPr>
        <w:t xml:space="preserve"> first </w:t>
      </w:r>
      <w:r w:rsidR="00EC6689" w:rsidRPr="00461D74">
        <w:rPr>
          <w:rFonts w:ascii="Garamond" w:hAnsi="Garamond"/>
          <w:sz w:val="24"/>
          <w:szCs w:val="24"/>
        </w:rPr>
        <w:t>difficulty</w:t>
      </w:r>
      <w:r w:rsidRPr="00461D74">
        <w:rPr>
          <w:rFonts w:ascii="Garamond" w:hAnsi="Garamond"/>
          <w:sz w:val="24"/>
          <w:szCs w:val="24"/>
        </w:rPr>
        <w:t>. This second question can be stated in the followin</w:t>
      </w:r>
      <w:r w:rsidR="00FD7BD3">
        <w:rPr>
          <w:rFonts w:ascii="Garamond" w:hAnsi="Garamond"/>
          <w:sz w:val="24"/>
          <w:szCs w:val="24"/>
        </w:rPr>
        <w:t xml:space="preserve">g way: if ethics and politics – </w:t>
      </w:r>
      <w:r w:rsidRPr="00461D74">
        <w:rPr>
          <w:rFonts w:ascii="Garamond" w:hAnsi="Garamond"/>
          <w:sz w:val="24"/>
          <w:szCs w:val="24"/>
        </w:rPr>
        <w:t xml:space="preserve">as MacIntyre argues on his contextualist and </w:t>
      </w:r>
      <w:r w:rsidR="00EC6689" w:rsidRPr="00461D74">
        <w:rPr>
          <w:rFonts w:ascii="Garamond" w:hAnsi="Garamond"/>
          <w:sz w:val="24"/>
          <w:szCs w:val="24"/>
        </w:rPr>
        <w:t>historicist</w:t>
      </w:r>
      <w:r w:rsidRPr="00461D74">
        <w:rPr>
          <w:rFonts w:ascii="Garamond" w:hAnsi="Garamond"/>
          <w:sz w:val="24"/>
          <w:szCs w:val="24"/>
        </w:rPr>
        <w:t xml:space="preserve"> account – is </w:t>
      </w:r>
      <w:r w:rsidR="00EC6689" w:rsidRPr="00461D74">
        <w:rPr>
          <w:rFonts w:ascii="Garamond" w:hAnsi="Garamond"/>
          <w:sz w:val="24"/>
          <w:szCs w:val="24"/>
        </w:rPr>
        <w:t>for the most</w:t>
      </w:r>
      <w:r w:rsidRPr="00461D74">
        <w:rPr>
          <w:rFonts w:ascii="Garamond" w:hAnsi="Garamond"/>
          <w:sz w:val="24"/>
          <w:szCs w:val="24"/>
        </w:rPr>
        <w:t xml:space="preserve"> part a theoretical expression of the background social </w:t>
      </w:r>
      <w:r w:rsidR="000479BC">
        <w:rPr>
          <w:rFonts w:ascii="Garamond" w:hAnsi="Garamond"/>
          <w:sz w:val="24"/>
          <w:szCs w:val="24"/>
        </w:rPr>
        <w:t>structure or edifice</w:t>
      </w:r>
      <w:r w:rsidRPr="00461D74">
        <w:rPr>
          <w:rFonts w:ascii="Garamond" w:hAnsi="Garamond"/>
          <w:sz w:val="24"/>
          <w:szCs w:val="24"/>
        </w:rPr>
        <w:t xml:space="preserve">, it is not clear how MacIntyre can argue for the </w:t>
      </w:r>
      <w:r w:rsidR="00EC6689" w:rsidRPr="00461D74">
        <w:rPr>
          <w:rFonts w:ascii="Garamond" w:hAnsi="Garamond"/>
          <w:sz w:val="24"/>
          <w:szCs w:val="24"/>
        </w:rPr>
        <w:t xml:space="preserve">relevance and revival </w:t>
      </w:r>
      <w:r w:rsidRPr="00461D74">
        <w:rPr>
          <w:rFonts w:ascii="Garamond" w:hAnsi="Garamond"/>
          <w:sz w:val="24"/>
          <w:szCs w:val="24"/>
        </w:rPr>
        <w:t>of the Aristotelian-Thomist</w:t>
      </w:r>
      <w:r w:rsidR="00EC6689" w:rsidRPr="00461D74">
        <w:rPr>
          <w:rFonts w:ascii="Garamond" w:hAnsi="Garamond"/>
          <w:sz w:val="24"/>
          <w:szCs w:val="24"/>
        </w:rPr>
        <w:t>ic</w:t>
      </w:r>
      <w:r w:rsidRPr="00461D74">
        <w:rPr>
          <w:rFonts w:ascii="Garamond" w:hAnsi="Garamond"/>
          <w:sz w:val="24"/>
          <w:szCs w:val="24"/>
        </w:rPr>
        <w:t xml:space="preserve"> </w:t>
      </w:r>
      <w:r w:rsidR="00EC6689" w:rsidRPr="00461D74">
        <w:rPr>
          <w:rFonts w:ascii="Garamond" w:hAnsi="Garamond"/>
          <w:sz w:val="24"/>
          <w:szCs w:val="24"/>
        </w:rPr>
        <w:t>tradition</w:t>
      </w:r>
      <w:r w:rsidRPr="00461D74">
        <w:rPr>
          <w:rFonts w:ascii="Garamond" w:hAnsi="Garamond"/>
          <w:sz w:val="24"/>
          <w:szCs w:val="24"/>
        </w:rPr>
        <w:t>, which again by his own account was a</w:t>
      </w:r>
      <w:r w:rsidR="000479BC">
        <w:rPr>
          <w:rFonts w:ascii="Garamond" w:hAnsi="Garamond"/>
          <w:sz w:val="24"/>
          <w:szCs w:val="24"/>
        </w:rPr>
        <w:t>n intellectual expression, as well as a</w:t>
      </w:r>
      <w:r w:rsidRPr="00461D74">
        <w:rPr>
          <w:rFonts w:ascii="Garamond" w:hAnsi="Garamond"/>
          <w:sz w:val="24"/>
          <w:szCs w:val="24"/>
        </w:rPr>
        <w:t xml:space="preserve"> product</w:t>
      </w:r>
      <w:r w:rsidR="000479BC">
        <w:rPr>
          <w:rFonts w:ascii="Garamond" w:hAnsi="Garamond"/>
          <w:sz w:val="24"/>
          <w:szCs w:val="24"/>
        </w:rPr>
        <w:t>,</w:t>
      </w:r>
      <w:r w:rsidRPr="00461D74">
        <w:rPr>
          <w:rFonts w:ascii="Garamond" w:hAnsi="Garamond"/>
          <w:sz w:val="24"/>
          <w:szCs w:val="24"/>
        </w:rPr>
        <w:t xml:space="preserve"> of its own time</w:t>
      </w:r>
      <w:r w:rsidR="00EC6689" w:rsidRPr="00461D74">
        <w:rPr>
          <w:rFonts w:ascii="Garamond" w:hAnsi="Garamond"/>
          <w:sz w:val="24"/>
          <w:szCs w:val="24"/>
        </w:rPr>
        <w:t>,</w:t>
      </w:r>
      <w:r w:rsidRPr="00461D74">
        <w:rPr>
          <w:rFonts w:ascii="Garamond" w:hAnsi="Garamond"/>
          <w:sz w:val="24"/>
          <w:szCs w:val="24"/>
        </w:rPr>
        <w:t xml:space="preserve"> and </w:t>
      </w:r>
      <w:r w:rsidR="000479BC">
        <w:rPr>
          <w:rFonts w:ascii="Garamond" w:hAnsi="Garamond"/>
          <w:sz w:val="24"/>
          <w:szCs w:val="24"/>
        </w:rPr>
        <w:t xml:space="preserve">as such, </w:t>
      </w:r>
      <w:r w:rsidRPr="00461D74">
        <w:rPr>
          <w:rFonts w:ascii="Garamond" w:hAnsi="Garamond"/>
          <w:sz w:val="24"/>
          <w:szCs w:val="24"/>
        </w:rPr>
        <w:t xml:space="preserve">is </w:t>
      </w:r>
      <w:r w:rsidR="00EC6689" w:rsidRPr="00461D74">
        <w:rPr>
          <w:rFonts w:ascii="Garamond" w:hAnsi="Garamond"/>
          <w:sz w:val="24"/>
          <w:szCs w:val="24"/>
        </w:rPr>
        <w:t xml:space="preserve">therefore </w:t>
      </w:r>
      <w:r w:rsidRPr="00461D74">
        <w:rPr>
          <w:rFonts w:ascii="Garamond" w:hAnsi="Garamond"/>
          <w:sz w:val="24"/>
          <w:szCs w:val="24"/>
        </w:rPr>
        <w:t>now fundamentally at odds with the social structures of the modern world.</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I </w:t>
      </w:r>
      <w:r w:rsidR="0096288F" w:rsidRPr="00461D74">
        <w:rPr>
          <w:rFonts w:ascii="Garamond" w:hAnsi="Garamond"/>
          <w:sz w:val="24"/>
          <w:szCs w:val="24"/>
        </w:rPr>
        <w:t xml:space="preserve">will </w:t>
      </w:r>
      <w:r w:rsidRPr="00461D74">
        <w:rPr>
          <w:rFonts w:ascii="Garamond" w:hAnsi="Garamond"/>
          <w:sz w:val="24"/>
          <w:szCs w:val="24"/>
        </w:rPr>
        <w:t xml:space="preserve">now proceed to </w:t>
      </w:r>
      <w:r w:rsidR="0096288F" w:rsidRPr="00461D74">
        <w:rPr>
          <w:rFonts w:ascii="Garamond" w:hAnsi="Garamond"/>
          <w:sz w:val="24"/>
          <w:szCs w:val="24"/>
        </w:rPr>
        <w:t xml:space="preserve">a more detailed </w:t>
      </w:r>
      <w:r w:rsidRPr="00461D74">
        <w:rPr>
          <w:rFonts w:ascii="Garamond" w:hAnsi="Garamond"/>
          <w:sz w:val="24"/>
          <w:szCs w:val="24"/>
        </w:rPr>
        <w:t>discuss</w:t>
      </w:r>
      <w:r w:rsidR="0096288F" w:rsidRPr="00461D74">
        <w:rPr>
          <w:rFonts w:ascii="Garamond" w:hAnsi="Garamond"/>
          <w:sz w:val="24"/>
          <w:szCs w:val="24"/>
        </w:rPr>
        <w:t>ion of</w:t>
      </w:r>
      <w:r w:rsidRPr="00461D74">
        <w:rPr>
          <w:rFonts w:ascii="Garamond" w:hAnsi="Garamond"/>
          <w:sz w:val="24"/>
          <w:szCs w:val="24"/>
        </w:rPr>
        <w:t xml:space="preserve"> </w:t>
      </w:r>
      <w:r w:rsidRPr="00461D74">
        <w:rPr>
          <w:rFonts w:ascii="Garamond" w:hAnsi="Garamond"/>
          <w:i/>
          <w:sz w:val="24"/>
          <w:szCs w:val="24"/>
        </w:rPr>
        <w:t xml:space="preserve">After Virtue </w:t>
      </w:r>
      <w:r w:rsidRPr="00461D74">
        <w:rPr>
          <w:rFonts w:ascii="Garamond" w:hAnsi="Garamond"/>
          <w:sz w:val="24"/>
          <w:szCs w:val="24"/>
        </w:rPr>
        <w:t xml:space="preserve">and </w:t>
      </w:r>
      <w:r w:rsidRPr="00461D74">
        <w:rPr>
          <w:rFonts w:ascii="Garamond" w:hAnsi="Garamond"/>
          <w:i/>
          <w:sz w:val="24"/>
          <w:szCs w:val="24"/>
        </w:rPr>
        <w:t>Whose Justice</w:t>
      </w:r>
      <w:r w:rsidRPr="00461D74">
        <w:rPr>
          <w:rFonts w:ascii="Garamond" w:hAnsi="Garamond"/>
          <w:sz w:val="24"/>
          <w:szCs w:val="24"/>
        </w:rPr>
        <w:t xml:space="preserve">, </w:t>
      </w:r>
      <w:r w:rsidR="0096288F" w:rsidRPr="00461D74">
        <w:rPr>
          <w:rFonts w:ascii="Garamond" w:hAnsi="Garamond"/>
          <w:sz w:val="24"/>
          <w:szCs w:val="24"/>
        </w:rPr>
        <w:t xml:space="preserve">in order to </w:t>
      </w:r>
      <w:r w:rsidR="004D756A">
        <w:rPr>
          <w:rFonts w:ascii="Garamond" w:hAnsi="Garamond"/>
          <w:sz w:val="24"/>
          <w:szCs w:val="24"/>
        </w:rPr>
        <w:t xml:space="preserve">put </w:t>
      </w:r>
      <w:r w:rsidR="0096288F" w:rsidRPr="00461D74">
        <w:rPr>
          <w:rFonts w:ascii="Garamond" w:hAnsi="Garamond"/>
          <w:sz w:val="24"/>
          <w:szCs w:val="24"/>
        </w:rPr>
        <w:t xml:space="preserve">together </w:t>
      </w:r>
      <w:r w:rsidRPr="00461D74">
        <w:rPr>
          <w:rFonts w:ascii="Garamond" w:hAnsi="Garamond"/>
          <w:sz w:val="24"/>
          <w:szCs w:val="24"/>
        </w:rPr>
        <w:t xml:space="preserve">the </w:t>
      </w:r>
      <w:r w:rsidR="000B2F5A" w:rsidRPr="00461D74">
        <w:rPr>
          <w:rFonts w:ascii="Garamond" w:hAnsi="Garamond"/>
          <w:sz w:val="24"/>
          <w:szCs w:val="24"/>
        </w:rPr>
        <w:t xml:space="preserve">conceptual-historical </w:t>
      </w:r>
      <w:r w:rsidRPr="00461D74">
        <w:rPr>
          <w:rFonts w:ascii="Garamond" w:hAnsi="Garamond"/>
          <w:sz w:val="24"/>
          <w:szCs w:val="24"/>
        </w:rPr>
        <w:t xml:space="preserve">background against which </w:t>
      </w:r>
      <w:r w:rsidR="0096288F" w:rsidRPr="00461D74">
        <w:rPr>
          <w:rFonts w:ascii="Garamond" w:hAnsi="Garamond"/>
          <w:sz w:val="24"/>
          <w:szCs w:val="24"/>
        </w:rPr>
        <w:t xml:space="preserve">these </w:t>
      </w:r>
      <w:r w:rsidRPr="00461D74">
        <w:rPr>
          <w:rFonts w:ascii="Garamond" w:hAnsi="Garamond"/>
          <w:sz w:val="24"/>
          <w:szCs w:val="24"/>
        </w:rPr>
        <w:t xml:space="preserve">two questions </w:t>
      </w:r>
      <w:r w:rsidR="000B2F5A" w:rsidRPr="00461D74">
        <w:rPr>
          <w:rFonts w:ascii="Garamond" w:hAnsi="Garamond"/>
          <w:sz w:val="24"/>
          <w:szCs w:val="24"/>
        </w:rPr>
        <w:t>appear</w:t>
      </w:r>
      <w:r w:rsidR="0096288F" w:rsidRPr="00461D74">
        <w:rPr>
          <w:rFonts w:ascii="Garamond" w:hAnsi="Garamond"/>
          <w:sz w:val="24"/>
          <w:szCs w:val="24"/>
        </w:rPr>
        <w:t xml:space="preserve"> to </w:t>
      </w:r>
      <w:r w:rsidRPr="00461D74">
        <w:rPr>
          <w:rFonts w:ascii="Garamond" w:hAnsi="Garamond"/>
          <w:sz w:val="24"/>
          <w:szCs w:val="24"/>
        </w:rPr>
        <w:t>emerge.</w:t>
      </w:r>
      <w:r w:rsidR="00301CDB" w:rsidRPr="00461D74">
        <w:rPr>
          <w:rFonts w:ascii="Garamond" w:hAnsi="Garamond"/>
          <w:sz w:val="24"/>
          <w:szCs w:val="24"/>
        </w:rPr>
        <w:t xml:space="preserve"> </w:t>
      </w:r>
    </w:p>
    <w:p w:rsidR="00016049" w:rsidRDefault="00016049" w:rsidP="00164E4D">
      <w:pPr>
        <w:spacing w:line="360" w:lineRule="auto"/>
        <w:jc w:val="both"/>
        <w:rPr>
          <w:rFonts w:ascii="Garamond" w:hAnsi="Garamond"/>
          <w:sz w:val="24"/>
          <w:szCs w:val="24"/>
        </w:rPr>
      </w:pPr>
    </w:p>
    <w:p w:rsidR="00016049" w:rsidRPr="00461D74" w:rsidRDefault="00195ABA" w:rsidP="00164E4D">
      <w:pPr>
        <w:pStyle w:val="Heading2"/>
        <w:spacing w:line="360" w:lineRule="auto"/>
        <w:jc w:val="both"/>
        <w:rPr>
          <w:rFonts w:cstheme="majorHAnsi"/>
        </w:rPr>
      </w:pPr>
      <w:bookmarkStart w:id="8" w:name="_Toc528077790"/>
      <w:r w:rsidRPr="00461D74">
        <w:rPr>
          <w:rFonts w:cstheme="majorHAnsi"/>
        </w:rPr>
        <w:lastRenderedPageBreak/>
        <w:t xml:space="preserve">2. </w:t>
      </w:r>
      <w:r w:rsidR="006132E2" w:rsidRPr="00461D74">
        <w:rPr>
          <w:rFonts w:cstheme="majorHAnsi"/>
        </w:rPr>
        <w:t>The Enlightenment Project</w:t>
      </w:r>
      <w:bookmarkEnd w:id="8"/>
    </w:p>
    <w:p w:rsidR="00EC6689" w:rsidRPr="00461D74" w:rsidRDefault="00EC6689" w:rsidP="00164E4D">
      <w:pPr>
        <w:spacing w:line="360" w:lineRule="auto"/>
        <w:jc w:val="both"/>
        <w:rPr>
          <w:rFonts w:ascii="Garamond" w:hAnsi="Garamond"/>
          <w:sz w:val="24"/>
          <w:szCs w:val="24"/>
        </w:rPr>
      </w:pPr>
    </w:p>
    <w:p w:rsidR="00016049" w:rsidRPr="00461D74" w:rsidRDefault="005D12BD" w:rsidP="00164E4D">
      <w:pPr>
        <w:spacing w:line="360" w:lineRule="auto"/>
        <w:jc w:val="both"/>
        <w:rPr>
          <w:rFonts w:ascii="Garamond" w:hAnsi="Garamond"/>
          <w:sz w:val="24"/>
          <w:szCs w:val="24"/>
        </w:rPr>
      </w:pPr>
      <w:r w:rsidRPr="00461D74">
        <w:rPr>
          <w:rFonts w:ascii="Garamond" w:hAnsi="Garamond"/>
          <w:sz w:val="24"/>
          <w:szCs w:val="24"/>
        </w:rPr>
        <w:t xml:space="preserve">Earlier, </w:t>
      </w:r>
      <w:r w:rsidR="00016049" w:rsidRPr="00461D74">
        <w:rPr>
          <w:rFonts w:ascii="Garamond" w:hAnsi="Garamond"/>
          <w:sz w:val="24"/>
          <w:szCs w:val="24"/>
        </w:rPr>
        <w:t>I introduced MacIntyre’s disquieting suggestion that our contemporary moral language is in a state of disorder. MacIntyre offers us some examples of the type of arguments advanced by</w:t>
      </w:r>
      <w:r w:rsidR="00E8543F" w:rsidRPr="00461D74">
        <w:rPr>
          <w:rFonts w:ascii="Garamond" w:hAnsi="Garamond"/>
          <w:sz w:val="24"/>
          <w:szCs w:val="24"/>
        </w:rPr>
        <w:t xml:space="preserve"> different </w:t>
      </w:r>
      <w:r w:rsidR="00016049" w:rsidRPr="00461D74">
        <w:rPr>
          <w:rFonts w:ascii="Garamond" w:hAnsi="Garamond"/>
          <w:sz w:val="24"/>
          <w:szCs w:val="24"/>
        </w:rPr>
        <w:t>adherents of the kind of moral philosophy that emerged out of various enlightenment debates.</w:t>
      </w:r>
      <w:r w:rsidR="00016049" w:rsidRPr="00461D74">
        <w:rPr>
          <w:rStyle w:val="FootnoteReference"/>
          <w:rFonts w:ascii="Garamond" w:hAnsi="Garamond"/>
          <w:sz w:val="24"/>
          <w:szCs w:val="24"/>
        </w:rPr>
        <w:footnoteReference w:id="19"/>
      </w:r>
      <w:r w:rsidR="00016049" w:rsidRPr="00461D74">
        <w:rPr>
          <w:rFonts w:ascii="Garamond" w:hAnsi="Garamond"/>
          <w:sz w:val="24"/>
          <w:szCs w:val="24"/>
        </w:rPr>
        <w:t xml:space="preserve"> He then goes </w:t>
      </w:r>
      <w:r w:rsidR="002841E6" w:rsidRPr="00461D74">
        <w:rPr>
          <w:rFonts w:ascii="Garamond" w:hAnsi="Garamond"/>
          <w:sz w:val="24"/>
          <w:szCs w:val="24"/>
        </w:rPr>
        <w:t xml:space="preserve">on </w:t>
      </w:r>
      <w:r w:rsidR="00016049" w:rsidRPr="00461D74">
        <w:rPr>
          <w:rFonts w:ascii="Garamond" w:hAnsi="Garamond"/>
          <w:sz w:val="24"/>
          <w:szCs w:val="24"/>
        </w:rPr>
        <w:t xml:space="preserve">to show that these debates are interminable precisely because the </w:t>
      </w:r>
      <w:r w:rsidRPr="00461D74">
        <w:rPr>
          <w:rFonts w:ascii="Garamond" w:hAnsi="Garamond"/>
          <w:sz w:val="24"/>
          <w:szCs w:val="24"/>
        </w:rPr>
        <w:t xml:space="preserve">distinct </w:t>
      </w:r>
      <w:r w:rsidR="00016049" w:rsidRPr="00461D74">
        <w:rPr>
          <w:rFonts w:ascii="Garamond" w:hAnsi="Garamond"/>
          <w:sz w:val="24"/>
          <w:szCs w:val="24"/>
        </w:rPr>
        <w:t xml:space="preserve">arguments advanced by moral philosophers sought to derive a set of rational justifications for moral claims that </w:t>
      </w:r>
      <w:r w:rsidRPr="00461D74">
        <w:rPr>
          <w:rFonts w:ascii="Garamond" w:hAnsi="Garamond"/>
          <w:sz w:val="24"/>
          <w:szCs w:val="24"/>
        </w:rPr>
        <w:t xml:space="preserve">were </w:t>
      </w:r>
      <w:r w:rsidR="00016049" w:rsidRPr="00461D74">
        <w:rPr>
          <w:rFonts w:ascii="Garamond" w:hAnsi="Garamond"/>
          <w:sz w:val="24"/>
          <w:szCs w:val="24"/>
        </w:rPr>
        <w:t xml:space="preserve">grounded on opposing sets of first principles that </w:t>
      </w:r>
      <w:r w:rsidRPr="00461D74">
        <w:rPr>
          <w:rFonts w:ascii="Garamond" w:hAnsi="Garamond"/>
          <w:sz w:val="24"/>
          <w:szCs w:val="24"/>
        </w:rPr>
        <w:t xml:space="preserve">could not </w:t>
      </w:r>
      <w:r w:rsidR="00016049" w:rsidRPr="00461D74">
        <w:rPr>
          <w:rFonts w:ascii="Garamond" w:hAnsi="Garamond"/>
          <w:sz w:val="24"/>
          <w:szCs w:val="24"/>
        </w:rPr>
        <w:t xml:space="preserve">be </w:t>
      </w:r>
      <w:r w:rsidRPr="00461D74">
        <w:rPr>
          <w:rFonts w:ascii="Garamond" w:hAnsi="Garamond"/>
          <w:sz w:val="24"/>
          <w:szCs w:val="24"/>
        </w:rPr>
        <w:t xml:space="preserve">further </w:t>
      </w:r>
      <w:r w:rsidR="00016049" w:rsidRPr="00461D74">
        <w:rPr>
          <w:rFonts w:ascii="Garamond" w:hAnsi="Garamond"/>
          <w:sz w:val="24"/>
          <w:szCs w:val="24"/>
        </w:rPr>
        <w:t>argued. So for example</w:t>
      </w:r>
      <w:r w:rsidR="003A7F5D" w:rsidRPr="00461D74">
        <w:rPr>
          <w:rFonts w:ascii="Garamond" w:hAnsi="Garamond"/>
          <w:sz w:val="24"/>
          <w:szCs w:val="24"/>
        </w:rPr>
        <w:t>,</w:t>
      </w:r>
      <w:r w:rsidR="00016049" w:rsidRPr="00461D74">
        <w:rPr>
          <w:rFonts w:ascii="Garamond" w:hAnsi="Garamond"/>
          <w:sz w:val="24"/>
          <w:szCs w:val="24"/>
        </w:rPr>
        <w:t xml:space="preserve"> a set of justifications that invoke innocence or justice are set against justifications that invoke success; in another example, premises that are established on rights are at odds with those that are based on </w:t>
      </w:r>
      <w:proofErr w:type="spellStart"/>
      <w:r w:rsidR="00016049" w:rsidRPr="00461D74">
        <w:rPr>
          <w:rFonts w:ascii="Garamond" w:hAnsi="Garamond"/>
          <w:sz w:val="24"/>
          <w:szCs w:val="24"/>
        </w:rPr>
        <w:t>universalizability</w:t>
      </w:r>
      <w:proofErr w:type="spellEnd"/>
      <w:r w:rsidR="00016049" w:rsidRPr="00461D74">
        <w:rPr>
          <w:rFonts w:ascii="Garamond" w:hAnsi="Garamond"/>
          <w:sz w:val="24"/>
          <w:szCs w:val="24"/>
        </w:rPr>
        <w:t>; and in others, claims that invoke the notion of freedom are at odds with those that demand equality.</w:t>
      </w:r>
    </w:p>
    <w:p w:rsidR="00016049" w:rsidRPr="00D6631D" w:rsidRDefault="00016049" w:rsidP="00164E4D">
      <w:pPr>
        <w:spacing w:line="360" w:lineRule="auto"/>
        <w:ind w:left="1440"/>
        <w:jc w:val="both"/>
        <w:rPr>
          <w:rFonts w:ascii="Garamond" w:hAnsi="Garamond"/>
        </w:rPr>
      </w:pPr>
      <w:r w:rsidRPr="00D6631D">
        <w:rPr>
          <w:rFonts w:ascii="Garamond" w:hAnsi="Garamond"/>
        </w:rPr>
        <w:t>“Every one of the arguments is logically valid or can be easily expanded so as to be made so; the conclusions do indeed follow from the premises. But the rival premises are such that we possess no rational way of weighing the claims of one as against another. For each premise employs some quite different normative or evaluative concept from the others, so that the claims made upon us are of quite different kinds…It is precisely because there is in our society no established way of deciding between these claims that moral argument appears to be necessarily interminable.”</w:t>
      </w:r>
      <w:r w:rsidRPr="00D6631D">
        <w:rPr>
          <w:rStyle w:val="FootnoteReference"/>
          <w:rFonts w:ascii="Garamond" w:hAnsi="Garamond"/>
        </w:rPr>
        <w:footnoteReference w:id="20"/>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The upshot here is that the choice between offering our allegiance to one position as opposed to another ultimately involves</w:t>
      </w:r>
      <w:r w:rsidR="0000136A" w:rsidRPr="00461D74">
        <w:rPr>
          <w:rFonts w:ascii="Garamond" w:hAnsi="Garamond"/>
          <w:sz w:val="24"/>
          <w:szCs w:val="24"/>
        </w:rPr>
        <w:t xml:space="preserve"> nothing but</w:t>
      </w:r>
      <w:r w:rsidRPr="00461D74">
        <w:rPr>
          <w:rFonts w:ascii="Garamond" w:hAnsi="Garamond"/>
          <w:sz w:val="24"/>
          <w:szCs w:val="24"/>
        </w:rPr>
        <w:t xml:space="preserve"> an arbitrary non-</w:t>
      </w:r>
      <w:r w:rsidRPr="00461D74">
        <w:rPr>
          <w:rFonts w:ascii="Garamond" w:hAnsi="Garamond"/>
          <w:sz w:val="24"/>
          <w:szCs w:val="24"/>
        </w:rPr>
        <w:lastRenderedPageBreak/>
        <w:t>rational decision.</w:t>
      </w:r>
      <w:r w:rsidRPr="00461D74">
        <w:rPr>
          <w:rStyle w:val="FootnoteReference"/>
          <w:rFonts w:ascii="Garamond" w:hAnsi="Garamond"/>
          <w:sz w:val="24"/>
          <w:szCs w:val="24"/>
        </w:rPr>
        <w:footnoteReference w:id="21"/>
      </w:r>
      <w:r w:rsidRPr="00461D74">
        <w:rPr>
          <w:rFonts w:ascii="Garamond" w:hAnsi="Garamond"/>
          <w:sz w:val="24"/>
          <w:szCs w:val="24"/>
        </w:rPr>
        <w:t xml:space="preserve"> MacIntyre goes on to argue that the interminability of conflicts in contemporary moral discourse rests on the fact that the various appeals which </w:t>
      </w:r>
      <w:r w:rsidR="00AF42DA" w:rsidRPr="00461D74">
        <w:rPr>
          <w:rFonts w:ascii="Garamond" w:hAnsi="Garamond"/>
          <w:sz w:val="24"/>
          <w:szCs w:val="24"/>
        </w:rPr>
        <w:t>invoke</w:t>
      </w:r>
      <w:r w:rsidRPr="00461D74">
        <w:rPr>
          <w:rFonts w:ascii="Garamond" w:hAnsi="Garamond"/>
          <w:sz w:val="24"/>
          <w:szCs w:val="24"/>
        </w:rPr>
        <w:t xml:space="preserve"> one or another particular set of basic premises, were in fact rooted in a larger set of theories and practices whose functions were supplied by specific historical and social contexts </w:t>
      </w:r>
      <w:r w:rsidR="00AF42DA" w:rsidRPr="00461D74">
        <w:rPr>
          <w:rFonts w:ascii="Garamond" w:hAnsi="Garamond"/>
          <w:sz w:val="24"/>
          <w:szCs w:val="24"/>
        </w:rPr>
        <w:t xml:space="preserve">which </w:t>
      </w:r>
      <w:r w:rsidRPr="00461D74">
        <w:rPr>
          <w:rFonts w:ascii="Garamond" w:hAnsi="Garamond"/>
          <w:sz w:val="24"/>
          <w:szCs w:val="24"/>
        </w:rPr>
        <w:t>no longer exist.</w:t>
      </w:r>
      <w:r w:rsidRPr="00461D74">
        <w:rPr>
          <w:rStyle w:val="FootnoteReference"/>
          <w:rFonts w:ascii="Garamond" w:hAnsi="Garamond"/>
          <w:sz w:val="24"/>
          <w:szCs w:val="24"/>
        </w:rPr>
        <w:footnoteReference w:id="22"/>
      </w:r>
      <w:r w:rsidRPr="00461D74">
        <w:rPr>
          <w:rFonts w:ascii="Garamond" w:hAnsi="Garamond"/>
          <w:sz w:val="24"/>
          <w:szCs w:val="24"/>
        </w:rPr>
        <w:t xml:space="preserve"> MacIntyre’s </w:t>
      </w:r>
      <w:r w:rsidR="00AF42DA" w:rsidRPr="00461D74">
        <w:rPr>
          <w:rFonts w:ascii="Garamond" w:hAnsi="Garamond"/>
          <w:sz w:val="24"/>
          <w:szCs w:val="24"/>
        </w:rPr>
        <w:t xml:space="preserve">chief </w:t>
      </w:r>
      <w:r w:rsidRPr="00461D74">
        <w:rPr>
          <w:rFonts w:ascii="Garamond" w:hAnsi="Garamond"/>
          <w:sz w:val="24"/>
          <w:szCs w:val="24"/>
        </w:rPr>
        <w:t xml:space="preserve">claim here is that rival arguments advanced in debates within contemporary moral philosophy – that appeal to one set of basic premises or another – lack the social context which furnished them with their reason giving force. Let us call this claim MacIntyre’s first hypothesis (H1): </w:t>
      </w:r>
      <w:r w:rsidR="00F152B3" w:rsidRPr="00461D74">
        <w:rPr>
          <w:rFonts w:ascii="Garamond" w:hAnsi="Garamond"/>
          <w:i/>
          <w:sz w:val="24"/>
          <w:szCs w:val="24"/>
        </w:rPr>
        <w:t>that we can only make sense of theoretical claims within the context of some background social structure or context.</w:t>
      </w:r>
      <w:r w:rsidRPr="00461D74">
        <w:rPr>
          <w:rStyle w:val="FootnoteReference"/>
          <w:rFonts w:ascii="Garamond" w:hAnsi="Garamond"/>
          <w:sz w:val="24"/>
          <w:szCs w:val="24"/>
        </w:rPr>
        <w:footnoteReference w:id="23"/>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suggests that </w:t>
      </w:r>
      <w:r w:rsidR="005776D1" w:rsidRPr="00461D74">
        <w:rPr>
          <w:rFonts w:ascii="Garamond" w:hAnsi="Garamond"/>
          <w:sz w:val="24"/>
          <w:szCs w:val="24"/>
        </w:rPr>
        <w:t xml:space="preserve">this </w:t>
      </w:r>
      <w:r w:rsidRPr="00461D74">
        <w:rPr>
          <w:rFonts w:ascii="Garamond" w:hAnsi="Garamond"/>
          <w:sz w:val="24"/>
          <w:szCs w:val="24"/>
        </w:rPr>
        <w:t xml:space="preserve">interminable </w:t>
      </w:r>
      <w:r w:rsidR="005776D1" w:rsidRPr="00461D74">
        <w:rPr>
          <w:rFonts w:ascii="Garamond" w:hAnsi="Garamond"/>
          <w:sz w:val="24"/>
          <w:szCs w:val="24"/>
        </w:rPr>
        <w:t xml:space="preserve">character </w:t>
      </w:r>
      <w:r w:rsidRPr="00461D74">
        <w:rPr>
          <w:rFonts w:ascii="Garamond" w:hAnsi="Garamond"/>
          <w:sz w:val="24"/>
          <w:szCs w:val="24"/>
        </w:rPr>
        <w:t xml:space="preserve">of </w:t>
      </w:r>
      <w:r w:rsidR="005776D1" w:rsidRPr="00461D74">
        <w:rPr>
          <w:rFonts w:ascii="Garamond" w:hAnsi="Garamond"/>
          <w:sz w:val="24"/>
          <w:szCs w:val="24"/>
        </w:rPr>
        <w:t xml:space="preserve">enlightenment </w:t>
      </w:r>
      <w:r w:rsidRPr="00461D74">
        <w:rPr>
          <w:rFonts w:ascii="Garamond" w:hAnsi="Garamond"/>
          <w:sz w:val="24"/>
          <w:szCs w:val="24"/>
        </w:rPr>
        <w:t xml:space="preserve">moral discourse ultimately generated the set of conditions from which emotivism emerged. For MacIntyre, emotivism is </w:t>
      </w:r>
      <w:r w:rsidR="005776D1" w:rsidRPr="00461D74">
        <w:rPr>
          <w:rFonts w:ascii="Garamond" w:hAnsi="Garamond"/>
          <w:sz w:val="24"/>
          <w:szCs w:val="24"/>
        </w:rPr>
        <w:t xml:space="preserve">in essence </w:t>
      </w:r>
      <w:r w:rsidRPr="00461D74">
        <w:rPr>
          <w:rFonts w:ascii="Garamond" w:hAnsi="Garamond"/>
          <w:sz w:val="24"/>
          <w:szCs w:val="24"/>
        </w:rPr>
        <w:t xml:space="preserve">the </w:t>
      </w:r>
      <w:r w:rsidR="005776D1" w:rsidRPr="00461D74">
        <w:rPr>
          <w:rFonts w:ascii="Garamond" w:hAnsi="Garamond"/>
          <w:sz w:val="24"/>
          <w:szCs w:val="24"/>
        </w:rPr>
        <w:t xml:space="preserve">(theoretical) </w:t>
      </w:r>
      <w:r w:rsidRPr="00461D74">
        <w:rPr>
          <w:rFonts w:ascii="Garamond" w:hAnsi="Garamond"/>
          <w:sz w:val="24"/>
          <w:szCs w:val="24"/>
        </w:rPr>
        <w:t xml:space="preserve">expression of the liberal social context. MacIntyre goes on to offer a definition of emotivism as “the doctrine that all evaluative judgments and more specifically all moral judgments are </w:t>
      </w:r>
      <w:r w:rsidRPr="00461D74">
        <w:rPr>
          <w:rFonts w:ascii="Garamond" w:hAnsi="Garamond"/>
          <w:i/>
          <w:iCs/>
          <w:sz w:val="24"/>
          <w:szCs w:val="24"/>
        </w:rPr>
        <w:t>nothing but</w:t>
      </w:r>
      <w:r w:rsidRPr="00461D74">
        <w:rPr>
          <w:rFonts w:ascii="Garamond" w:hAnsi="Garamond"/>
          <w:sz w:val="24"/>
          <w:szCs w:val="24"/>
        </w:rPr>
        <w:t xml:space="preserve"> expressions of preferences, expressions of attitude or feeling, insofar as they are moral or evaluative in character.”</w:t>
      </w:r>
      <w:r w:rsidRPr="00461D74">
        <w:rPr>
          <w:rStyle w:val="FootnoteReference"/>
          <w:rFonts w:ascii="Garamond" w:hAnsi="Garamond"/>
          <w:sz w:val="24"/>
          <w:szCs w:val="24"/>
        </w:rPr>
        <w:footnoteReference w:id="24"/>
      </w:r>
      <w:r w:rsidRPr="00461D74">
        <w:rPr>
          <w:rFonts w:ascii="Garamond" w:hAnsi="Garamond"/>
          <w:sz w:val="24"/>
          <w:szCs w:val="24"/>
        </w:rPr>
        <w:t xml:space="preserve"> While factual claims can be rationally resolved as true or false, moral judgments, just because they are expressive of feeling</w:t>
      </w:r>
      <w:r w:rsidR="005776D1" w:rsidRPr="00461D74">
        <w:rPr>
          <w:rFonts w:ascii="Garamond" w:hAnsi="Garamond"/>
          <w:sz w:val="24"/>
          <w:szCs w:val="24"/>
        </w:rPr>
        <w:t>s</w:t>
      </w:r>
      <w:r w:rsidRPr="00461D74">
        <w:rPr>
          <w:rFonts w:ascii="Garamond" w:hAnsi="Garamond"/>
          <w:sz w:val="24"/>
          <w:szCs w:val="24"/>
        </w:rPr>
        <w:t xml:space="preserve"> or attitude</w:t>
      </w:r>
      <w:r w:rsidR="005776D1" w:rsidRPr="00461D74">
        <w:rPr>
          <w:rFonts w:ascii="Garamond" w:hAnsi="Garamond"/>
          <w:sz w:val="24"/>
          <w:szCs w:val="24"/>
        </w:rPr>
        <w:t>s</w:t>
      </w:r>
      <w:r w:rsidRPr="00461D74">
        <w:rPr>
          <w:rFonts w:ascii="Garamond" w:hAnsi="Garamond"/>
          <w:sz w:val="24"/>
          <w:szCs w:val="24"/>
        </w:rPr>
        <w:t>, cannot be adjudicated as true or false by any set of rational standards. Hence</w:t>
      </w:r>
      <w:r w:rsidR="00DB2CF1" w:rsidRPr="00461D74">
        <w:rPr>
          <w:rFonts w:ascii="Garamond" w:hAnsi="Garamond"/>
          <w:sz w:val="24"/>
          <w:szCs w:val="24"/>
        </w:rPr>
        <w:t>,</w:t>
      </w:r>
      <w:r w:rsidRPr="00461D74">
        <w:rPr>
          <w:rFonts w:ascii="Garamond" w:hAnsi="Garamond"/>
          <w:sz w:val="24"/>
          <w:szCs w:val="24"/>
        </w:rPr>
        <w:t xml:space="preserve"> if emotivism – as a theory of all value judgments – is true, it follows that there is no way of rationally choosing between rival moral claims.</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MacIntyre then advances three particular criticisms against emotivism</w:t>
      </w:r>
      <w:r w:rsidR="00DB2CF1" w:rsidRPr="00461D74">
        <w:rPr>
          <w:rFonts w:ascii="Garamond" w:hAnsi="Garamond"/>
          <w:sz w:val="24"/>
          <w:szCs w:val="24"/>
        </w:rPr>
        <w:t>, understood</w:t>
      </w:r>
      <w:r w:rsidRPr="00461D74">
        <w:rPr>
          <w:rFonts w:ascii="Garamond" w:hAnsi="Garamond"/>
          <w:sz w:val="24"/>
          <w:szCs w:val="24"/>
        </w:rPr>
        <w:t xml:space="preserve"> as a theory of all evaluative (or normative) judgments whatsoever. </w:t>
      </w:r>
      <w:r w:rsidRPr="00461D74">
        <w:rPr>
          <w:rFonts w:ascii="Garamond" w:hAnsi="Garamond"/>
          <w:sz w:val="24"/>
          <w:szCs w:val="24"/>
        </w:rPr>
        <w:lastRenderedPageBreak/>
        <w:t>First, he claims that emotivism is vacuous and circular; that is, when we press our inquiry and ask ‘what are the characteristics of the attitude or feeling in moral judgements?’ the answer is ‘attitudes of approval or disapproval</w:t>
      </w:r>
      <w:r w:rsidR="00BE6B82">
        <w:rPr>
          <w:rFonts w:ascii="Garamond" w:hAnsi="Garamond"/>
          <w:sz w:val="24"/>
          <w:szCs w:val="24"/>
        </w:rPr>
        <w:t>.</w:t>
      </w:r>
      <w:r w:rsidRPr="00461D74">
        <w:rPr>
          <w:rFonts w:ascii="Garamond" w:hAnsi="Garamond"/>
          <w:sz w:val="24"/>
          <w:szCs w:val="24"/>
        </w:rPr>
        <w:t>’ If we then ask ‘what kind of approval?</w:t>
      </w:r>
      <w:r w:rsidR="00181371" w:rsidRPr="00461D74">
        <w:rPr>
          <w:rFonts w:ascii="Garamond" w:hAnsi="Garamond"/>
          <w:sz w:val="24"/>
          <w:szCs w:val="24"/>
        </w:rPr>
        <w:t>,</w:t>
      </w:r>
      <w:r w:rsidRPr="00461D74">
        <w:rPr>
          <w:rFonts w:ascii="Garamond" w:hAnsi="Garamond"/>
          <w:sz w:val="24"/>
          <w:szCs w:val="24"/>
        </w:rPr>
        <w:t xml:space="preserve">’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theorist tells us that moral judgments </w:t>
      </w:r>
      <w:r w:rsidR="00181371" w:rsidRPr="00461D74">
        <w:rPr>
          <w:rFonts w:ascii="Garamond" w:hAnsi="Garamond"/>
          <w:sz w:val="24"/>
          <w:szCs w:val="24"/>
        </w:rPr>
        <w:t xml:space="preserve">which </w:t>
      </w:r>
      <w:r w:rsidRPr="00461D74">
        <w:rPr>
          <w:rFonts w:ascii="Garamond" w:hAnsi="Garamond"/>
          <w:sz w:val="24"/>
          <w:szCs w:val="24"/>
        </w:rPr>
        <w:t xml:space="preserve">express </w:t>
      </w:r>
      <w:r w:rsidR="00181371" w:rsidRPr="00461D74">
        <w:rPr>
          <w:rFonts w:ascii="Garamond" w:hAnsi="Garamond"/>
          <w:sz w:val="24"/>
          <w:szCs w:val="24"/>
        </w:rPr>
        <w:t xml:space="preserve">an </w:t>
      </w:r>
      <w:r w:rsidRPr="00461D74">
        <w:rPr>
          <w:rFonts w:ascii="Garamond" w:hAnsi="Garamond"/>
          <w:sz w:val="24"/>
          <w:szCs w:val="24"/>
        </w:rPr>
        <w:t>attitude or feeling</w:t>
      </w:r>
      <w:r w:rsidR="00181371" w:rsidRPr="00461D74">
        <w:rPr>
          <w:rFonts w:ascii="Garamond" w:hAnsi="Garamond"/>
          <w:sz w:val="24"/>
          <w:szCs w:val="24"/>
        </w:rPr>
        <w:t>,</w:t>
      </w:r>
      <w:r w:rsidRPr="00461D74">
        <w:rPr>
          <w:rFonts w:ascii="Garamond" w:hAnsi="Garamond"/>
          <w:sz w:val="24"/>
          <w:szCs w:val="24"/>
        </w:rPr>
        <w:t xml:space="preserve"> are </w:t>
      </w:r>
      <w:r w:rsidR="00181371" w:rsidRPr="00461D74">
        <w:rPr>
          <w:rFonts w:ascii="Garamond" w:hAnsi="Garamond"/>
          <w:sz w:val="24"/>
          <w:szCs w:val="24"/>
        </w:rPr>
        <w:t xml:space="preserve">to be </w:t>
      </w:r>
      <w:r w:rsidRPr="00461D74">
        <w:rPr>
          <w:rFonts w:ascii="Garamond" w:hAnsi="Garamond"/>
          <w:sz w:val="24"/>
          <w:szCs w:val="24"/>
        </w:rPr>
        <w:t xml:space="preserve">described in terms of </w:t>
      </w:r>
      <w:r w:rsidR="00DB00EA" w:rsidRPr="00DB00EA">
        <w:rPr>
          <w:rFonts w:ascii="Garamond" w:hAnsi="Garamond"/>
          <w:i/>
          <w:sz w:val="24"/>
          <w:szCs w:val="24"/>
        </w:rPr>
        <w:t>moral</w:t>
      </w:r>
      <w:r w:rsidRPr="00461D74">
        <w:rPr>
          <w:rFonts w:ascii="Garamond" w:hAnsi="Garamond"/>
          <w:sz w:val="24"/>
          <w:szCs w:val="24"/>
        </w:rPr>
        <w:t xml:space="preserve"> approval or disapproval. Second, emotivism renders equivalent two different types of sentences: it confuses the expression of </w:t>
      </w:r>
      <w:r w:rsidR="00DB00EA" w:rsidRPr="00DB00EA">
        <w:rPr>
          <w:rFonts w:ascii="Garamond" w:hAnsi="Garamond"/>
          <w:i/>
          <w:sz w:val="24"/>
          <w:szCs w:val="24"/>
        </w:rPr>
        <w:t>personal</w:t>
      </w:r>
      <w:r w:rsidRPr="00461D74">
        <w:rPr>
          <w:rFonts w:ascii="Garamond" w:hAnsi="Garamond"/>
          <w:sz w:val="24"/>
          <w:szCs w:val="24"/>
        </w:rPr>
        <w:t xml:space="preserve"> preferences or </w:t>
      </w:r>
      <w:r w:rsidR="00DB00EA" w:rsidRPr="00DB00EA">
        <w:rPr>
          <w:rFonts w:ascii="Garamond" w:hAnsi="Garamond"/>
          <w:i/>
          <w:sz w:val="24"/>
          <w:szCs w:val="24"/>
        </w:rPr>
        <w:t>evaluative</w:t>
      </w:r>
      <w:r w:rsidRPr="00461D74">
        <w:rPr>
          <w:rFonts w:ascii="Garamond" w:hAnsi="Garamond"/>
          <w:sz w:val="24"/>
          <w:szCs w:val="24"/>
        </w:rPr>
        <w:t xml:space="preserve"> expressions – those </w:t>
      </w:r>
      <w:r w:rsidR="0011751C" w:rsidRPr="00461D74">
        <w:rPr>
          <w:rFonts w:ascii="Garamond" w:hAnsi="Garamond"/>
          <w:sz w:val="24"/>
          <w:szCs w:val="24"/>
        </w:rPr>
        <w:t xml:space="preserve">whose </w:t>
      </w:r>
      <w:r w:rsidRPr="00461D74">
        <w:rPr>
          <w:rFonts w:ascii="Garamond" w:hAnsi="Garamond"/>
          <w:sz w:val="24"/>
          <w:szCs w:val="24"/>
        </w:rPr>
        <w:t xml:space="preserve">reason giving </w:t>
      </w:r>
      <w:r w:rsidR="0011751C" w:rsidRPr="00461D74">
        <w:rPr>
          <w:rFonts w:ascii="Garamond" w:hAnsi="Garamond"/>
          <w:sz w:val="24"/>
          <w:szCs w:val="24"/>
        </w:rPr>
        <w:t xml:space="preserve">(or motivating) </w:t>
      </w:r>
      <w:r w:rsidRPr="00461D74">
        <w:rPr>
          <w:rFonts w:ascii="Garamond" w:hAnsi="Garamond"/>
          <w:sz w:val="24"/>
          <w:szCs w:val="24"/>
        </w:rPr>
        <w:t>force</w:t>
      </w:r>
      <w:r w:rsidR="0011751C" w:rsidRPr="00461D74">
        <w:rPr>
          <w:rFonts w:ascii="Garamond" w:hAnsi="Garamond"/>
          <w:sz w:val="24"/>
          <w:szCs w:val="24"/>
        </w:rPr>
        <w:t>, depends</w:t>
      </w:r>
      <w:r w:rsidRPr="00461D74">
        <w:rPr>
          <w:rFonts w:ascii="Garamond" w:hAnsi="Garamond"/>
          <w:sz w:val="24"/>
          <w:szCs w:val="24"/>
        </w:rPr>
        <w:t xml:space="preserve"> on who utters them to whom – </w:t>
      </w:r>
      <w:r w:rsidR="00181371" w:rsidRPr="00461D74">
        <w:rPr>
          <w:rFonts w:ascii="Garamond" w:hAnsi="Garamond"/>
          <w:sz w:val="24"/>
          <w:szCs w:val="24"/>
        </w:rPr>
        <w:t xml:space="preserve">with </w:t>
      </w:r>
      <w:r w:rsidR="00DB00EA" w:rsidRPr="00DB00EA">
        <w:rPr>
          <w:rFonts w:ascii="Garamond" w:hAnsi="Garamond"/>
          <w:i/>
          <w:sz w:val="24"/>
          <w:szCs w:val="24"/>
        </w:rPr>
        <w:t>impersonal</w:t>
      </w:r>
      <w:r w:rsidRPr="00461D74">
        <w:rPr>
          <w:rFonts w:ascii="Garamond" w:hAnsi="Garamond"/>
          <w:sz w:val="24"/>
          <w:szCs w:val="24"/>
        </w:rPr>
        <w:t xml:space="preserve"> expressions of a second kind which are not dependent for their reason giving force on the context of utterance.</w:t>
      </w:r>
      <w:r w:rsidRPr="00461D74">
        <w:rPr>
          <w:rStyle w:val="FootnoteReference"/>
          <w:rFonts w:ascii="Garamond" w:hAnsi="Garamond"/>
          <w:sz w:val="24"/>
          <w:szCs w:val="24"/>
        </w:rPr>
        <w:footnoteReference w:id="25"/>
      </w:r>
      <w:r w:rsidRPr="00461D74">
        <w:rPr>
          <w:rFonts w:ascii="Garamond" w:hAnsi="Garamond"/>
          <w:sz w:val="24"/>
          <w:szCs w:val="24"/>
        </w:rPr>
        <w:t xml:space="preserve"> Third, emotivism, while it </w:t>
      </w:r>
      <w:r w:rsidR="0011751C" w:rsidRPr="00461D74">
        <w:rPr>
          <w:rFonts w:ascii="Garamond" w:hAnsi="Garamond"/>
          <w:sz w:val="24"/>
          <w:szCs w:val="24"/>
        </w:rPr>
        <w:t xml:space="preserve">remains </w:t>
      </w:r>
      <w:r w:rsidRPr="00461D74">
        <w:rPr>
          <w:rFonts w:ascii="Garamond" w:hAnsi="Garamond"/>
          <w:sz w:val="24"/>
          <w:szCs w:val="24"/>
        </w:rPr>
        <w:t xml:space="preserve">for the most part understood </w:t>
      </w:r>
      <w:r w:rsidR="0011751C" w:rsidRPr="00461D74">
        <w:rPr>
          <w:rFonts w:ascii="Garamond" w:hAnsi="Garamond"/>
          <w:sz w:val="24"/>
          <w:szCs w:val="24"/>
        </w:rPr>
        <w:t>as</w:t>
      </w:r>
      <w:r w:rsidRPr="00461D74">
        <w:rPr>
          <w:rFonts w:ascii="Garamond" w:hAnsi="Garamond"/>
          <w:sz w:val="24"/>
          <w:szCs w:val="24"/>
        </w:rPr>
        <w:t xml:space="preserve"> a theory </w:t>
      </w:r>
      <w:r w:rsidR="0011751C" w:rsidRPr="00461D74">
        <w:rPr>
          <w:rFonts w:ascii="Garamond" w:hAnsi="Garamond"/>
          <w:sz w:val="24"/>
          <w:szCs w:val="24"/>
        </w:rPr>
        <w:t xml:space="preserve">that describes </w:t>
      </w:r>
      <w:r w:rsidRPr="00461D74">
        <w:rPr>
          <w:rFonts w:ascii="Garamond" w:hAnsi="Garamond"/>
          <w:sz w:val="24"/>
          <w:szCs w:val="24"/>
        </w:rPr>
        <w:t>the meaning of moral sentences, is in fact a theory about the use of particular moral sentences in this or that particular context. Why? Because the expression of attitude</w:t>
      </w:r>
      <w:r w:rsidR="0011751C" w:rsidRPr="00461D74">
        <w:rPr>
          <w:rFonts w:ascii="Garamond" w:hAnsi="Garamond"/>
          <w:sz w:val="24"/>
          <w:szCs w:val="24"/>
        </w:rPr>
        <w:t>s</w:t>
      </w:r>
      <w:r w:rsidRPr="00461D74">
        <w:rPr>
          <w:rFonts w:ascii="Garamond" w:hAnsi="Garamond"/>
          <w:sz w:val="24"/>
          <w:szCs w:val="24"/>
        </w:rPr>
        <w:t xml:space="preserve"> </w:t>
      </w:r>
      <w:r w:rsidR="002656E2" w:rsidRPr="00461D74">
        <w:rPr>
          <w:rFonts w:ascii="Garamond" w:hAnsi="Garamond"/>
          <w:sz w:val="24"/>
          <w:szCs w:val="24"/>
        </w:rPr>
        <w:t xml:space="preserve">or </w:t>
      </w:r>
      <w:r w:rsidRPr="00461D74">
        <w:rPr>
          <w:rFonts w:ascii="Garamond" w:hAnsi="Garamond"/>
          <w:sz w:val="24"/>
          <w:szCs w:val="24"/>
        </w:rPr>
        <w:t>feeling</w:t>
      </w:r>
      <w:r w:rsidR="0011751C" w:rsidRPr="00461D74">
        <w:rPr>
          <w:rFonts w:ascii="Garamond" w:hAnsi="Garamond"/>
          <w:sz w:val="24"/>
          <w:szCs w:val="24"/>
        </w:rPr>
        <w:t>s</w:t>
      </w:r>
      <w:r w:rsidRPr="00461D74">
        <w:rPr>
          <w:rFonts w:ascii="Garamond" w:hAnsi="Garamond"/>
          <w:sz w:val="24"/>
          <w:szCs w:val="24"/>
        </w:rPr>
        <w:t xml:space="preserve"> is not a function of the meaning of this or that particular sentence, but the use of </w:t>
      </w:r>
      <w:r w:rsidR="002656E2" w:rsidRPr="00461D74">
        <w:rPr>
          <w:rFonts w:ascii="Garamond" w:hAnsi="Garamond"/>
          <w:sz w:val="24"/>
          <w:szCs w:val="24"/>
        </w:rPr>
        <w:t>that</w:t>
      </w:r>
      <w:r w:rsidRPr="00461D74">
        <w:rPr>
          <w:rFonts w:ascii="Garamond" w:hAnsi="Garamond"/>
          <w:sz w:val="24"/>
          <w:szCs w:val="24"/>
        </w:rPr>
        <w:t xml:space="preserve"> sentence on </w:t>
      </w:r>
      <w:r w:rsidR="002656E2" w:rsidRPr="00461D74">
        <w:rPr>
          <w:rFonts w:ascii="Garamond" w:hAnsi="Garamond"/>
          <w:sz w:val="24"/>
          <w:szCs w:val="24"/>
        </w:rPr>
        <w:t>one or other</w:t>
      </w:r>
      <w:r w:rsidRPr="00461D74">
        <w:rPr>
          <w:rFonts w:ascii="Garamond" w:hAnsi="Garamond"/>
          <w:sz w:val="24"/>
          <w:szCs w:val="24"/>
        </w:rPr>
        <w:t xml:space="preserve"> occasion.</w:t>
      </w:r>
      <w:r w:rsidRPr="00461D74">
        <w:rPr>
          <w:rStyle w:val="FootnoteReference"/>
          <w:rFonts w:ascii="Garamond" w:hAnsi="Garamond"/>
          <w:sz w:val="24"/>
          <w:szCs w:val="24"/>
        </w:rPr>
        <w:footnoteReference w:id="26"/>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MacIntyre goes on to contend that emotivism </w:t>
      </w:r>
      <w:r w:rsidR="002656E2" w:rsidRPr="00461D74">
        <w:rPr>
          <w:rFonts w:ascii="Garamond" w:hAnsi="Garamond"/>
          <w:sz w:val="24"/>
          <w:szCs w:val="24"/>
        </w:rPr>
        <w:t xml:space="preserve">ought to </w:t>
      </w:r>
      <w:r w:rsidRPr="00461D74">
        <w:rPr>
          <w:rFonts w:ascii="Garamond" w:hAnsi="Garamond"/>
          <w:sz w:val="24"/>
          <w:szCs w:val="24"/>
        </w:rPr>
        <w:t xml:space="preserve">be understood as an historical (or empirical) hypothesis – that is, emotivism is not a theory of all value judgements </w:t>
      </w:r>
      <w:r w:rsidRPr="00461D74">
        <w:rPr>
          <w:rFonts w:ascii="Garamond" w:hAnsi="Garamond"/>
          <w:i/>
          <w:iCs/>
          <w:sz w:val="24"/>
          <w:szCs w:val="24"/>
        </w:rPr>
        <w:t>as such</w:t>
      </w:r>
      <w:r w:rsidRPr="00461D74">
        <w:rPr>
          <w:rFonts w:ascii="Garamond" w:hAnsi="Garamond"/>
          <w:sz w:val="24"/>
          <w:szCs w:val="24"/>
        </w:rPr>
        <w:t>, but judgements about a particular type of moral utterance that emerged sometime after 1903 at Cambridge.</w:t>
      </w:r>
      <w:r w:rsidRPr="00461D74">
        <w:rPr>
          <w:rStyle w:val="FootnoteReference"/>
          <w:rFonts w:ascii="Garamond" w:hAnsi="Garamond"/>
          <w:sz w:val="24"/>
          <w:szCs w:val="24"/>
        </w:rPr>
        <w:footnoteReference w:id="27"/>
      </w:r>
      <w:r w:rsidRPr="00461D74">
        <w:rPr>
          <w:rFonts w:ascii="Garamond" w:hAnsi="Garamond"/>
          <w:sz w:val="24"/>
          <w:szCs w:val="24"/>
        </w:rPr>
        <w:t xml:space="preserve"> On this view, emotivism was a response to the failure of G.E. Moore’s intuitionist moral philosophy</w:t>
      </w:r>
      <w:r w:rsidR="00A12EEB" w:rsidRPr="00461D74">
        <w:rPr>
          <w:rFonts w:ascii="Garamond" w:hAnsi="Garamond"/>
          <w:sz w:val="24"/>
          <w:szCs w:val="24"/>
        </w:rPr>
        <w:t>,</w:t>
      </w:r>
      <w:r w:rsidRPr="00461D74">
        <w:rPr>
          <w:rFonts w:ascii="Garamond" w:hAnsi="Garamond"/>
          <w:sz w:val="24"/>
          <w:szCs w:val="24"/>
        </w:rPr>
        <w:t xml:space="preserve"> </w:t>
      </w:r>
      <w:r w:rsidR="00A12EEB" w:rsidRPr="00461D74">
        <w:rPr>
          <w:rFonts w:ascii="Garamond" w:hAnsi="Garamond"/>
          <w:sz w:val="24"/>
          <w:szCs w:val="24"/>
        </w:rPr>
        <w:t xml:space="preserve">in </w:t>
      </w:r>
      <w:r w:rsidRPr="00461D74">
        <w:rPr>
          <w:rFonts w:ascii="Garamond" w:hAnsi="Garamond"/>
          <w:sz w:val="24"/>
          <w:szCs w:val="24"/>
        </w:rPr>
        <w:t>provid</w:t>
      </w:r>
      <w:r w:rsidR="00A12EEB" w:rsidRPr="00461D74">
        <w:rPr>
          <w:rFonts w:ascii="Garamond" w:hAnsi="Garamond"/>
          <w:sz w:val="24"/>
          <w:szCs w:val="24"/>
        </w:rPr>
        <w:t>ing</w:t>
      </w:r>
      <w:r w:rsidRPr="00461D74">
        <w:rPr>
          <w:rFonts w:ascii="Garamond" w:hAnsi="Garamond"/>
          <w:sz w:val="24"/>
          <w:szCs w:val="24"/>
        </w:rPr>
        <w:t xml:space="preserve"> an account for the nature of moral claims and the nature of the ‘good</w:t>
      </w:r>
      <w:r w:rsidR="00BE6B82">
        <w:rPr>
          <w:rFonts w:ascii="Garamond" w:hAnsi="Garamond"/>
          <w:sz w:val="24"/>
          <w:szCs w:val="24"/>
        </w:rPr>
        <w:t>.</w:t>
      </w:r>
      <w:r w:rsidRPr="00461D74">
        <w:rPr>
          <w:rFonts w:ascii="Garamond" w:hAnsi="Garamond"/>
          <w:sz w:val="24"/>
          <w:szCs w:val="24"/>
        </w:rPr>
        <w:t xml:space="preserve">’ </w:t>
      </w:r>
      <w:r w:rsidR="007B1C73" w:rsidRPr="00461D74">
        <w:rPr>
          <w:rFonts w:ascii="Garamond" w:hAnsi="Garamond"/>
          <w:sz w:val="24"/>
          <w:szCs w:val="24"/>
        </w:rPr>
        <w:t>So what was it about</w:t>
      </w:r>
      <w:r w:rsidRPr="00461D74">
        <w:rPr>
          <w:rFonts w:ascii="Garamond" w:hAnsi="Garamond"/>
          <w:sz w:val="24"/>
          <w:szCs w:val="24"/>
        </w:rPr>
        <w:t xml:space="preserve"> Moore’s thesis that paved the way for emotivism? Two of Moore’s particular claims stand out. First, the ‘good’ is a non-natural property that is basic</w:t>
      </w:r>
      <w:r w:rsidR="00310EDF" w:rsidRPr="00461D74">
        <w:rPr>
          <w:rFonts w:ascii="Garamond" w:hAnsi="Garamond"/>
          <w:sz w:val="24"/>
          <w:szCs w:val="24"/>
        </w:rPr>
        <w:t xml:space="preserve">; </w:t>
      </w:r>
      <w:r w:rsidR="00310EDF" w:rsidRPr="00461D74">
        <w:rPr>
          <w:rFonts w:ascii="Garamond" w:hAnsi="Garamond"/>
          <w:sz w:val="24"/>
          <w:szCs w:val="24"/>
        </w:rPr>
        <w:lastRenderedPageBreak/>
        <w:t>hence,</w:t>
      </w:r>
      <w:r w:rsidRPr="00461D74">
        <w:rPr>
          <w:rFonts w:ascii="Garamond" w:hAnsi="Garamond"/>
          <w:sz w:val="24"/>
          <w:szCs w:val="24"/>
        </w:rPr>
        <w:t xml:space="preserve"> when we take something to be good we are indeed appealing to those intuitions about the ‘good’, characterised as a non-natural property, which must be understood as a given – </w:t>
      </w:r>
      <w:r w:rsidR="00310EDF" w:rsidRPr="00461D74">
        <w:rPr>
          <w:rFonts w:ascii="Garamond" w:hAnsi="Garamond"/>
          <w:sz w:val="24"/>
          <w:szCs w:val="24"/>
        </w:rPr>
        <w:t>therefore</w:t>
      </w:r>
      <w:r w:rsidRPr="00461D74">
        <w:rPr>
          <w:rFonts w:ascii="Garamond" w:hAnsi="Garamond"/>
          <w:sz w:val="24"/>
          <w:szCs w:val="24"/>
        </w:rPr>
        <w:t>, the ‘good</w:t>
      </w:r>
      <w:r w:rsidR="00380AD2" w:rsidRPr="00461D74">
        <w:rPr>
          <w:rFonts w:ascii="Garamond" w:hAnsi="Garamond"/>
          <w:sz w:val="24"/>
          <w:szCs w:val="24"/>
        </w:rPr>
        <w:t>,</w:t>
      </w:r>
      <w:r w:rsidRPr="00461D74">
        <w:rPr>
          <w:rFonts w:ascii="Garamond" w:hAnsi="Garamond"/>
          <w:sz w:val="24"/>
          <w:szCs w:val="24"/>
        </w:rPr>
        <w:t xml:space="preserve">’ </w:t>
      </w:r>
      <w:r w:rsidR="00380AD2" w:rsidRPr="00461D74">
        <w:rPr>
          <w:rFonts w:ascii="Garamond" w:hAnsi="Garamond"/>
          <w:sz w:val="24"/>
          <w:szCs w:val="24"/>
        </w:rPr>
        <w:t xml:space="preserve">thus characterised, </w:t>
      </w:r>
      <w:r w:rsidRPr="00461D74">
        <w:rPr>
          <w:rFonts w:ascii="Garamond" w:hAnsi="Garamond"/>
          <w:sz w:val="24"/>
          <w:szCs w:val="24"/>
        </w:rPr>
        <w:t xml:space="preserve">is </w:t>
      </w:r>
      <w:r w:rsidR="00380AD2" w:rsidRPr="00461D74">
        <w:rPr>
          <w:rFonts w:ascii="Garamond" w:hAnsi="Garamond"/>
          <w:sz w:val="24"/>
          <w:szCs w:val="24"/>
        </w:rPr>
        <w:t>closed</w:t>
      </w:r>
      <w:r w:rsidRPr="00461D74">
        <w:rPr>
          <w:rFonts w:ascii="Garamond" w:hAnsi="Garamond"/>
          <w:sz w:val="24"/>
          <w:szCs w:val="24"/>
        </w:rPr>
        <w:t xml:space="preserve"> to further analysis. Second, Moore as a utilitarian evaluates every action with respect to its consequences</w:t>
      </w:r>
      <w:r w:rsidR="00380AD2" w:rsidRPr="00461D74">
        <w:rPr>
          <w:rFonts w:ascii="Garamond" w:hAnsi="Garamond"/>
          <w:sz w:val="24"/>
          <w:szCs w:val="24"/>
        </w:rPr>
        <w:t>;</w:t>
      </w:r>
      <w:r w:rsidRPr="00461D74">
        <w:rPr>
          <w:rFonts w:ascii="Garamond" w:hAnsi="Garamond"/>
          <w:sz w:val="24"/>
          <w:szCs w:val="24"/>
        </w:rPr>
        <w:t xml:space="preserve"> hence “no action is ever right or wrong </w:t>
      </w:r>
      <w:r w:rsidRPr="00461D74">
        <w:rPr>
          <w:rFonts w:ascii="Garamond" w:hAnsi="Garamond"/>
          <w:i/>
          <w:iCs/>
          <w:sz w:val="24"/>
          <w:szCs w:val="24"/>
        </w:rPr>
        <w:t>as such</w:t>
      </w:r>
      <w:r w:rsidRPr="00461D74">
        <w:rPr>
          <w:rFonts w:ascii="Garamond" w:hAnsi="Garamond"/>
          <w:sz w:val="24"/>
          <w:szCs w:val="24"/>
        </w:rPr>
        <w:t>.”</w:t>
      </w:r>
      <w:r w:rsidRPr="00461D74">
        <w:rPr>
          <w:rStyle w:val="FootnoteReference"/>
          <w:rFonts w:ascii="Garamond" w:hAnsi="Garamond"/>
          <w:sz w:val="24"/>
          <w:szCs w:val="24"/>
        </w:rPr>
        <w:footnoteReference w:id="28"/>
      </w:r>
    </w:p>
    <w:p w:rsidR="00380AD2"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MacIntyre argues that under Moore’s account, we have a particular conception of ‘good’ or ‘right’ action that is not only deflationary</w:t>
      </w:r>
      <w:r w:rsidR="00380AD2" w:rsidRPr="00461D74">
        <w:rPr>
          <w:rFonts w:ascii="Garamond" w:hAnsi="Garamond"/>
          <w:sz w:val="24"/>
          <w:szCs w:val="24"/>
        </w:rPr>
        <w:t>,</w:t>
      </w:r>
      <w:r w:rsidRPr="00461D74">
        <w:rPr>
          <w:rFonts w:ascii="Garamond" w:hAnsi="Garamond"/>
          <w:sz w:val="24"/>
          <w:szCs w:val="24"/>
        </w:rPr>
        <w:t xml:space="preserve"> </w:t>
      </w:r>
      <w:r w:rsidR="00380AD2" w:rsidRPr="00461D74">
        <w:rPr>
          <w:rFonts w:ascii="Garamond" w:hAnsi="Garamond"/>
          <w:sz w:val="24"/>
          <w:szCs w:val="24"/>
        </w:rPr>
        <w:t>but also</w:t>
      </w:r>
      <w:r w:rsidRPr="00461D74">
        <w:rPr>
          <w:rFonts w:ascii="Garamond" w:hAnsi="Garamond"/>
          <w:sz w:val="24"/>
          <w:szCs w:val="24"/>
        </w:rPr>
        <w:t xml:space="preserve"> </w:t>
      </w:r>
      <w:proofErr w:type="spellStart"/>
      <w:r w:rsidRPr="00461D74">
        <w:rPr>
          <w:rFonts w:ascii="Garamond" w:hAnsi="Garamond"/>
          <w:sz w:val="24"/>
          <w:szCs w:val="24"/>
        </w:rPr>
        <w:t>consequentialist</w:t>
      </w:r>
      <w:proofErr w:type="spellEnd"/>
      <w:r w:rsidRPr="00461D74">
        <w:rPr>
          <w:rFonts w:ascii="Garamond" w:hAnsi="Garamond"/>
          <w:sz w:val="24"/>
          <w:szCs w:val="24"/>
        </w:rPr>
        <w:t xml:space="preserve"> and context dependent. On MacIntyre’s view, it was only natural that many of Moore’s students </w:t>
      </w:r>
      <w:r w:rsidR="00380AD2" w:rsidRPr="00461D74">
        <w:rPr>
          <w:rFonts w:ascii="Garamond" w:hAnsi="Garamond"/>
          <w:sz w:val="24"/>
          <w:szCs w:val="24"/>
        </w:rPr>
        <w:t>ended up rejecting Moore’s minimal conception of the good, and would go on</w:t>
      </w:r>
      <w:r w:rsidRPr="00461D74">
        <w:rPr>
          <w:rFonts w:ascii="Garamond" w:hAnsi="Garamond"/>
          <w:sz w:val="24"/>
          <w:szCs w:val="24"/>
        </w:rPr>
        <w:t xml:space="preserve"> to </w:t>
      </w:r>
      <w:r w:rsidR="00380AD2" w:rsidRPr="00461D74">
        <w:rPr>
          <w:rFonts w:ascii="Garamond" w:hAnsi="Garamond"/>
          <w:sz w:val="24"/>
          <w:szCs w:val="24"/>
        </w:rPr>
        <w:t>advance a new thesis – namely, emotivism</w:t>
      </w:r>
      <w:r w:rsidRPr="00461D74">
        <w:rPr>
          <w:rFonts w:ascii="Garamond" w:hAnsi="Garamond"/>
          <w:sz w:val="24"/>
          <w:szCs w:val="24"/>
        </w:rPr>
        <w:t>.</w:t>
      </w:r>
      <w:r w:rsidRPr="00461D74">
        <w:rPr>
          <w:rStyle w:val="FootnoteReference"/>
          <w:rFonts w:ascii="Garamond" w:hAnsi="Garamond"/>
          <w:sz w:val="24"/>
          <w:szCs w:val="24"/>
        </w:rPr>
        <w:footnoteReference w:id="29"/>
      </w:r>
      <w:r w:rsidRPr="00461D74">
        <w:rPr>
          <w:rFonts w:ascii="Garamond" w:hAnsi="Garamond"/>
          <w:sz w:val="24"/>
          <w:szCs w:val="24"/>
        </w:rPr>
        <w:t xml:space="preserve"> MacIntyre suggests that the type of conditions from which </w:t>
      </w:r>
      <w:proofErr w:type="spellStart"/>
      <w:r w:rsidRPr="00461D74">
        <w:rPr>
          <w:rFonts w:ascii="Garamond" w:hAnsi="Garamond"/>
          <w:sz w:val="24"/>
          <w:szCs w:val="24"/>
        </w:rPr>
        <w:t>emotivist</w:t>
      </w:r>
      <w:proofErr w:type="spellEnd"/>
      <w:r w:rsidRPr="00461D74">
        <w:rPr>
          <w:rFonts w:ascii="Garamond" w:hAnsi="Garamond"/>
          <w:sz w:val="24"/>
          <w:szCs w:val="24"/>
        </w:rPr>
        <w:t xml:space="preserve"> type</w:t>
      </w:r>
      <w:r w:rsidR="003A7F5D" w:rsidRPr="00461D74">
        <w:rPr>
          <w:rFonts w:ascii="Garamond" w:hAnsi="Garamond"/>
          <w:sz w:val="24"/>
          <w:szCs w:val="24"/>
        </w:rPr>
        <w:t>s</w:t>
      </w:r>
      <w:r w:rsidRPr="00461D74">
        <w:rPr>
          <w:rFonts w:ascii="Garamond" w:hAnsi="Garamond"/>
          <w:sz w:val="24"/>
          <w:szCs w:val="24"/>
        </w:rPr>
        <w:t xml:space="preserve"> of moral theories eventually emerge are similar to those conditions that share the features of Moore’s intuitionist moral theory.</w:t>
      </w:r>
      <w:r w:rsidRPr="00461D74">
        <w:rPr>
          <w:rStyle w:val="FootnoteReference"/>
          <w:rFonts w:ascii="Garamond" w:hAnsi="Garamond"/>
          <w:sz w:val="24"/>
          <w:szCs w:val="24"/>
        </w:rPr>
        <w:footnoteReference w:id="30"/>
      </w:r>
      <w:r w:rsidR="00380AD2" w:rsidRPr="00461D74">
        <w:rPr>
          <w:rFonts w:ascii="Garamond" w:hAnsi="Garamond"/>
          <w:sz w:val="24"/>
          <w:szCs w:val="24"/>
        </w:rPr>
        <w:t xml:space="preserve"> </w:t>
      </w:r>
      <w:r w:rsidRPr="00461D74">
        <w:rPr>
          <w:rFonts w:ascii="Garamond" w:hAnsi="Garamond"/>
          <w:sz w:val="24"/>
          <w:szCs w:val="24"/>
        </w:rPr>
        <w:t xml:space="preserve">For MacIntyre, emotivism is </w:t>
      </w:r>
      <w:r w:rsidR="00380AD2" w:rsidRPr="00461D74">
        <w:rPr>
          <w:rFonts w:ascii="Garamond" w:hAnsi="Garamond"/>
          <w:sz w:val="24"/>
          <w:szCs w:val="24"/>
        </w:rPr>
        <w:t xml:space="preserve">then </w:t>
      </w:r>
      <w:r w:rsidRPr="00461D74">
        <w:rPr>
          <w:rFonts w:ascii="Garamond" w:hAnsi="Garamond"/>
          <w:sz w:val="24"/>
          <w:szCs w:val="24"/>
        </w:rPr>
        <w:t xml:space="preserve">best understood as the sort of morality that is generated under modern conditions, and that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understanding of moral language is embodied in </w:t>
      </w:r>
      <w:r w:rsidR="007B1C73" w:rsidRPr="00461D74">
        <w:rPr>
          <w:rFonts w:ascii="Garamond" w:hAnsi="Garamond"/>
          <w:sz w:val="24"/>
          <w:szCs w:val="24"/>
        </w:rPr>
        <w:t xml:space="preserve">contemporary </w:t>
      </w:r>
      <w:r w:rsidRPr="00461D74">
        <w:rPr>
          <w:rFonts w:ascii="Garamond" w:hAnsi="Garamond"/>
          <w:sz w:val="24"/>
          <w:szCs w:val="24"/>
        </w:rPr>
        <w:t xml:space="preserve">liberal </w:t>
      </w:r>
      <w:r w:rsidR="00380AD2" w:rsidRPr="00461D74">
        <w:rPr>
          <w:rFonts w:ascii="Garamond" w:hAnsi="Garamond"/>
          <w:sz w:val="24"/>
          <w:szCs w:val="24"/>
        </w:rPr>
        <w:t>(</w:t>
      </w:r>
      <w:r w:rsidR="007B1C73" w:rsidRPr="00461D74">
        <w:rPr>
          <w:rFonts w:ascii="Garamond" w:hAnsi="Garamond"/>
          <w:sz w:val="24"/>
          <w:szCs w:val="24"/>
        </w:rPr>
        <w:t>pluralist</w:t>
      </w:r>
      <w:r w:rsidR="00380AD2" w:rsidRPr="00461D74">
        <w:rPr>
          <w:rFonts w:ascii="Garamond" w:hAnsi="Garamond"/>
          <w:sz w:val="24"/>
          <w:szCs w:val="24"/>
        </w:rPr>
        <w:t>)</w:t>
      </w:r>
      <w:r w:rsidR="007B1C73" w:rsidRPr="00461D74">
        <w:rPr>
          <w:rFonts w:ascii="Garamond" w:hAnsi="Garamond"/>
          <w:sz w:val="24"/>
          <w:szCs w:val="24"/>
        </w:rPr>
        <w:t xml:space="preserve"> culture</w:t>
      </w:r>
      <w:r w:rsidRPr="00461D74">
        <w:rPr>
          <w:rFonts w:ascii="Garamond" w:hAnsi="Garamond"/>
          <w:sz w:val="24"/>
          <w:szCs w:val="24"/>
        </w:rPr>
        <w:t>.</w:t>
      </w:r>
      <w:r w:rsidR="004D756A">
        <w:rPr>
          <w:rFonts w:ascii="Garamond" w:hAnsi="Garamond"/>
          <w:sz w:val="24"/>
          <w:szCs w:val="24"/>
        </w:rPr>
        <w:t xml:space="preserve"> </w:t>
      </w:r>
    </w:p>
    <w:p w:rsidR="00016049" w:rsidRPr="00461D74" w:rsidRDefault="00F013AA" w:rsidP="00164E4D">
      <w:pPr>
        <w:spacing w:line="360" w:lineRule="auto"/>
        <w:ind w:firstLine="720"/>
        <w:jc w:val="both"/>
        <w:rPr>
          <w:rFonts w:ascii="Garamond" w:hAnsi="Garamond"/>
          <w:sz w:val="24"/>
          <w:szCs w:val="24"/>
        </w:rPr>
      </w:pPr>
      <w:r w:rsidRPr="00461D74">
        <w:rPr>
          <w:rFonts w:ascii="Garamond" w:hAnsi="Garamond"/>
          <w:sz w:val="24"/>
          <w:szCs w:val="24"/>
        </w:rPr>
        <w:t xml:space="preserve">For MacIntyre, this </w:t>
      </w:r>
      <w:r w:rsidR="00380AD2" w:rsidRPr="00461D74">
        <w:rPr>
          <w:rFonts w:ascii="Garamond" w:hAnsi="Garamond"/>
          <w:sz w:val="24"/>
          <w:szCs w:val="24"/>
        </w:rPr>
        <w:t>co</w:t>
      </w:r>
      <w:r w:rsidRPr="00461D74">
        <w:rPr>
          <w:rFonts w:ascii="Garamond" w:hAnsi="Garamond"/>
          <w:sz w:val="24"/>
          <w:szCs w:val="24"/>
        </w:rPr>
        <w:t xml:space="preserve">ntemporary liberal culture is </w:t>
      </w:r>
      <w:r w:rsidR="004D756A">
        <w:rPr>
          <w:rFonts w:ascii="Garamond" w:hAnsi="Garamond"/>
          <w:sz w:val="24"/>
          <w:szCs w:val="24"/>
        </w:rPr>
        <w:t xml:space="preserve">characterised by </w:t>
      </w:r>
      <w:r w:rsidRPr="00461D74">
        <w:rPr>
          <w:rFonts w:ascii="Garamond" w:hAnsi="Garamond"/>
          <w:sz w:val="24"/>
          <w:szCs w:val="24"/>
        </w:rPr>
        <w:t xml:space="preserve">the idea that </w:t>
      </w:r>
      <w:r w:rsidR="00016049" w:rsidRPr="00461D74">
        <w:rPr>
          <w:rFonts w:ascii="Garamond" w:hAnsi="Garamond"/>
          <w:sz w:val="24"/>
          <w:szCs w:val="24"/>
        </w:rPr>
        <w:t xml:space="preserve">even if we appeal to </w:t>
      </w:r>
      <w:r w:rsidR="00F95B8A" w:rsidRPr="00461D74">
        <w:rPr>
          <w:rFonts w:ascii="Garamond" w:hAnsi="Garamond"/>
          <w:sz w:val="24"/>
          <w:szCs w:val="24"/>
        </w:rPr>
        <w:t xml:space="preserve">any </w:t>
      </w:r>
      <w:r w:rsidR="00016049" w:rsidRPr="00461D74">
        <w:rPr>
          <w:rFonts w:ascii="Garamond" w:hAnsi="Garamond"/>
          <w:sz w:val="24"/>
          <w:szCs w:val="24"/>
        </w:rPr>
        <w:t>one particular moral view, whether utilitarian</w:t>
      </w:r>
      <w:r w:rsidR="00D30783">
        <w:rPr>
          <w:rFonts w:ascii="Garamond" w:hAnsi="Garamond"/>
          <w:sz w:val="24"/>
          <w:szCs w:val="24"/>
        </w:rPr>
        <w:t>,</w:t>
      </w:r>
      <w:r w:rsidR="00016049" w:rsidRPr="00461D74">
        <w:rPr>
          <w:rFonts w:ascii="Garamond" w:hAnsi="Garamond"/>
          <w:sz w:val="24"/>
          <w:szCs w:val="24"/>
        </w:rPr>
        <w:t xml:space="preserve"> deontological,</w:t>
      </w:r>
      <w:r w:rsidR="00D30783">
        <w:rPr>
          <w:rFonts w:ascii="Garamond" w:hAnsi="Garamond"/>
          <w:sz w:val="24"/>
          <w:szCs w:val="24"/>
        </w:rPr>
        <w:t xml:space="preserve"> or some other view,</w:t>
      </w:r>
      <w:r w:rsidR="00016049" w:rsidRPr="00461D74">
        <w:rPr>
          <w:rFonts w:ascii="Garamond" w:hAnsi="Garamond"/>
          <w:sz w:val="24"/>
          <w:szCs w:val="24"/>
        </w:rPr>
        <w:t xml:space="preserve"> our discussions ultimately presuppose</w:t>
      </w:r>
      <w:r w:rsidR="00F95B8A" w:rsidRPr="00461D74">
        <w:rPr>
          <w:rFonts w:ascii="Garamond" w:hAnsi="Garamond"/>
          <w:sz w:val="24"/>
          <w:szCs w:val="24"/>
        </w:rPr>
        <w:t>s</w:t>
      </w:r>
      <w:r w:rsidR="00016049" w:rsidRPr="00461D74">
        <w:rPr>
          <w:rFonts w:ascii="Garamond" w:hAnsi="Garamond"/>
          <w:sz w:val="24"/>
          <w:szCs w:val="24"/>
        </w:rPr>
        <w:t xml:space="preserve"> that there is no way of adjudicating between rival premises</w:t>
      </w:r>
      <w:r w:rsidR="00F95B8A" w:rsidRPr="00461D74">
        <w:rPr>
          <w:rFonts w:ascii="Garamond" w:hAnsi="Garamond"/>
          <w:sz w:val="24"/>
          <w:szCs w:val="24"/>
        </w:rPr>
        <w:t>;</w:t>
      </w:r>
      <w:r w:rsidR="00016049" w:rsidRPr="00461D74">
        <w:rPr>
          <w:rFonts w:ascii="Garamond" w:hAnsi="Garamond"/>
          <w:sz w:val="24"/>
          <w:szCs w:val="24"/>
        </w:rPr>
        <w:t xml:space="preserve"> </w:t>
      </w:r>
      <w:r w:rsidR="00F95B8A" w:rsidRPr="00461D74">
        <w:rPr>
          <w:rFonts w:ascii="Garamond" w:hAnsi="Garamond"/>
          <w:sz w:val="24"/>
          <w:szCs w:val="24"/>
        </w:rPr>
        <w:t xml:space="preserve">and </w:t>
      </w:r>
      <w:r w:rsidR="00016049" w:rsidRPr="00461D74">
        <w:rPr>
          <w:rFonts w:ascii="Garamond" w:hAnsi="Garamond"/>
          <w:sz w:val="24"/>
          <w:szCs w:val="24"/>
        </w:rPr>
        <w:t>our behaviour in social situations and everyday practice</w:t>
      </w:r>
      <w:r w:rsidR="00460CA4" w:rsidRPr="00461D74">
        <w:rPr>
          <w:rFonts w:ascii="Garamond" w:hAnsi="Garamond"/>
          <w:sz w:val="24"/>
          <w:szCs w:val="24"/>
        </w:rPr>
        <w:t>,</w:t>
      </w:r>
      <w:r w:rsidR="00016049" w:rsidRPr="00461D74">
        <w:rPr>
          <w:rFonts w:ascii="Garamond" w:hAnsi="Garamond"/>
          <w:sz w:val="24"/>
          <w:szCs w:val="24"/>
        </w:rPr>
        <w:t xml:space="preserve"> </w:t>
      </w:r>
      <w:r w:rsidR="00460CA4" w:rsidRPr="00461D74">
        <w:rPr>
          <w:rFonts w:ascii="Garamond" w:hAnsi="Garamond"/>
          <w:sz w:val="24"/>
          <w:szCs w:val="24"/>
        </w:rPr>
        <w:t xml:space="preserve">implicitly accepts </w:t>
      </w:r>
      <w:r w:rsidR="00016049" w:rsidRPr="00461D74">
        <w:rPr>
          <w:rFonts w:ascii="Garamond" w:hAnsi="Garamond"/>
          <w:sz w:val="24"/>
          <w:szCs w:val="24"/>
        </w:rPr>
        <w:t>that emotivism is in fact true.</w:t>
      </w:r>
      <w:r w:rsidR="00016049" w:rsidRPr="00461D74">
        <w:rPr>
          <w:rStyle w:val="FootnoteReference"/>
          <w:rFonts w:ascii="Garamond" w:hAnsi="Garamond"/>
          <w:sz w:val="24"/>
          <w:szCs w:val="24"/>
        </w:rPr>
        <w:footnoteReference w:id="31"/>
      </w:r>
      <w:r w:rsidR="00016049" w:rsidRPr="00461D74">
        <w:rPr>
          <w:rFonts w:ascii="Garamond" w:hAnsi="Garamond"/>
          <w:sz w:val="24"/>
          <w:szCs w:val="24"/>
        </w:rPr>
        <w:t xml:space="preserve"> At this point we can formulate a second hypothesis (H2) implicit in MacIntyre’s account:</w:t>
      </w:r>
      <w:r w:rsidR="00080F31" w:rsidRPr="00461D74">
        <w:rPr>
          <w:rFonts w:ascii="Garamond" w:hAnsi="Garamond"/>
          <w:sz w:val="24"/>
          <w:szCs w:val="24"/>
        </w:rPr>
        <w:t xml:space="preserve"> </w:t>
      </w:r>
      <w:proofErr w:type="spellStart"/>
      <w:r w:rsidR="00080F31" w:rsidRPr="00461D74">
        <w:rPr>
          <w:rFonts w:ascii="Garamond" w:hAnsi="Garamond"/>
          <w:i/>
          <w:sz w:val="24"/>
          <w:szCs w:val="24"/>
        </w:rPr>
        <w:t>e</w:t>
      </w:r>
      <w:r w:rsidR="00F152B3" w:rsidRPr="00461D74">
        <w:rPr>
          <w:rFonts w:ascii="Garamond" w:hAnsi="Garamond"/>
          <w:i/>
          <w:sz w:val="24"/>
          <w:szCs w:val="24"/>
        </w:rPr>
        <w:t>motivist</w:t>
      </w:r>
      <w:proofErr w:type="spellEnd"/>
      <w:r w:rsidR="00F152B3" w:rsidRPr="00461D74">
        <w:rPr>
          <w:rFonts w:ascii="Garamond" w:hAnsi="Garamond"/>
          <w:i/>
          <w:sz w:val="24"/>
          <w:szCs w:val="24"/>
        </w:rPr>
        <w:t xml:space="preserve"> theories </w:t>
      </w:r>
      <w:r w:rsidR="00080F31" w:rsidRPr="00461D74">
        <w:rPr>
          <w:rFonts w:ascii="Garamond" w:hAnsi="Garamond"/>
          <w:i/>
          <w:sz w:val="24"/>
          <w:szCs w:val="24"/>
        </w:rPr>
        <w:t xml:space="preserve">tend to </w:t>
      </w:r>
      <w:r w:rsidR="00F152B3" w:rsidRPr="00461D74">
        <w:rPr>
          <w:rFonts w:ascii="Garamond" w:hAnsi="Garamond"/>
          <w:i/>
          <w:sz w:val="24"/>
          <w:szCs w:val="24"/>
        </w:rPr>
        <w:t>emerge under conditions of liberalism and pluralism</w:t>
      </w:r>
      <w:r w:rsidR="00016049" w:rsidRPr="00461D74">
        <w:rPr>
          <w:rFonts w:ascii="Garamond" w:hAnsi="Garamond"/>
          <w:sz w:val="24"/>
          <w:szCs w:val="24"/>
        </w:rPr>
        <w:t xml:space="preserve">. </w:t>
      </w:r>
      <w:r w:rsidR="008C56DE" w:rsidRPr="00461D74">
        <w:rPr>
          <w:rFonts w:ascii="Garamond" w:hAnsi="Garamond"/>
          <w:sz w:val="24"/>
          <w:szCs w:val="24"/>
        </w:rPr>
        <w:t xml:space="preserve">Note </w:t>
      </w:r>
      <w:r w:rsidR="008C56DE" w:rsidRPr="00461D74">
        <w:rPr>
          <w:rFonts w:ascii="Garamond" w:hAnsi="Garamond"/>
          <w:sz w:val="24"/>
          <w:szCs w:val="24"/>
        </w:rPr>
        <w:lastRenderedPageBreak/>
        <w:t>that (H2)</w:t>
      </w:r>
      <w:r w:rsidR="00016049" w:rsidRPr="00461D74">
        <w:rPr>
          <w:rFonts w:ascii="Garamond" w:hAnsi="Garamond"/>
          <w:sz w:val="24"/>
          <w:szCs w:val="24"/>
        </w:rPr>
        <w:t xml:space="preserve"> supports (H1) because it makes it clear how an ethical theory </w:t>
      </w:r>
      <w:r w:rsidR="00F95B8A" w:rsidRPr="00461D74">
        <w:rPr>
          <w:rFonts w:ascii="Garamond" w:hAnsi="Garamond"/>
          <w:sz w:val="24"/>
          <w:szCs w:val="24"/>
        </w:rPr>
        <w:t xml:space="preserve">is able to </w:t>
      </w:r>
      <w:r w:rsidR="00016049" w:rsidRPr="00461D74">
        <w:rPr>
          <w:rFonts w:ascii="Garamond" w:hAnsi="Garamond"/>
          <w:sz w:val="24"/>
          <w:szCs w:val="24"/>
        </w:rPr>
        <w:t xml:space="preserve">theoretically articulate and express </w:t>
      </w:r>
      <w:r w:rsidR="00F95B8A" w:rsidRPr="00461D74">
        <w:rPr>
          <w:rFonts w:ascii="Garamond" w:hAnsi="Garamond"/>
          <w:sz w:val="24"/>
          <w:szCs w:val="24"/>
        </w:rPr>
        <w:t xml:space="preserve">the </w:t>
      </w:r>
      <w:r w:rsidR="00CD0EAF">
        <w:rPr>
          <w:rFonts w:ascii="Garamond" w:hAnsi="Garamond"/>
          <w:sz w:val="24"/>
          <w:szCs w:val="24"/>
        </w:rPr>
        <w:t xml:space="preserve">range of </w:t>
      </w:r>
      <w:r w:rsidR="00016049" w:rsidRPr="00461D74">
        <w:rPr>
          <w:rFonts w:ascii="Garamond" w:hAnsi="Garamond"/>
          <w:sz w:val="24"/>
          <w:szCs w:val="24"/>
        </w:rPr>
        <w:t xml:space="preserve">normative practices that </w:t>
      </w:r>
      <w:r w:rsidR="00974B43">
        <w:rPr>
          <w:rFonts w:ascii="Garamond" w:hAnsi="Garamond"/>
          <w:sz w:val="24"/>
          <w:szCs w:val="24"/>
        </w:rPr>
        <w:t xml:space="preserve">are </w:t>
      </w:r>
      <w:r w:rsidR="00CD0EAF">
        <w:rPr>
          <w:rFonts w:ascii="Garamond" w:hAnsi="Garamond"/>
          <w:sz w:val="24"/>
          <w:szCs w:val="24"/>
        </w:rPr>
        <w:t>manifest</w:t>
      </w:r>
      <w:r w:rsidR="00F95B8A" w:rsidRPr="00461D74">
        <w:rPr>
          <w:rFonts w:ascii="Garamond" w:hAnsi="Garamond"/>
          <w:sz w:val="24"/>
          <w:szCs w:val="24"/>
        </w:rPr>
        <w:t xml:space="preserve"> </w:t>
      </w:r>
      <w:r w:rsidR="00016049" w:rsidRPr="00461D74">
        <w:rPr>
          <w:rFonts w:ascii="Garamond" w:hAnsi="Garamond"/>
          <w:sz w:val="24"/>
          <w:szCs w:val="24"/>
        </w:rPr>
        <w:t>in the wider social context.</w:t>
      </w:r>
    </w:p>
    <w:p w:rsidR="0091075E"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How</w:t>
      </w:r>
      <w:r w:rsidR="003A7F5D" w:rsidRPr="00461D74">
        <w:rPr>
          <w:rFonts w:ascii="Garamond" w:hAnsi="Garamond"/>
          <w:sz w:val="24"/>
          <w:szCs w:val="24"/>
        </w:rPr>
        <w:t>,</w:t>
      </w:r>
      <w:r w:rsidRPr="00461D74">
        <w:rPr>
          <w:rFonts w:ascii="Garamond" w:hAnsi="Garamond"/>
          <w:sz w:val="24"/>
          <w:szCs w:val="24"/>
        </w:rPr>
        <w:t xml:space="preserve"> on MacIntyre’s view, do we then come to understand ourselves consciously or unconsciously as presupposing the truth of emotivism? On Moore’s account, the values that engender the basic moral properties are private, and so exclude those values that are in the public realm such as the values that enable cooperative work and intellectual inquiry. However, if we agree with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theorist and thus reject Moore’s </w:t>
      </w:r>
      <w:r w:rsidR="00F95B8A" w:rsidRPr="00461D74">
        <w:rPr>
          <w:rFonts w:ascii="Garamond" w:hAnsi="Garamond"/>
          <w:sz w:val="24"/>
          <w:szCs w:val="24"/>
        </w:rPr>
        <w:t xml:space="preserve">account, in which </w:t>
      </w:r>
      <w:r w:rsidRPr="00461D74">
        <w:rPr>
          <w:rFonts w:ascii="Garamond" w:hAnsi="Garamond"/>
          <w:sz w:val="24"/>
          <w:szCs w:val="24"/>
        </w:rPr>
        <w:t xml:space="preserve">there are basic non-natural moral properties, it seems </w:t>
      </w:r>
      <w:r w:rsidR="00460CA4" w:rsidRPr="00461D74">
        <w:rPr>
          <w:rFonts w:ascii="Garamond" w:hAnsi="Garamond"/>
          <w:sz w:val="24"/>
          <w:szCs w:val="24"/>
        </w:rPr>
        <w:t xml:space="preserve">only </w:t>
      </w:r>
      <w:r w:rsidRPr="00461D74">
        <w:rPr>
          <w:rFonts w:ascii="Garamond" w:hAnsi="Garamond"/>
          <w:sz w:val="24"/>
          <w:szCs w:val="24"/>
        </w:rPr>
        <w:t xml:space="preserve">reasonable to </w:t>
      </w:r>
      <w:r w:rsidR="00460CA4" w:rsidRPr="00461D74">
        <w:rPr>
          <w:rFonts w:ascii="Garamond" w:hAnsi="Garamond"/>
          <w:sz w:val="24"/>
          <w:szCs w:val="24"/>
        </w:rPr>
        <w:t>conclude</w:t>
      </w:r>
      <w:r w:rsidRPr="00461D74">
        <w:rPr>
          <w:rFonts w:ascii="Garamond" w:hAnsi="Garamond"/>
          <w:sz w:val="24"/>
          <w:szCs w:val="24"/>
        </w:rPr>
        <w:t xml:space="preserve"> that moral properties are in fact ‘subjective’ attitudes and feelings – namely, that they amount to nothing more than individual private preferences situated within the individual’s </w:t>
      </w:r>
      <w:r w:rsidR="00314DA3" w:rsidRPr="00461D74">
        <w:rPr>
          <w:rFonts w:ascii="Garamond" w:hAnsi="Garamond"/>
          <w:sz w:val="24"/>
          <w:szCs w:val="24"/>
        </w:rPr>
        <w:t xml:space="preserve">mental (or </w:t>
      </w:r>
      <w:r w:rsidRPr="00461D74">
        <w:rPr>
          <w:rFonts w:ascii="Garamond" w:hAnsi="Garamond"/>
          <w:sz w:val="24"/>
          <w:szCs w:val="24"/>
        </w:rPr>
        <w:t>psychological</w:t>
      </w:r>
      <w:r w:rsidR="00314DA3" w:rsidRPr="00461D74">
        <w:rPr>
          <w:rFonts w:ascii="Garamond" w:hAnsi="Garamond"/>
          <w:sz w:val="24"/>
          <w:szCs w:val="24"/>
        </w:rPr>
        <w:t>)</w:t>
      </w:r>
      <w:r w:rsidRPr="00461D74">
        <w:rPr>
          <w:rFonts w:ascii="Garamond" w:hAnsi="Garamond"/>
          <w:sz w:val="24"/>
          <w:szCs w:val="24"/>
        </w:rPr>
        <w:t xml:space="preserve"> state</w:t>
      </w:r>
      <w:r w:rsidR="00314DA3" w:rsidRPr="00461D74">
        <w:rPr>
          <w:rFonts w:ascii="Garamond" w:hAnsi="Garamond"/>
          <w:sz w:val="24"/>
          <w:szCs w:val="24"/>
        </w:rPr>
        <w:t>s</w:t>
      </w:r>
      <w:r w:rsidRPr="00461D74">
        <w:rPr>
          <w:rFonts w:ascii="Garamond" w:hAnsi="Garamond"/>
          <w:sz w:val="24"/>
          <w:szCs w:val="24"/>
        </w:rPr>
        <w:t>.</w:t>
      </w:r>
    </w:p>
    <w:p w:rsidR="008A125E" w:rsidRPr="00461D74" w:rsidRDefault="00AB1A56" w:rsidP="00164E4D">
      <w:pPr>
        <w:spacing w:line="360" w:lineRule="auto"/>
        <w:ind w:firstLine="720"/>
        <w:jc w:val="both"/>
        <w:rPr>
          <w:rFonts w:ascii="Garamond" w:hAnsi="Garamond"/>
          <w:sz w:val="24"/>
          <w:szCs w:val="24"/>
        </w:rPr>
      </w:pPr>
      <w:r w:rsidRPr="00461D74">
        <w:rPr>
          <w:rFonts w:ascii="Garamond" w:hAnsi="Garamond"/>
          <w:sz w:val="24"/>
          <w:szCs w:val="24"/>
        </w:rPr>
        <w:t>These private preferences are then recognised as separate and distinct from description</w:t>
      </w:r>
      <w:r w:rsidR="008A125E" w:rsidRPr="00461D74">
        <w:rPr>
          <w:rFonts w:ascii="Garamond" w:hAnsi="Garamond"/>
          <w:sz w:val="24"/>
          <w:szCs w:val="24"/>
        </w:rPr>
        <w:t>s</w:t>
      </w:r>
      <w:r w:rsidRPr="00461D74">
        <w:rPr>
          <w:rFonts w:ascii="Garamond" w:hAnsi="Garamond"/>
          <w:sz w:val="24"/>
          <w:szCs w:val="24"/>
        </w:rPr>
        <w:t xml:space="preserve"> </w:t>
      </w:r>
      <w:r w:rsidR="008A125E" w:rsidRPr="00461D74">
        <w:rPr>
          <w:rFonts w:ascii="Garamond" w:hAnsi="Garamond"/>
          <w:sz w:val="24"/>
          <w:szCs w:val="24"/>
        </w:rPr>
        <w:t>of any phenomenal state of affairs</w:t>
      </w:r>
      <w:r w:rsidR="00C759D0">
        <w:rPr>
          <w:rFonts w:ascii="Garamond" w:hAnsi="Garamond"/>
          <w:sz w:val="24"/>
          <w:szCs w:val="24"/>
        </w:rPr>
        <w:t>,</w:t>
      </w:r>
      <w:r w:rsidR="00C759D0">
        <w:rPr>
          <w:rStyle w:val="FootnoteReference"/>
          <w:rFonts w:ascii="Garamond" w:hAnsi="Garamond"/>
          <w:sz w:val="24"/>
          <w:szCs w:val="24"/>
        </w:rPr>
        <w:footnoteReference w:id="32"/>
      </w:r>
      <w:r w:rsidR="008A125E" w:rsidRPr="00461D74">
        <w:rPr>
          <w:rFonts w:ascii="Garamond" w:hAnsi="Garamond"/>
          <w:sz w:val="24"/>
          <w:szCs w:val="24"/>
        </w:rPr>
        <w:t xml:space="preserve"> </w:t>
      </w:r>
      <w:r w:rsidR="00C759D0">
        <w:rPr>
          <w:rFonts w:ascii="Garamond" w:hAnsi="Garamond"/>
          <w:sz w:val="24"/>
          <w:szCs w:val="24"/>
        </w:rPr>
        <w:t>which</w:t>
      </w:r>
      <w:r w:rsidR="00C759D0" w:rsidRPr="00461D74">
        <w:rPr>
          <w:rFonts w:ascii="Garamond" w:hAnsi="Garamond"/>
          <w:sz w:val="24"/>
          <w:szCs w:val="24"/>
        </w:rPr>
        <w:t xml:space="preserve"> </w:t>
      </w:r>
      <w:r w:rsidR="008A125E" w:rsidRPr="00461D74">
        <w:rPr>
          <w:rFonts w:ascii="Garamond" w:hAnsi="Garamond"/>
          <w:sz w:val="24"/>
          <w:szCs w:val="24"/>
        </w:rPr>
        <w:t xml:space="preserve">we could </w:t>
      </w:r>
      <w:r w:rsidR="00C759D0">
        <w:rPr>
          <w:rFonts w:ascii="Garamond" w:hAnsi="Garamond"/>
          <w:sz w:val="24"/>
          <w:szCs w:val="24"/>
        </w:rPr>
        <w:t xml:space="preserve">potentially use to objectively identify some or other particular </w:t>
      </w:r>
      <w:r w:rsidR="008A125E" w:rsidRPr="00461D74">
        <w:rPr>
          <w:rFonts w:ascii="Garamond" w:hAnsi="Garamond"/>
          <w:sz w:val="24"/>
          <w:szCs w:val="24"/>
        </w:rPr>
        <w:t>phenomenon in the social context</w:t>
      </w:r>
      <w:r w:rsidRPr="00461D74">
        <w:rPr>
          <w:rFonts w:ascii="Garamond" w:hAnsi="Garamond"/>
          <w:sz w:val="24"/>
          <w:szCs w:val="24"/>
        </w:rPr>
        <w:t xml:space="preserve">. </w:t>
      </w:r>
      <w:r w:rsidR="00BE6B82">
        <w:rPr>
          <w:rFonts w:ascii="Garamond" w:hAnsi="Garamond"/>
          <w:sz w:val="24"/>
          <w:szCs w:val="24"/>
        </w:rPr>
        <w:t>T</w:t>
      </w:r>
      <w:r w:rsidR="00C834E0" w:rsidRPr="00461D74">
        <w:rPr>
          <w:rFonts w:ascii="Garamond" w:hAnsi="Garamond"/>
          <w:sz w:val="24"/>
          <w:szCs w:val="24"/>
        </w:rPr>
        <w:t xml:space="preserve">he </w:t>
      </w:r>
      <w:proofErr w:type="spellStart"/>
      <w:r w:rsidR="00C834E0" w:rsidRPr="00461D74">
        <w:rPr>
          <w:rFonts w:ascii="Garamond" w:hAnsi="Garamond"/>
          <w:sz w:val="24"/>
          <w:szCs w:val="24"/>
        </w:rPr>
        <w:t>emotivist</w:t>
      </w:r>
      <w:proofErr w:type="spellEnd"/>
      <w:r w:rsidR="00C834E0" w:rsidRPr="00461D74">
        <w:rPr>
          <w:rFonts w:ascii="Garamond" w:hAnsi="Garamond"/>
          <w:sz w:val="24"/>
          <w:szCs w:val="24"/>
        </w:rPr>
        <w:t xml:space="preserve"> </w:t>
      </w:r>
      <w:r w:rsidR="00BE6B82">
        <w:rPr>
          <w:rFonts w:ascii="Garamond" w:hAnsi="Garamond"/>
          <w:sz w:val="24"/>
          <w:szCs w:val="24"/>
        </w:rPr>
        <w:t>position</w:t>
      </w:r>
      <w:r w:rsidR="00C834E0" w:rsidRPr="00461D74">
        <w:rPr>
          <w:rFonts w:ascii="Garamond" w:hAnsi="Garamond"/>
          <w:sz w:val="24"/>
          <w:szCs w:val="24"/>
        </w:rPr>
        <w:t xml:space="preserve"> </w:t>
      </w:r>
      <w:r w:rsidR="00BE6B82">
        <w:rPr>
          <w:rFonts w:ascii="Garamond" w:hAnsi="Garamond"/>
          <w:sz w:val="24"/>
          <w:szCs w:val="24"/>
        </w:rPr>
        <w:t>does</w:t>
      </w:r>
      <w:r w:rsidR="00C834E0" w:rsidRPr="00461D74">
        <w:rPr>
          <w:rFonts w:ascii="Garamond" w:hAnsi="Garamond"/>
          <w:sz w:val="24"/>
          <w:szCs w:val="24"/>
        </w:rPr>
        <w:t xml:space="preserve"> not necessarily </w:t>
      </w:r>
      <w:r w:rsidR="00BE6B82">
        <w:rPr>
          <w:rFonts w:ascii="Garamond" w:hAnsi="Garamond"/>
          <w:sz w:val="24"/>
          <w:szCs w:val="24"/>
        </w:rPr>
        <w:t xml:space="preserve">deny </w:t>
      </w:r>
      <w:r w:rsidR="00C834E0" w:rsidRPr="00461D74">
        <w:rPr>
          <w:rFonts w:ascii="Garamond" w:hAnsi="Garamond"/>
          <w:sz w:val="24"/>
          <w:szCs w:val="24"/>
        </w:rPr>
        <w:t>th</w:t>
      </w:r>
      <w:r w:rsidR="00BE6B82">
        <w:rPr>
          <w:rFonts w:ascii="Garamond" w:hAnsi="Garamond"/>
          <w:sz w:val="24"/>
          <w:szCs w:val="24"/>
        </w:rPr>
        <w:t>e existence of a</w:t>
      </w:r>
      <w:r w:rsidR="00C834E0" w:rsidRPr="00461D74">
        <w:rPr>
          <w:rFonts w:ascii="Garamond" w:hAnsi="Garamond"/>
          <w:sz w:val="24"/>
          <w:szCs w:val="24"/>
        </w:rPr>
        <w:t xml:space="preserve"> relation</w:t>
      </w:r>
      <w:r w:rsidR="00BE6B82">
        <w:rPr>
          <w:rFonts w:ascii="Garamond" w:hAnsi="Garamond"/>
          <w:sz w:val="24"/>
          <w:szCs w:val="24"/>
        </w:rPr>
        <w:t>ship</w:t>
      </w:r>
      <w:r w:rsidR="00C834E0" w:rsidRPr="00461D74">
        <w:rPr>
          <w:rFonts w:ascii="Garamond" w:hAnsi="Garamond"/>
          <w:sz w:val="24"/>
          <w:szCs w:val="24"/>
        </w:rPr>
        <w:t xml:space="preserve"> between preferences and desires on the one hand, and the contingent social state of affairs on the other. Rather, </w:t>
      </w:r>
      <w:proofErr w:type="spellStart"/>
      <w:r w:rsidR="00C834E0" w:rsidRPr="00461D74">
        <w:rPr>
          <w:rFonts w:ascii="Garamond" w:hAnsi="Garamond"/>
          <w:sz w:val="24"/>
          <w:szCs w:val="24"/>
        </w:rPr>
        <w:t>emotivist</w:t>
      </w:r>
      <w:proofErr w:type="spellEnd"/>
      <w:r w:rsidR="00C834E0" w:rsidRPr="00461D74">
        <w:rPr>
          <w:rFonts w:ascii="Garamond" w:hAnsi="Garamond"/>
          <w:sz w:val="24"/>
          <w:szCs w:val="24"/>
        </w:rPr>
        <w:t xml:space="preserve"> views do not accept the priority attached to the social context for forming or motivating desires and preferences in the first place. </w:t>
      </w:r>
      <w:r w:rsidR="008A125E" w:rsidRPr="00461D74">
        <w:rPr>
          <w:rFonts w:ascii="Garamond" w:hAnsi="Garamond"/>
          <w:sz w:val="24"/>
          <w:szCs w:val="24"/>
        </w:rPr>
        <w:t>I should</w:t>
      </w:r>
      <w:r w:rsidRPr="00461D74">
        <w:rPr>
          <w:rFonts w:ascii="Garamond" w:hAnsi="Garamond"/>
          <w:sz w:val="24"/>
          <w:szCs w:val="24"/>
        </w:rPr>
        <w:t xml:space="preserve"> </w:t>
      </w:r>
      <w:r w:rsidR="00C834E0" w:rsidRPr="00461D74">
        <w:rPr>
          <w:rFonts w:ascii="Garamond" w:hAnsi="Garamond"/>
          <w:sz w:val="24"/>
          <w:szCs w:val="24"/>
        </w:rPr>
        <w:t xml:space="preserve">also </w:t>
      </w:r>
      <w:r w:rsidRPr="00461D74">
        <w:rPr>
          <w:rFonts w:ascii="Garamond" w:hAnsi="Garamond"/>
          <w:sz w:val="24"/>
          <w:szCs w:val="24"/>
        </w:rPr>
        <w:t>emphasis</w:t>
      </w:r>
      <w:r w:rsidR="008A125E" w:rsidRPr="00461D74">
        <w:rPr>
          <w:rFonts w:ascii="Garamond" w:hAnsi="Garamond"/>
          <w:sz w:val="24"/>
          <w:szCs w:val="24"/>
        </w:rPr>
        <w:t>e</w:t>
      </w:r>
      <w:r w:rsidRPr="00461D74">
        <w:rPr>
          <w:rFonts w:ascii="Garamond" w:hAnsi="Garamond"/>
          <w:sz w:val="24"/>
          <w:szCs w:val="24"/>
        </w:rPr>
        <w:t xml:space="preserve"> that</w:t>
      </w:r>
      <w:r w:rsidR="008A125E" w:rsidRPr="00461D74">
        <w:rPr>
          <w:rFonts w:ascii="Garamond" w:hAnsi="Garamond"/>
          <w:sz w:val="24"/>
          <w:szCs w:val="24"/>
        </w:rPr>
        <w:t xml:space="preserve"> on the </w:t>
      </w:r>
      <w:proofErr w:type="spellStart"/>
      <w:r w:rsidR="008A125E" w:rsidRPr="00461D74">
        <w:rPr>
          <w:rFonts w:ascii="Garamond" w:hAnsi="Garamond"/>
          <w:sz w:val="24"/>
          <w:szCs w:val="24"/>
        </w:rPr>
        <w:t>emotivist</w:t>
      </w:r>
      <w:proofErr w:type="spellEnd"/>
      <w:r w:rsidRPr="00461D74">
        <w:rPr>
          <w:rFonts w:ascii="Garamond" w:hAnsi="Garamond"/>
          <w:sz w:val="24"/>
          <w:szCs w:val="24"/>
        </w:rPr>
        <w:t xml:space="preserve"> </w:t>
      </w:r>
      <w:r w:rsidR="008A125E" w:rsidRPr="00461D74">
        <w:rPr>
          <w:rFonts w:ascii="Garamond" w:hAnsi="Garamond"/>
          <w:sz w:val="24"/>
          <w:szCs w:val="24"/>
        </w:rPr>
        <w:t>view</w:t>
      </w:r>
      <w:r w:rsidR="005A761A" w:rsidRPr="00461D74">
        <w:rPr>
          <w:rFonts w:ascii="Garamond" w:hAnsi="Garamond"/>
          <w:sz w:val="24"/>
          <w:szCs w:val="24"/>
        </w:rPr>
        <w:t>,</w:t>
      </w:r>
      <w:r w:rsidR="008A125E" w:rsidRPr="00461D74">
        <w:rPr>
          <w:rFonts w:ascii="Garamond" w:hAnsi="Garamond"/>
          <w:sz w:val="24"/>
          <w:szCs w:val="24"/>
        </w:rPr>
        <w:t xml:space="preserve"> </w:t>
      </w:r>
      <w:r w:rsidRPr="00461D74">
        <w:rPr>
          <w:rFonts w:ascii="Garamond" w:hAnsi="Garamond"/>
          <w:sz w:val="24"/>
          <w:szCs w:val="24"/>
        </w:rPr>
        <w:t xml:space="preserve">preferences and desires are not </w:t>
      </w:r>
      <w:r w:rsidR="006606B2" w:rsidRPr="00461D74">
        <w:rPr>
          <w:rFonts w:ascii="Garamond" w:hAnsi="Garamond"/>
          <w:sz w:val="24"/>
          <w:szCs w:val="24"/>
        </w:rPr>
        <w:t>‘</w:t>
      </w:r>
      <w:r w:rsidRPr="00461D74">
        <w:rPr>
          <w:rFonts w:ascii="Garamond" w:hAnsi="Garamond"/>
          <w:sz w:val="24"/>
          <w:szCs w:val="24"/>
        </w:rPr>
        <w:t>object</w:t>
      </w:r>
      <w:r w:rsidR="008A125E" w:rsidRPr="00461D74">
        <w:rPr>
          <w:rFonts w:ascii="Garamond" w:hAnsi="Garamond"/>
          <w:sz w:val="24"/>
          <w:szCs w:val="24"/>
        </w:rPr>
        <w:t>-</w:t>
      </w:r>
      <w:r w:rsidRPr="00461D74">
        <w:rPr>
          <w:rFonts w:ascii="Garamond" w:hAnsi="Garamond"/>
          <w:sz w:val="24"/>
          <w:szCs w:val="24"/>
        </w:rPr>
        <w:t>placing</w:t>
      </w:r>
      <w:r w:rsidR="006606B2" w:rsidRPr="00461D74">
        <w:rPr>
          <w:rFonts w:ascii="Garamond" w:hAnsi="Garamond"/>
          <w:sz w:val="24"/>
          <w:szCs w:val="24"/>
        </w:rPr>
        <w:t>,’</w:t>
      </w:r>
      <w:r w:rsidR="008A125E" w:rsidRPr="00461D74">
        <w:rPr>
          <w:rFonts w:ascii="Garamond" w:hAnsi="Garamond"/>
          <w:sz w:val="24"/>
          <w:szCs w:val="24"/>
        </w:rPr>
        <w:t xml:space="preserve"> namely, that preferences </w:t>
      </w:r>
      <w:r w:rsidR="006606B2" w:rsidRPr="00461D74">
        <w:rPr>
          <w:rFonts w:ascii="Garamond" w:hAnsi="Garamond"/>
          <w:sz w:val="24"/>
          <w:szCs w:val="24"/>
        </w:rPr>
        <w:t xml:space="preserve">(or desires) </w:t>
      </w:r>
      <w:r w:rsidR="008A125E" w:rsidRPr="00461D74">
        <w:rPr>
          <w:rFonts w:ascii="Garamond" w:hAnsi="Garamond"/>
          <w:sz w:val="24"/>
          <w:szCs w:val="24"/>
        </w:rPr>
        <w:t>do not refer to object</w:t>
      </w:r>
      <w:r w:rsidR="005A761A" w:rsidRPr="00461D74">
        <w:rPr>
          <w:rFonts w:ascii="Garamond" w:hAnsi="Garamond"/>
          <w:sz w:val="24"/>
          <w:szCs w:val="24"/>
        </w:rPr>
        <w:t>s</w:t>
      </w:r>
      <w:r w:rsidR="008A125E" w:rsidRPr="00461D74">
        <w:rPr>
          <w:rFonts w:ascii="Garamond" w:hAnsi="Garamond"/>
          <w:sz w:val="24"/>
          <w:szCs w:val="24"/>
        </w:rPr>
        <w:t xml:space="preserve"> or object-like things in the </w:t>
      </w:r>
      <w:r w:rsidR="001737E5">
        <w:rPr>
          <w:rFonts w:ascii="Garamond" w:hAnsi="Garamond"/>
          <w:sz w:val="24"/>
          <w:szCs w:val="24"/>
        </w:rPr>
        <w:t xml:space="preserve">phenomenal </w:t>
      </w:r>
      <w:r w:rsidR="008A125E" w:rsidRPr="00461D74">
        <w:rPr>
          <w:rFonts w:ascii="Garamond" w:hAnsi="Garamond"/>
          <w:sz w:val="24"/>
          <w:szCs w:val="24"/>
        </w:rPr>
        <w:t>world</w:t>
      </w:r>
      <w:r w:rsidR="001737E5">
        <w:rPr>
          <w:rFonts w:ascii="Garamond" w:hAnsi="Garamond"/>
          <w:sz w:val="24"/>
          <w:szCs w:val="24"/>
        </w:rPr>
        <w:t>.</w:t>
      </w:r>
      <w:r w:rsidR="005A761A" w:rsidRPr="00461D74">
        <w:rPr>
          <w:rFonts w:ascii="Garamond" w:hAnsi="Garamond"/>
          <w:sz w:val="24"/>
          <w:szCs w:val="24"/>
        </w:rPr>
        <w:t xml:space="preserve"> </w:t>
      </w:r>
      <w:r w:rsidR="001737E5">
        <w:rPr>
          <w:rFonts w:ascii="Garamond" w:hAnsi="Garamond"/>
          <w:sz w:val="24"/>
          <w:szCs w:val="24"/>
        </w:rPr>
        <w:t>O</w:t>
      </w:r>
      <w:r w:rsidR="005A761A" w:rsidRPr="00461D74">
        <w:rPr>
          <w:rFonts w:ascii="Garamond" w:hAnsi="Garamond"/>
          <w:sz w:val="24"/>
          <w:szCs w:val="24"/>
        </w:rPr>
        <w:t>f course</w:t>
      </w:r>
      <w:r w:rsidR="00C834E0" w:rsidRPr="00461D74">
        <w:rPr>
          <w:rFonts w:ascii="Garamond" w:hAnsi="Garamond"/>
          <w:sz w:val="24"/>
          <w:szCs w:val="24"/>
        </w:rPr>
        <w:t>,</w:t>
      </w:r>
      <w:r w:rsidR="005A761A" w:rsidRPr="00461D74">
        <w:rPr>
          <w:rFonts w:ascii="Garamond" w:hAnsi="Garamond"/>
          <w:sz w:val="24"/>
          <w:szCs w:val="24"/>
        </w:rPr>
        <w:t xml:space="preserve"> if they did refer</w:t>
      </w:r>
      <w:r w:rsidR="001737E5">
        <w:rPr>
          <w:rFonts w:ascii="Garamond" w:hAnsi="Garamond"/>
          <w:sz w:val="24"/>
          <w:szCs w:val="24"/>
        </w:rPr>
        <w:t xml:space="preserve"> </w:t>
      </w:r>
      <w:r w:rsidR="001737E5" w:rsidRPr="00461D74">
        <w:rPr>
          <w:rFonts w:ascii="Garamond" w:hAnsi="Garamond"/>
          <w:sz w:val="24"/>
          <w:szCs w:val="24"/>
        </w:rPr>
        <w:t>to object-like things</w:t>
      </w:r>
      <w:r w:rsidR="001737E5">
        <w:rPr>
          <w:rFonts w:ascii="Garamond" w:hAnsi="Garamond"/>
          <w:sz w:val="24"/>
          <w:szCs w:val="24"/>
        </w:rPr>
        <w:t xml:space="preserve"> –</w:t>
      </w:r>
      <w:r w:rsidR="00C834E0" w:rsidRPr="00461D74">
        <w:rPr>
          <w:rFonts w:ascii="Garamond" w:hAnsi="Garamond"/>
          <w:sz w:val="24"/>
          <w:szCs w:val="24"/>
        </w:rPr>
        <w:t xml:space="preserve"> </w:t>
      </w:r>
      <w:r w:rsidR="00D30783">
        <w:rPr>
          <w:rFonts w:ascii="Garamond" w:hAnsi="Garamond"/>
          <w:sz w:val="24"/>
          <w:szCs w:val="24"/>
        </w:rPr>
        <w:t>let</w:t>
      </w:r>
      <w:r w:rsidR="001737E5">
        <w:rPr>
          <w:rFonts w:ascii="Garamond" w:hAnsi="Garamond"/>
          <w:sz w:val="24"/>
          <w:szCs w:val="24"/>
        </w:rPr>
        <w:t xml:space="preserve"> </w:t>
      </w:r>
      <w:r w:rsidR="00D30783">
        <w:rPr>
          <w:rFonts w:ascii="Garamond" w:hAnsi="Garamond"/>
          <w:sz w:val="24"/>
          <w:szCs w:val="24"/>
        </w:rPr>
        <w:t xml:space="preserve">say </w:t>
      </w:r>
      <w:r w:rsidR="00C834E0" w:rsidRPr="00461D74">
        <w:rPr>
          <w:rFonts w:ascii="Garamond" w:hAnsi="Garamond"/>
          <w:sz w:val="24"/>
          <w:szCs w:val="24"/>
        </w:rPr>
        <w:t>in a very deflationary sense</w:t>
      </w:r>
      <w:r w:rsidR="005A761A" w:rsidRPr="00461D74">
        <w:rPr>
          <w:rFonts w:ascii="Garamond" w:hAnsi="Garamond"/>
          <w:sz w:val="24"/>
          <w:szCs w:val="24"/>
        </w:rPr>
        <w:t xml:space="preserve"> </w:t>
      </w:r>
      <w:r w:rsidR="001737E5">
        <w:rPr>
          <w:rFonts w:ascii="Garamond" w:hAnsi="Garamond"/>
          <w:sz w:val="24"/>
          <w:szCs w:val="24"/>
        </w:rPr>
        <w:t xml:space="preserve">– </w:t>
      </w:r>
      <w:r w:rsidR="005A761A" w:rsidRPr="00461D74">
        <w:rPr>
          <w:rFonts w:ascii="Garamond" w:hAnsi="Garamond"/>
          <w:sz w:val="24"/>
          <w:szCs w:val="24"/>
        </w:rPr>
        <w:t xml:space="preserve">we would not </w:t>
      </w:r>
      <w:r w:rsidR="001737E5">
        <w:rPr>
          <w:rFonts w:ascii="Garamond" w:hAnsi="Garamond"/>
          <w:sz w:val="24"/>
          <w:szCs w:val="24"/>
        </w:rPr>
        <w:t>ultimately</w:t>
      </w:r>
      <w:r w:rsidR="005A761A" w:rsidRPr="00461D74">
        <w:rPr>
          <w:rFonts w:ascii="Garamond" w:hAnsi="Garamond"/>
          <w:sz w:val="24"/>
          <w:szCs w:val="24"/>
        </w:rPr>
        <w:t xml:space="preserve"> obtain </w:t>
      </w:r>
      <w:r w:rsidR="001737E5">
        <w:rPr>
          <w:rFonts w:ascii="Garamond" w:hAnsi="Garamond"/>
          <w:sz w:val="24"/>
          <w:szCs w:val="24"/>
        </w:rPr>
        <w:t xml:space="preserve">the sort of objects that could be included </w:t>
      </w:r>
      <w:r w:rsidR="00390D39">
        <w:rPr>
          <w:rFonts w:ascii="Garamond" w:hAnsi="Garamond"/>
          <w:sz w:val="24"/>
          <w:szCs w:val="24"/>
        </w:rPr>
        <w:t>in or classified under</w:t>
      </w:r>
      <w:r w:rsidR="001737E5">
        <w:rPr>
          <w:rFonts w:ascii="Garamond" w:hAnsi="Garamond"/>
          <w:sz w:val="24"/>
          <w:szCs w:val="24"/>
        </w:rPr>
        <w:t xml:space="preserve"> our normal talk about objects</w:t>
      </w:r>
      <w:r w:rsidR="00D30783">
        <w:rPr>
          <w:rFonts w:ascii="Garamond" w:hAnsi="Garamond"/>
          <w:sz w:val="24"/>
          <w:szCs w:val="24"/>
        </w:rPr>
        <w:t>.</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Thus,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self is a type of abstract self that stands apart from any </w:t>
      </w:r>
      <w:r w:rsidR="0091075E" w:rsidRPr="00461D74">
        <w:rPr>
          <w:rFonts w:ascii="Garamond" w:hAnsi="Garamond"/>
          <w:sz w:val="24"/>
          <w:szCs w:val="24"/>
        </w:rPr>
        <w:t xml:space="preserve">(social) </w:t>
      </w:r>
      <w:r w:rsidRPr="00461D74">
        <w:rPr>
          <w:rFonts w:ascii="Garamond" w:hAnsi="Garamond"/>
          <w:sz w:val="24"/>
          <w:szCs w:val="24"/>
        </w:rPr>
        <w:t>contingent state of affairs. It is a self that is separated from any particular socially embodied context</w:t>
      </w:r>
      <w:r w:rsidR="00D74AEA" w:rsidRPr="00461D74">
        <w:rPr>
          <w:rFonts w:ascii="Garamond" w:hAnsi="Garamond"/>
          <w:sz w:val="24"/>
          <w:szCs w:val="24"/>
        </w:rPr>
        <w:t>.</w:t>
      </w:r>
      <w:r w:rsidR="0091075E" w:rsidRPr="00461D74">
        <w:rPr>
          <w:rFonts w:ascii="Garamond" w:hAnsi="Garamond"/>
          <w:sz w:val="24"/>
          <w:szCs w:val="24"/>
        </w:rPr>
        <w:t xml:space="preserve"> </w:t>
      </w:r>
      <w:r w:rsidR="00D74AEA" w:rsidRPr="00461D74">
        <w:rPr>
          <w:rFonts w:ascii="Garamond" w:hAnsi="Garamond"/>
          <w:sz w:val="24"/>
          <w:szCs w:val="24"/>
        </w:rPr>
        <w:t>T</w:t>
      </w:r>
      <w:r w:rsidR="0091075E" w:rsidRPr="00461D74">
        <w:rPr>
          <w:rFonts w:ascii="Garamond" w:hAnsi="Garamond"/>
          <w:sz w:val="24"/>
          <w:szCs w:val="24"/>
        </w:rPr>
        <w:t>herefore</w:t>
      </w:r>
      <w:r w:rsidRPr="00461D74">
        <w:rPr>
          <w:rFonts w:ascii="Garamond" w:hAnsi="Garamond"/>
          <w:sz w:val="24"/>
          <w:szCs w:val="24"/>
        </w:rPr>
        <w:t>, moral agency</w:t>
      </w:r>
      <w:r w:rsidR="0091075E" w:rsidRPr="00461D74">
        <w:rPr>
          <w:rFonts w:ascii="Garamond" w:hAnsi="Garamond"/>
          <w:sz w:val="24"/>
          <w:szCs w:val="24"/>
        </w:rPr>
        <w:t>,</w:t>
      </w:r>
      <w:r w:rsidRPr="00461D74">
        <w:rPr>
          <w:rFonts w:ascii="Garamond" w:hAnsi="Garamond"/>
          <w:sz w:val="24"/>
          <w:szCs w:val="24"/>
        </w:rPr>
        <w:t xml:space="preserve"> </w:t>
      </w:r>
      <w:r w:rsidR="00D74AEA" w:rsidRPr="00461D74">
        <w:rPr>
          <w:rFonts w:ascii="Garamond" w:hAnsi="Garamond"/>
          <w:sz w:val="24"/>
          <w:szCs w:val="24"/>
        </w:rPr>
        <w:t xml:space="preserve">on this view, </w:t>
      </w:r>
      <w:r w:rsidRPr="00461D74">
        <w:rPr>
          <w:rFonts w:ascii="Garamond" w:hAnsi="Garamond"/>
          <w:sz w:val="24"/>
          <w:szCs w:val="24"/>
        </w:rPr>
        <w:t>is located within the self and not in the social roles or practices</w:t>
      </w:r>
      <w:r w:rsidR="0091075E" w:rsidRPr="00461D74">
        <w:rPr>
          <w:rFonts w:ascii="Garamond" w:hAnsi="Garamond"/>
          <w:sz w:val="24"/>
          <w:szCs w:val="24"/>
        </w:rPr>
        <w:t xml:space="preserve"> that an individual occupies</w:t>
      </w:r>
      <w:r w:rsidRPr="00461D74">
        <w:rPr>
          <w:rFonts w:ascii="Garamond" w:hAnsi="Garamond"/>
          <w:sz w:val="24"/>
          <w:szCs w:val="24"/>
        </w:rPr>
        <w:t>. Given that the ultimate arbiter of normativity on this private view of the self is an abstract notion of the individual – an individual that has no necessary social content or social identity – we end up with a privatized view of morality: namely, moral statements, because they are contestable, amount to expressions of private individual</w:t>
      </w:r>
      <w:r w:rsidR="00937B35">
        <w:rPr>
          <w:rFonts w:ascii="Garamond" w:hAnsi="Garamond"/>
          <w:sz w:val="24"/>
          <w:szCs w:val="24"/>
        </w:rPr>
        <w:t>’s</w:t>
      </w:r>
      <w:r w:rsidRPr="00461D74">
        <w:rPr>
          <w:rFonts w:ascii="Garamond" w:hAnsi="Garamond"/>
          <w:sz w:val="24"/>
          <w:szCs w:val="24"/>
        </w:rPr>
        <w:t xml:space="preserve"> attitudes and preferences. </w:t>
      </w:r>
      <w:proofErr w:type="gramStart"/>
      <w:r w:rsidRPr="00461D74">
        <w:rPr>
          <w:rFonts w:ascii="Garamond" w:hAnsi="Garamond"/>
          <w:sz w:val="24"/>
          <w:szCs w:val="24"/>
        </w:rPr>
        <w:t>Thus the deep-seated conviction that morality</w:t>
      </w:r>
      <w:r w:rsidR="00937B35">
        <w:rPr>
          <w:rFonts w:ascii="Garamond" w:hAnsi="Garamond"/>
          <w:sz w:val="24"/>
          <w:szCs w:val="24"/>
        </w:rPr>
        <w:t>,</w:t>
      </w:r>
      <w:r w:rsidRPr="00461D74">
        <w:rPr>
          <w:rFonts w:ascii="Garamond" w:hAnsi="Garamond"/>
          <w:sz w:val="24"/>
          <w:szCs w:val="24"/>
        </w:rPr>
        <w:t xml:space="preserve"> because it </w:t>
      </w:r>
      <w:r w:rsidR="00C834E0" w:rsidRPr="00461D74">
        <w:rPr>
          <w:rFonts w:ascii="Garamond" w:hAnsi="Garamond"/>
          <w:sz w:val="24"/>
          <w:szCs w:val="24"/>
        </w:rPr>
        <w:t xml:space="preserve">acquires its motivational force from </w:t>
      </w:r>
      <w:r w:rsidRPr="00461D74">
        <w:rPr>
          <w:rFonts w:ascii="Garamond" w:hAnsi="Garamond"/>
          <w:sz w:val="24"/>
          <w:szCs w:val="24"/>
        </w:rPr>
        <w:t>subjective preferences, attitudes and feelings</w:t>
      </w:r>
      <w:r w:rsidR="005870FB" w:rsidRPr="00461D74">
        <w:rPr>
          <w:rFonts w:ascii="Garamond" w:hAnsi="Garamond"/>
          <w:sz w:val="24"/>
          <w:szCs w:val="24"/>
        </w:rPr>
        <w:t>,</w:t>
      </w:r>
      <w:r w:rsidRPr="00461D74">
        <w:rPr>
          <w:rFonts w:ascii="Garamond" w:hAnsi="Garamond"/>
          <w:sz w:val="24"/>
          <w:szCs w:val="24"/>
        </w:rPr>
        <w:t xml:space="preserve"> belongs in the private sphere</w:t>
      </w:r>
      <w:r w:rsidR="005870FB" w:rsidRPr="00461D74">
        <w:rPr>
          <w:rFonts w:ascii="Garamond" w:hAnsi="Garamond"/>
          <w:sz w:val="24"/>
          <w:szCs w:val="24"/>
        </w:rPr>
        <w:t>;</w:t>
      </w:r>
      <w:r w:rsidRPr="00461D74">
        <w:rPr>
          <w:rFonts w:ascii="Garamond" w:hAnsi="Garamond"/>
          <w:sz w:val="24"/>
          <w:szCs w:val="24"/>
        </w:rPr>
        <w:t xml:space="preserve"> </w:t>
      </w:r>
      <w:r w:rsidR="00152600" w:rsidRPr="00461D74">
        <w:rPr>
          <w:rFonts w:ascii="Garamond" w:hAnsi="Garamond"/>
          <w:sz w:val="24"/>
          <w:szCs w:val="24"/>
        </w:rPr>
        <w:t xml:space="preserve">and </w:t>
      </w:r>
      <w:r w:rsidR="005870FB" w:rsidRPr="00461D74">
        <w:rPr>
          <w:rFonts w:ascii="Garamond" w:hAnsi="Garamond"/>
          <w:sz w:val="24"/>
          <w:szCs w:val="24"/>
        </w:rPr>
        <w:t xml:space="preserve">this conception of morality </w:t>
      </w:r>
      <w:r w:rsidRPr="00461D74">
        <w:rPr>
          <w:rFonts w:ascii="Garamond" w:hAnsi="Garamond"/>
          <w:sz w:val="24"/>
          <w:szCs w:val="24"/>
        </w:rPr>
        <w:t xml:space="preserve">is </w:t>
      </w:r>
      <w:r w:rsidR="005870FB" w:rsidRPr="00461D74">
        <w:rPr>
          <w:rFonts w:ascii="Garamond" w:hAnsi="Garamond"/>
          <w:sz w:val="24"/>
          <w:szCs w:val="24"/>
        </w:rPr>
        <w:t xml:space="preserve">ultimately </w:t>
      </w:r>
      <w:r w:rsidRPr="00461D74">
        <w:rPr>
          <w:rFonts w:ascii="Garamond" w:hAnsi="Garamond"/>
          <w:sz w:val="24"/>
          <w:szCs w:val="24"/>
        </w:rPr>
        <w:t>justified under modern contemporary liberal conditions</w:t>
      </w:r>
      <w:r w:rsidR="005870FB" w:rsidRPr="00461D74">
        <w:rPr>
          <w:rFonts w:ascii="Garamond" w:hAnsi="Garamond"/>
          <w:sz w:val="24"/>
          <w:szCs w:val="24"/>
        </w:rPr>
        <w:t>, and grounded</w:t>
      </w:r>
      <w:r w:rsidRPr="00461D74">
        <w:rPr>
          <w:rFonts w:ascii="Garamond" w:hAnsi="Garamond"/>
          <w:sz w:val="24"/>
          <w:szCs w:val="24"/>
        </w:rPr>
        <w:t xml:space="preserve"> </w:t>
      </w:r>
      <w:r w:rsidR="005870FB" w:rsidRPr="00461D74">
        <w:rPr>
          <w:rFonts w:ascii="Garamond" w:hAnsi="Garamond"/>
          <w:sz w:val="24"/>
          <w:szCs w:val="24"/>
        </w:rPr>
        <w:t xml:space="preserve">in </w:t>
      </w:r>
      <w:r w:rsidRPr="00461D74">
        <w:rPr>
          <w:rFonts w:ascii="Garamond" w:hAnsi="Garamond"/>
          <w:sz w:val="24"/>
          <w:szCs w:val="24"/>
        </w:rPr>
        <w:t xml:space="preserve">the </w:t>
      </w:r>
      <w:r w:rsidR="005870FB" w:rsidRPr="00461D74">
        <w:rPr>
          <w:rFonts w:ascii="Garamond" w:hAnsi="Garamond"/>
          <w:sz w:val="24"/>
          <w:szCs w:val="24"/>
        </w:rPr>
        <w:t xml:space="preserve">(modern) </w:t>
      </w:r>
      <w:r w:rsidRPr="00461D74">
        <w:rPr>
          <w:rFonts w:ascii="Garamond" w:hAnsi="Garamond"/>
          <w:sz w:val="24"/>
          <w:szCs w:val="24"/>
        </w:rPr>
        <w:t>concept of pluralism.</w:t>
      </w:r>
      <w:proofErr w:type="gramEnd"/>
      <w:r w:rsidRPr="00461D74">
        <w:rPr>
          <w:rStyle w:val="FootnoteReference"/>
          <w:rFonts w:ascii="Garamond" w:hAnsi="Garamond"/>
          <w:sz w:val="24"/>
          <w:szCs w:val="24"/>
        </w:rPr>
        <w:footnoteReference w:id="33"/>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On MacIntyre’s view, the idea of the self that emerges under emotivism, and is embodied in our contemporary culture, is itself a particular social historical phenomenon. We find that in pre-modern societies</w:t>
      </w:r>
      <w:r w:rsidR="005870FB" w:rsidRPr="00461D74">
        <w:rPr>
          <w:rFonts w:ascii="Garamond" w:hAnsi="Garamond"/>
          <w:sz w:val="24"/>
          <w:szCs w:val="24"/>
        </w:rPr>
        <w:t>,</w:t>
      </w:r>
      <w:r w:rsidRPr="00461D74">
        <w:rPr>
          <w:rFonts w:ascii="Garamond" w:hAnsi="Garamond"/>
          <w:sz w:val="24"/>
          <w:szCs w:val="24"/>
        </w:rPr>
        <w:t xml:space="preserve"> </w:t>
      </w:r>
      <w:r w:rsidR="005870FB" w:rsidRPr="00461D74">
        <w:rPr>
          <w:rFonts w:ascii="Garamond" w:hAnsi="Garamond"/>
          <w:sz w:val="24"/>
          <w:szCs w:val="24"/>
        </w:rPr>
        <w:t>this</w:t>
      </w:r>
      <w:r w:rsidRPr="00461D74">
        <w:rPr>
          <w:rFonts w:ascii="Garamond" w:hAnsi="Garamond"/>
          <w:sz w:val="24"/>
          <w:szCs w:val="24"/>
        </w:rPr>
        <w:t xml:space="preserve"> view of morality and the self was quite alien to any sort of realistic understanding of moral phenomena. So for example in the classical Greece of the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w:t>
      </w:r>
      <w:r w:rsidR="0000136A" w:rsidRPr="00461D74">
        <w:rPr>
          <w:rFonts w:ascii="Garamond" w:hAnsi="Garamond"/>
          <w:sz w:val="24"/>
          <w:szCs w:val="24"/>
        </w:rPr>
        <w:t>:</w:t>
      </w:r>
    </w:p>
    <w:p w:rsidR="00016049" w:rsidRPr="00461D74" w:rsidRDefault="00016049" w:rsidP="00164E4D">
      <w:pPr>
        <w:spacing w:line="360" w:lineRule="auto"/>
        <w:ind w:left="1440"/>
        <w:jc w:val="both"/>
        <w:rPr>
          <w:rFonts w:ascii="Garamond" w:hAnsi="Garamond"/>
        </w:rPr>
      </w:pPr>
      <w:r w:rsidRPr="00461D74">
        <w:rPr>
          <w:rFonts w:ascii="Garamond" w:hAnsi="Garamond"/>
        </w:rPr>
        <w:t>“</w:t>
      </w:r>
      <w:proofErr w:type="gramStart"/>
      <w:r w:rsidRPr="00461D74">
        <w:rPr>
          <w:rFonts w:ascii="Garamond" w:hAnsi="Garamond"/>
        </w:rPr>
        <w:t>it</w:t>
      </w:r>
      <w:proofErr w:type="gramEnd"/>
      <w:r w:rsidRPr="00461D74">
        <w:rPr>
          <w:rFonts w:ascii="Garamond" w:hAnsi="Garamond"/>
        </w:rPr>
        <w:t xml:space="preserve"> is through his or her membership in a variety of social groups that the individual identifies himself or herself and is identified by others. I am a brother, cousin and grandson, member of this household, that village, this tribe. These are not characteristics that belong to human beings accidentally…They are part of my substance, defining partially at least and sometimes wholly my obligations and my duties.”</w:t>
      </w:r>
      <w:r w:rsidRPr="00461D74">
        <w:rPr>
          <w:rStyle w:val="FootnoteReference"/>
          <w:rFonts w:ascii="Garamond" w:hAnsi="Garamond"/>
        </w:rPr>
        <w:footnoteReference w:id="34"/>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 xml:space="preserve">On this view, there is a conception of objectively evaluating a whole human life; a kind of human life which is ordered towards some given end </w:t>
      </w:r>
      <w:r w:rsidR="002F17F8" w:rsidRPr="00461D74">
        <w:rPr>
          <w:rFonts w:ascii="Garamond" w:hAnsi="Garamond"/>
          <w:sz w:val="24"/>
          <w:szCs w:val="24"/>
        </w:rPr>
        <w:t>and the</w:t>
      </w:r>
      <w:r w:rsidRPr="00461D74">
        <w:rPr>
          <w:rFonts w:ascii="Garamond" w:hAnsi="Garamond"/>
          <w:sz w:val="24"/>
          <w:szCs w:val="24"/>
        </w:rPr>
        <w:t xml:space="preserve"> ordering of </w:t>
      </w:r>
      <w:r w:rsidRPr="00461D74">
        <w:rPr>
          <w:rFonts w:ascii="Garamond" w:hAnsi="Garamond"/>
          <w:sz w:val="24"/>
          <w:szCs w:val="24"/>
        </w:rPr>
        <w:lastRenderedPageBreak/>
        <w:t xml:space="preserve">human life is </w:t>
      </w:r>
      <w:r w:rsidR="002F17F8" w:rsidRPr="00461D74">
        <w:rPr>
          <w:rFonts w:ascii="Garamond" w:hAnsi="Garamond"/>
          <w:sz w:val="24"/>
          <w:szCs w:val="24"/>
        </w:rPr>
        <w:t>then substantiated</w:t>
      </w:r>
      <w:r w:rsidRPr="00461D74">
        <w:rPr>
          <w:rFonts w:ascii="Garamond" w:hAnsi="Garamond"/>
          <w:sz w:val="24"/>
          <w:szCs w:val="24"/>
        </w:rPr>
        <w:t xml:space="preserve"> </w:t>
      </w:r>
      <w:r w:rsidR="002F17F8" w:rsidRPr="00461D74">
        <w:rPr>
          <w:rFonts w:ascii="Garamond" w:hAnsi="Garamond"/>
          <w:sz w:val="24"/>
          <w:szCs w:val="24"/>
        </w:rPr>
        <w:t xml:space="preserve">in, and </w:t>
      </w:r>
      <w:r w:rsidRPr="00461D74">
        <w:rPr>
          <w:rFonts w:ascii="Garamond" w:hAnsi="Garamond"/>
          <w:sz w:val="24"/>
          <w:szCs w:val="24"/>
        </w:rPr>
        <w:t>by</w:t>
      </w:r>
      <w:r w:rsidR="002F17F8" w:rsidRPr="00461D74">
        <w:rPr>
          <w:rFonts w:ascii="Garamond" w:hAnsi="Garamond"/>
          <w:sz w:val="24"/>
          <w:szCs w:val="24"/>
        </w:rPr>
        <w:t>,</w:t>
      </w:r>
      <w:r w:rsidRPr="00461D74">
        <w:rPr>
          <w:rFonts w:ascii="Garamond" w:hAnsi="Garamond"/>
          <w:sz w:val="24"/>
          <w:szCs w:val="24"/>
        </w:rPr>
        <w:t xml:space="preserve"> the particular social context and social identity which one occupies.</w:t>
      </w:r>
      <w:r w:rsidRPr="00461D74">
        <w:rPr>
          <w:rStyle w:val="FootnoteReference"/>
          <w:rFonts w:ascii="Garamond" w:hAnsi="Garamond"/>
          <w:sz w:val="24"/>
          <w:szCs w:val="24"/>
        </w:rPr>
        <w:footnoteReference w:id="35"/>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At this point we need to ask: what sort of changes </w:t>
      </w:r>
      <w:r w:rsidR="00DE5856" w:rsidRPr="00461D74">
        <w:rPr>
          <w:rFonts w:ascii="Garamond" w:hAnsi="Garamond"/>
          <w:sz w:val="24"/>
          <w:szCs w:val="24"/>
        </w:rPr>
        <w:t xml:space="preserve">precipitated the </w:t>
      </w:r>
      <w:r w:rsidRPr="00461D74">
        <w:rPr>
          <w:rFonts w:ascii="Garamond" w:hAnsi="Garamond"/>
          <w:sz w:val="24"/>
          <w:szCs w:val="24"/>
        </w:rPr>
        <w:t xml:space="preserve">transformation of moral discourse from the earlier pre-modern </w:t>
      </w:r>
      <w:r w:rsidR="00D800F1" w:rsidRPr="00461D74">
        <w:rPr>
          <w:rFonts w:ascii="Garamond" w:hAnsi="Garamond"/>
          <w:sz w:val="24"/>
          <w:szCs w:val="24"/>
        </w:rPr>
        <w:t xml:space="preserve">form, </w:t>
      </w:r>
      <w:r w:rsidRPr="00461D74">
        <w:rPr>
          <w:rFonts w:ascii="Garamond" w:hAnsi="Garamond"/>
          <w:sz w:val="24"/>
          <w:szCs w:val="24"/>
        </w:rPr>
        <w:t xml:space="preserve">to </w:t>
      </w:r>
      <w:r w:rsidR="00DE5856" w:rsidRPr="00461D74">
        <w:rPr>
          <w:rFonts w:ascii="Garamond" w:hAnsi="Garamond"/>
          <w:sz w:val="24"/>
          <w:szCs w:val="24"/>
        </w:rPr>
        <w:t xml:space="preserve">the </w:t>
      </w:r>
      <w:r w:rsidR="00D800F1" w:rsidRPr="00461D74">
        <w:rPr>
          <w:rFonts w:ascii="Garamond" w:hAnsi="Garamond"/>
          <w:sz w:val="24"/>
          <w:szCs w:val="24"/>
        </w:rPr>
        <w:t xml:space="preserve">type of discourse which we find in present-day </w:t>
      </w:r>
      <w:r w:rsidRPr="00461D74">
        <w:rPr>
          <w:rFonts w:ascii="Garamond" w:hAnsi="Garamond"/>
          <w:sz w:val="24"/>
          <w:szCs w:val="24"/>
        </w:rPr>
        <w:t xml:space="preserve">contemporary </w:t>
      </w:r>
      <w:r w:rsidR="00D800F1" w:rsidRPr="00461D74">
        <w:rPr>
          <w:rFonts w:ascii="Garamond" w:hAnsi="Garamond"/>
          <w:sz w:val="24"/>
          <w:szCs w:val="24"/>
        </w:rPr>
        <w:t xml:space="preserve">(liberal) </w:t>
      </w:r>
      <w:r w:rsidRPr="00461D74">
        <w:rPr>
          <w:rFonts w:ascii="Garamond" w:hAnsi="Garamond"/>
          <w:sz w:val="24"/>
          <w:szCs w:val="24"/>
        </w:rPr>
        <w:t>culture? On MacIntyre’s account, the historical transition between the 16</w:t>
      </w:r>
      <w:r w:rsidRPr="00461D74">
        <w:rPr>
          <w:rFonts w:ascii="Garamond" w:hAnsi="Garamond"/>
          <w:sz w:val="24"/>
          <w:szCs w:val="24"/>
          <w:vertAlign w:val="superscript"/>
        </w:rPr>
        <w:t>th</w:t>
      </w:r>
      <w:r w:rsidRPr="00461D74">
        <w:rPr>
          <w:rFonts w:ascii="Garamond" w:hAnsi="Garamond"/>
          <w:sz w:val="24"/>
          <w:szCs w:val="24"/>
        </w:rPr>
        <w:t xml:space="preserve"> </w:t>
      </w:r>
      <w:r w:rsidR="006633F7" w:rsidRPr="00461D74">
        <w:rPr>
          <w:rFonts w:ascii="Garamond" w:hAnsi="Garamond"/>
          <w:sz w:val="24"/>
          <w:szCs w:val="24"/>
        </w:rPr>
        <w:t>and</w:t>
      </w:r>
      <w:r w:rsidRPr="00461D74">
        <w:rPr>
          <w:rFonts w:ascii="Garamond" w:hAnsi="Garamond"/>
          <w:sz w:val="24"/>
          <w:szCs w:val="24"/>
        </w:rPr>
        <w:t xml:space="preserve"> </w:t>
      </w:r>
      <w:r w:rsidR="006633F7" w:rsidRPr="00461D74">
        <w:rPr>
          <w:rFonts w:ascii="Garamond" w:hAnsi="Garamond"/>
          <w:sz w:val="24"/>
          <w:szCs w:val="24"/>
        </w:rPr>
        <w:t xml:space="preserve">the </w:t>
      </w:r>
      <w:r w:rsidRPr="00461D74">
        <w:rPr>
          <w:rFonts w:ascii="Garamond" w:hAnsi="Garamond"/>
          <w:sz w:val="24"/>
          <w:szCs w:val="24"/>
        </w:rPr>
        <w:t>18</w:t>
      </w:r>
      <w:r w:rsidRPr="00461D74">
        <w:rPr>
          <w:rFonts w:ascii="Garamond" w:hAnsi="Garamond"/>
          <w:sz w:val="24"/>
          <w:szCs w:val="24"/>
          <w:vertAlign w:val="superscript"/>
        </w:rPr>
        <w:t>th</w:t>
      </w:r>
      <w:r w:rsidRPr="00461D74">
        <w:rPr>
          <w:rFonts w:ascii="Garamond" w:hAnsi="Garamond"/>
          <w:sz w:val="24"/>
          <w:szCs w:val="24"/>
        </w:rPr>
        <w:t xml:space="preserve"> century laid the groundwork for this transformation. Broadly speaking, MacIntyre lays the blame on the marginalisation of Aristotelian philosophy and more specifically, </w:t>
      </w:r>
      <w:r w:rsidR="00D800F1" w:rsidRPr="00461D74">
        <w:rPr>
          <w:rFonts w:ascii="Garamond" w:hAnsi="Garamond"/>
          <w:sz w:val="24"/>
          <w:szCs w:val="24"/>
        </w:rPr>
        <w:t xml:space="preserve">on </w:t>
      </w:r>
      <w:r w:rsidRPr="00461D74">
        <w:rPr>
          <w:rFonts w:ascii="Garamond" w:hAnsi="Garamond"/>
          <w:sz w:val="24"/>
          <w:szCs w:val="24"/>
        </w:rPr>
        <w:t xml:space="preserve">the </w:t>
      </w:r>
      <w:r w:rsidR="006633F7" w:rsidRPr="00461D74">
        <w:rPr>
          <w:rFonts w:ascii="Garamond" w:hAnsi="Garamond"/>
          <w:sz w:val="24"/>
          <w:szCs w:val="24"/>
        </w:rPr>
        <w:t xml:space="preserve">gradual </w:t>
      </w:r>
      <w:r w:rsidRPr="00461D74">
        <w:rPr>
          <w:rFonts w:ascii="Garamond" w:hAnsi="Garamond"/>
          <w:sz w:val="24"/>
          <w:szCs w:val="24"/>
        </w:rPr>
        <w:t xml:space="preserve">exclusion of Aristotle’s concept of teleology </w:t>
      </w:r>
      <w:r w:rsidR="006633F7" w:rsidRPr="00461D74">
        <w:rPr>
          <w:rFonts w:ascii="Garamond" w:hAnsi="Garamond"/>
          <w:sz w:val="24"/>
          <w:szCs w:val="24"/>
        </w:rPr>
        <w:t>from serious philosophical inquiry.</w:t>
      </w:r>
      <w:r w:rsidRPr="00461D74">
        <w:rPr>
          <w:rFonts w:ascii="Garamond" w:hAnsi="Garamond"/>
          <w:sz w:val="24"/>
          <w:szCs w:val="24"/>
        </w:rPr>
        <w:t xml:space="preserve"> </w:t>
      </w:r>
      <w:r w:rsidR="006633F7" w:rsidRPr="00461D74">
        <w:rPr>
          <w:rFonts w:ascii="Garamond" w:hAnsi="Garamond"/>
          <w:sz w:val="24"/>
          <w:szCs w:val="24"/>
        </w:rPr>
        <w:t>On this view, s</w:t>
      </w:r>
      <w:r w:rsidRPr="00461D74">
        <w:rPr>
          <w:rFonts w:ascii="Garamond" w:hAnsi="Garamond"/>
          <w:sz w:val="24"/>
          <w:szCs w:val="24"/>
        </w:rPr>
        <w:t>ocial developments in the latter part of the 17</w:t>
      </w:r>
      <w:r w:rsidRPr="00461D74">
        <w:rPr>
          <w:rFonts w:ascii="Garamond" w:hAnsi="Garamond"/>
          <w:sz w:val="24"/>
          <w:szCs w:val="24"/>
          <w:vertAlign w:val="superscript"/>
        </w:rPr>
        <w:t>th</w:t>
      </w:r>
      <w:r w:rsidRPr="00461D74">
        <w:rPr>
          <w:rFonts w:ascii="Garamond" w:hAnsi="Garamond"/>
          <w:sz w:val="24"/>
          <w:szCs w:val="24"/>
        </w:rPr>
        <w:t xml:space="preserve"> and early part of the 18</w:t>
      </w:r>
      <w:r w:rsidRPr="00461D74">
        <w:rPr>
          <w:rFonts w:ascii="Garamond" w:hAnsi="Garamond"/>
          <w:sz w:val="24"/>
          <w:szCs w:val="24"/>
          <w:vertAlign w:val="superscript"/>
        </w:rPr>
        <w:t>th</w:t>
      </w:r>
      <w:r w:rsidRPr="00461D74">
        <w:rPr>
          <w:rFonts w:ascii="Garamond" w:hAnsi="Garamond"/>
          <w:sz w:val="24"/>
          <w:szCs w:val="24"/>
        </w:rPr>
        <w:t xml:space="preserve"> century generated </w:t>
      </w:r>
      <w:r w:rsidR="00D800F1" w:rsidRPr="00461D74">
        <w:rPr>
          <w:rFonts w:ascii="Garamond" w:hAnsi="Garamond"/>
          <w:sz w:val="24"/>
          <w:szCs w:val="24"/>
        </w:rPr>
        <w:t xml:space="preserve">a number of </w:t>
      </w:r>
      <w:r w:rsidRPr="00461D74">
        <w:rPr>
          <w:rFonts w:ascii="Garamond" w:hAnsi="Garamond"/>
          <w:sz w:val="24"/>
          <w:szCs w:val="24"/>
        </w:rPr>
        <w:t xml:space="preserve">distinctions between theological, legal and aesthetic </w:t>
      </w:r>
      <w:r w:rsidR="00D800F1" w:rsidRPr="00461D74">
        <w:rPr>
          <w:rFonts w:ascii="Garamond" w:hAnsi="Garamond"/>
          <w:sz w:val="24"/>
          <w:szCs w:val="24"/>
        </w:rPr>
        <w:t>forms of inquiry</w:t>
      </w:r>
      <w:r w:rsidRPr="00461D74">
        <w:rPr>
          <w:rFonts w:ascii="Garamond" w:hAnsi="Garamond"/>
          <w:sz w:val="24"/>
          <w:szCs w:val="24"/>
        </w:rPr>
        <w:t>.</w:t>
      </w:r>
      <w:r w:rsidRPr="00461D74">
        <w:rPr>
          <w:rStyle w:val="FootnoteReference"/>
          <w:rFonts w:ascii="Garamond" w:hAnsi="Garamond"/>
          <w:sz w:val="24"/>
          <w:szCs w:val="24"/>
        </w:rPr>
        <w:footnoteReference w:id="36"/>
      </w:r>
      <w:r w:rsidRPr="00461D74">
        <w:rPr>
          <w:rFonts w:ascii="Garamond" w:hAnsi="Garamond"/>
          <w:sz w:val="24"/>
          <w:szCs w:val="24"/>
        </w:rPr>
        <w:t xml:space="preserve"> Teleology is then only maintained for a time in a much more restricted form as the ordering of the individual’s life towards those ends directed by God. </w:t>
      </w:r>
      <w:r w:rsidR="00A24E3F" w:rsidRPr="00461D74">
        <w:rPr>
          <w:rFonts w:ascii="Garamond" w:hAnsi="Garamond"/>
          <w:sz w:val="24"/>
          <w:szCs w:val="24"/>
        </w:rPr>
        <w:t xml:space="preserve">Nonetheless, </w:t>
      </w:r>
      <w:r w:rsidR="00C90976" w:rsidRPr="00461D74">
        <w:rPr>
          <w:rFonts w:ascii="Garamond" w:hAnsi="Garamond"/>
          <w:sz w:val="24"/>
          <w:szCs w:val="24"/>
        </w:rPr>
        <w:t xml:space="preserve">with the </w:t>
      </w:r>
      <w:r w:rsidR="00D800F1" w:rsidRPr="00461D74">
        <w:rPr>
          <w:rFonts w:ascii="Garamond" w:hAnsi="Garamond"/>
          <w:sz w:val="24"/>
          <w:szCs w:val="24"/>
        </w:rPr>
        <w:t xml:space="preserve">steady </w:t>
      </w:r>
      <w:r w:rsidR="00C90976" w:rsidRPr="00461D74">
        <w:rPr>
          <w:rFonts w:ascii="Garamond" w:hAnsi="Garamond"/>
          <w:sz w:val="24"/>
          <w:szCs w:val="24"/>
        </w:rPr>
        <w:t>secularisation of ethical discourse in the 18</w:t>
      </w:r>
      <w:r w:rsidR="00C90976" w:rsidRPr="00461D74">
        <w:rPr>
          <w:rFonts w:ascii="Garamond" w:hAnsi="Garamond"/>
          <w:sz w:val="24"/>
          <w:szCs w:val="24"/>
          <w:vertAlign w:val="superscript"/>
        </w:rPr>
        <w:t>th</w:t>
      </w:r>
      <w:r w:rsidR="00C90976" w:rsidRPr="00461D74">
        <w:rPr>
          <w:rFonts w:ascii="Garamond" w:hAnsi="Garamond"/>
          <w:sz w:val="24"/>
          <w:szCs w:val="24"/>
        </w:rPr>
        <w:t>-19</w:t>
      </w:r>
      <w:r w:rsidR="00C90976" w:rsidRPr="00461D74">
        <w:rPr>
          <w:rFonts w:ascii="Garamond" w:hAnsi="Garamond"/>
          <w:sz w:val="24"/>
          <w:szCs w:val="24"/>
          <w:vertAlign w:val="superscript"/>
        </w:rPr>
        <w:t>th</w:t>
      </w:r>
      <w:r w:rsidR="00C90976" w:rsidRPr="00461D74">
        <w:rPr>
          <w:rFonts w:ascii="Garamond" w:hAnsi="Garamond"/>
          <w:sz w:val="24"/>
          <w:szCs w:val="24"/>
        </w:rPr>
        <w:t xml:space="preserve"> century, </w:t>
      </w:r>
      <w:r w:rsidR="00A24E3F" w:rsidRPr="00461D74">
        <w:rPr>
          <w:rFonts w:ascii="Garamond" w:hAnsi="Garamond"/>
          <w:sz w:val="24"/>
          <w:szCs w:val="24"/>
        </w:rPr>
        <w:t xml:space="preserve">the only remaining </w:t>
      </w:r>
      <w:r w:rsidR="006633F7" w:rsidRPr="00461D74">
        <w:rPr>
          <w:rFonts w:ascii="Garamond" w:hAnsi="Garamond"/>
          <w:sz w:val="24"/>
          <w:szCs w:val="24"/>
        </w:rPr>
        <w:t xml:space="preserve">credible teleological justification available in ethics, </w:t>
      </w:r>
      <w:r w:rsidR="00A24E3F" w:rsidRPr="00461D74">
        <w:rPr>
          <w:rFonts w:ascii="Garamond" w:hAnsi="Garamond"/>
          <w:sz w:val="24"/>
          <w:szCs w:val="24"/>
        </w:rPr>
        <w:t xml:space="preserve">namely God, was </w:t>
      </w:r>
      <w:r w:rsidR="00C90976" w:rsidRPr="00461D74">
        <w:rPr>
          <w:rFonts w:ascii="Garamond" w:hAnsi="Garamond"/>
          <w:sz w:val="24"/>
          <w:szCs w:val="24"/>
        </w:rPr>
        <w:t>similarly sidelined</w:t>
      </w:r>
      <w:r w:rsidR="00A24E3F" w:rsidRPr="00461D74">
        <w:rPr>
          <w:rFonts w:ascii="Garamond" w:hAnsi="Garamond"/>
          <w:sz w:val="24"/>
          <w:szCs w:val="24"/>
        </w:rPr>
        <w:t xml:space="preserve"> from mainstream moral philosophy</w:t>
      </w:r>
      <w:r w:rsidRPr="00461D74">
        <w:rPr>
          <w:rFonts w:ascii="Garamond" w:hAnsi="Garamond"/>
          <w:sz w:val="24"/>
          <w:szCs w:val="24"/>
        </w:rPr>
        <w:t>.</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The project of </w:t>
      </w:r>
      <w:r w:rsidR="00D800F1" w:rsidRPr="00461D74">
        <w:rPr>
          <w:rFonts w:ascii="Garamond" w:hAnsi="Garamond"/>
          <w:sz w:val="24"/>
          <w:szCs w:val="24"/>
        </w:rPr>
        <w:t xml:space="preserve">seeking an </w:t>
      </w:r>
      <w:r w:rsidRPr="00461D74">
        <w:rPr>
          <w:rFonts w:ascii="Garamond" w:hAnsi="Garamond"/>
          <w:sz w:val="24"/>
          <w:szCs w:val="24"/>
        </w:rPr>
        <w:t xml:space="preserve">independent rational justification of morality </w:t>
      </w:r>
      <w:r w:rsidR="0023119C" w:rsidRPr="00461D74">
        <w:rPr>
          <w:rFonts w:ascii="Garamond" w:hAnsi="Garamond"/>
          <w:sz w:val="24"/>
          <w:szCs w:val="24"/>
        </w:rPr>
        <w:t xml:space="preserve">then </w:t>
      </w:r>
      <w:r w:rsidRPr="00461D74">
        <w:rPr>
          <w:rFonts w:ascii="Garamond" w:hAnsi="Garamond"/>
          <w:sz w:val="24"/>
          <w:szCs w:val="24"/>
        </w:rPr>
        <w:t>emerges</w:t>
      </w:r>
      <w:r w:rsidR="0023119C" w:rsidRPr="00461D74">
        <w:rPr>
          <w:rFonts w:ascii="Garamond" w:hAnsi="Garamond"/>
          <w:sz w:val="24"/>
          <w:szCs w:val="24"/>
        </w:rPr>
        <w:t xml:space="preserve"> from, and is motivated by, </w:t>
      </w:r>
      <w:r w:rsidRPr="00461D74">
        <w:rPr>
          <w:rFonts w:ascii="Garamond" w:hAnsi="Garamond"/>
          <w:sz w:val="24"/>
          <w:szCs w:val="24"/>
        </w:rPr>
        <w:t>the</w:t>
      </w:r>
      <w:r w:rsidR="0023119C" w:rsidRPr="00461D74">
        <w:rPr>
          <w:rFonts w:ascii="Garamond" w:hAnsi="Garamond"/>
          <w:sz w:val="24"/>
          <w:szCs w:val="24"/>
        </w:rPr>
        <w:t xml:space="preserve"> pressure that originates from these kinds of contingent </w:t>
      </w:r>
      <w:r w:rsidRPr="00461D74">
        <w:rPr>
          <w:rFonts w:ascii="Garamond" w:hAnsi="Garamond"/>
          <w:sz w:val="24"/>
          <w:szCs w:val="24"/>
        </w:rPr>
        <w:t xml:space="preserve">social-historical developments. </w:t>
      </w:r>
      <w:r w:rsidR="0023119C" w:rsidRPr="00461D74">
        <w:rPr>
          <w:rFonts w:ascii="Garamond" w:hAnsi="Garamond"/>
          <w:sz w:val="24"/>
          <w:szCs w:val="24"/>
        </w:rPr>
        <w:t>Now</w:t>
      </w:r>
      <w:r w:rsidRPr="00461D74">
        <w:rPr>
          <w:rFonts w:ascii="Garamond" w:hAnsi="Garamond"/>
          <w:sz w:val="24"/>
          <w:szCs w:val="24"/>
        </w:rPr>
        <w:t xml:space="preserve">, what MacIntyre coins as the </w:t>
      </w:r>
      <w:r w:rsidR="00F515C6" w:rsidRPr="00461D74">
        <w:rPr>
          <w:rFonts w:ascii="Garamond" w:hAnsi="Garamond"/>
          <w:i/>
          <w:sz w:val="24"/>
          <w:szCs w:val="24"/>
        </w:rPr>
        <w:t>Enlightenment Project of the Rational Justification of Morality</w:t>
      </w:r>
      <w:r w:rsidR="00C90976" w:rsidRPr="00461D74">
        <w:rPr>
          <w:rFonts w:ascii="Garamond" w:hAnsi="Garamond"/>
          <w:sz w:val="24"/>
          <w:szCs w:val="24"/>
        </w:rPr>
        <w:t xml:space="preserve">, </w:t>
      </w:r>
      <w:r w:rsidRPr="00461D74">
        <w:rPr>
          <w:rFonts w:ascii="Garamond" w:hAnsi="Garamond"/>
          <w:sz w:val="24"/>
          <w:szCs w:val="24"/>
        </w:rPr>
        <w:t xml:space="preserve">strives to establish a foundation for morality based upon principles of human reason and practical rationality. </w:t>
      </w:r>
      <w:r w:rsidR="0023119C" w:rsidRPr="00461D74">
        <w:rPr>
          <w:rFonts w:ascii="Garamond" w:hAnsi="Garamond"/>
          <w:sz w:val="24"/>
          <w:szCs w:val="24"/>
        </w:rPr>
        <w:t xml:space="preserve">Nevertheless, </w:t>
      </w:r>
      <w:r w:rsidRPr="00461D74">
        <w:rPr>
          <w:rFonts w:ascii="Garamond" w:hAnsi="Garamond"/>
          <w:sz w:val="24"/>
          <w:szCs w:val="24"/>
        </w:rPr>
        <w:t xml:space="preserve">MacIntyre goes on to argue that this project not only failed in </w:t>
      </w:r>
      <w:r w:rsidR="0023119C" w:rsidRPr="00461D74">
        <w:rPr>
          <w:rFonts w:ascii="Garamond" w:hAnsi="Garamond"/>
          <w:sz w:val="24"/>
          <w:szCs w:val="24"/>
        </w:rPr>
        <w:t xml:space="preserve">its primary </w:t>
      </w:r>
      <w:r w:rsidRPr="00461D74">
        <w:rPr>
          <w:rFonts w:ascii="Garamond" w:hAnsi="Garamond"/>
          <w:sz w:val="24"/>
          <w:szCs w:val="24"/>
        </w:rPr>
        <w:t>task, but that its failure was inevitable. Why? MacIntyre’s use of Kierkegaard is instructive for us</w:t>
      </w:r>
      <w:proofErr w:type="gramStart"/>
      <w:r w:rsidR="004116BC" w:rsidRPr="00461D74">
        <w:rPr>
          <w:rFonts w:ascii="Garamond" w:hAnsi="Garamond"/>
          <w:sz w:val="24"/>
          <w:szCs w:val="24"/>
        </w:rPr>
        <w:t>,</w:t>
      </w:r>
      <w:proofErr w:type="gramEnd"/>
      <w:r w:rsidR="001E2581" w:rsidRPr="00461D74">
        <w:rPr>
          <w:rStyle w:val="FootnoteReference"/>
          <w:rFonts w:ascii="Garamond" w:hAnsi="Garamond"/>
          <w:sz w:val="24"/>
          <w:szCs w:val="24"/>
        </w:rPr>
        <w:t xml:space="preserve"> </w:t>
      </w:r>
      <w:r w:rsidRPr="00461D74">
        <w:rPr>
          <w:rFonts w:ascii="Garamond" w:hAnsi="Garamond"/>
          <w:sz w:val="24"/>
          <w:szCs w:val="24"/>
        </w:rPr>
        <w:t xml:space="preserve">since Kierkegaard is here viewed as perhaps the first philosopher who understood that the Enlightenment Project of Justifying </w:t>
      </w:r>
      <w:r w:rsidRPr="00461D74">
        <w:rPr>
          <w:rFonts w:ascii="Garamond" w:hAnsi="Garamond"/>
          <w:sz w:val="24"/>
          <w:szCs w:val="24"/>
        </w:rPr>
        <w:lastRenderedPageBreak/>
        <w:t xml:space="preserve">Morality on reason (in the case of Kant), or passion (in the case of Hume), </w:t>
      </w:r>
      <w:r w:rsidR="0023119C" w:rsidRPr="00461D74">
        <w:rPr>
          <w:rFonts w:ascii="Garamond" w:hAnsi="Garamond"/>
          <w:sz w:val="24"/>
          <w:szCs w:val="24"/>
        </w:rPr>
        <w:t>could not succeed</w:t>
      </w:r>
      <w:r w:rsidRPr="00461D74">
        <w:rPr>
          <w:rFonts w:ascii="Garamond" w:hAnsi="Garamond"/>
          <w:sz w:val="24"/>
          <w:szCs w:val="24"/>
        </w:rPr>
        <w:t>.</w:t>
      </w:r>
      <w:r w:rsidR="00FD3179">
        <w:rPr>
          <w:rStyle w:val="FootnoteReference"/>
          <w:rFonts w:ascii="Garamond" w:hAnsi="Garamond"/>
          <w:sz w:val="24"/>
          <w:szCs w:val="24"/>
        </w:rPr>
        <w:footnoteReference w:id="37"/>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For MacIntyre, Kierkegaard in </w:t>
      </w:r>
      <w:r w:rsidRPr="00461D74">
        <w:rPr>
          <w:rFonts w:ascii="Garamond" w:hAnsi="Garamond"/>
          <w:i/>
          <w:iCs/>
          <w:sz w:val="24"/>
          <w:szCs w:val="24"/>
        </w:rPr>
        <w:t>Either/</w:t>
      </w:r>
      <w:proofErr w:type="gramStart"/>
      <w:r w:rsidRPr="00461D74">
        <w:rPr>
          <w:rFonts w:ascii="Garamond" w:hAnsi="Garamond"/>
          <w:i/>
          <w:iCs/>
          <w:sz w:val="24"/>
          <w:szCs w:val="24"/>
        </w:rPr>
        <w:t>Or</w:t>
      </w:r>
      <w:proofErr w:type="gramEnd"/>
      <w:r w:rsidRPr="00461D74">
        <w:rPr>
          <w:rFonts w:ascii="Garamond" w:hAnsi="Garamond"/>
          <w:sz w:val="24"/>
          <w:szCs w:val="24"/>
        </w:rPr>
        <w:t xml:space="preserve"> shows that the aesthetic and the ethical life are incompatible. To choose between the ethical and the aesthetic</w:t>
      </w:r>
    </w:p>
    <w:p w:rsidR="00016049" w:rsidRPr="00461D74" w:rsidRDefault="00016049" w:rsidP="00164E4D">
      <w:pPr>
        <w:spacing w:line="360" w:lineRule="auto"/>
        <w:ind w:left="1440"/>
        <w:jc w:val="both"/>
        <w:rPr>
          <w:rFonts w:ascii="Garamond" w:hAnsi="Garamond"/>
        </w:rPr>
      </w:pPr>
      <w:r w:rsidRPr="00461D74">
        <w:rPr>
          <w:rFonts w:ascii="Garamond" w:hAnsi="Garamond"/>
        </w:rPr>
        <w:t>“is not the choice between good and evil, it is the choice to whether or not to choose in terms of good and evil. At the heart of the aesthetic way of life, as Kierkegaard characterizes it, is the attempt to lose the self in the immediacy of present experience. The paradigm of aesthetic expression is the romantic lover who is immersed in his own passions. By contrast the paradigm of the ethical is marriage, a state of commitment and obligation through time.”</w:t>
      </w:r>
      <w:r w:rsidRPr="00461D74">
        <w:rPr>
          <w:rStyle w:val="FootnoteReference"/>
          <w:rFonts w:ascii="Garamond" w:hAnsi="Garamond"/>
        </w:rPr>
        <w:footnoteReference w:id="38"/>
      </w:r>
    </w:p>
    <w:p w:rsidR="00665157" w:rsidRDefault="00016049">
      <w:pPr>
        <w:spacing w:line="360" w:lineRule="auto"/>
        <w:jc w:val="both"/>
        <w:rPr>
          <w:rFonts w:ascii="Garamond" w:hAnsi="Garamond"/>
          <w:sz w:val="24"/>
          <w:szCs w:val="24"/>
        </w:rPr>
      </w:pPr>
      <w:r w:rsidRPr="00461D74">
        <w:rPr>
          <w:rFonts w:ascii="Garamond" w:hAnsi="Garamond"/>
          <w:sz w:val="24"/>
          <w:szCs w:val="24"/>
        </w:rPr>
        <w:t xml:space="preserve">Hence, for Kierkegaard, the principles that depict the ethical way of life are to be adopted not based on reason or passion, but </w:t>
      </w:r>
      <w:r w:rsidR="00937B35">
        <w:rPr>
          <w:rFonts w:ascii="Garamond" w:hAnsi="Garamond"/>
          <w:sz w:val="24"/>
          <w:szCs w:val="24"/>
        </w:rPr>
        <w:t xml:space="preserve">on </w:t>
      </w:r>
      <w:r w:rsidRPr="00461D74">
        <w:rPr>
          <w:rFonts w:ascii="Garamond" w:hAnsi="Garamond"/>
          <w:sz w:val="24"/>
          <w:szCs w:val="24"/>
        </w:rPr>
        <w:t>an individual choice that lies beyond reasons or passions.</w:t>
      </w:r>
      <w:r w:rsidRPr="00461D74">
        <w:rPr>
          <w:rStyle w:val="FootnoteReference"/>
          <w:rFonts w:ascii="Garamond" w:hAnsi="Garamond"/>
          <w:sz w:val="24"/>
          <w:szCs w:val="24"/>
        </w:rPr>
        <w:footnoteReference w:id="39"/>
      </w:r>
      <w:r w:rsidRPr="00461D74">
        <w:rPr>
          <w:rFonts w:ascii="Garamond" w:hAnsi="Garamond"/>
          <w:sz w:val="24"/>
          <w:szCs w:val="24"/>
        </w:rPr>
        <w:t xml:space="preserve"> </w:t>
      </w:r>
      <w:r w:rsidR="00973F97" w:rsidRPr="00461D74">
        <w:rPr>
          <w:rFonts w:ascii="Garamond" w:hAnsi="Garamond"/>
          <w:sz w:val="24"/>
          <w:szCs w:val="24"/>
        </w:rPr>
        <w:t>F</w:t>
      </w:r>
      <w:r w:rsidRPr="00461D74">
        <w:rPr>
          <w:rFonts w:ascii="Garamond" w:hAnsi="Garamond"/>
          <w:sz w:val="24"/>
          <w:szCs w:val="24"/>
        </w:rPr>
        <w:t xml:space="preserve">or MacIntyre, Kierkegaard’s view of human nature is such that the choice of adopting the ethical stance resides in the fundamental </w:t>
      </w:r>
      <w:r w:rsidR="00154519" w:rsidRPr="00461D74">
        <w:rPr>
          <w:rFonts w:ascii="Garamond" w:hAnsi="Garamond"/>
          <w:sz w:val="24"/>
          <w:szCs w:val="24"/>
        </w:rPr>
        <w:t xml:space="preserve">capacity of the individual human being </w:t>
      </w:r>
      <w:r w:rsidRPr="00461D74">
        <w:rPr>
          <w:rFonts w:ascii="Garamond" w:hAnsi="Garamond"/>
          <w:sz w:val="24"/>
          <w:szCs w:val="24"/>
        </w:rPr>
        <w:t xml:space="preserve">to make </w:t>
      </w:r>
      <w:r w:rsidR="00154519" w:rsidRPr="00461D74">
        <w:rPr>
          <w:rFonts w:ascii="Garamond" w:hAnsi="Garamond"/>
          <w:sz w:val="24"/>
          <w:szCs w:val="24"/>
        </w:rPr>
        <w:t>this</w:t>
      </w:r>
      <w:r w:rsidRPr="00461D74">
        <w:rPr>
          <w:rFonts w:ascii="Garamond" w:hAnsi="Garamond"/>
          <w:sz w:val="24"/>
          <w:szCs w:val="24"/>
        </w:rPr>
        <w:t xml:space="preserve"> choice. Just as Kant </w:t>
      </w:r>
      <w:r w:rsidR="00154519" w:rsidRPr="00461D74">
        <w:rPr>
          <w:rFonts w:ascii="Garamond" w:hAnsi="Garamond"/>
          <w:sz w:val="24"/>
          <w:szCs w:val="24"/>
        </w:rPr>
        <w:t xml:space="preserve">aimed </w:t>
      </w:r>
      <w:r w:rsidRPr="00461D74">
        <w:rPr>
          <w:rFonts w:ascii="Garamond" w:hAnsi="Garamond"/>
          <w:sz w:val="24"/>
          <w:szCs w:val="24"/>
        </w:rPr>
        <w:t xml:space="preserve">to justify morality on reason because for him rationality was the fundamental aspect of human nature, Hume sought to justify morality on the passions since he held that passions where the most important characteristic of human nature. Kierkegaard then looks to establish morality on the characteristic ability of </w:t>
      </w:r>
      <w:r w:rsidR="00154519" w:rsidRPr="00461D74">
        <w:rPr>
          <w:rFonts w:ascii="Garamond" w:hAnsi="Garamond"/>
          <w:sz w:val="24"/>
          <w:szCs w:val="24"/>
        </w:rPr>
        <w:lastRenderedPageBreak/>
        <w:t xml:space="preserve">individual </w:t>
      </w:r>
      <w:r w:rsidRPr="00461D74">
        <w:rPr>
          <w:rFonts w:ascii="Garamond" w:hAnsi="Garamond"/>
          <w:sz w:val="24"/>
          <w:szCs w:val="24"/>
        </w:rPr>
        <w:t xml:space="preserve">human beings to </w:t>
      </w:r>
      <w:r w:rsidR="00154519" w:rsidRPr="00461D74">
        <w:rPr>
          <w:rFonts w:ascii="Garamond" w:hAnsi="Garamond"/>
          <w:sz w:val="24"/>
          <w:szCs w:val="24"/>
        </w:rPr>
        <w:t xml:space="preserve">choose, and often that choice </w:t>
      </w:r>
      <w:r w:rsidRPr="00461D74">
        <w:rPr>
          <w:rFonts w:ascii="Garamond" w:hAnsi="Garamond"/>
          <w:sz w:val="24"/>
          <w:szCs w:val="24"/>
        </w:rPr>
        <w:t>rests on faith beyond mere reasons and passions.</w:t>
      </w:r>
      <w:r w:rsidRPr="00461D74">
        <w:rPr>
          <w:rStyle w:val="FootnoteReference"/>
          <w:rFonts w:ascii="Garamond" w:hAnsi="Garamond"/>
          <w:sz w:val="24"/>
          <w:szCs w:val="24"/>
        </w:rPr>
        <w:footnoteReference w:id="40"/>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In this sense</w:t>
      </w:r>
      <w:r w:rsidR="00937B35">
        <w:rPr>
          <w:rFonts w:ascii="Garamond" w:hAnsi="Garamond"/>
          <w:sz w:val="24"/>
          <w:szCs w:val="24"/>
        </w:rPr>
        <w:t>,</w:t>
      </w:r>
      <w:r w:rsidRPr="00461D74">
        <w:rPr>
          <w:rFonts w:ascii="Garamond" w:hAnsi="Garamond"/>
          <w:sz w:val="24"/>
          <w:szCs w:val="24"/>
        </w:rPr>
        <w:t xml:space="preserve"> all three views rest on basic premises that are </w:t>
      </w:r>
      <w:r w:rsidR="009B0761" w:rsidRPr="00461D74">
        <w:rPr>
          <w:rFonts w:ascii="Garamond" w:hAnsi="Garamond"/>
          <w:sz w:val="24"/>
          <w:szCs w:val="24"/>
        </w:rPr>
        <w:t xml:space="preserve">grounded </w:t>
      </w:r>
      <w:r w:rsidRPr="00461D74">
        <w:rPr>
          <w:rFonts w:ascii="Garamond" w:hAnsi="Garamond"/>
          <w:sz w:val="24"/>
          <w:szCs w:val="24"/>
        </w:rPr>
        <w:t>in competing accounts of human nature. In Kant</w:t>
      </w:r>
      <w:r w:rsidR="009B0761" w:rsidRPr="00461D74">
        <w:rPr>
          <w:rFonts w:ascii="Garamond" w:hAnsi="Garamond"/>
          <w:sz w:val="24"/>
          <w:szCs w:val="24"/>
        </w:rPr>
        <w:t>,</w:t>
      </w:r>
      <w:r w:rsidRPr="00461D74">
        <w:rPr>
          <w:rFonts w:ascii="Garamond" w:hAnsi="Garamond"/>
          <w:sz w:val="24"/>
          <w:szCs w:val="24"/>
        </w:rPr>
        <w:t xml:space="preserve"> reason is the fundamental feature of human nature, in Hume </w:t>
      </w:r>
      <w:r w:rsidR="009B0761" w:rsidRPr="00461D74">
        <w:rPr>
          <w:rFonts w:ascii="Garamond" w:hAnsi="Garamond"/>
          <w:sz w:val="24"/>
          <w:szCs w:val="24"/>
        </w:rPr>
        <w:t xml:space="preserve">it is </w:t>
      </w:r>
      <w:r w:rsidRPr="00461D74">
        <w:rPr>
          <w:rFonts w:ascii="Garamond" w:hAnsi="Garamond"/>
          <w:sz w:val="24"/>
          <w:szCs w:val="24"/>
        </w:rPr>
        <w:t xml:space="preserve">the passions, and in Kierkegaard what is fundamental is the individual decision-making process. MacIntyre gives the example of these three rival claims advanced by Hume, Kant and Kierkegaard, to show how the rival premises advanced by each of them were embedded in different accounts of human nature; and because each </w:t>
      </w:r>
      <w:r w:rsidR="004E26F4" w:rsidRPr="00461D74">
        <w:rPr>
          <w:rFonts w:ascii="Garamond" w:hAnsi="Garamond"/>
          <w:sz w:val="24"/>
          <w:szCs w:val="24"/>
        </w:rPr>
        <w:t xml:space="preserve">of these positions </w:t>
      </w:r>
      <w:r w:rsidRPr="00461D74">
        <w:rPr>
          <w:rFonts w:ascii="Garamond" w:hAnsi="Garamond"/>
          <w:sz w:val="24"/>
          <w:szCs w:val="24"/>
        </w:rPr>
        <w:t xml:space="preserve">could not </w:t>
      </w:r>
      <w:r w:rsidR="004E26F4" w:rsidRPr="00461D74">
        <w:rPr>
          <w:rFonts w:ascii="Garamond" w:hAnsi="Garamond"/>
          <w:sz w:val="24"/>
          <w:szCs w:val="24"/>
        </w:rPr>
        <w:t xml:space="preserve">defeat or otherwise </w:t>
      </w:r>
      <w:r w:rsidRPr="00461D74">
        <w:rPr>
          <w:rFonts w:ascii="Garamond" w:hAnsi="Garamond"/>
          <w:sz w:val="24"/>
          <w:szCs w:val="24"/>
        </w:rPr>
        <w:t xml:space="preserve">overcome </w:t>
      </w:r>
      <w:r w:rsidR="004E26F4" w:rsidRPr="00461D74">
        <w:rPr>
          <w:rFonts w:ascii="Garamond" w:hAnsi="Garamond"/>
          <w:sz w:val="24"/>
          <w:szCs w:val="24"/>
        </w:rPr>
        <w:t>its rivals</w:t>
      </w:r>
      <w:r w:rsidRPr="00461D74">
        <w:rPr>
          <w:rFonts w:ascii="Garamond" w:hAnsi="Garamond"/>
          <w:sz w:val="24"/>
          <w:szCs w:val="24"/>
        </w:rPr>
        <w:t>, the moral debates between them were in effect interminable.</w:t>
      </w:r>
      <w:r w:rsidRPr="00461D74">
        <w:rPr>
          <w:rStyle w:val="FootnoteReference"/>
          <w:rFonts w:ascii="Garamond" w:hAnsi="Garamond"/>
          <w:sz w:val="24"/>
          <w:szCs w:val="24"/>
        </w:rPr>
        <w:footnoteReference w:id="41"/>
      </w:r>
      <w:r w:rsidRPr="00461D74">
        <w:rPr>
          <w:rFonts w:ascii="Garamond" w:hAnsi="Garamond"/>
          <w:sz w:val="24"/>
          <w:szCs w:val="24"/>
        </w:rPr>
        <w:t xml:space="preserve"> Thus, </w:t>
      </w:r>
      <w:r w:rsidR="005E2185">
        <w:rPr>
          <w:rFonts w:ascii="Garamond" w:hAnsi="Garamond"/>
          <w:sz w:val="24"/>
          <w:szCs w:val="24"/>
        </w:rPr>
        <w:t xml:space="preserve">in </w:t>
      </w:r>
      <w:r w:rsidR="004E26F4" w:rsidRPr="00461D74">
        <w:rPr>
          <w:rFonts w:ascii="Garamond" w:hAnsi="Garamond"/>
          <w:sz w:val="24"/>
          <w:szCs w:val="24"/>
        </w:rPr>
        <w:t xml:space="preserve">MacIntyre’s view, </w:t>
      </w:r>
      <w:r w:rsidRPr="00461D74">
        <w:rPr>
          <w:rFonts w:ascii="Garamond" w:hAnsi="Garamond"/>
          <w:sz w:val="24"/>
          <w:szCs w:val="24"/>
        </w:rPr>
        <w:t>the Enlightenment Project of Justifying Morality on rational grounds prove</w:t>
      </w:r>
      <w:r w:rsidR="004E26F4" w:rsidRPr="00461D74">
        <w:rPr>
          <w:rFonts w:ascii="Garamond" w:hAnsi="Garamond"/>
          <w:sz w:val="24"/>
          <w:szCs w:val="24"/>
        </w:rPr>
        <w:t>s</w:t>
      </w:r>
      <w:r w:rsidRPr="00461D74">
        <w:rPr>
          <w:rFonts w:ascii="Garamond" w:hAnsi="Garamond"/>
          <w:sz w:val="24"/>
          <w:szCs w:val="24"/>
        </w:rPr>
        <w:t xml:space="preserve"> futile.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Nonetheless, MacIntyre </w:t>
      </w:r>
      <w:r w:rsidR="004E26F4" w:rsidRPr="00461D74">
        <w:rPr>
          <w:rFonts w:ascii="Garamond" w:hAnsi="Garamond"/>
          <w:sz w:val="24"/>
          <w:szCs w:val="24"/>
        </w:rPr>
        <w:t xml:space="preserve">contends </w:t>
      </w:r>
      <w:r w:rsidRPr="00461D74">
        <w:rPr>
          <w:rFonts w:ascii="Garamond" w:hAnsi="Garamond"/>
          <w:sz w:val="24"/>
          <w:szCs w:val="24"/>
        </w:rPr>
        <w:t xml:space="preserve">that the Aristotelian account </w:t>
      </w:r>
      <w:r w:rsidR="00973F97" w:rsidRPr="00461D74">
        <w:rPr>
          <w:rFonts w:ascii="Garamond" w:hAnsi="Garamond"/>
          <w:sz w:val="24"/>
          <w:szCs w:val="24"/>
        </w:rPr>
        <w:t xml:space="preserve">originally contained </w:t>
      </w:r>
      <w:r w:rsidRPr="00461D74">
        <w:rPr>
          <w:rFonts w:ascii="Garamond" w:hAnsi="Garamond"/>
          <w:sz w:val="24"/>
          <w:szCs w:val="24"/>
        </w:rPr>
        <w:t xml:space="preserve">the resources </w:t>
      </w:r>
      <w:r w:rsidR="004E26F4" w:rsidRPr="00461D74">
        <w:rPr>
          <w:rFonts w:ascii="Garamond" w:hAnsi="Garamond"/>
          <w:sz w:val="24"/>
          <w:szCs w:val="24"/>
        </w:rPr>
        <w:t>that could afford a rational justification for morality and moral claims</w:t>
      </w:r>
      <w:r w:rsidRPr="00461D74">
        <w:rPr>
          <w:rFonts w:ascii="Garamond" w:hAnsi="Garamond"/>
          <w:sz w:val="24"/>
          <w:szCs w:val="24"/>
        </w:rPr>
        <w:t>. So what were those resources in the Aristotelian schem</w:t>
      </w:r>
      <w:r w:rsidR="004E26F4" w:rsidRPr="00461D74">
        <w:rPr>
          <w:rFonts w:ascii="Garamond" w:hAnsi="Garamond"/>
          <w:sz w:val="24"/>
          <w:szCs w:val="24"/>
        </w:rPr>
        <w:t>e</w:t>
      </w:r>
      <w:r w:rsidRPr="00461D74">
        <w:rPr>
          <w:rFonts w:ascii="Garamond" w:hAnsi="Garamond"/>
          <w:sz w:val="24"/>
          <w:szCs w:val="24"/>
        </w:rPr>
        <w:t xml:space="preserve"> that differed from the conceptual tools available to </w:t>
      </w:r>
      <w:r w:rsidR="0068218C" w:rsidRPr="00461D74">
        <w:rPr>
          <w:rFonts w:ascii="Garamond" w:hAnsi="Garamond"/>
          <w:sz w:val="24"/>
          <w:szCs w:val="24"/>
        </w:rPr>
        <w:t>E</w:t>
      </w:r>
      <w:r w:rsidRPr="00461D74">
        <w:rPr>
          <w:rFonts w:ascii="Garamond" w:hAnsi="Garamond"/>
          <w:sz w:val="24"/>
          <w:szCs w:val="24"/>
        </w:rPr>
        <w:t>nlightenment thinkers</w:t>
      </w:r>
      <w:r w:rsidR="004E26F4" w:rsidRPr="00461D74">
        <w:rPr>
          <w:rFonts w:ascii="Garamond" w:hAnsi="Garamond"/>
          <w:sz w:val="24"/>
          <w:szCs w:val="24"/>
        </w:rPr>
        <w:t>, and were no longer available to those thinkers</w:t>
      </w:r>
      <w:r w:rsidRPr="00461D74">
        <w:rPr>
          <w:rFonts w:ascii="Garamond" w:hAnsi="Garamond"/>
          <w:sz w:val="24"/>
          <w:szCs w:val="24"/>
        </w:rPr>
        <w:t xml:space="preserve">? </w:t>
      </w:r>
      <w:r w:rsidR="008E7FE0" w:rsidRPr="00461D74">
        <w:rPr>
          <w:rFonts w:ascii="Garamond" w:hAnsi="Garamond"/>
          <w:sz w:val="24"/>
          <w:szCs w:val="24"/>
        </w:rPr>
        <w:t>Now, i</w:t>
      </w:r>
      <w:r w:rsidRPr="00461D74">
        <w:rPr>
          <w:rFonts w:ascii="Garamond" w:hAnsi="Garamond"/>
          <w:sz w:val="24"/>
          <w:szCs w:val="24"/>
        </w:rPr>
        <w:t xml:space="preserve">n the Aristotelian account we </w:t>
      </w:r>
      <w:r w:rsidR="008E7FE0" w:rsidRPr="00461D74">
        <w:rPr>
          <w:rFonts w:ascii="Garamond" w:hAnsi="Garamond"/>
          <w:sz w:val="24"/>
          <w:szCs w:val="24"/>
        </w:rPr>
        <w:t xml:space="preserve">possess </w:t>
      </w:r>
      <w:r w:rsidRPr="00461D74">
        <w:rPr>
          <w:rFonts w:ascii="Garamond" w:hAnsi="Garamond"/>
          <w:sz w:val="24"/>
          <w:szCs w:val="24"/>
        </w:rPr>
        <w:t>a three-fold schematic: (</w:t>
      </w:r>
      <w:proofErr w:type="spellStart"/>
      <w:r w:rsidRPr="00461D74">
        <w:rPr>
          <w:rFonts w:ascii="Garamond" w:hAnsi="Garamond"/>
          <w:sz w:val="24"/>
          <w:szCs w:val="24"/>
        </w:rPr>
        <w:t>i</w:t>
      </w:r>
      <w:proofErr w:type="spellEnd"/>
      <w:r w:rsidRPr="00461D74">
        <w:rPr>
          <w:rFonts w:ascii="Garamond" w:hAnsi="Garamond"/>
          <w:sz w:val="24"/>
          <w:szCs w:val="24"/>
        </w:rPr>
        <w:t xml:space="preserve">) the conception of untutored human nature; (ii) the conception of precepts of rational ethics; and (iii) lastly the conception of human nature if it realized its </w:t>
      </w:r>
      <w:proofErr w:type="spellStart"/>
      <w:r w:rsidRPr="00461D74">
        <w:rPr>
          <w:rFonts w:ascii="Garamond" w:hAnsi="Garamond"/>
          <w:sz w:val="24"/>
          <w:szCs w:val="24"/>
        </w:rPr>
        <w:t>telos</w:t>
      </w:r>
      <w:proofErr w:type="spellEnd"/>
      <w:r w:rsidRPr="00461D74">
        <w:rPr>
          <w:rFonts w:ascii="Garamond" w:hAnsi="Garamond"/>
          <w:sz w:val="24"/>
          <w:szCs w:val="24"/>
        </w:rPr>
        <w:t>.</w:t>
      </w:r>
      <w:r w:rsidRPr="00461D74">
        <w:rPr>
          <w:rStyle w:val="FootnoteReference"/>
          <w:rFonts w:ascii="Garamond" w:hAnsi="Garamond"/>
          <w:sz w:val="24"/>
          <w:szCs w:val="24"/>
        </w:rPr>
        <w:footnoteReference w:id="42"/>
      </w:r>
      <w:r w:rsidRPr="00461D74">
        <w:rPr>
          <w:rFonts w:ascii="Garamond" w:hAnsi="Garamond"/>
          <w:sz w:val="24"/>
          <w:szCs w:val="24"/>
        </w:rPr>
        <w:t xml:space="preserve"> However since Aristotle’s concept of teleology had </w:t>
      </w:r>
      <w:r w:rsidR="008E7FE0" w:rsidRPr="00461D74">
        <w:rPr>
          <w:rFonts w:ascii="Garamond" w:hAnsi="Garamond"/>
          <w:sz w:val="24"/>
          <w:szCs w:val="24"/>
        </w:rPr>
        <w:t>come to gradually suffer from an increasing degree of marginalisation</w:t>
      </w:r>
      <w:r w:rsidRPr="00461D74">
        <w:rPr>
          <w:rFonts w:ascii="Garamond" w:hAnsi="Garamond"/>
          <w:sz w:val="24"/>
          <w:szCs w:val="24"/>
        </w:rPr>
        <w:t xml:space="preserve"> in the 17</w:t>
      </w:r>
      <w:r w:rsidRPr="00461D74">
        <w:rPr>
          <w:rFonts w:ascii="Garamond" w:hAnsi="Garamond"/>
          <w:sz w:val="24"/>
          <w:szCs w:val="24"/>
          <w:vertAlign w:val="superscript"/>
        </w:rPr>
        <w:t>th</w:t>
      </w:r>
      <w:r w:rsidRPr="00461D74">
        <w:rPr>
          <w:rFonts w:ascii="Garamond" w:hAnsi="Garamond"/>
          <w:sz w:val="24"/>
          <w:szCs w:val="24"/>
        </w:rPr>
        <w:t xml:space="preserve"> century, there could </w:t>
      </w:r>
      <w:r w:rsidR="00973F97" w:rsidRPr="00461D74">
        <w:rPr>
          <w:rFonts w:ascii="Garamond" w:hAnsi="Garamond"/>
          <w:sz w:val="24"/>
          <w:szCs w:val="24"/>
        </w:rPr>
        <w:t xml:space="preserve">no longer </w:t>
      </w:r>
      <w:r w:rsidRPr="00461D74">
        <w:rPr>
          <w:rFonts w:ascii="Garamond" w:hAnsi="Garamond"/>
          <w:sz w:val="24"/>
          <w:szCs w:val="24"/>
        </w:rPr>
        <w:t xml:space="preserve">be </w:t>
      </w:r>
      <w:r w:rsidR="00973F97" w:rsidRPr="00461D74">
        <w:rPr>
          <w:rFonts w:ascii="Garamond" w:hAnsi="Garamond"/>
          <w:sz w:val="24"/>
          <w:szCs w:val="24"/>
        </w:rPr>
        <w:t xml:space="preserve">a credible </w:t>
      </w:r>
      <w:r w:rsidRPr="00461D74">
        <w:rPr>
          <w:rFonts w:ascii="Garamond" w:hAnsi="Garamond"/>
          <w:sz w:val="24"/>
          <w:szCs w:val="24"/>
        </w:rPr>
        <w:t xml:space="preserve">conception of a </w:t>
      </w:r>
      <w:proofErr w:type="spellStart"/>
      <w:r w:rsidRPr="00461D74">
        <w:rPr>
          <w:rFonts w:ascii="Garamond" w:hAnsi="Garamond"/>
          <w:sz w:val="24"/>
          <w:szCs w:val="24"/>
        </w:rPr>
        <w:t>telos</w:t>
      </w:r>
      <w:proofErr w:type="spellEnd"/>
      <w:r w:rsidRPr="00461D74">
        <w:rPr>
          <w:rFonts w:ascii="Garamond" w:hAnsi="Garamond"/>
          <w:sz w:val="24"/>
          <w:szCs w:val="24"/>
        </w:rPr>
        <w:t xml:space="preserve"> of human nature – that is, the concept of human nature if it realized its </w:t>
      </w:r>
      <w:proofErr w:type="spellStart"/>
      <w:r w:rsidRPr="00461D74">
        <w:rPr>
          <w:rFonts w:ascii="Garamond" w:hAnsi="Garamond"/>
          <w:sz w:val="24"/>
          <w:szCs w:val="24"/>
        </w:rPr>
        <w:t>telos</w:t>
      </w:r>
      <w:proofErr w:type="spellEnd"/>
      <w:r w:rsidRPr="00461D74">
        <w:rPr>
          <w:rFonts w:ascii="Garamond" w:hAnsi="Garamond"/>
          <w:sz w:val="24"/>
          <w:szCs w:val="24"/>
        </w:rPr>
        <w:t xml:space="preserve">. Why? An important resource in Aristotle’s metaphysics is the concept of </w:t>
      </w:r>
      <w:r w:rsidR="008E7FE0" w:rsidRPr="00461D74">
        <w:rPr>
          <w:rFonts w:ascii="Garamond" w:hAnsi="Garamond"/>
          <w:sz w:val="24"/>
          <w:szCs w:val="24"/>
        </w:rPr>
        <w:t>‘</w:t>
      </w:r>
      <w:r w:rsidRPr="00461D74">
        <w:rPr>
          <w:rFonts w:ascii="Garamond" w:hAnsi="Garamond"/>
          <w:sz w:val="24"/>
          <w:szCs w:val="24"/>
        </w:rPr>
        <w:t>essence</w:t>
      </w:r>
      <w:r w:rsidR="008E7FE0" w:rsidRPr="00461D74">
        <w:rPr>
          <w:rFonts w:ascii="Garamond" w:hAnsi="Garamond"/>
          <w:sz w:val="24"/>
          <w:szCs w:val="24"/>
        </w:rPr>
        <w:t>’</w:t>
      </w:r>
      <w:r w:rsidRPr="00461D74">
        <w:rPr>
          <w:rFonts w:ascii="Garamond" w:hAnsi="Garamond"/>
          <w:sz w:val="24"/>
          <w:szCs w:val="24"/>
        </w:rPr>
        <w:t xml:space="preserve"> (or nature) and the </w:t>
      </w:r>
      <w:r w:rsidRPr="00461D74">
        <w:rPr>
          <w:rFonts w:ascii="Garamond" w:hAnsi="Garamond"/>
          <w:sz w:val="24"/>
          <w:szCs w:val="24"/>
        </w:rPr>
        <w:lastRenderedPageBreak/>
        <w:t xml:space="preserve">transition between </w:t>
      </w:r>
      <w:r w:rsidR="008E7FE0" w:rsidRPr="00461D74">
        <w:rPr>
          <w:rFonts w:ascii="Garamond" w:hAnsi="Garamond"/>
          <w:sz w:val="24"/>
          <w:szCs w:val="24"/>
        </w:rPr>
        <w:t>‘</w:t>
      </w:r>
      <w:r w:rsidRPr="00461D74">
        <w:rPr>
          <w:rFonts w:ascii="Garamond" w:hAnsi="Garamond"/>
          <w:sz w:val="24"/>
          <w:szCs w:val="24"/>
        </w:rPr>
        <w:t>potentiality</w:t>
      </w:r>
      <w:r w:rsidR="008E7FE0" w:rsidRPr="00461D74">
        <w:rPr>
          <w:rFonts w:ascii="Garamond" w:hAnsi="Garamond"/>
          <w:sz w:val="24"/>
          <w:szCs w:val="24"/>
        </w:rPr>
        <w:t>’</w:t>
      </w:r>
      <w:r w:rsidRPr="00461D74">
        <w:rPr>
          <w:rFonts w:ascii="Garamond" w:hAnsi="Garamond"/>
          <w:sz w:val="24"/>
          <w:szCs w:val="24"/>
        </w:rPr>
        <w:t xml:space="preserve"> and </w:t>
      </w:r>
      <w:r w:rsidR="008E7FE0" w:rsidRPr="00461D74">
        <w:rPr>
          <w:rFonts w:ascii="Garamond" w:hAnsi="Garamond"/>
          <w:sz w:val="24"/>
          <w:szCs w:val="24"/>
        </w:rPr>
        <w:t>‘</w:t>
      </w:r>
      <w:r w:rsidRPr="00461D74">
        <w:rPr>
          <w:rFonts w:ascii="Garamond" w:hAnsi="Garamond"/>
          <w:sz w:val="24"/>
          <w:szCs w:val="24"/>
        </w:rPr>
        <w:t>actuality.</w:t>
      </w:r>
      <w:r w:rsidR="008E7FE0" w:rsidRPr="00461D74">
        <w:rPr>
          <w:rFonts w:ascii="Garamond" w:hAnsi="Garamond"/>
          <w:sz w:val="24"/>
          <w:szCs w:val="24"/>
        </w:rPr>
        <w:t>’</w:t>
      </w:r>
      <w:r w:rsidRPr="00461D74">
        <w:rPr>
          <w:rFonts w:ascii="Garamond" w:hAnsi="Garamond"/>
          <w:sz w:val="24"/>
          <w:szCs w:val="24"/>
        </w:rPr>
        <w:t xml:space="preserve"> The concept of teleology then is defined in terms of the relationship between these </w:t>
      </w:r>
      <w:r w:rsidR="00973F97" w:rsidRPr="00461D74">
        <w:rPr>
          <w:rFonts w:ascii="Garamond" w:hAnsi="Garamond"/>
          <w:sz w:val="24"/>
          <w:szCs w:val="24"/>
        </w:rPr>
        <w:t>t</w:t>
      </w:r>
      <w:r w:rsidR="008E7FE0" w:rsidRPr="00461D74">
        <w:rPr>
          <w:rFonts w:ascii="Garamond" w:hAnsi="Garamond"/>
          <w:sz w:val="24"/>
          <w:szCs w:val="24"/>
        </w:rPr>
        <w:t>hree</w:t>
      </w:r>
      <w:r w:rsidR="00973F97" w:rsidRPr="00461D74">
        <w:rPr>
          <w:rFonts w:ascii="Garamond" w:hAnsi="Garamond"/>
          <w:sz w:val="24"/>
          <w:szCs w:val="24"/>
        </w:rPr>
        <w:t xml:space="preserve"> </w:t>
      </w:r>
      <w:r w:rsidRPr="00461D74">
        <w:rPr>
          <w:rFonts w:ascii="Garamond" w:hAnsi="Garamond"/>
          <w:sz w:val="24"/>
          <w:szCs w:val="24"/>
        </w:rPr>
        <w:t xml:space="preserve">concepts. </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However, on the view of </w:t>
      </w:r>
      <w:r w:rsidR="00E444A3" w:rsidRPr="00461D74">
        <w:rPr>
          <w:rFonts w:ascii="Garamond" w:hAnsi="Garamond"/>
          <w:sz w:val="24"/>
          <w:szCs w:val="24"/>
        </w:rPr>
        <w:t>E</w:t>
      </w:r>
      <w:r w:rsidRPr="00461D74">
        <w:rPr>
          <w:rFonts w:ascii="Garamond" w:hAnsi="Garamond"/>
          <w:sz w:val="24"/>
          <w:szCs w:val="24"/>
        </w:rPr>
        <w:t xml:space="preserve">nlightenment thinkers and their heirs, reason alone could not comprehend essences or natures, nor could it perceive the transition from potentiality to actuality – all of </w:t>
      </w:r>
      <w:r w:rsidR="00DA068B" w:rsidRPr="00461D74">
        <w:rPr>
          <w:rFonts w:ascii="Garamond" w:hAnsi="Garamond"/>
          <w:sz w:val="24"/>
          <w:szCs w:val="24"/>
        </w:rPr>
        <w:t xml:space="preserve">which were crucially </w:t>
      </w:r>
      <w:r w:rsidRPr="00461D74">
        <w:rPr>
          <w:rFonts w:ascii="Garamond" w:hAnsi="Garamond"/>
          <w:sz w:val="24"/>
          <w:szCs w:val="24"/>
        </w:rPr>
        <w:t xml:space="preserve">important resources available </w:t>
      </w:r>
      <w:r w:rsidR="00961C7F" w:rsidRPr="00461D74">
        <w:rPr>
          <w:rFonts w:ascii="Garamond" w:hAnsi="Garamond"/>
          <w:sz w:val="24"/>
          <w:szCs w:val="24"/>
        </w:rPr>
        <w:t xml:space="preserve">in </w:t>
      </w:r>
      <w:r w:rsidRPr="00461D74">
        <w:rPr>
          <w:rFonts w:ascii="Garamond" w:hAnsi="Garamond"/>
          <w:sz w:val="24"/>
          <w:szCs w:val="24"/>
        </w:rPr>
        <w:t xml:space="preserve">the Aristotelian tradition. </w:t>
      </w:r>
      <w:r w:rsidR="00973F97" w:rsidRPr="00461D74">
        <w:rPr>
          <w:rFonts w:ascii="Garamond" w:hAnsi="Garamond"/>
          <w:sz w:val="24"/>
          <w:szCs w:val="24"/>
        </w:rPr>
        <w:t>Nevertheless</w:t>
      </w:r>
      <w:r w:rsidR="009B0761" w:rsidRPr="00461D74">
        <w:rPr>
          <w:rFonts w:ascii="Garamond" w:hAnsi="Garamond"/>
          <w:sz w:val="24"/>
          <w:szCs w:val="24"/>
        </w:rPr>
        <w:t>,</w:t>
      </w:r>
      <w:r w:rsidR="00973F97" w:rsidRPr="00461D74">
        <w:rPr>
          <w:rFonts w:ascii="Garamond" w:hAnsi="Garamond"/>
          <w:sz w:val="24"/>
          <w:szCs w:val="24"/>
        </w:rPr>
        <w:t xml:space="preserve"> </w:t>
      </w:r>
      <w:r w:rsidRPr="00461D74">
        <w:rPr>
          <w:rFonts w:ascii="Garamond" w:hAnsi="Garamond"/>
          <w:sz w:val="24"/>
          <w:szCs w:val="24"/>
        </w:rPr>
        <w:t xml:space="preserve">these </w:t>
      </w:r>
      <w:r w:rsidR="00DA068B" w:rsidRPr="00461D74">
        <w:rPr>
          <w:rFonts w:ascii="Garamond" w:hAnsi="Garamond"/>
          <w:sz w:val="24"/>
          <w:szCs w:val="24"/>
        </w:rPr>
        <w:t xml:space="preserve">essential </w:t>
      </w:r>
      <w:r w:rsidRPr="00461D74">
        <w:rPr>
          <w:rFonts w:ascii="Garamond" w:hAnsi="Garamond"/>
          <w:sz w:val="24"/>
          <w:szCs w:val="24"/>
        </w:rPr>
        <w:t>concepts in Aristotle’s metaphysics were long discredited</w:t>
      </w:r>
      <w:r w:rsidR="00973F97" w:rsidRPr="00461D74">
        <w:rPr>
          <w:rFonts w:ascii="Garamond" w:hAnsi="Garamond"/>
          <w:sz w:val="24"/>
          <w:szCs w:val="24"/>
        </w:rPr>
        <w:t xml:space="preserve"> and therefore</w:t>
      </w:r>
      <w:r w:rsidRPr="00461D74">
        <w:rPr>
          <w:rFonts w:ascii="Garamond" w:hAnsi="Garamond"/>
          <w:sz w:val="24"/>
          <w:szCs w:val="24"/>
        </w:rPr>
        <w:t xml:space="preserve"> </w:t>
      </w:r>
      <w:r w:rsidR="00DA068B" w:rsidRPr="00461D74">
        <w:rPr>
          <w:rFonts w:ascii="Garamond" w:hAnsi="Garamond"/>
          <w:sz w:val="24"/>
          <w:szCs w:val="24"/>
        </w:rPr>
        <w:t xml:space="preserve">the various </w:t>
      </w:r>
      <w:r w:rsidR="00E444A3" w:rsidRPr="00461D74">
        <w:rPr>
          <w:rFonts w:ascii="Garamond" w:hAnsi="Garamond"/>
          <w:sz w:val="24"/>
          <w:szCs w:val="24"/>
        </w:rPr>
        <w:t>E</w:t>
      </w:r>
      <w:r w:rsidRPr="00461D74">
        <w:rPr>
          <w:rFonts w:ascii="Garamond" w:hAnsi="Garamond"/>
          <w:sz w:val="24"/>
          <w:szCs w:val="24"/>
        </w:rPr>
        <w:t xml:space="preserve">nlightenment thinkers </w:t>
      </w:r>
      <w:r w:rsidR="00DA068B" w:rsidRPr="00461D74">
        <w:rPr>
          <w:rFonts w:ascii="Garamond" w:hAnsi="Garamond"/>
          <w:sz w:val="24"/>
          <w:szCs w:val="24"/>
        </w:rPr>
        <w:t xml:space="preserve">for the most part </w:t>
      </w:r>
      <w:r w:rsidRPr="00461D74">
        <w:rPr>
          <w:rFonts w:ascii="Garamond" w:hAnsi="Garamond"/>
          <w:sz w:val="24"/>
          <w:szCs w:val="24"/>
        </w:rPr>
        <w:t xml:space="preserve">rejected a teleological </w:t>
      </w:r>
      <w:r w:rsidR="00DA068B" w:rsidRPr="00461D74">
        <w:rPr>
          <w:rFonts w:ascii="Garamond" w:hAnsi="Garamond"/>
          <w:sz w:val="24"/>
          <w:szCs w:val="24"/>
        </w:rPr>
        <w:t xml:space="preserve">conception </w:t>
      </w:r>
      <w:r w:rsidRPr="00461D74">
        <w:rPr>
          <w:rFonts w:ascii="Garamond" w:hAnsi="Garamond"/>
          <w:sz w:val="24"/>
          <w:szCs w:val="24"/>
        </w:rPr>
        <w:t xml:space="preserve">of human being </w:t>
      </w:r>
      <w:r w:rsidR="00DA068B" w:rsidRPr="00461D74">
        <w:rPr>
          <w:rFonts w:ascii="Garamond" w:hAnsi="Garamond"/>
          <w:sz w:val="24"/>
          <w:szCs w:val="24"/>
        </w:rPr>
        <w:t xml:space="preserve">in which individual human beings not only possess </w:t>
      </w:r>
      <w:r w:rsidRPr="00461D74">
        <w:rPr>
          <w:rFonts w:ascii="Garamond" w:hAnsi="Garamond"/>
          <w:sz w:val="24"/>
          <w:szCs w:val="24"/>
        </w:rPr>
        <w:t>a</w:t>
      </w:r>
      <w:r w:rsidR="00DA068B" w:rsidRPr="00461D74">
        <w:rPr>
          <w:rFonts w:ascii="Garamond" w:hAnsi="Garamond"/>
          <w:sz w:val="24"/>
          <w:szCs w:val="24"/>
        </w:rPr>
        <w:t xml:space="preserve"> distinct</w:t>
      </w:r>
      <w:r w:rsidRPr="00461D74">
        <w:rPr>
          <w:rFonts w:ascii="Garamond" w:hAnsi="Garamond"/>
          <w:sz w:val="24"/>
          <w:szCs w:val="24"/>
        </w:rPr>
        <w:t xml:space="preserve"> essence (</w:t>
      </w:r>
      <w:r w:rsidR="00DA068B" w:rsidRPr="00461D74">
        <w:rPr>
          <w:rFonts w:ascii="Garamond" w:hAnsi="Garamond"/>
          <w:sz w:val="24"/>
          <w:szCs w:val="24"/>
        </w:rPr>
        <w:t xml:space="preserve">or </w:t>
      </w:r>
      <w:r w:rsidRPr="00461D74">
        <w:rPr>
          <w:rFonts w:ascii="Garamond" w:hAnsi="Garamond"/>
          <w:sz w:val="24"/>
          <w:szCs w:val="24"/>
        </w:rPr>
        <w:t>nature)</w:t>
      </w:r>
      <w:r w:rsidR="00DA068B" w:rsidRPr="00461D74">
        <w:rPr>
          <w:rFonts w:ascii="Garamond" w:hAnsi="Garamond"/>
          <w:sz w:val="24"/>
          <w:szCs w:val="24"/>
        </w:rPr>
        <w:t>,</w:t>
      </w:r>
      <w:r w:rsidRPr="00461D74">
        <w:rPr>
          <w:rFonts w:ascii="Garamond" w:hAnsi="Garamond"/>
          <w:sz w:val="24"/>
          <w:szCs w:val="24"/>
        </w:rPr>
        <w:t xml:space="preserve"> </w:t>
      </w:r>
      <w:r w:rsidR="00DA068B" w:rsidRPr="00461D74">
        <w:rPr>
          <w:rFonts w:ascii="Garamond" w:hAnsi="Garamond"/>
          <w:sz w:val="24"/>
          <w:szCs w:val="24"/>
        </w:rPr>
        <w:t xml:space="preserve">but that this nature </w:t>
      </w:r>
      <w:r w:rsidRPr="00461D74">
        <w:rPr>
          <w:rFonts w:ascii="Garamond" w:hAnsi="Garamond"/>
          <w:sz w:val="24"/>
          <w:szCs w:val="24"/>
        </w:rPr>
        <w:t xml:space="preserve">defines </w:t>
      </w:r>
      <w:r w:rsidR="00DA068B" w:rsidRPr="00461D74">
        <w:rPr>
          <w:rFonts w:ascii="Garamond" w:hAnsi="Garamond"/>
          <w:sz w:val="24"/>
          <w:szCs w:val="24"/>
        </w:rPr>
        <w:t xml:space="preserve">the individual’s </w:t>
      </w:r>
      <w:proofErr w:type="spellStart"/>
      <w:r w:rsidR="00961C7F" w:rsidRPr="00461D74">
        <w:rPr>
          <w:rFonts w:ascii="Garamond" w:hAnsi="Garamond"/>
          <w:sz w:val="24"/>
          <w:szCs w:val="24"/>
        </w:rPr>
        <w:t>telos</w:t>
      </w:r>
      <w:proofErr w:type="spellEnd"/>
      <w:r w:rsidR="00961C7F" w:rsidRPr="00461D74">
        <w:rPr>
          <w:rFonts w:ascii="Garamond" w:hAnsi="Garamond"/>
          <w:sz w:val="24"/>
          <w:szCs w:val="24"/>
        </w:rPr>
        <w:t xml:space="preserve"> (or final </w:t>
      </w:r>
      <w:r w:rsidRPr="00461D74">
        <w:rPr>
          <w:rFonts w:ascii="Garamond" w:hAnsi="Garamond"/>
          <w:sz w:val="24"/>
          <w:szCs w:val="24"/>
        </w:rPr>
        <w:t>end</w:t>
      </w:r>
      <w:r w:rsidR="00961C7F" w:rsidRPr="00461D74">
        <w:rPr>
          <w:rFonts w:ascii="Garamond" w:hAnsi="Garamond"/>
          <w:sz w:val="24"/>
          <w:szCs w:val="24"/>
        </w:rPr>
        <w:t>)</w:t>
      </w:r>
      <w:r w:rsidR="00DA068B" w:rsidRPr="00461D74">
        <w:rPr>
          <w:rFonts w:ascii="Garamond" w:hAnsi="Garamond"/>
          <w:sz w:val="24"/>
          <w:szCs w:val="24"/>
        </w:rPr>
        <w:t>,</w:t>
      </w:r>
      <w:r w:rsidRPr="00461D74">
        <w:rPr>
          <w:rFonts w:ascii="Garamond" w:hAnsi="Garamond"/>
          <w:sz w:val="24"/>
          <w:szCs w:val="24"/>
        </w:rPr>
        <w:t xml:space="preserve"> moving from potentiality to actuality. Yet, </w:t>
      </w:r>
      <w:r w:rsidR="00973F97" w:rsidRPr="00461D74">
        <w:rPr>
          <w:rFonts w:ascii="Garamond" w:hAnsi="Garamond"/>
          <w:sz w:val="24"/>
          <w:szCs w:val="24"/>
        </w:rPr>
        <w:t>on the</w:t>
      </w:r>
      <w:r w:rsidRPr="00461D74">
        <w:rPr>
          <w:rFonts w:ascii="Garamond" w:hAnsi="Garamond"/>
          <w:sz w:val="24"/>
          <w:szCs w:val="24"/>
        </w:rPr>
        <w:t xml:space="preserve"> Aristot</w:t>
      </w:r>
      <w:r w:rsidR="00973F97" w:rsidRPr="00461D74">
        <w:rPr>
          <w:rFonts w:ascii="Garamond" w:hAnsi="Garamond"/>
          <w:sz w:val="24"/>
          <w:szCs w:val="24"/>
        </w:rPr>
        <w:t>e</w:t>
      </w:r>
      <w:r w:rsidRPr="00461D74">
        <w:rPr>
          <w:rFonts w:ascii="Garamond" w:hAnsi="Garamond"/>
          <w:sz w:val="24"/>
          <w:szCs w:val="24"/>
        </w:rPr>
        <w:t>l</w:t>
      </w:r>
      <w:r w:rsidR="00973F97" w:rsidRPr="00461D74">
        <w:rPr>
          <w:rFonts w:ascii="Garamond" w:hAnsi="Garamond"/>
          <w:sz w:val="24"/>
          <w:szCs w:val="24"/>
        </w:rPr>
        <w:t>ian view</w:t>
      </w:r>
      <w:r w:rsidRPr="00461D74">
        <w:rPr>
          <w:rFonts w:ascii="Garamond" w:hAnsi="Garamond"/>
          <w:sz w:val="24"/>
          <w:szCs w:val="24"/>
        </w:rPr>
        <w:t xml:space="preserve">, the whole point of ethics – both theoretical and practical – is to enable human beings to pass from an untutored state, to their </w:t>
      </w:r>
      <w:r w:rsidR="00C90976" w:rsidRPr="00461D74">
        <w:rPr>
          <w:rFonts w:ascii="Garamond" w:hAnsi="Garamond"/>
          <w:sz w:val="24"/>
          <w:szCs w:val="24"/>
        </w:rPr>
        <w:t xml:space="preserve">complete </w:t>
      </w:r>
      <w:r w:rsidRPr="00461D74">
        <w:rPr>
          <w:rFonts w:ascii="Garamond" w:hAnsi="Garamond"/>
          <w:sz w:val="24"/>
          <w:szCs w:val="24"/>
        </w:rPr>
        <w:t xml:space="preserve">end as fully actualised human beings. By </w:t>
      </w:r>
      <w:r w:rsidR="008225D9" w:rsidRPr="00461D74">
        <w:rPr>
          <w:rFonts w:ascii="Garamond" w:hAnsi="Garamond"/>
          <w:sz w:val="24"/>
          <w:szCs w:val="24"/>
        </w:rPr>
        <w:t xml:space="preserve">jettisoning </w:t>
      </w:r>
      <w:r w:rsidRPr="00461D74">
        <w:rPr>
          <w:rFonts w:ascii="Garamond" w:hAnsi="Garamond"/>
          <w:sz w:val="24"/>
          <w:szCs w:val="24"/>
        </w:rPr>
        <w:t xml:space="preserve">the </w:t>
      </w:r>
      <w:r w:rsidR="008225D9" w:rsidRPr="00461D74">
        <w:rPr>
          <w:rFonts w:ascii="Garamond" w:hAnsi="Garamond"/>
          <w:sz w:val="24"/>
          <w:szCs w:val="24"/>
        </w:rPr>
        <w:t xml:space="preserve">concept </w:t>
      </w:r>
      <w:r w:rsidRPr="00461D74">
        <w:rPr>
          <w:rFonts w:ascii="Garamond" w:hAnsi="Garamond"/>
          <w:sz w:val="24"/>
          <w:szCs w:val="24"/>
        </w:rPr>
        <w:t xml:space="preserve">of an essential human nature </w:t>
      </w:r>
      <w:r w:rsidR="008225D9" w:rsidRPr="00461D74">
        <w:rPr>
          <w:rFonts w:ascii="Garamond" w:hAnsi="Garamond"/>
          <w:sz w:val="24"/>
          <w:szCs w:val="24"/>
        </w:rPr>
        <w:t>closely connected to</w:t>
      </w:r>
      <w:r w:rsidRPr="00461D74">
        <w:rPr>
          <w:rFonts w:ascii="Garamond" w:hAnsi="Garamond"/>
          <w:sz w:val="24"/>
          <w:szCs w:val="24"/>
        </w:rPr>
        <w:t xml:space="preserve"> the idea of a human </w:t>
      </w:r>
      <w:proofErr w:type="spellStart"/>
      <w:r w:rsidRPr="00461D74">
        <w:rPr>
          <w:rFonts w:ascii="Garamond" w:hAnsi="Garamond"/>
          <w:sz w:val="24"/>
          <w:szCs w:val="24"/>
        </w:rPr>
        <w:t>telos</w:t>
      </w:r>
      <w:proofErr w:type="spellEnd"/>
      <w:r w:rsidRPr="00461D74">
        <w:rPr>
          <w:rFonts w:ascii="Garamond" w:hAnsi="Garamond"/>
          <w:sz w:val="24"/>
          <w:szCs w:val="24"/>
        </w:rPr>
        <w:t xml:space="preserve">, </w:t>
      </w:r>
      <w:r w:rsidR="008225D9" w:rsidRPr="00461D74">
        <w:rPr>
          <w:rFonts w:ascii="Garamond" w:hAnsi="Garamond"/>
          <w:sz w:val="24"/>
          <w:szCs w:val="24"/>
        </w:rPr>
        <w:t xml:space="preserve">Aristotle’s </w:t>
      </w:r>
      <w:r w:rsidRPr="00461D74">
        <w:rPr>
          <w:rFonts w:ascii="Garamond" w:hAnsi="Garamond"/>
          <w:sz w:val="24"/>
          <w:szCs w:val="24"/>
        </w:rPr>
        <w:t xml:space="preserve">three-fold </w:t>
      </w:r>
      <w:r w:rsidR="008225D9" w:rsidRPr="00461D74">
        <w:rPr>
          <w:rFonts w:ascii="Garamond" w:hAnsi="Garamond"/>
          <w:sz w:val="24"/>
          <w:szCs w:val="24"/>
        </w:rPr>
        <w:t xml:space="preserve">conception </w:t>
      </w:r>
      <w:r w:rsidRPr="00461D74">
        <w:rPr>
          <w:rFonts w:ascii="Garamond" w:hAnsi="Garamond"/>
          <w:sz w:val="24"/>
          <w:szCs w:val="24"/>
        </w:rPr>
        <w:t>of morality</w:t>
      </w:r>
      <w:r w:rsidR="008225D9" w:rsidRPr="00461D74">
        <w:rPr>
          <w:rFonts w:ascii="Garamond" w:hAnsi="Garamond"/>
          <w:sz w:val="24"/>
          <w:szCs w:val="24"/>
        </w:rPr>
        <w:t xml:space="preserve"> now </w:t>
      </w:r>
      <w:r w:rsidRPr="00461D74">
        <w:rPr>
          <w:rFonts w:ascii="Garamond" w:hAnsi="Garamond"/>
          <w:sz w:val="24"/>
          <w:szCs w:val="24"/>
        </w:rPr>
        <w:t xml:space="preserve">only has two remaining </w:t>
      </w:r>
      <w:r w:rsidR="008225D9" w:rsidRPr="00461D74">
        <w:rPr>
          <w:rFonts w:ascii="Garamond" w:hAnsi="Garamond"/>
          <w:sz w:val="24"/>
          <w:szCs w:val="24"/>
        </w:rPr>
        <w:t>legs to stand on</w:t>
      </w:r>
      <w:r w:rsidRPr="00461D74">
        <w:rPr>
          <w:rFonts w:ascii="Garamond" w:hAnsi="Garamond"/>
          <w:sz w:val="24"/>
          <w:szCs w:val="24"/>
        </w:rPr>
        <w:t xml:space="preserve"> – that of the untutored human nature, and ethical principles. The loss of teleology thus removes an important concept from the mix, and the relationship of the earlier tripartite framework in ethics becomes incoherent since the </w:t>
      </w:r>
      <w:r w:rsidR="008225D9" w:rsidRPr="00461D74">
        <w:rPr>
          <w:rFonts w:ascii="Garamond" w:hAnsi="Garamond"/>
          <w:sz w:val="24"/>
          <w:szCs w:val="24"/>
        </w:rPr>
        <w:t xml:space="preserve">connection between </w:t>
      </w:r>
      <w:r w:rsidRPr="00461D74">
        <w:rPr>
          <w:rFonts w:ascii="Garamond" w:hAnsi="Garamond"/>
          <w:sz w:val="24"/>
          <w:szCs w:val="24"/>
        </w:rPr>
        <w:t xml:space="preserve">the two remaining concepts without the </w:t>
      </w:r>
      <w:r w:rsidR="008225D9" w:rsidRPr="00461D74">
        <w:rPr>
          <w:rFonts w:ascii="Garamond" w:hAnsi="Garamond"/>
          <w:sz w:val="24"/>
          <w:szCs w:val="24"/>
        </w:rPr>
        <w:t xml:space="preserve">(third) </w:t>
      </w:r>
      <w:r w:rsidRPr="00461D74">
        <w:rPr>
          <w:rFonts w:ascii="Garamond" w:hAnsi="Garamond"/>
          <w:sz w:val="24"/>
          <w:szCs w:val="24"/>
        </w:rPr>
        <w:t xml:space="preserve">concept of human </w:t>
      </w:r>
      <w:proofErr w:type="spellStart"/>
      <w:r w:rsidRPr="00461D74">
        <w:rPr>
          <w:rFonts w:ascii="Garamond" w:hAnsi="Garamond"/>
          <w:sz w:val="24"/>
          <w:szCs w:val="24"/>
        </w:rPr>
        <w:t>telos</w:t>
      </w:r>
      <w:proofErr w:type="spellEnd"/>
      <w:r w:rsidR="008225D9" w:rsidRPr="00461D74">
        <w:rPr>
          <w:rFonts w:ascii="Garamond" w:hAnsi="Garamond"/>
          <w:sz w:val="24"/>
          <w:szCs w:val="24"/>
        </w:rPr>
        <w:t>,</w:t>
      </w:r>
      <w:r w:rsidRPr="00461D74">
        <w:rPr>
          <w:rFonts w:ascii="Garamond" w:hAnsi="Garamond"/>
          <w:sz w:val="24"/>
          <w:szCs w:val="24"/>
        </w:rPr>
        <w:t xml:space="preserve"> is left unclear.</w:t>
      </w:r>
      <w:r w:rsidRPr="00461D74">
        <w:rPr>
          <w:rStyle w:val="FootnoteReference"/>
          <w:rFonts w:ascii="Garamond" w:hAnsi="Garamond"/>
          <w:sz w:val="24"/>
          <w:szCs w:val="24"/>
        </w:rPr>
        <w:footnoteReference w:id="43"/>
      </w:r>
    </w:p>
    <w:p w:rsidR="00665157" w:rsidRDefault="007F234D">
      <w:pPr>
        <w:spacing w:line="360" w:lineRule="auto"/>
        <w:ind w:firstLine="720"/>
        <w:jc w:val="both"/>
        <w:rPr>
          <w:rFonts w:ascii="Garamond" w:hAnsi="Garamond"/>
          <w:sz w:val="24"/>
          <w:szCs w:val="24"/>
        </w:rPr>
      </w:pPr>
      <w:r w:rsidRPr="00461D74">
        <w:rPr>
          <w:rFonts w:ascii="Garamond" w:hAnsi="Garamond"/>
          <w:sz w:val="24"/>
          <w:szCs w:val="24"/>
        </w:rPr>
        <w:t xml:space="preserve">Thus, on </w:t>
      </w:r>
      <w:r w:rsidR="00016049" w:rsidRPr="00461D74">
        <w:rPr>
          <w:rFonts w:ascii="Garamond" w:hAnsi="Garamond"/>
          <w:sz w:val="24"/>
          <w:szCs w:val="24"/>
        </w:rPr>
        <w:t>MacIntyre</w:t>
      </w:r>
      <w:r w:rsidRPr="00461D74">
        <w:rPr>
          <w:rFonts w:ascii="Garamond" w:hAnsi="Garamond"/>
          <w:sz w:val="24"/>
          <w:szCs w:val="24"/>
        </w:rPr>
        <w:t xml:space="preserve">’s view, </w:t>
      </w:r>
      <w:r w:rsidR="00016049" w:rsidRPr="00461D74">
        <w:rPr>
          <w:rFonts w:ascii="Garamond" w:hAnsi="Garamond"/>
          <w:sz w:val="24"/>
          <w:szCs w:val="24"/>
        </w:rPr>
        <w:t xml:space="preserve">while Kant, Hume and Kierkegaard all attempted to define morality on different accounts of human nature, they all simultaneously </w:t>
      </w:r>
      <w:r w:rsidR="005663EF" w:rsidRPr="00461D74">
        <w:rPr>
          <w:rFonts w:ascii="Garamond" w:hAnsi="Garamond"/>
          <w:sz w:val="24"/>
          <w:szCs w:val="24"/>
        </w:rPr>
        <w:t>ended up</w:t>
      </w:r>
      <w:r w:rsidR="008E2B15" w:rsidRPr="00461D74">
        <w:rPr>
          <w:rFonts w:ascii="Garamond" w:hAnsi="Garamond"/>
          <w:sz w:val="24"/>
          <w:szCs w:val="24"/>
        </w:rPr>
        <w:t xml:space="preserve"> </w:t>
      </w:r>
      <w:r w:rsidR="00973F97" w:rsidRPr="00461D74">
        <w:rPr>
          <w:rFonts w:ascii="Garamond" w:hAnsi="Garamond"/>
          <w:sz w:val="24"/>
          <w:szCs w:val="24"/>
        </w:rPr>
        <w:t>advanc</w:t>
      </w:r>
      <w:r w:rsidR="005663EF" w:rsidRPr="00461D74">
        <w:rPr>
          <w:rFonts w:ascii="Garamond" w:hAnsi="Garamond"/>
          <w:sz w:val="24"/>
          <w:szCs w:val="24"/>
        </w:rPr>
        <w:t>ing</w:t>
      </w:r>
      <w:r w:rsidR="00973F97" w:rsidRPr="00461D74">
        <w:rPr>
          <w:rFonts w:ascii="Garamond" w:hAnsi="Garamond"/>
          <w:sz w:val="24"/>
          <w:szCs w:val="24"/>
        </w:rPr>
        <w:t xml:space="preserve"> </w:t>
      </w:r>
      <w:r w:rsidR="00937B35">
        <w:rPr>
          <w:rFonts w:ascii="Garamond" w:hAnsi="Garamond"/>
          <w:sz w:val="24"/>
          <w:szCs w:val="24"/>
        </w:rPr>
        <w:t xml:space="preserve">(in different ways) </w:t>
      </w:r>
      <w:r w:rsidR="00016049" w:rsidRPr="00461D74">
        <w:rPr>
          <w:rFonts w:ascii="Garamond" w:hAnsi="Garamond"/>
          <w:sz w:val="24"/>
          <w:szCs w:val="24"/>
        </w:rPr>
        <w:t>the idea that “no valid argument can move from entirely factual premises to any moral or evaluative conclusions.”</w:t>
      </w:r>
      <w:r w:rsidR="00016049" w:rsidRPr="00461D74">
        <w:rPr>
          <w:rStyle w:val="FootnoteReference"/>
          <w:rFonts w:ascii="Garamond" w:hAnsi="Garamond"/>
          <w:sz w:val="24"/>
          <w:szCs w:val="24"/>
        </w:rPr>
        <w:footnoteReference w:id="44"/>
      </w:r>
      <w:r w:rsidR="00016049" w:rsidRPr="00461D74">
        <w:rPr>
          <w:rFonts w:ascii="Garamond" w:hAnsi="Garamond"/>
          <w:sz w:val="24"/>
          <w:szCs w:val="24"/>
        </w:rPr>
        <w:t xml:space="preserve"> </w:t>
      </w:r>
      <w:r w:rsidR="00E0583A" w:rsidRPr="00461D74">
        <w:rPr>
          <w:rFonts w:ascii="Garamond" w:hAnsi="Garamond"/>
          <w:sz w:val="24"/>
          <w:szCs w:val="24"/>
        </w:rPr>
        <w:t>In contrast</w:t>
      </w:r>
      <w:r w:rsidR="00016049" w:rsidRPr="00461D74">
        <w:rPr>
          <w:rFonts w:ascii="Garamond" w:hAnsi="Garamond"/>
          <w:sz w:val="24"/>
          <w:szCs w:val="24"/>
        </w:rPr>
        <w:t>, within the Aristotelian framework the concept of teleology acts as a functional concept</w:t>
      </w:r>
      <w:r w:rsidR="00E0583A" w:rsidRPr="00461D74">
        <w:rPr>
          <w:rFonts w:ascii="Garamond" w:hAnsi="Garamond"/>
          <w:sz w:val="24"/>
          <w:szCs w:val="24"/>
        </w:rPr>
        <w:t>,</w:t>
      </w:r>
      <w:r w:rsidR="00016049" w:rsidRPr="00461D74">
        <w:rPr>
          <w:rFonts w:ascii="Garamond" w:hAnsi="Garamond"/>
          <w:sz w:val="24"/>
          <w:szCs w:val="24"/>
        </w:rPr>
        <w:t xml:space="preserve"> and </w:t>
      </w:r>
      <w:r w:rsidR="008E2B15" w:rsidRPr="00461D74">
        <w:rPr>
          <w:rFonts w:ascii="Garamond" w:hAnsi="Garamond"/>
          <w:sz w:val="24"/>
          <w:szCs w:val="24"/>
        </w:rPr>
        <w:t xml:space="preserve">hence </w:t>
      </w:r>
      <w:r w:rsidR="00016049" w:rsidRPr="00461D74">
        <w:rPr>
          <w:rFonts w:ascii="Garamond" w:hAnsi="Garamond"/>
          <w:sz w:val="24"/>
          <w:szCs w:val="24"/>
        </w:rPr>
        <w:t xml:space="preserve">this distinction does not always </w:t>
      </w:r>
      <w:r w:rsidR="00016049" w:rsidRPr="00461D74">
        <w:rPr>
          <w:rFonts w:ascii="Garamond" w:hAnsi="Garamond"/>
          <w:sz w:val="24"/>
          <w:szCs w:val="24"/>
        </w:rPr>
        <w:lastRenderedPageBreak/>
        <w:t>hold. There are examples where we do indeed obtain ‘ought’ conclusions from ‘is’ premises. So for example we move from ‘is’ premises to ‘ought’ conclusions with respect to what it means to be a good watch, or what it means for a dog to do well, or a person to do well.</w:t>
      </w:r>
      <w:r w:rsidR="00016049" w:rsidRPr="00461D74">
        <w:rPr>
          <w:rStyle w:val="FootnoteReference"/>
          <w:rFonts w:ascii="Garamond" w:hAnsi="Garamond"/>
          <w:sz w:val="24"/>
          <w:szCs w:val="24"/>
        </w:rPr>
        <w:footnoteReference w:id="45"/>
      </w:r>
      <w:r w:rsidR="00016049" w:rsidRPr="00461D74">
        <w:rPr>
          <w:rFonts w:ascii="Garamond" w:hAnsi="Garamond"/>
          <w:sz w:val="24"/>
          <w:szCs w:val="24"/>
        </w:rPr>
        <w:t xml:space="preserve"> The upshot of MacIntyre’s claim is that moral arguments within the Greek classical tradition, which Aristotle was a part of, have a functional concept</w:t>
      </w:r>
      <w:r w:rsidR="004116BC" w:rsidRPr="00461D74">
        <w:rPr>
          <w:rFonts w:ascii="Garamond" w:hAnsi="Garamond"/>
          <w:sz w:val="24"/>
          <w:szCs w:val="24"/>
        </w:rPr>
        <w:t xml:space="preserve"> at their heart</w:t>
      </w:r>
      <w:r w:rsidR="00016049" w:rsidRPr="00461D74">
        <w:rPr>
          <w:rFonts w:ascii="Garamond" w:hAnsi="Garamond"/>
          <w:sz w:val="24"/>
          <w:szCs w:val="24"/>
        </w:rPr>
        <w:t xml:space="preserve"> – the concept of an essential human nature</w:t>
      </w:r>
      <w:r w:rsidR="000A714A" w:rsidRPr="00461D74">
        <w:rPr>
          <w:rFonts w:ascii="Garamond" w:hAnsi="Garamond"/>
          <w:sz w:val="24"/>
          <w:szCs w:val="24"/>
        </w:rPr>
        <w:t>,</w:t>
      </w:r>
      <w:r w:rsidR="00016049" w:rsidRPr="00461D74">
        <w:rPr>
          <w:rFonts w:ascii="Garamond" w:hAnsi="Garamond"/>
          <w:sz w:val="24"/>
          <w:szCs w:val="24"/>
        </w:rPr>
        <w:t xml:space="preserve"> </w:t>
      </w:r>
      <w:r w:rsidR="000A714A" w:rsidRPr="00461D74">
        <w:rPr>
          <w:rFonts w:ascii="Garamond" w:hAnsi="Garamond"/>
          <w:sz w:val="24"/>
          <w:szCs w:val="24"/>
        </w:rPr>
        <w:t xml:space="preserve">connected to </w:t>
      </w:r>
      <w:r w:rsidR="00016049" w:rsidRPr="00461D74">
        <w:rPr>
          <w:rFonts w:ascii="Garamond" w:hAnsi="Garamond"/>
          <w:sz w:val="24"/>
          <w:szCs w:val="24"/>
        </w:rPr>
        <w:t xml:space="preserve">the concept of </w:t>
      </w:r>
      <w:r w:rsidR="000A714A" w:rsidRPr="00461D74">
        <w:rPr>
          <w:rFonts w:ascii="Garamond" w:hAnsi="Garamond"/>
          <w:sz w:val="24"/>
          <w:szCs w:val="24"/>
        </w:rPr>
        <w:t xml:space="preserve">the human </w:t>
      </w:r>
      <w:proofErr w:type="spellStart"/>
      <w:r w:rsidR="00016049" w:rsidRPr="00461D74">
        <w:rPr>
          <w:rFonts w:ascii="Garamond" w:hAnsi="Garamond"/>
          <w:sz w:val="24"/>
          <w:szCs w:val="24"/>
        </w:rPr>
        <w:t>telos</w:t>
      </w:r>
      <w:proofErr w:type="spellEnd"/>
      <w:r w:rsidR="00016049" w:rsidRPr="00461D74">
        <w:rPr>
          <w:rFonts w:ascii="Garamond" w:hAnsi="Garamond"/>
          <w:sz w:val="24"/>
          <w:szCs w:val="24"/>
        </w:rPr>
        <w:t xml:space="preserve"> – namely, human nature when fully realised. MacIntyre goes on to say that the functional concept of human </w:t>
      </w:r>
      <w:proofErr w:type="spellStart"/>
      <w:r w:rsidR="00016049" w:rsidRPr="00461D74">
        <w:rPr>
          <w:rFonts w:ascii="Garamond" w:hAnsi="Garamond"/>
          <w:sz w:val="24"/>
          <w:szCs w:val="24"/>
        </w:rPr>
        <w:t>telos</w:t>
      </w:r>
      <w:proofErr w:type="spellEnd"/>
      <w:r w:rsidR="00016049" w:rsidRPr="00461D74">
        <w:rPr>
          <w:rFonts w:ascii="Garamond" w:hAnsi="Garamond"/>
          <w:sz w:val="24"/>
          <w:szCs w:val="24"/>
        </w:rPr>
        <w:t xml:space="preserve"> is not initially rooted in Aristotle’s metaphysical biology</w:t>
      </w:r>
      <w:r w:rsidR="000A714A" w:rsidRPr="00461D74">
        <w:rPr>
          <w:rFonts w:ascii="Garamond" w:hAnsi="Garamond"/>
          <w:sz w:val="24"/>
          <w:szCs w:val="24"/>
        </w:rPr>
        <w:t>, rather</w:t>
      </w:r>
    </w:p>
    <w:p w:rsidR="00665157" w:rsidRPr="00D6631D" w:rsidRDefault="00016049">
      <w:pPr>
        <w:spacing w:line="360" w:lineRule="auto"/>
        <w:ind w:left="1440"/>
        <w:jc w:val="both"/>
        <w:rPr>
          <w:rFonts w:ascii="Garamond" w:hAnsi="Garamond"/>
        </w:rPr>
      </w:pPr>
      <w:r w:rsidRPr="00D6631D">
        <w:rPr>
          <w:rFonts w:ascii="Garamond" w:hAnsi="Garamond"/>
        </w:rPr>
        <w:t>“</w:t>
      </w:r>
      <w:proofErr w:type="gramStart"/>
      <w:r w:rsidRPr="00D6631D">
        <w:rPr>
          <w:rFonts w:ascii="Garamond" w:hAnsi="Garamond"/>
        </w:rPr>
        <w:t>it</w:t>
      </w:r>
      <w:proofErr w:type="gramEnd"/>
      <w:r w:rsidRPr="00D6631D">
        <w:rPr>
          <w:rFonts w:ascii="Garamond" w:hAnsi="Garamond"/>
        </w:rPr>
        <w:t xml:space="preserve"> is rooted in the forms of social life to which the theorists of the classical tradition give expression. For according to that tradition to be a man is to fulfil a set of roles each of which has its own point and purpose: member of a family, soldier, philosopher, </w:t>
      </w:r>
      <w:proofErr w:type="gramStart"/>
      <w:r w:rsidRPr="00D6631D">
        <w:rPr>
          <w:rFonts w:ascii="Garamond" w:hAnsi="Garamond"/>
        </w:rPr>
        <w:t>servant</w:t>
      </w:r>
      <w:proofErr w:type="gramEnd"/>
      <w:r w:rsidRPr="00D6631D">
        <w:rPr>
          <w:rFonts w:ascii="Garamond" w:hAnsi="Garamond"/>
        </w:rPr>
        <w:t xml:space="preserve"> of God. It is only when man is thought of as an individual prior to and apart from all roles that ‘man’ ceases to be a functional concept.”</w:t>
      </w:r>
      <w:r w:rsidRPr="00D6631D">
        <w:rPr>
          <w:rStyle w:val="FootnoteReference"/>
          <w:rFonts w:ascii="Garamond" w:hAnsi="Garamond"/>
        </w:rPr>
        <w:footnoteReference w:id="46"/>
      </w:r>
    </w:p>
    <w:p w:rsidR="00665157" w:rsidRDefault="000A714A">
      <w:pPr>
        <w:spacing w:line="360" w:lineRule="auto"/>
        <w:ind w:firstLine="720"/>
        <w:jc w:val="both"/>
        <w:rPr>
          <w:rFonts w:ascii="Garamond" w:hAnsi="Garamond"/>
          <w:sz w:val="24"/>
          <w:szCs w:val="24"/>
        </w:rPr>
      </w:pPr>
      <w:r w:rsidRPr="00461D74">
        <w:rPr>
          <w:rFonts w:ascii="Garamond" w:hAnsi="Garamond"/>
          <w:sz w:val="24"/>
          <w:szCs w:val="24"/>
        </w:rPr>
        <w:t xml:space="preserve">On MacIntyre’s view, Aristotle refines the already existing concepts of the human </w:t>
      </w:r>
      <w:proofErr w:type="spellStart"/>
      <w:r w:rsidRPr="00461D74">
        <w:rPr>
          <w:rFonts w:ascii="Garamond" w:hAnsi="Garamond"/>
          <w:sz w:val="24"/>
          <w:szCs w:val="24"/>
        </w:rPr>
        <w:t>telos</w:t>
      </w:r>
      <w:proofErr w:type="spellEnd"/>
      <w:r w:rsidRPr="00461D74">
        <w:rPr>
          <w:rFonts w:ascii="Garamond" w:hAnsi="Garamond"/>
          <w:sz w:val="24"/>
          <w:szCs w:val="24"/>
        </w:rPr>
        <w:t xml:space="preserve"> that was found in the classical tradition. </w:t>
      </w:r>
      <w:r w:rsidR="00016049" w:rsidRPr="00461D74">
        <w:rPr>
          <w:rFonts w:ascii="Garamond" w:hAnsi="Garamond"/>
          <w:sz w:val="24"/>
          <w:szCs w:val="24"/>
        </w:rPr>
        <w:t xml:space="preserve">On the Aristotelian account, to identify X as a good </w:t>
      </w:r>
      <w:r w:rsidR="009B0761" w:rsidRPr="00461D74">
        <w:rPr>
          <w:rFonts w:ascii="Garamond" w:hAnsi="Garamond"/>
          <w:sz w:val="24"/>
          <w:szCs w:val="24"/>
        </w:rPr>
        <w:t xml:space="preserve">X </w:t>
      </w:r>
      <w:r w:rsidR="00016049" w:rsidRPr="00461D74">
        <w:rPr>
          <w:rFonts w:ascii="Garamond" w:hAnsi="Garamond"/>
          <w:sz w:val="24"/>
          <w:szCs w:val="24"/>
        </w:rPr>
        <w:t xml:space="preserve">is to make a factual statement with respect to X. Nonetheless, this sort of functional concept is no longer possible for </w:t>
      </w:r>
      <w:r w:rsidR="00A677F0" w:rsidRPr="00461D74">
        <w:rPr>
          <w:rFonts w:ascii="Garamond" w:hAnsi="Garamond"/>
          <w:sz w:val="24"/>
          <w:szCs w:val="24"/>
        </w:rPr>
        <w:t>those</w:t>
      </w:r>
      <w:r w:rsidR="00016049" w:rsidRPr="00461D74">
        <w:rPr>
          <w:rFonts w:ascii="Garamond" w:hAnsi="Garamond"/>
          <w:sz w:val="24"/>
          <w:szCs w:val="24"/>
        </w:rPr>
        <w:t xml:space="preserve"> who </w:t>
      </w:r>
      <w:r w:rsidRPr="00461D74">
        <w:rPr>
          <w:rFonts w:ascii="Garamond" w:hAnsi="Garamond"/>
          <w:sz w:val="24"/>
          <w:szCs w:val="24"/>
        </w:rPr>
        <w:t xml:space="preserve">inhabit </w:t>
      </w:r>
      <w:r w:rsidR="00016049" w:rsidRPr="00461D74">
        <w:rPr>
          <w:rFonts w:ascii="Garamond" w:hAnsi="Garamond"/>
          <w:sz w:val="24"/>
          <w:szCs w:val="24"/>
        </w:rPr>
        <w:t>the contemporary social context</w:t>
      </w:r>
      <w:r w:rsidR="00A677F0" w:rsidRPr="00461D74">
        <w:rPr>
          <w:rFonts w:ascii="Garamond" w:hAnsi="Garamond"/>
          <w:sz w:val="24"/>
          <w:szCs w:val="24"/>
        </w:rPr>
        <w:t>,</w:t>
      </w:r>
      <w:r w:rsidR="00016049" w:rsidRPr="00461D74">
        <w:rPr>
          <w:rFonts w:ascii="Garamond" w:hAnsi="Garamond"/>
          <w:sz w:val="24"/>
          <w:szCs w:val="24"/>
        </w:rPr>
        <w:t xml:space="preserve"> </w:t>
      </w:r>
      <w:r w:rsidR="005C63CA" w:rsidRPr="00461D74">
        <w:rPr>
          <w:rFonts w:ascii="Garamond" w:hAnsi="Garamond"/>
          <w:sz w:val="24"/>
          <w:szCs w:val="24"/>
        </w:rPr>
        <w:t xml:space="preserve">partly because </w:t>
      </w:r>
      <w:r w:rsidR="00016049" w:rsidRPr="00461D74">
        <w:rPr>
          <w:rFonts w:ascii="Garamond" w:hAnsi="Garamond"/>
          <w:sz w:val="24"/>
          <w:szCs w:val="24"/>
        </w:rPr>
        <w:t xml:space="preserve">the </w:t>
      </w:r>
      <w:r w:rsidR="00A677F0" w:rsidRPr="00461D74">
        <w:rPr>
          <w:rFonts w:ascii="Garamond" w:hAnsi="Garamond"/>
          <w:sz w:val="24"/>
          <w:szCs w:val="24"/>
        </w:rPr>
        <w:t xml:space="preserve">concept of </w:t>
      </w:r>
      <w:r w:rsidR="00016049" w:rsidRPr="00461D74">
        <w:rPr>
          <w:rFonts w:ascii="Garamond" w:hAnsi="Garamond"/>
          <w:sz w:val="24"/>
          <w:szCs w:val="24"/>
        </w:rPr>
        <w:t xml:space="preserve">individual </w:t>
      </w:r>
      <w:r w:rsidR="00A677F0" w:rsidRPr="00461D74">
        <w:rPr>
          <w:rFonts w:ascii="Garamond" w:hAnsi="Garamond"/>
          <w:sz w:val="24"/>
          <w:szCs w:val="24"/>
        </w:rPr>
        <w:t>flourishing i</w:t>
      </w:r>
      <w:r w:rsidR="00016049" w:rsidRPr="00461D74">
        <w:rPr>
          <w:rFonts w:ascii="Garamond" w:hAnsi="Garamond"/>
          <w:sz w:val="24"/>
          <w:szCs w:val="24"/>
        </w:rPr>
        <w:t xml:space="preserve">s separated from </w:t>
      </w:r>
      <w:r w:rsidR="00A677F0" w:rsidRPr="00461D74">
        <w:rPr>
          <w:rFonts w:ascii="Garamond" w:hAnsi="Garamond"/>
          <w:sz w:val="24"/>
          <w:szCs w:val="24"/>
        </w:rPr>
        <w:t xml:space="preserve">excellence in </w:t>
      </w:r>
      <w:r w:rsidR="00016049" w:rsidRPr="00461D74">
        <w:rPr>
          <w:rFonts w:ascii="Garamond" w:hAnsi="Garamond"/>
          <w:sz w:val="24"/>
          <w:szCs w:val="24"/>
        </w:rPr>
        <w:t>a</w:t>
      </w:r>
      <w:r w:rsidR="00A677F0" w:rsidRPr="00461D74">
        <w:rPr>
          <w:rFonts w:ascii="Garamond" w:hAnsi="Garamond"/>
          <w:sz w:val="24"/>
          <w:szCs w:val="24"/>
        </w:rPr>
        <w:t>ny particular</w:t>
      </w:r>
      <w:r w:rsidR="00016049" w:rsidRPr="00461D74">
        <w:rPr>
          <w:rFonts w:ascii="Garamond" w:hAnsi="Garamond"/>
          <w:sz w:val="24"/>
          <w:szCs w:val="24"/>
        </w:rPr>
        <w:t xml:space="preserve"> role</w:t>
      </w:r>
      <w:r w:rsidR="00A677F0" w:rsidRPr="00461D74">
        <w:rPr>
          <w:rFonts w:ascii="Garamond" w:hAnsi="Garamond"/>
          <w:sz w:val="24"/>
          <w:szCs w:val="24"/>
        </w:rPr>
        <w:t xml:space="preserve">, and </w:t>
      </w:r>
      <w:r w:rsidR="005C63CA" w:rsidRPr="00461D74">
        <w:rPr>
          <w:rFonts w:ascii="Garamond" w:hAnsi="Garamond"/>
          <w:sz w:val="24"/>
          <w:szCs w:val="24"/>
        </w:rPr>
        <w:t xml:space="preserve">in part </w:t>
      </w:r>
      <w:r w:rsidR="00A677F0" w:rsidRPr="00461D74">
        <w:rPr>
          <w:rFonts w:ascii="Garamond" w:hAnsi="Garamond"/>
          <w:sz w:val="24"/>
          <w:szCs w:val="24"/>
        </w:rPr>
        <w:t>because</w:t>
      </w:r>
      <w:r w:rsidR="005C63CA" w:rsidRPr="00461D74">
        <w:rPr>
          <w:rFonts w:ascii="Garamond" w:hAnsi="Garamond"/>
          <w:sz w:val="24"/>
          <w:szCs w:val="24"/>
        </w:rPr>
        <w:t>,</w:t>
      </w:r>
      <w:r w:rsidR="00A677F0" w:rsidRPr="00461D74">
        <w:rPr>
          <w:rFonts w:ascii="Garamond" w:hAnsi="Garamond"/>
          <w:sz w:val="24"/>
          <w:szCs w:val="24"/>
        </w:rPr>
        <w:t xml:space="preserve"> after Darwin, </w:t>
      </w:r>
      <w:r w:rsidR="00016049" w:rsidRPr="00461D74">
        <w:rPr>
          <w:rFonts w:ascii="Garamond" w:hAnsi="Garamond"/>
          <w:sz w:val="24"/>
          <w:szCs w:val="24"/>
        </w:rPr>
        <w:t xml:space="preserve">the concept of </w:t>
      </w:r>
      <w:r w:rsidR="00A677F0" w:rsidRPr="00461D74">
        <w:rPr>
          <w:rFonts w:ascii="Garamond" w:hAnsi="Garamond"/>
          <w:sz w:val="24"/>
          <w:szCs w:val="24"/>
        </w:rPr>
        <w:t xml:space="preserve">an ultimate </w:t>
      </w:r>
      <w:r w:rsidR="00016049" w:rsidRPr="00461D74">
        <w:rPr>
          <w:rFonts w:ascii="Garamond" w:hAnsi="Garamond"/>
          <w:sz w:val="24"/>
          <w:szCs w:val="24"/>
        </w:rPr>
        <w:t xml:space="preserve">human nature or function </w:t>
      </w:r>
      <w:r w:rsidR="00C13444">
        <w:rPr>
          <w:rFonts w:ascii="Garamond" w:hAnsi="Garamond"/>
          <w:sz w:val="24"/>
          <w:szCs w:val="24"/>
        </w:rPr>
        <w:t xml:space="preserve">no longer </w:t>
      </w:r>
      <w:r w:rsidR="005C63CA" w:rsidRPr="00461D74">
        <w:rPr>
          <w:rFonts w:ascii="Garamond" w:hAnsi="Garamond"/>
          <w:sz w:val="24"/>
          <w:szCs w:val="24"/>
        </w:rPr>
        <w:t>seems credible</w:t>
      </w:r>
      <w:r w:rsidR="00016049" w:rsidRPr="00461D74">
        <w:rPr>
          <w:rFonts w:ascii="Garamond" w:hAnsi="Garamond"/>
          <w:sz w:val="24"/>
          <w:szCs w:val="24"/>
        </w:rPr>
        <w:t>.</w:t>
      </w:r>
      <w:r w:rsidR="00016049" w:rsidRPr="00461D74">
        <w:rPr>
          <w:rStyle w:val="FootnoteReference"/>
          <w:rFonts w:ascii="Garamond" w:hAnsi="Garamond"/>
          <w:sz w:val="24"/>
          <w:szCs w:val="24"/>
        </w:rPr>
        <w:footnoteReference w:id="47"/>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0A714A" w:rsidRPr="00461D74">
        <w:rPr>
          <w:rFonts w:ascii="Garamond" w:hAnsi="Garamond"/>
          <w:sz w:val="24"/>
          <w:szCs w:val="24"/>
        </w:rPr>
        <w:t xml:space="preserve">then </w:t>
      </w:r>
      <w:r w:rsidR="001915CE" w:rsidRPr="00461D74">
        <w:rPr>
          <w:rFonts w:ascii="Garamond" w:hAnsi="Garamond"/>
          <w:sz w:val="24"/>
          <w:szCs w:val="24"/>
        </w:rPr>
        <w:t>argues</w:t>
      </w:r>
      <w:r w:rsidR="005C63CA" w:rsidRPr="00461D74">
        <w:rPr>
          <w:rFonts w:ascii="Garamond" w:hAnsi="Garamond"/>
          <w:sz w:val="24"/>
          <w:szCs w:val="24"/>
        </w:rPr>
        <w:t xml:space="preserve"> </w:t>
      </w:r>
      <w:r w:rsidRPr="00461D74">
        <w:rPr>
          <w:rFonts w:ascii="Garamond" w:hAnsi="Garamond"/>
          <w:sz w:val="24"/>
          <w:szCs w:val="24"/>
        </w:rPr>
        <w:t xml:space="preserve">that in the work of </w:t>
      </w:r>
      <w:r w:rsidR="000A714A" w:rsidRPr="00461D74">
        <w:rPr>
          <w:rFonts w:ascii="Garamond" w:hAnsi="Garamond"/>
          <w:sz w:val="24"/>
          <w:szCs w:val="24"/>
        </w:rPr>
        <w:t xml:space="preserve">Henry </w:t>
      </w:r>
      <w:proofErr w:type="spellStart"/>
      <w:r w:rsidRPr="00461D74">
        <w:rPr>
          <w:rFonts w:ascii="Garamond" w:hAnsi="Garamond"/>
          <w:sz w:val="24"/>
          <w:szCs w:val="24"/>
        </w:rPr>
        <w:t>Sidgwick</w:t>
      </w:r>
      <w:proofErr w:type="spellEnd"/>
      <w:r w:rsidR="000A714A" w:rsidRPr="00461D74">
        <w:rPr>
          <w:rFonts w:ascii="Garamond" w:hAnsi="Garamond"/>
          <w:sz w:val="24"/>
          <w:szCs w:val="24"/>
        </w:rPr>
        <w:t>,</w:t>
      </w:r>
      <w:r w:rsidRPr="00461D74">
        <w:rPr>
          <w:rFonts w:ascii="Garamond" w:hAnsi="Garamond"/>
          <w:sz w:val="24"/>
          <w:szCs w:val="24"/>
        </w:rPr>
        <w:t xml:space="preserve"> the failure of teleological framework is fully accepted.</w:t>
      </w:r>
    </w:p>
    <w:p w:rsidR="00665157" w:rsidRDefault="00016049">
      <w:pPr>
        <w:spacing w:line="360" w:lineRule="auto"/>
        <w:ind w:left="1440"/>
        <w:jc w:val="both"/>
        <w:rPr>
          <w:rFonts w:ascii="Garamond" w:hAnsi="Garamond"/>
        </w:rPr>
      </w:pPr>
      <w:r w:rsidRPr="00461D74">
        <w:rPr>
          <w:rFonts w:ascii="Garamond" w:hAnsi="Garamond"/>
        </w:rPr>
        <w:lastRenderedPageBreak/>
        <w:t>“</w:t>
      </w:r>
      <w:proofErr w:type="gramStart"/>
      <w:r w:rsidRPr="00461D74">
        <w:rPr>
          <w:rFonts w:ascii="Garamond" w:hAnsi="Garamond"/>
        </w:rPr>
        <w:t>the</w:t>
      </w:r>
      <w:proofErr w:type="gramEnd"/>
      <w:r w:rsidRPr="00461D74">
        <w:rPr>
          <w:rFonts w:ascii="Garamond" w:hAnsi="Garamond"/>
        </w:rPr>
        <w:t xml:space="preserve"> moral injunctions of utilitarianism could not be derived from any psychological foundations and that the precepts which enjoin us to pursue the general happiness are logically independent of and cannot be derived from any precepts enjoining the pursuit of our own happiness</w:t>
      </w:r>
      <w:r w:rsidR="004116BC" w:rsidRPr="00461D74">
        <w:rPr>
          <w:rFonts w:ascii="Garamond" w:hAnsi="Garamond"/>
        </w:rPr>
        <w:t xml:space="preserve">… [They] </w:t>
      </w:r>
      <w:r w:rsidRPr="00461D74">
        <w:rPr>
          <w:rFonts w:ascii="Garamond" w:hAnsi="Garamond"/>
        </w:rPr>
        <w:t xml:space="preserve">do not form any kind of unity, they are irreducibly heterogeneous; and their acceptance is and must be </w:t>
      </w:r>
      <w:proofErr w:type="spellStart"/>
      <w:r w:rsidRPr="00461D74">
        <w:rPr>
          <w:rFonts w:ascii="Garamond" w:hAnsi="Garamond"/>
        </w:rPr>
        <w:t>unargued</w:t>
      </w:r>
      <w:proofErr w:type="spellEnd"/>
      <w:r w:rsidRPr="00461D74">
        <w:rPr>
          <w:rFonts w:ascii="Garamond" w:hAnsi="Garamond"/>
        </w:rPr>
        <w:t xml:space="preserve">.” </w:t>
      </w:r>
      <w:r w:rsidRPr="00461D74">
        <w:rPr>
          <w:rStyle w:val="FootnoteReference"/>
          <w:rFonts w:ascii="Garamond" w:hAnsi="Garamond"/>
        </w:rPr>
        <w:footnoteReference w:id="48"/>
      </w:r>
    </w:p>
    <w:p w:rsidR="004D3A89" w:rsidRDefault="00016049">
      <w:pPr>
        <w:spacing w:line="360" w:lineRule="auto"/>
        <w:jc w:val="both"/>
        <w:rPr>
          <w:rFonts w:ascii="Garamond" w:hAnsi="Garamond"/>
          <w:sz w:val="24"/>
          <w:szCs w:val="24"/>
        </w:rPr>
      </w:pPr>
      <w:r w:rsidRPr="00461D74">
        <w:rPr>
          <w:rFonts w:ascii="Garamond" w:hAnsi="Garamond"/>
          <w:sz w:val="24"/>
          <w:szCs w:val="24"/>
        </w:rPr>
        <w:t xml:space="preserve">The upshot of this view is that our individual good and those precepts that tend to maximise our individual happiness, are defined independently of the larger common or social good, which are supposed to maximise general happiness. </w:t>
      </w:r>
      <w:r w:rsidR="00CE1279" w:rsidRPr="00461D74">
        <w:rPr>
          <w:rFonts w:ascii="Garamond" w:hAnsi="Garamond"/>
          <w:sz w:val="24"/>
          <w:szCs w:val="24"/>
        </w:rPr>
        <w:t>(</w:t>
      </w:r>
      <w:r w:rsidRPr="00461D74">
        <w:rPr>
          <w:rFonts w:ascii="Garamond" w:hAnsi="Garamond"/>
          <w:sz w:val="24"/>
          <w:szCs w:val="24"/>
        </w:rPr>
        <w:t xml:space="preserve">This </w:t>
      </w:r>
      <w:r w:rsidR="00CE1279" w:rsidRPr="00461D74">
        <w:rPr>
          <w:rFonts w:ascii="Garamond" w:hAnsi="Garamond"/>
          <w:sz w:val="24"/>
          <w:szCs w:val="24"/>
        </w:rPr>
        <w:t xml:space="preserve">conclusion </w:t>
      </w:r>
      <w:r w:rsidRPr="00461D74">
        <w:rPr>
          <w:rFonts w:ascii="Garamond" w:hAnsi="Garamond"/>
          <w:sz w:val="24"/>
          <w:szCs w:val="24"/>
        </w:rPr>
        <w:t xml:space="preserve">is of course incompatible with MacIntyre’s </w:t>
      </w:r>
      <w:r w:rsidR="00CE1279" w:rsidRPr="00461D74">
        <w:rPr>
          <w:rFonts w:ascii="Garamond" w:hAnsi="Garamond"/>
          <w:sz w:val="24"/>
          <w:szCs w:val="24"/>
        </w:rPr>
        <w:t xml:space="preserve">later adoption of </w:t>
      </w:r>
      <w:r w:rsidRPr="00461D74">
        <w:rPr>
          <w:rFonts w:ascii="Garamond" w:hAnsi="Garamond"/>
          <w:sz w:val="24"/>
          <w:szCs w:val="24"/>
        </w:rPr>
        <w:t>Aristotelian-Thomis</w:t>
      </w:r>
      <w:r w:rsidR="00CE1279" w:rsidRPr="00461D74">
        <w:rPr>
          <w:rFonts w:ascii="Garamond" w:hAnsi="Garamond"/>
          <w:sz w:val="24"/>
          <w:szCs w:val="24"/>
        </w:rPr>
        <w:t>m</w:t>
      </w:r>
      <w:r w:rsidRPr="00461D74">
        <w:rPr>
          <w:rFonts w:ascii="Garamond" w:hAnsi="Garamond"/>
          <w:sz w:val="24"/>
          <w:szCs w:val="24"/>
        </w:rPr>
        <w:t xml:space="preserve"> </w:t>
      </w:r>
      <w:r w:rsidR="00CE1279" w:rsidRPr="00461D74">
        <w:rPr>
          <w:rFonts w:ascii="Garamond" w:hAnsi="Garamond"/>
          <w:sz w:val="24"/>
          <w:szCs w:val="24"/>
        </w:rPr>
        <w:t>since that account</w:t>
      </w:r>
      <w:r w:rsidRPr="00461D74">
        <w:rPr>
          <w:rFonts w:ascii="Garamond" w:hAnsi="Garamond"/>
          <w:sz w:val="24"/>
          <w:szCs w:val="24"/>
        </w:rPr>
        <w:t xml:space="preserve"> not only closely connects the individual</w:t>
      </w:r>
      <w:r w:rsidR="00CE1279" w:rsidRPr="00461D74">
        <w:rPr>
          <w:rFonts w:ascii="Garamond" w:hAnsi="Garamond"/>
          <w:sz w:val="24"/>
          <w:szCs w:val="24"/>
        </w:rPr>
        <w:t>’s</w:t>
      </w:r>
      <w:r w:rsidRPr="00461D74">
        <w:rPr>
          <w:rFonts w:ascii="Garamond" w:hAnsi="Garamond"/>
          <w:sz w:val="24"/>
          <w:szCs w:val="24"/>
        </w:rPr>
        <w:t xml:space="preserve"> good to common goods, but </w:t>
      </w:r>
      <w:r w:rsidR="00CE1279" w:rsidRPr="00461D74">
        <w:rPr>
          <w:rFonts w:ascii="Garamond" w:hAnsi="Garamond"/>
          <w:sz w:val="24"/>
          <w:szCs w:val="24"/>
        </w:rPr>
        <w:t xml:space="preserve">in fact </w:t>
      </w:r>
      <w:r w:rsidRPr="00461D74">
        <w:rPr>
          <w:rFonts w:ascii="Garamond" w:hAnsi="Garamond"/>
          <w:sz w:val="24"/>
          <w:szCs w:val="24"/>
        </w:rPr>
        <w:t xml:space="preserve">argues that at least </w:t>
      </w:r>
      <w:r w:rsidR="00CE1279" w:rsidRPr="00461D74">
        <w:rPr>
          <w:rFonts w:ascii="Garamond" w:hAnsi="Garamond"/>
          <w:sz w:val="24"/>
          <w:szCs w:val="24"/>
        </w:rPr>
        <w:t>to an important extent</w:t>
      </w:r>
      <w:r w:rsidRPr="00461D74">
        <w:rPr>
          <w:rFonts w:ascii="Garamond" w:hAnsi="Garamond"/>
          <w:sz w:val="24"/>
          <w:szCs w:val="24"/>
        </w:rPr>
        <w:t xml:space="preserve">, </w:t>
      </w:r>
      <w:r w:rsidR="00CE1279" w:rsidRPr="00461D74">
        <w:rPr>
          <w:rFonts w:ascii="Garamond" w:hAnsi="Garamond"/>
          <w:sz w:val="24"/>
          <w:szCs w:val="24"/>
        </w:rPr>
        <w:t xml:space="preserve">an </w:t>
      </w:r>
      <w:r w:rsidRPr="00461D74">
        <w:rPr>
          <w:rFonts w:ascii="Garamond" w:hAnsi="Garamond"/>
          <w:sz w:val="24"/>
          <w:szCs w:val="24"/>
        </w:rPr>
        <w:t>individual</w:t>
      </w:r>
      <w:r w:rsidR="00CE1279" w:rsidRPr="00461D74">
        <w:rPr>
          <w:rFonts w:ascii="Garamond" w:hAnsi="Garamond"/>
          <w:sz w:val="24"/>
          <w:szCs w:val="24"/>
        </w:rPr>
        <w:t>’s</w:t>
      </w:r>
      <w:r w:rsidRPr="00461D74">
        <w:rPr>
          <w:rFonts w:ascii="Garamond" w:hAnsi="Garamond"/>
          <w:sz w:val="24"/>
          <w:szCs w:val="24"/>
        </w:rPr>
        <w:t xml:space="preserve"> good can only be advanced through the realisation of the common good. </w:t>
      </w:r>
      <w:r w:rsidR="00495B83">
        <w:rPr>
          <w:rFonts w:ascii="Garamond" w:hAnsi="Garamond"/>
          <w:sz w:val="24"/>
          <w:szCs w:val="24"/>
        </w:rPr>
        <w:t>(</w:t>
      </w:r>
      <w:r w:rsidRPr="00461D74">
        <w:rPr>
          <w:rFonts w:ascii="Garamond" w:hAnsi="Garamond"/>
          <w:sz w:val="24"/>
          <w:szCs w:val="24"/>
        </w:rPr>
        <w:t xml:space="preserve">I won’t discuss this any further at this point since it will figure in </w:t>
      </w:r>
      <w:r w:rsidR="00CE1279" w:rsidRPr="00461D74">
        <w:rPr>
          <w:rFonts w:ascii="Garamond" w:hAnsi="Garamond"/>
          <w:sz w:val="24"/>
          <w:szCs w:val="24"/>
        </w:rPr>
        <w:t xml:space="preserve">a number of </w:t>
      </w:r>
      <w:r w:rsidRPr="00461D74">
        <w:rPr>
          <w:rFonts w:ascii="Garamond" w:hAnsi="Garamond"/>
          <w:sz w:val="24"/>
          <w:szCs w:val="24"/>
        </w:rPr>
        <w:t>important discussions in Chapters Four</w:t>
      </w:r>
      <w:r w:rsidR="0035124B">
        <w:rPr>
          <w:rFonts w:ascii="Garamond" w:hAnsi="Garamond"/>
          <w:sz w:val="24"/>
          <w:szCs w:val="24"/>
        </w:rPr>
        <w:t>, Five</w:t>
      </w:r>
      <w:r w:rsidRPr="00461D74">
        <w:rPr>
          <w:rFonts w:ascii="Garamond" w:hAnsi="Garamond"/>
          <w:sz w:val="24"/>
          <w:szCs w:val="24"/>
        </w:rPr>
        <w:t xml:space="preserve"> and Six</w:t>
      </w:r>
      <w:r w:rsidR="00CE1279" w:rsidRPr="00461D74">
        <w:rPr>
          <w:rFonts w:ascii="Garamond" w:hAnsi="Garamond"/>
          <w:sz w:val="24"/>
          <w:szCs w:val="24"/>
        </w:rPr>
        <w:t>)</w:t>
      </w:r>
      <w:r w:rsidRPr="00461D74">
        <w:rPr>
          <w:rFonts w:ascii="Garamond" w:hAnsi="Garamond"/>
          <w:sz w:val="24"/>
          <w:szCs w:val="24"/>
        </w:rPr>
        <w:t>.</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The main point we should remember from the summary of our analysis above is that the loss of Aristotle’s functional concept – that of human being directed towards its </w:t>
      </w:r>
      <w:proofErr w:type="spellStart"/>
      <w:r w:rsidRPr="00461D74">
        <w:rPr>
          <w:rFonts w:ascii="Garamond" w:hAnsi="Garamond"/>
          <w:sz w:val="24"/>
          <w:szCs w:val="24"/>
        </w:rPr>
        <w:t>telos</w:t>
      </w:r>
      <w:proofErr w:type="spellEnd"/>
      <w:r w:rsidRPr="00461D74">
        <w:rPr>
          <w:rFonts w:ascii="Garamond" w:hAnsi="Garamond"/>
          <w:sz w:val="24"/>
          <w:szCs w:val="24"/>
        </w:rPr>
        <w:t xml:space="preserve"> – generates the intellectual background that </w:t>
      </w:r>
      <w:r w:rsidR="00212B76">
        <w:rPr>
          <w:rFonts w:ascii="Garamond" w:hAnsi="Garamond"/>
          <w:sz w:val="24"/>
          <w:szCs w:val="24"/>
        </w:rPr>
        <w:t xml:space="preserve">produced </w:t>
      </w:r>
      <w:r w:rsidRPr="00461D74">
        <w:rPr>
          <w:rFonts w:ascii="Garamond" w:hAnsi="Garamond"/>
          <w:sz w:val="24"/>
          <w:szCs w:val="24"/>
        </w:rPr>
        <w:t xml:space="preserve">the conditions for the </w:t>
      </w:r>
      <w:r w:rsidR="00A47C0F" w:rsidRPr="00461D74">
        <w:rPr>
          <w:rFonts w:ascii="Garamond" w:hAnsi="Garamond"/>
          <w:sz w:val="24"/>
          <w:szCs w:val="24"/>
        </w:rPr>
        <w:t xml:space="preserve">emergence of the </w:t>
      </w:r>
      <w:r w:rsidR="00DB00EA" w:rsidRPr="00DB00EA">
        <w:rPr>
          <w:rFonts w:ascii="Garamond" w:hAnsi="Garamond"/>
          <w:i/>
          <w:sz w:val="24"/>
          <w:szCs w:val="24"/>
        </w:rPr>
        <w:t>Enlightenment Project of Justifying Morality</w:t>
      </w:r>
      <w:r w:rsidRPr="00461D74">
        <w:rPr>
          <w:rFonts w:ascii="Garamond" w:hAnsi="Garamond"/>
          <w:sz w:val="24"/>
          <w:szCs w:val="24"/>
        </w:rPr>
        <w:t xml:space="preserve">. What is </w:t>
      </w:r>
      <w:r w:rsidR="00A47C0F" w:rsidRPr="00461D74">
        <w:rPr>
          <w:rFonts w:ascii="Garamond" w:hAnsi="Garamond"/>
          <w:sz w:val="24"/>
          <w:szCs w:val="24"/>
        </w:rPr>
        <w:t xml:space="preserve">essential for </w:t>
      </w:r>
      <w:r w:rsidRPr="00461D74">
        <w:rPr>
          <w:rFonts w:ascii="Garamond" w:hAnsi="Garamond"/>
          <w:sz w:val="24"/>
          <w:szCs w:val="24"/>
        </w:rPr>
        <w:t xml:space="preserve">advancing the </w:t>
      </w:r>
      <w:r w:rsidR="00A47C0F" w:rsidRPr="00461D74">
        <w:rPr>
          <w:rFonts w:ascii="Garamond" w:hAnsi="Garamond"/>
          <w:sz w:val="24"/>
          <w:szCs w:val="24"/>
        </w:rPr>
        <w:t xml:space="preserve">argumentative </w:t>
      </w:r>
      <w:r w:rsidRPr="00461D74">
        <w:rPr>
          <w:rFonts w:ascii="Garamond" w:hAnsi="Garamond"/>
          <w:sz w:val="24"/>
          <w:szCs w:val="24"/>
        </w:rPr>
        <w:t xml:space="preserve">narrative of MacIntyre’s project is that the failure of the Enlightenment Project leaves us to ponder an important disjunction that MacIntyre presents – that of choosing between Nietzsche </w:t>
      </w:r>
      <w:proofErr w:type="gramStart"/>
      <w:r w:rsidRPr="00461D74">
        <w:rPr>
          <w:rFonts w:ascii="Garamond" w:hAnsi="Garamond"/>
          <w:sz w:val="24"/>
          <w:szCs w:val="24"/>
        </w:rPr>
        <w:t>or</w:t>
      </w:r>
      <w:proofErr w:type="gramEnd"/>
      <w:r w:rsidRPr="00461D74">
        <w:rPr>
          <w:rFonts w:ascii="Garamond" w:hAnsi="Garamond"/>
          <w:sz w:val="24"/>
          <w:szCs w:val="24"/>
        </w:rPr>
        <w:t xml:space="preserve"> Aristotle. If we accept </w:t>
      </w:r>
      <w:r w:rsidR="00B75D4C" w:rsidRPr="00461D74">
        <w:rPr>
          <w:rFonts w:ascii="Garamond" w:hAnsi="Garamond"/>
          <w:sz w:val="24"/>
          <w:szCs w:val="24"/>
        </w:rPr>
        <w:t xml:space="preserve">MacIntyre’s hypothesis in which </w:t>
      </w:r>
      <w:r w:rsidRPr="00461D74">
        <w:rPr>
          <w:rFonts w:ascii="Garamond" w:hAnsi="Garamond"/>
          <w:sz w:val="24"/>
          <w:szCs w:val="24"/>
        </w:rPr>
        <w:t xml:space="preserve">the </w:t>
      </w:r>
      <w:r w:rsidR="00B75D4C" w:rsidRPr="00461D74">
        <w:rPr>
          <w:rFonts w:ascii="Garamond" w:hAnsi="Garamond"/>
          <w:sz w:val="24"/>
          <w:szCs w:val="24"/>
        </w:rPr>
        <w:t xml:space="preserve">participants in the </w:t>
      </w:r>
      <w:r w:rsidRPr="00461D74">
        <w:rPr>
          <w:rFonts w:ascii="Garamond" w:hAnsi="Garamond"/>
          <w:sz w:val="24"/>
          <w:szCs w:val="24"/>
        </w:rPr>
        <w:t>Enlightenment Project</w:t>
      </w:r>
      <w:r w:rsidR="00B75D4C" w:rsidRPr="00461D74">
        <w:rPr>
          <w:rFonts w:ascii="Garamond" w:hAnsi="Garamond"/>
          <w:sz w:val="24"/>
          <w:szCs w:val="24"/>
        </w:rPr>
        <w:t>,</w:t>
      </w:r>
      <w:r w:rsidRPr="00461D74">
        <w:rPr>
          <w:rFonts w:ascii="Garamond" w:hAnsi="Garamond"/>
          <w:sz w:val="24"/>
          <w:szCs w:val="24"/>
        </w:rPr>
        <w:t xml:space="preserve"> and its various heirs</w:t>
      </w:r>
      <w:r w:rsidR="00A47C0F" w:rsidRPr="00461D74">
        <w:rPr>
          <w:rFonts w:ascii="Garamond" w:hAnsi="Garamond"/>
          <w:sz w:val="24"/>
          <w:szCs w:val="24"/>
        </w:rPr>
        <w:t>,</w:t>
      </w:r>
      <w:r w:rsidRPr="00461D74">
        <w:rPr>
          <w:rFonts w:ascii="Garamond" w:hAnsi="Garamond"/>
          <w:sz w:val="24"/>
          <w:szCs w:val="24"/>
        </w:rPr>
        <w:t xml:space="preserve"> </w:t>
      </w:r>
      <w:r w:rsidR="00A47C0F" w:rsidRPr="00461D74">
        <w:rPr>
          <w:rFonts w:ascii="Garamond" w:hAnsi="Garamond"/>
          <w:sz w:val="24"/>
          <w:szCs w:val="24"/>
        </w:rPr>
        <w:t xml:space="preserve">failed and indeed had to fail in their efforts to </w:t>
      </w:r>
      <w:r w:rsidRPr="00461D74">
        <w:rPr>
          <w:rFonts w:ascii="Garamond" w:hAnsi="Garamond"/>
          <w:sz w:val="24"/>
          <w:szCs w:val="24"/>
        </w:rPr>
        <w:t xml:space="preserve">justify morality </w:t>
      </w:r>
      <w:r w:rsidR="00A47C0F" w:rsidRPr="00461D74">
        <w:rPr>
          <w:rFonts w:ascii="Garamond" w:hAnsi="Garamond"/>
          <w:sz w:val="24"/>
          <w:szCs w:val="24"/>
        </w:rPr>
        <w:t>on independent grounds</w:t>
      </w:r>
      <w:r w:rsidR="00B75D4C" w:rsidRPr="00461D74">
        <w:rPr>
          <w:rFonts w:ascii="Garamond" w:hAnsi="Garamond"/>
          <w:sz w:val="24"/>
          <w:szCs w:val="24"/>
        </w:rPr>
        <w:t>,</w:t>
      </w:r>
      <w:r w:rsidR="00A47C0F" w:rsidRPr="00461D74">
        <w:rPr>
          <w:rFonts w:ascii="Garamond" w:hAnsi="Garamond"/>
          <w:sz w:val="24"/>
          <w:szCs w:val="24"/>
        </w:rPr>
        <w:t xml:space="preserve"> </w:t>
      </w:r>
      <w:r w:rsidR="00B75D4C" w:rsidRPr="00461D74">
        <w:rPr>
          <w:rFonts w:ascii="Garamond" w:hAnsi="Garamond"/>
          <w:sz w:val="24"/>
          <w:szCs w:val="24"/>
        </w:rPr>
        <w:t xml:space="preserve">simply because </w:t>
      </w:r>
      <w:r w:rsidR="00B35112" w:rsidRPr="00461D74">
        <w:rPr>
          <w:rFonts w:ascii="Garamond" w:hAnsi="Garamond"/>
          <w:sz w:val="24"/>
          <w:szCs w:val="24"/>
        </w:rPr>
        <w:t xml:space="preserve">they </w:t>
      </w:r>
      <w:r w:rsidRPr="00461D74">
        <w:rPr>
          <w:rFonts w:ascii="Garamond" w:hAnsi="Garamond"/>
          <w:sz w:val="24"/>
          <w:szCs w:val="24"/>
        </w:rPr>
        <w:t xml:space="preserve">no longer </w:t>
      </w:r>
      <w:r w:rsidR="00B75D4C" w:rsidRPr="00461D74">
        <w:rPr>
          <w:rFonts w:ascii="Garamond" w:hAnsi="Garamond"/>
          <w:sz w:val="24"/>
          <w:szCs w:val="24"/>
        </w:rPr>
        <w:t xml:space="preserve">credibly </w:t>
      </w:r>
      <w:r w:rsidRPr="00461D74">
        <w:rPr>
          <w:rFonts w:ascii="Garamond" w:hAnsi="Garamond"/>
          <w:sz w:val="24"/>
          <w:szCs w:val="24"/>
        </w:rPr>
        <w:t>possess</w:t>
      </w:r>
      <w:r w:rsidR="00B35112" w:rsidRPr="00461D74">
        <w:rPr>
          <w:rFonts w:ascii="Garamond" w:hAnsi="Garamond"/>
          <w:sz w:val="24"/>
          <w:szCs w:val="24"/>
        </w:rPr>
        <w:t>ed</w:t>
      </w:r>
      <w:r w:rsidR="00B75D4C" w:rsidRPr="00461D74">
        <w:rPr>
          <w:rFonts w:ascii="Garamond" w:hAnsi="Garamond"/>
          <w:sz w:val="24"/>
          <w:szCs w:val="24"/>
        </w:rPr>
        <w:t xml:space="preserve"> </w:t>
      </w:r>
      <w:r w:rsidRPr="00461D74">
        <w:rPr>
          <w:rFonts w:ascii="Garamond" w:hAnsi="Garamond"/>
          <w:sz w:val="24"/>
          <w:szCs w:val="24"/>
        </w:rPr>
        <w:t xml:space="preserve">the Aristotelian resources to make sense of ethical inquiry, then it would appear that Nietzsche was </w:t>
      </w:r>
      <w:r w:rsidR="00B75D4C" w:rsidRPr="00461D74">
        <w:rPr>
          <w:rFonts w:ascii="Garamond" w:hAnsi="Garamond"/>
          <w:sz w:val="24"/>
          <w:szCs w:val="24"/>
        </w:rPr>
        <w:t xml:space="preserve">certainly </w:t>
      </w:r>
      <w:r w:rsidRPr="00461D74">
        <w:rPr>
          <w:rFonts w:ascii="Garamond" w:hAnsi="Garamond"/>
          <w:sz w:val="24"/>
          <w:szCs w:val="24"/>
        </w:rPr>
        <w:t xml:space="preserve">right to reject the </w:t>
      </w:r>
      <w:r w:rsidR="00B75D4C" w:rsidRPr="00461D74">
        <w:rPr>
          <w:rFonts w:ascii="Garamond" w:hAnsi="Garamond"/>
          <w:sz w:val="24"/>
          <w:szCs w:val="24"/>
        </w:rPr>
        <w:t xml:space="preserve">whole enterprise </w:t>
      </w:r>
      <w:r w:rsidR="00B75D4C" w:rsidRPr="00461D74">
        <w:rPr>
          <w:rFonts w:ascii="Garamond" w:hAnsi="Garamond"/>
          <w:sz w:val="24"/>
          <w:szCs w:val="24"/>
        </w:rPr>
        <w:lastRenderedPageBreak/>
        <w:t>that comprised this project</w:t>
      </w:r>
      <w:r w:rsidRPr="00461D74">
        <w:rPr>
          <w:rFonts w:ascii="Garamond" w:hAnsi="Garamond"/>
          <w:sz w:val="24"/>
          <w:szCs w:val="24"/>
        </w:rPr>
        <w:t xml:space="preserve">. </w:t>
      </w:r>
      <w:r w:rsidR="003B32FB" w:rsidRPr="00461D74">
        <w:rPr>
          <w:rFonts w:ascii="Garamond" w:hAnsi="Garamond"/>
          <w:sz w:val="24"/>
          <w:szCs w:val="24"/>
        </w:rPr>
        <w:t>However</w:t>
      </w:r>
      <w:r w:rsidR="00B75D4C" w:rsidRPr="00461D74">
        <w:rPr>
          <w:rFonts w:ascii="Garamond" w:hAnsi="Garamond"/>
          <w:sz w:val="24"/>
          <w:szCs w:val="24"/>
        </w:rPr>
        <w:t xml:space="preserve">, if we no longer have access to Aristotelian resources then it seems that this disjunction </w:t>
      </w:r>
      <w:r w:rsidR="003B32FB" w:rsidRPr="00461D74">
        <w:rPr>
          <w:rFonts w:ascii="Garamond" w:hAnsi="Garamond"/>
          <w:sz w:val="24"/>
          <w:szCs w:val="24"/>
        </w:rPr>
        <w:t xml:space="preserve">ultimately tilts towards Nietzsche; that is, </w:t>
      </w:r>
      <w:r w:rsidRPr="00461D74">
        <w:rPr>
          <w:rFonts w:ascii="Garamond" w:hAnsi="Garamond"/>
          <w:sz w:val="24"/>
          <w:szCs w:val="24"/>
        </w:rPr>
        <w:t xml:space="preserve">unless and until </w:t>
      </w:r>
      <w:r w:rsidR="00B35112" w:rsidRPr="00461D74">
        <w:rPr>
          <w:rFonts w:ascii="Garamond" w:hAnsi="Garamond"/>
          <w:sz w:val="24"/>
          <w:szCs w:val="24"/>
        </w:rPr>
        <w:t xml:space="preserve">MacIntyre </w:t>
      </w:r>
      <w:r w:rsidRPr="00461D74">
        <w:rPr>
          <w:rFonts w:ascii="Garamond" w:hAnsi="Garamond"/>
          <w:sz w:val="24"/>
          <w:szCs w:val="24"/>
        </w:rPr>
        <w:t>could find a way to revive an Aristotelian account that would challenge our Nietzschean conclusion.</w:t>
      </w:r>
    </w:p>
    <w:p w:rsidR="00016049" w:rsidRPr="00461D74" w:rsidRDefault="00016049" w:rsidP="00164E4D">
      <w:pPr>
        <w:spacing w:line="360" w:lineRule="auto"/>
        <w:jc w:val="both"/>
        <w:rPr>
          <w:rFonts w:ascii="Garamond" w:hAnsi="Garamond"/>
          <w:sz w:val="24"/>
          <w:szCs w:val="24"/>
        </w:rPr>
      </w:pPr>
    </w:p>
    <w:p w:rsidR="00016049" w:rsidRPr="00461D74" w:rsidRDefault="00195ABA" w:rsidP="00164E4D">
      <w:pPr>
        <w:pStyle w:val="Heading2"/>
        <w:spacing w:line="360" w:lineRule="auto"/>
        <w:jc w:val="both"/>
        <w:rPr>
          <w:rFonts w:cstheme="majorHAnsi"/>
        </w:rPr>
      </w:pPr>
      <w:bookmarkStart w:id="9" w:name="_Toc528077791"/>
      <w:r w:rsidRPr="00461D74">
        <w:rPr>
          <w:rFonts w:cstheme="majorHAnsi"/>
        </w:rPr>
        <w:t xml:space="preserve">3. </w:t>
      </w:r>
      <w:r w:rsidR="00114003" w:rsidRPr="00461D74">
        <w:rPr>
          <w:rFonts w:cstheme="majorHAnsi"/>
        </w:rPr>
        <w:t xml:space="preserve">MacIntyre’s </w:t>
      </w:r>
      <w:r w:rsidR="006767CE" w:rsidRPr="00461D74">
        <w:rPr>
          <w:rFonts w:cstheme="majorHAnsi"/>
        </w:rPr>
        <w:t xml:space="preserve">Social Teleology as a Resolution of Present-day </w:t>
      </w:r>
      <w:r w:rsidR="00F87660" w:rsidRPr="00461D74">
        <w:rPr>
          <w:rFonts w:cstheme="majorHAnsi"/>
        </w:rPr>
        <w:t xml:space="preserve">Moral </w:t>
      </w:r>
      <w:r w:rsidR="006767CE" w:rsidRPr="00461D74">
        <w:rPr>
          <w:rFonts w:cstheme="majorHAnsi"/>
        </w:rPr>
        <w:t>Conflicts</w:t>
      </w:r>
      <w:bookmarkEnd w:id="9"/>
    </w:p>
    <w:p w:rsidR="00EC6689" w:rsidRPr="00461D74" w:rsidRDefault="00EC6689" w:rsidP="00164E4D">
      <w:pPr>
        <w:spacing w:line="360" w:lineRule="auto"/>
        <w:jc w:val="both"/>
        <w:rPr>
          <w:rFonts w:ascii="Garamond" w:hAnsi="Garamond"/>
          <w:sz w:val="24"/>
          <w:szCs w:val="24"/>
          <w:lang w:val="en-GB"/>
        </w:rPr>
      </w:pPr>
    </w:p>
    <w:p w:rsidR="00214A45" w:rsidRPr="00461D74" w:rsidRDefault="007C39DE" w:rsidP="00164E4D">
      <w:pPr>
        <w:spacing w:line="360" w:lineRule="auto"/>
        <w:jc w:val="both"/>
        <w:rPr>
          <w:rFonts w:ascii="Garamond" w:hAnsi="Garamond"/>
          <w:sz w:val="24"/>
          <w:szCs w:val="24"/>
        </w:rPr>
      </w:pPr>
      <w:r w:rsidRPr="00461D74">
        <w:rPr>
          <w:rFonts w:ascii="Garamond" w:hAnsi="Garamond"/>
          <w:sz w:val="24"/>
          <w:szCs w:val="24"/>
          <w:lang w:val="en-GB"/>
        </w:rPr>
        <w:t xml:space="preserve">In the preceding section, I stated that MacIntyre presents us </w:t>
      </w:r>
      <w:r w:rsidR="00760B8A" w:rsidRPr="00461D74">
        <w:rPr>
          <w:rFonts w:ascii="Garamond" w:hAnsi="Garamond"/>
          <w:sz w:val="24"/>
          <w:szCs w:val="24"/>
        </w:rPr>
        <w:t>with a</w:t>
      </w:r>
      <w:r w:rsidR="00016049" w:rsidRPr="00461D74">
        <w:rPr>
          <w:rFonts w:ascii="Garamond" w:hAnsi="Garamond"/>
          <w:sz w:val="24"/>
          <w:szCs w:val="24"/>
        </w:rPr>
        <w:t xml:space="preserve"> disjunction between Aristotle and Nietzsche. </w:t>
      </w:r>
      <w:r w:rsidRPr="00461D74">
        <w:rPr>
          <w:rFonts w:ascii="Garamond" w:hAnsi="Garamond"/>
          <w:sz w:val="24"/>
          <w:szCs w:val="24"/>
        </w:rPr>
        <w:t>I should emphasize that for MacIntyre</w:t>
      </w:r>
      <w:r w:rsidR="00016049" w:rsidRPr="00461D74">
        <w:rPr>
          <w:rFonts w:ascii="Garamond" w:hAnsi="Garamond"/>
          <w:sz w:val="24"/>
          <w:szCs w:val="24"/>
        </w:rPr>
        <w:t>, Nietzsche’s and Aristotle’s moral philosophy stand against each other in an important sense by virtue of the historical roles they play. They stand opposed to each other because, while Nietzsche claims that there can be no rational justification of morality, Aristotle’s account explicitly rejects such an outcome.</w:t>
      </w:r>
      <w:r w:rsidR="00016049" w:rsidRPr="00461D74">
        <w:rPr>
          <w:rStyle w:val="FootnoteReference"/>
          <w:rFonts w:ascii="Garamond" w:hAnsi="Garamond"/>
          <w:sz w:val="24"/>
          <w:szCs w:val="24"/>
        </w:rPr>
        <w:footnoteReference w:id="49"/>
      </w:r>
      <w:r w:rsidR="00016049" w:rsidRPr="00461D74">
        <w:rPr>
          <w:rFonts w:ascii="Garamond" w:hAnsi="Garamond"/>
          <w:sz w:val="24"/>
          <w:szCs w:val="24"/>
        </w:rPr>
        <w:t xml:space="preserve"> </w:t>
      </w:r>
      <w:r w:rsidR="000244F0" w:rsidRPr="00461D74">
        <w:rPr>
          <w:rFonts w:ascii="Garamond" w:hAnsi="Garamond"/>
          <w:sz w:val="24"/>
          <w:szCs w:val="24"/>
        </w:rPr>
        <w:t>Now</w:t>
      </w:r>
      <w:r w:rsidRPr="00461D74">
        <w:rPr>
          <w:rFonts w:ascii="Garamond" w:hAnsi="Garamond"/>
          <w:sz w:val="24"/>
          <w:szCs w:val="24"/>
        </w:rPr>
        <w:t>, one might say that</w:t>
      </w:r>
      <w:r w:rsidR="000244F0" w:rsidRPr="00461D74">
        <w:rPr>
          <w:rFonts w:ascii="Garamond" w:hAnsi="Garamond"/>
          <w:sz w:val="24"/>
          <w:szCs w:val="24"/>
        </w:rPr>
        <w:t xml:space="preserve"> </w:t>
      </w:r>
      <w:r w:rsidR="00016049" w:rsidRPr="00461D74">
        <w:rPr>
          <w:rFonts w:ascii="Garamond" w:hAnsi="Garamond"/>
          <w:sz w:val="24"/>
          <w:szCs w:val="24"/>
        </w:rPr>
        <w:t xml:space="preserve">Nietzsche’s conclusion is </w:t>
      </w:r>
      <w:r w:rsidRPr="00461D74">
        <w:rPr>
          <w:rFonts w:ascii="Garamond" w:hAnsi="Garamond"/>
          <w:sz w:val="24"/>
          <w:szCs w:val="24"/>
        </w:rPr>
        <w:t>potentially</w:t>
      </w:r>
      <w:r w:rsidR="00016049" w:rsidRPr="00461D74">
        <w:rPr>
          <w:rFonts w:ascii="Garamond" w:hAnsi="Garamond"/>
          <w:sz w:val="24"/>
          <w:szCs w:val="24"/>
        </w:rPr>
        <w:t xml:space="preserve"> </w:t>
      </w:r>
      <w:r w:rsidRPr="00461D74">
        <w:rPr>
          <w:rFonts w:ascii="Garamond" w:hAnsi="Garamond"/>
          <w:sz w:val="24"/>
          <w:szCs w:val="24"/>
        </w:rPr>
        <w:t xml:space="preserve">correct, but only </w:t>
      </w:r>
      <w:r w:rsidR="00016049" w:rsidRPr="00461D74">
        <w:rPr>
          <w:rFonts w:ascii="Garamond" w:hAnsi="Garamond"/>
          <w:sz w:val="24"/>
          <w:szCs w:val="24"/>
        </w:rPr>
        <w:t xml:space="preserve">as a contingent fact. Aristotle’s functional concept of human being directed towards its </w:t>
      </w:r>
      <w:proofErr w:type="spellStart"/>
      <w:r w:rsidR="00016049" w:rsidRPr="00461D74">
        <w:rPr>
          <w:rFonts w:ascii="Garamond" w:hAnsi="Garamond"/>
          <w:sz w:val="24"/>
          <w:szCs w:val="24"/>
        </w:rPr>
        <w:t>telos</w:t>
      </w:r>
      <w:proofErr w:type="spellEnd"/>
      <w:r w:rsidR="00016049" w:rsidRPr="00461D74">
        <w:rPr>
          <w:rFonts w:ascii="Garamond" w:hAnsi="Garamond"/>
          <w:sz w:val="24"/>
          <w:szCs w:val="24"/>
        </w:rPr>
        <w:t xml:space="preserve"> </w:t>
      </w:r>
      <w:r w:rsidRPr="00461D74">
        <w:rPr>
          <w:rFonts w:ascii="Garamond" w:hAnsi="Garamond"/>
          <w:sz w:val="24"/>
          <w:szCs w:val="24"/>
        </w:rPr>
        <w:t xml:space="preserve">can </w:t>
      </w:r>
      <w:r w:rsidR="00016049" w:rsidRPr="00461D74">
        <w:rPr>
          <w:rFonts w:ascii="Garamond" w:hAnsi="Garamond"/>
          <w:sz w:val="24"/>
          <w:szCs w:val="24"/>
        </w:rPr>
        <w:t xml:space="preserve">no longer play its role, once the mechanics of Aristotle’s metaphysics that made his teleology possible </w:t>
      </w:r>
      <w:r w:rsidRPr="00461D74">
        <w:rPr>
          <w:rFonts w:ascii="Garamond" w:hAnsi="Garamond"/>
          <w:sz w:val="24"/>
          <w:szCs w:val="24"/>
        </w:rPr>
        <w:t>is</w:t>
      </w:r>
      <w:r w:rsidR="00016049" w:rsidRPr="00461D74">
        <w:rPr>
          <w:rFonts w:ascii="Garamond" w:hAnsi="Garamond"/>
          <w:sz w:val="24"/>
          <w:szCs w:val="24"/>
        </w:rPr>
        <w:t xml:space="preserve"> rejected. I</w:t>
      </w:r>
      <w:r w:rsidR="00EF7BDA" w:rsidRPr="00461D74">
        <w:rPr>
          <w:rFonts w:ascii="Garamond" w:hAnsi="Garamond"/>
          <w:sz w:val="24"/>
          <w:szCs w:val="24"/>
        </w:rPr>
        <w:t xml:space="preserve"> take it that i</w:t>
      </w:r>
      <w:r w:rsidRPr="00461D74">
        <w:rPr>
          <w:rFonts w:ascii="Garamond" w:hAnsi="Garamond"/>
          <w:sz w:val="24"/>
          <w:szCs w:val="24"/>
        </w:rPr>
        <w:t>t is i</w:t>
      </w:r>
      <w:r w:rsidR="00016049" w:rsidRPr="00461D74">
        <w:rPr>
          <w:rFonts w:ascii="Garamond" w:hAnsi="Garamond"/>
          <w:sz w:val="24"/>
          <w:szCs w:val="24"/>
        </w:rPr>
        <w:t>n this sense</w:t>
      </w:r>
      <w:r w:rsidRPr="00461D74">
        <w:rPr>
          <w:rFonts w:ascii="Garamond" w:hAnsi="Garamond"/>
          <w:sz w:val="24"/>
          <w:szCs w:val="24"/>
        </w:rPr>
        <w:t xml:space="preserve"> that</w:t>
      </w:r>
      <w:r w:rsidR="00016049" w:rsidRPr="00461D74">
        <w:rPr>
          <w:rFonts w:ascii="Garamond" w:hAnsi="Garamond"/>
          <w:sz w:val="24"/>
          <w:szCs w:val="24"/>
        </w:rPr>
        <w:t xml:space="preserve"> we owe the failure of </w:t>
      </w:r>
      <w:r w:rsidR="00EF7BDA" w:rsidRPr="00461D74">
        <w:rPr>
          <w:rFonts w:ascii="Garamond" w:hAnsi="Garamond"/>
          <w:sz w:val="24"/>
          <w:szCs w:val="24"/>
        </w:rPr>
        <w:t xml:space="preserve">the Enlightenment Project of rationally </w:t>
      </w:r>
      <w:r w:rsidR="00016049" w:rsidRPr="00461D74">
        <w:rPr>
          <w:rFonts w:ascii="Garamond" w:hAnsi="Garamond"/>
          <w:sz w:val="24"/>
          <w:szCs w:val="24"/>
        </w:rPr>
        <w:t>justifying morality</w:t>
      </w:r>
      <w:r w:rsidRPr="00461D74">
        <w:rPr>
          <w:rFonts w:ascii="Garamond" w:hAnsi="Garamond"/>
          <w:sz w:val="24"/>
          <w:szCs w:val="24"/>
        </w:rPr>
        <w:t>,</w:t>
      </w:r>
      <w:r w:rsidR="00016049" w:rsidRPr="00461D74">
        <w:rPr>
          <w:rFonts w:ascii="Garamond" w:hAnsi="Garamond"/>
          <w:sz w:val="24"/>
          <w:szCs w:val="24"/>
        </w:rPr>
        <w:t xml:space="preserve"> to the rejection of the Aristotelian tradition.</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This </w:t>
      </w:r>
      <w:r w:rsidR="00EF7BDA" w:rsidRPr="00461D74">
        <w:rPr>
          <w:rFonts w:ascii="Garamond" w:hAnsi="Garamond"/>
          <w:sz w:val="24"/>
          <w:szCs w:val="24"/>
        </w:rPr>
        <w:t xml:space="preserve">also </w:t>
      </w:r>
      <w:r w:rsidRPr="00461D74">
        <w:rPr>
          <w:rFonts w:ascii="Garamond" w:hAnsi="Garamond"/>
          <w:sz w:val="24"/>
          <w:szCs w:val="24"/>
        </w:rPr>
        <w:t>means that Aristotle’s ethical account potentially offered an ethics with a unified concept of human nature on which a robust account of the good could be established</w:t>
      </w:r>
      <w:r w:rsidR="000244F0" w:rsidRPr="00461D74">
        <w:rPr>
          <w:rFonts w:ascii="Garamond" w:hAnsi="Garamond"/>
          <w:sz w:val="24"/>
          <w:szCs w:val="24"/>
        </w:rPr>
        <w:t xml:space="preserve">. </w:t>
      </w:r>
      <w:r w:rsidR="00700644">
        <w:rPr>
          <w:rFonts w:ascii="Garamond" w:hAnsi="Garamond"/>
          <w:sz w:val="24"/>
          <w:szCs w:val="24"/>
        </w:rPr>
        <w:t>However, n</w:t>
      </w:r>
      <w:r w:rsidR="00EF7BDA" w:rsidRPr="00461D74">
        <w:rPr>
          <w:rFonts w:ascii="Garamond" w:hAnsi="Garamond"/>
          <w:sz w:val="24"/>
          <w:szCs w:val="24"/>
        </w:rPr>
        <w:t xml:space="preserve">otwithstanding </w:t>
      </w:r>
      <w:r w:rsidR="00700644">
        <w:rPr>
          <w:rFonts w:ascii="Garamond" w:hAnsi="Garamond"/>
          <w:sz w:val="24"/>
          <w:szCs w:val="24"/>
        </w:rPr>
        <w:t>this</w:t>
      </w:r>
      <w:r w:rsidR="00EF7BDA" w:rsidRPr="00461D74">
        <w:rPr>
          <w:rFonts w:ascii="Garamond" w:hAnsi="Garamond"/>
          <w:sz w:val="24"/>
          <w:szCs w:val="24"/>
        </w:rPr>
        <w:t xml:space="preserve"> initial optimism </w:t>
      </w:r>
      <w:r w:rsidR="00700644">
        <w:rPr>
          <w:rFonts w:ascii="Garamond" w:hAnsi="Garamond"/>
          <w:sz w:val="24"/>
          <w:szCs w:val="24"/>
        </w:rPr>
        <w:t>concerning</w:t>
      </w:r>
      <w:r w:rsidR="00EF7BDA" w:rsidRPr="00461D74">
        <w:rPr>
          <w:rFonts w:ascii="Garamond" w:hAnsi="Garamond"/>
          <w:sz w:val="24"/>
          <w:szCs w:val="24"/>
        </w:rPr>
        <w:t xml:space="preserve"> the Aristotelian option</w:t>
      </w:r>
      <w:r w:rsidR="000244F0" w:rsidRPr="00461D74">
        <w:rPr>
          <w:rFonts w:ascii="Garamond" w:hAnsi="Garamond"/>
          <w:sz w:val="24"/>
          <w:szCs w:val="24"/>
        </w:rPr>
        <w:t>,</w:t>
      </w:r>
      <w:r w:rsidR="000244F0" w:rsidRPr="00461D74" w:rsidDel="000244F0">
        <w:rPr>
          <w:rFonts w:ascii="Garamond" w:hAnsi="Garamond"/>
          <w:sz w:val="24"/>
          <w:szCs w:val="24"/>
        </w:rPr>
        <w:t xml:space="preserve"> </w:t>
      </w:r>
      <w:r w:rsidRPr="00461D74">
        <w:rPr>
          <w:rFonts w:ascii="Garamond" w:hAnsi="Garamond"/>
          <w:sz w:val="24"/>
          <w:szCs w:val="24"/>
        </w:rPr>
        <w:t xml:space="preserve">we </w:t>
      </w:r>
      <w:r w:rsidR="000244F0" w:rsidRPr="00461D74">
        <w:rPr>
          <w:rFonts w:ascii="Garamond" w:hAnsi="Garamond"/>
          <w:sz w:val="24"/>
          <w:szCs w:val="24"/>
        </w:rPr>
        <w:t xml:space="preserve">also </w:t>
      </w:r>
      <w:r w:rsidRPr="00461D74">
        <w:rPr>
          <w:rFonts w:ascii="Garamond" w:hAnsi="Garamond"/>
          <w:sz w:val="24"/>
          <w:szCs w:val="24"/>
        </w:rPr>
        <w:t>know from the histor</w:t>
      </w:r>
      <w:r w:rsidR="001915CE" w:rsidRPr="00461D74">
        <w:rPr>
          <w:rFonts w:ascii="Garamond" w:hAnsi="Garamond"/>
          <w:sz w:val="24"/>
          <w:szCs w:val="24"/>
        </w:rPr>
        <w:t>ical accounts</w:t>
      </w:r>
      <w:r w:rsidRPr="00461D74">
        <w:rPr>
          <w:rFonts w:ascii="Garamond" w:hAnsi="Garamond"/>
          <w:sz w:val="24"/>
          <w:szCs w:val="24"/>
        </w:rPr>
        <w:t xml:space="preserve"> of </w:t>
      </w:r>
      <w:r w:rsidR="001915CE" w:rsidRPr="00461D74">
        <w:rPr>
          <w:rFonts w:ascii="Garamond" w:hAnsi="Garamond"/>
          <w:sz w:val="24"/>
          <w:szCs w:val="24"/>
        </w:rPr>
        <w:t xml:space="preserve">classical </w:t>
      </w:r>
      <w:r w:rsidRPr="00461D74">
        <w:rPr>
          <w:rFonts w:ascii="Garamond" w:hAnsi="Garamond"/>
          <w:sz w:val="24"/>
          <w:szCs w:val="24"/>
        </w:rPr>
        <w:t>Greek society</w:t>
      </w:r>
      <w:r w:rsidR="001915CE" w:rsidRPr="00461D74">
        <w:rPr>
          <w:rFonts w:ascii="Garamond" w:hAnsi="Garamond"/>
          <w:sz w:val="24"/>
          <w:szCs w:val="24"/>
        </w:rPr>
        <w:t>,</w:t>
      </w:r>
      <w:r w:rsidRPr="00461D74">
        <w:rPr>
          <w:rFonts w:ascii="Garamond" w:hAnsi="Garamond"/>
          <w:sz w:val="24"/>
          <w:szCs w:val="24"/>
        </w:rPr>
        <w:t xml:space="preserve"> </w:t>
      </w:r>
      <w:r w:rsidR="00764ED5">
        <w:rPr>
          <w:rFonts w:ascii="Garamond" w:hAnsi="Garamond"/>
          <w:sz w:val="24"/>
          <w:szCs w:val="24"/>
        </w:rPr>
        <w:t>through</w:t>
      </w:r>
      <w:r w:rsidR="00764ED5" w:rsidRPr="00461D74">
        <w:rPr>
          <w:rFonts w:ascii="Garamond" w:hAnsi="Garamond"/>
          <w:sz w:val="24"/>
          <w:szCs w:val="24"/>
        </w:rPr>
        <w:t xml:space="preserve"> </w:t>
      </w:r>
      <w:r w:rsidRPr="00461D74">
        <w:rPr>
          <w:rFonts w:ascii="Garamond" w:hAnsi="Garamond"/>
          <w:sz w:val="24"/>
          <w:szCs w:val="24"/>
        </w:rPr>
        <w:t xml:space="preserve">the work of its tragedians, sophist and </w:t>
      </w:r>
      <w:r w:rsidRPr="00461D74">
        <w:rPr>
          <w:rFonts w:ascii="Garamond" w:hAnsi="Garamond"/>
          <w:sz w:val="24"/>
          <w:szCs w:val="24"/>
        </w:rPr>
        <w:lastRenderedPageBreak/>
        <w:t xml:space="preserve">philosophers that rival and highly contestable accounts of the good were indeed advanced. </w:t>
      </w:r>
      <w:r w:rsidR="00966446" w:rsidRPr="00461D74">
        <w:rPr>
          <w:rFonts w:ascii="Garamond" w:hAnsi="Garamond"/>
          <w:sz w:val="24"/>
          <w:szCs w:val="24"/>
          <w:lang w:val="en-GB"/>
        </w:rPr>
        <w:t xml:space="preserve">For example in </w:t>
      </w:r>
      <w:proofErr w:type="spellStart"/>
      <w:r w:rsidR="00966446" w:rsidRPr="00461D74">
        <w:rPr>
          <w:rFonts w:ascii="Garamond" w:hAnsi="Garamond"/>
          <w:i/>
          <w:sz w:val="24"/>
          <w:szCs w:val="24"/>
          <w:lang w:val="en-GB"/>
        </w:rPr>
        <w:t>Gorgias</w:t>
      </w:r>
      <w:proofErr w:type="spellEnd"/>
      <w:r w:rsidR="00966446" w:rsidRPr="00461D74">
        <w:rPr>
          <w:rFonts w:ascii="Garamond" w:hAnsi="Garamond"/>
          <w:sz w:val="24"/>
          <w:szCs w:val="24"/>
          <w:lang w:val="en-GB"/>
        </w:rPr>
        <w:t xml:space="preserve">, Socrates and </w:t>
      </w:r>
      <w:proofErr w:type="spellStart"/>
      <w:r w:rsidR="00966446" w:rsidRPr="00461D74">
        <w:rPr>
          <w:rFonts w:ascii="Garamond" w:hAnsi="Garamond"/>
          <w:sz w:val="24"/>
          <w:szCs w:val="24"/>
          <w:lang w:val="en-GB"/>
        </w:rPr>
        <w:t>Callicles</w:t>
      </w:r>
      <w:proofErr w:type="spellEnd"/>
      <w:r w:rsidR="00966446" w:rsidRPr="00461D74">
        <w:rPr>
          <w:rFonts w:ascii="Garamond" w:hAnsi="Garamond"/>
          <w:sz w:val="24"/>
          <w:szCs w:val="24"/>
          <w:lang w:val="en-GB"/>
        </w:rPr>
        <w:t xml:space="preserve"> are at odds in regards to both first order and second order issues, i.e., whether pleasure is a ‘good’ and what counts as a good argument in consideration of whether pleasure </w:t>
      </w:r>
      <w:r w:rsidR="00DB00EA" w:rsidRPr="00DB00EA">
        <w:rPr>
          <w:rFonts w:ascii="Garamond" w:hAnsi="Garamond"/>
          <w:i/>
          <w:sz w:val="24"/>
          <w:szCs w:val="24"/>
          <w:lang w:val="en-GB"/>
        </w:rPr>
        <w:t>is</w:t>
      </w:r>
      <w:r w:rsidR="00966446" w:rsidRPr="00461D74">
        <w:rPr>
          <w:rFonts w:ascii="Garamond" w:hAnsi="Garamond"/>
          <w:sz w:val="24"/>
          <w:szCs w:val="24"/>
          <w:lang w:val="en-GB"/>
        </w:rPr>
        <w:t xml:space="preserve">, or </w:t>
      </w:r>
      <w:r w:rsidR="00DB00EA" w:rsidRPr="00DB00EA">
        <w:rPr>
          <w:rFonts w:ascii="Garamond" w:hAnsi="Garamond"/>
          <w:i/>
          <w:sz w:val="24"/>
          <w:szCs w:val="24"/>
          <w:lang w:val="en-GB"/>
        </w:rPr>
        <w:t>is not</w:t>
      </w:r>
      <w:r w:rsidR="00966446" w:rsidRPr="00461D74">
        <w:rPr>
          <w:rFonts w:ascii="Garamond" w:hAnsi="Garamond"/>
          <w:sz w:val="24"/>
          <w:szCs w:val="24"/>
          <w:lang w:val="en-GB"/>
        </w:rPr>
        <w:t>, a ‘good</w:t>
      </w:r>
      <w:r w:rsidR="0012324B">
        <w:rPr>
          <w:rFonts w:ascii="Garamond" w:hAnsi="Garamond"/>
          <w:sz w:val="24"/>
          <w:szCs w:val="24"/>
          <w:lang w:val="en-GB"/>
        </w:rPr>
        <w:t>.</w:t>
      </w:r>
      <w:r w:rsidR="00966446" w:rsidRPr="00461D74">
        <w:rPr>
          <w:rFonts w:ascii="Garamond" w:hAnsi="Garamond"/>
          <w:sz w:val="24"/>
          <w:szCs w:val="24"/>
          <w:lang w:val="en-GB"/>
        </w:rPr>
        <w:t>’</w:t>
      </w:r>
      <w:r w:rsidR="00966446" w:rsidRPr="00461D74">
        <w:rPr>
          <w:rStyle w:val="FootnoteReference"/>
          <w:rFonts w:ascii="Garamond" w:hAnsi="Garamond"/>
          <w:sz w:val="24"/>
          <w:szCs w:val="24"/>
          <w:lang w:val="en-GB"/>
        </w:rPr>
        <w:footnoteReference w:id="50"/>
      </w:r>
      <w:r w:rsidR="00966446" w:rsidRPr="00461D74">
        <w:rPr>
          <w:rFonts w:ascii="Garamond" w:hAnsi="Garamond"/>
          <w:sz w:val="24"/>
          <w:szCs w:val="24"/>
          <w:lang w:val="en-GB"/>
        </w:rPr>
        <w:t xml:space="preserve"> </w:t>
      </w:r>
      <w:r w:rsidR="00966446" w:rsidRPr="00461D74">
        <w:rPr>
          <w:rFonts w:ascii="Garamond" w:hAnsi="Garamond"/>
          <w:sz w:val="24"/>
          <w:szCs w:val="24"/>
        </w:rPr>
        <w:t>However</w:t>
      </w:r>
      <w:r w:rsidR="00700644">
        <w:rPr>
          <w:rFonts w:ascii="Garamond" w:hAnsi="Garamond"/>
          <w:sz w:val="24"/>
          <w:szCs w:val="24"/>
        </w:rPr>
        <w:t>,</w:t>
      </w:r>
      <w:r w:rsidR="00434BD4" w:rsidRPr="00461D74">
        <w:rPr>
          <w:rFonts w:ascii="Garamond" w:hAnsi="Garamond"/>
          <w:sz w:val="24"/>
          <w:szCs w:val="24"/>
        </w:rPr>
        <w:t xml:space="preserve"> </w:t>
      </w:r>
      <w:r w:rsidRPr="00461D74">
        <w:rPr>
          <w:rFonts w:ascii="Garamond" w:hAnsi="Garamond"/>
          <w:sz w:val="24"/>
          <w:szCs w:val="24"/>
        </w:rPr>
        <w:t>MacIntyre</w:t>
      </w:r>
      <w:r w:rsidR="0082599B" w:rsidRPr="00461D74">
        <w:rPr>
          <w:rFonts w:ascii="Garamond" w:hAnsi="Garamond"/>
          <w:sz w:val="24"/>
          <w:szCs w:val="24"/>
        </w:rPr>
        <w:t xml:space="preserve"> recognises this fact and</w:t>
      </w:r>
      <w:r w:rsidRPr="00461D74">
        <w:rPr>
          <w:rFonts w:ascii="Garamond" w:hAnsi="Garamond"/>
          <w:sz w:val="24"/>
          <w:szCs w:val="24"/>
        </w:rPr>
        <w:t xml:space="preserve"> suggests as much himself</w:t>
      </w:r>
      <w:r w:rsidR="001915CE" w:rsidRPr="00461D74">
        <w:rPr>
          <w:rFonts w:ascii="Garamond" w:hAnsi="Garamond"/>
          <w:sz w:val="24"/>
          <w:szCs w:val="24"/>
        </w:rPr>
        <w:t xml:space="preserve">; </w:t>
      </w:r>
      <w:r w:rsidR="003804C2" w:rsidRPr="00461D74">
        <w:rPr>
          <w:rFonts w:ascii="Garamond" w:hAnsi="Garamond"/>
          <w:sz w:val="24"/>
          <w:szCs w:val="24"/>
        </w:rPr>
        <w:t xml:space="preserve">hence, </w:t>
      </w:r>
      <w:r w:rsidR="001915CE" w:rsidRPr="00461D74">
        <w:rPr>
          <w:rFonts w:ascii="Garamond" w:hAnsi="Garamond"/>
          <w:sz w:val="24"/>
          <w:szCs w:val="24"/>
        </w:rPr>
        <w:t>he</w:t>
      </w:r>
      <w:r w:rsidRPr="00461D74">
        <w:rPr>
          <w:rFonts w:ascii="Garamond" w:hAnsi="Garamond"/>
          <w:sz w:val="24"/>
          <w:szCs w:val="24"/>
        </w:rPr>
        <w:t xml:space="preserve"> accepts that there were </w:t>
      </w:r>
      <w:r w:rsidR="003804C2" w:rsidRPr="00461D74">
        <w:rPr>
          <w:rFonts w:ascii="Garamond" w:hAnsi="Garamond"/>
          <w:sz w:val="24"/>
          <w:szCs w:val="24"/>
        </w:rPr>
        <w:t xml:space="preserve">a number of </w:t>
      </w:r>
      <w:r w:rsidRPr="00461D74">
        <w:rPr>
          <w:rFonts w:ascii="Garamond" w:hAnsi="Garamond"/>
          <w:sz w:val="24"/>
          <w:szCs w:val="24"/>
        </w:rPr>
        <w:t>radical disagreements between rival views in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Athens.</w:t>
      </w:r>
      <w:r w:rsidR="00A63F55" w:rsidRPr="00461D74">
        <w:rPr>
          <w:rStyle w:val="FootnoteReference"/>
          <w:rFonts w:ascii="Garamond" w:hAnsi="Garamond"/>
          <w:sz w:val="24"/>
          <w:szCs w:val="24"/>
        </w:rPr>
        <w:footnoteReference w:id="51"/>
      </w:r>
      <w:r w:rsidRPr="00461D74">
        <w:rPr>
          <w:rFonts w:ascii="Garamond" w:hAnsi="Garamond"/>
          <w:sz w:val="24"/>
          <w:szCs w:val="24"/>
        </w:rPr>
        <w:t xml:space="preserve"> Nevertheless, he </w:t>
      </w:r>
      <w:r w:rsidR="00966446" w:rsidRPr="00461D74">
        <w:rPr>
          <w:rFonts w:ascii="Garamond" w:hAnsi="Garamond"/>
          <w:sz w:val="24"/>
          <w:szCs w:val="24"/>
        </w:rPr>
        <w:t xml:space="preserve">goes on to </w:t>
      </w:r>
      <w:r w:rsidRPr="00461D74">
        <w:rPr>
          <w:rFonts w:ascii="Garamond" w:hAnsi="Garamond"/>
          <w:sz w:val="24"/>
          <w:szCs w:val="24"/>
        </w:rPr>
        <w:t xml:space="preserve">contend that Aristotle, expanding and correcting the work of Plato, was able to advance the </w:t>
      </w:r>
      <w:r w:rsidR="009A7203" w:rsidRPr="00461D74">
        <w:rPr>
          <w:rFonts w:ascii="Garamond" w:hAnsi="Garamond"/>
          <w:sz w:val="24"/>
          <w:szCs w:val="24"/>
        </w:rPr>
        <w:t xml:space="preserve">then hitherto, </w:t>
      </w:r>
      <w:r w:rsidRPr="00461D74">
        <w:rPr>
          <w:rFonts w:ascii="Garamond" w:hAnsi="Garamond"/>
          <w:sz w:val="24"/>
          <w:szCs w:val="24"/>
        </w:rPr>
        <w:t xml:space="preserve">best </w:t>
      </w:r>
      <w:r w:rsidR="009A7203" w:rsidRPr="00461D74">
        <w:rPr>
          <w:rFonts w:ascii="Garamond" w:hAnsi="Garamond"/>
          <w:sz w:val="24"/>
          <w:szCs w:val="24"/>
        </w:rPr>
        <w:t>argued rational justification of morality (for the classical context of the Greek polis)</w:t>
      </w:r>
      <w:r w:rsidRPr="00461D74">
        <w:rPr>
          <w:rFonts w:ascii="Garamond" w:hAnsi="Garamond"/>
          <w:sz w:val="24"/>
          <w:szCs w:val="24"/>
        </w:rPr>
        <w:t xml:space="preserve">. So how did Aristotle try to resolve the </w:t>
      </w:r>
      <w:r w:rsidR="009A7203" w:rsidRPr="00461D74">
        <w:rPr>
          <w:rFonts w:ascii="Garamond" w:hAnsi="Garamond"/>
          <w:sz w:val="24"/>
          <w:szCs w:val="24"/>
        </w:rPr>
        <w:t xml:space="preserve">various moral </w:t>
      </w:r>
      <w:r w:rsidRPr="00461D74">
        <w:rPr>
          <w:rFonts w:ascii="Garamond" w:hAnsi="Garamond"/>
          <w:sz w:val="24"/>
          <w:szCs w:val="24"/>
        </w:rPr>
        <w:t>debates between rival views in classical society?</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MacIntyre suggests that the incoherence between competing views in classical society was due to </w:t>
      </w:r>
      <w:r w:rsidR="009A7203" w:rsidRPr="00461D74">
        <w:rPr>
          <w:rFonts w:ascii="Garamond" w:hAnsi="Garamond"/>
          <w:sz w:val="24"/>
          <w:szCs w:val="24"/>
        </w:rPr>
        <w:t xml:space="preserve">a number of social transformations which emerged in </w:t>
      </w:r>
      <w:r w:rsidRPr="00461D74">
        <w:rPr>
          <w:rFonts w:ascii="Garamond" w:hAnsi="Garamond"/>
          <w:sz w:val="24"/>
          <w:szCs w:val="24"/>
        </w:rPr>
        <w:t xml:space="preserve">the transition from the Greece </w:t>
      </w:r>
      <w:r w:rsidR="009A7203" w:rsidRPr="00461D74">
        <w:rPr>
          <w:rFonts w:ascii="Garamond" w:hAnsi="Garamond"/>
          <w:sz w:val="24"/>
          <w:szCs w:val="24"/>
        </w:rPr>
        <w:t xml:space="preserve">depicted in </w:t>
      </w:r>
      <w:r w:rsidRPr="00461D74">
        <w:rPr>
          <w:rFonts w:ascii="Garamond" w:hAnsi="Garamond"/>
          <w:sz w:val="24"/>
          <w:szCs w:val="24"/>
        </w:rPr>
        <w:t>the Homeric Epics</w:t>
      </w:r>
      <w:r w:rsidR="009A7203" w:rsidRPr="00461D74">
        <w:rPr>
          <w:rFonts w:ascii="Garamond" w:hAnsi="Garamond"/>
          <w:sz w:val="24"/>
          <w:szCs w:val="24"/>
        </w:rPr>
        <w:t>,</w:t>
      </w:r>
      <w:r w:rsidRPr="00461D74">
        <w:rPr>
          <w:rFonts w:ascii="Garamond" w:hAnsi="Garamond"/>
          <w:sz w:val="24"/>
          <w:szCs w:val="24"/>
        </w:rPr>
        <w:t xml:space="preserve"> to </w:t>
      </w:r>
      <w:r w:rsidR="009A7203" w:rsidRPr="00461D74">
        <w:rPr>
          <w:rFonts w:ascii="Garamond" w:hAnsi="Garamond"/>
          <w:sz w:val="24"/>
          <w:szCs w:val="24"/>
        </w:rPr>
        <w:t xml:space="preserve">the Greece we find in the </w:t>
      </w:r>
      <w:r w:rsidRPr="00461D74">
        <w:rPr>
          <w:rFonts w:ascii="Garamond" w:hAnsi="Garamond"/>
          <w:sz w:val="24"/>
          <w:szCs w:val="24"/>
        </w:rPr>
        <w:t>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w:t>
      </w:r>
      <w:r w:rsidR="009A7203" w:rsidRPr="00461D74">
        <w:rPr>
          <w:rFonts w:ascii="Garamond" w:hAnsi="Garamond"/>
          <w:sz w:val="24"/>
          <w:szCs w:val="24"/>
        </w:rPr>
        <w:t xml:space="preserve">Now, in order for us </w:t>
      </w:r>
      <w:r w:rsidRPr="00461D74">
        <w:rPr>
          <w:rFonts w:ascii="Garamond" w:hAnsi="Garamond"/>
          <w:sz w:val="24"/>
          <w:szCs w:val="24"/>
        </w:rPr>
        <w:t>to understand the conflict</w:t>
      </w:r>
      <w:r w:rsidR="009A7203" w:rsidRPr="00461D74">
        <w:rPr>
          <w:rFonts w:ascii="Garamond" w:hAnsi="Garamond"/>
          <w:sz w:val="24"/>
          <w:szCs w:val="24"/>
        </w:rPr>
        <w:t>s</w:t>
      </w:r>
      <w:r w:rsidRPr="00461D74">
        <w:rPr>
          <w:rFonts w:ascii="Garamond" w:hAnsi="Garamond"/>
          <w:sz w:val="24"/>
          <w:szCs w:val="24"/>
        </w:rPr>
        <w:t xml:space="preserve"> between rival views in the classical period we have to first </w:t>
      </w:r>
      <w:r w:rsidR="009A7203" w:rsidRPr="00461D74">
        <w:rPr>
          <w:rFonts w:ascii="Garamond" w:hAnsi="Garamond"/>
          <w:sz w:val="24"/>
          <w:szCs w:val="24"/>
        </w:rPr>
        <w:t xml:space="preserve">identify </w:t>
      </w:r>
      <w:r w:rsidRPr="00461D74">
        <w:rPr>
          <w:rFonts w:ascii="Garamond" w:hAnsi="Garamond"/>
          <w:sz w:val="24"/>
          <w:szCs w:val="24"/>
        </w:rPr>
        <w:t>how these rival views emerged in the intervening period. Thus a sufficient knowledge of heroic society is indispensable for an appropriate comprehension of Athenian society of the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w:t>
      </w:r>
      <w:r w:rsidR="009A7203" w:rsidRPr="00461D74">
        <w:rPr>
          <w:rFonts w:ascii="Garamond" w:hAnsi="Garamond"/>
          <w:sz w:val="24"/>
          <w:szCs w:val="24"/>
        </w:rPr>
        <w:t xml:space="preserve">I should emphasize that on MacIntyre’s view, </w:t>
      </w:r>
      <w:r w:rsidR="00CE7D09" w:rsidRPr="00461D74">
        <w:rPr>
          <w:rFonts w:ascii="Garamond" w:hAnsi="Garamond"/>
          <w:sz w:val="24"/>
          <w:szCs w:val="24"/>
        </w:rPr>
        <w:t>the relevance of this historical review</w:t>
      </w:r>
      <w:r w:rsidR="009A7203" w:rsidRPr="00461D74">
        <w:rPr>
          <w:rFonts w:ascii="Garamond" w:hAnsi="Garamond"/>
          <w:sz w:val="24"/>
          <w:szCs w:val="24"/>
        </w:rPr>
        <w:t xml:space="preserve"> </w:t>
      </w:r>
      <w:r w:rsidRPr="00461D74">
        <w:rPr>
          <w:rFonts w:ascii="Garamond" w:hAnsi="Garamond"/>
          <w:sz w:val="24"/>
          <w:szCs w:val="24"/>
        </w:rPr>
        <w:t xml:space="preserve">is not </w:t>
      </w:r>
      <w:r w:rsidR="00700644">
        <w:rPr>
          <w:rFonts w:ascii="Garamond" w:hAnsi="Garamond"/>
          <w:sz w:val="24"/>
          <w:szCs w:val="24"/>
        </w:rPr>
        <w:t>dependent</w:t>
      </w:r>
      <w:r w:rsidR="00CE7D09" w:rsidRPr="00461D74">
        <w:rPr>
          <w:rFonts w:ascii="Garamond" w:hAnsi="Garamond"/>
          <w:sz w:val="24"/>
          <w:szCs w:val="24"/>
        </w:rPr>
        <w:t xml:space="preserve"> </w:t>
      </w:r>
      <w:r w:rsidR="00700644">
        <w:rPr>
          <w:rFonts w:ascii="Garamond" w:hAnsi="Garamond"/>
          <w:sz w:val="24"/>
          <w:szCs w:val="24"/>
        </w:rPr>
        <w:t xml:space="preserve">on </w:t>
      </w:r>
      <w:r w:rsidR="009A7203" w:rsidRPr="00461D74">
        <w:rPr>
          <w:rFonts w:ascii="Garamond" w:hAnsi="Garamond"/>
          <w:sz w:val="24"/>
          <w:szCs w:val="24"/>
        </w:rPr>
        <w:t xml:space="preserve">the accuracy of </w:t>
      </w:r>
      <w:r w:rsidRPr="00461D74">
        <w:rPr>
          <w:rFonts w:ascii="Garamond" w:hAnsi="Garamond"/>
          <w:sz w:val="24"/>
          <w:szCs w:val="24"/>
        </w:rPr>
        <w:t>the Homeric Epics in</w:t>
      </w:r>
      <w:r w:rsidR="009A7203" w:rsidRPr="00461D74">
        <w:rPr>
          <w:rFonts w:ascii="Garamond" w:hAnsi="Garamond"/>
          <w:sz w:val="24"/>
          <w:szCs w:val="24"/>
        </w:rPr>
        <w:t xml:space="preserve"> their representation o</w:t>
      </w:r>
      <w:r w:rsidR="003769EB" w:rsidRPr="00461D74">
        <w:rPr>
          <w:rFonts w:ascii="Garamond" w:hAnsi="Garamond"/>
          <w:sz w:val="24"/>
          <w:szCs w:val="24"/>
        </w:rPr>
        <w:t>f</w:t>
      </w:r>
      <w:r w:rsidR="009A7203" w:rsidRPr="00461D74">
        <w:rPr>
          <w:rFonts w:ascii="Garamond" w:hAnsi="Garamond"/>
          <w:sz w:val="24"/>
          <w:szCs w:val="24"/>
        </w:rPr>
        <w:t xml:space="preserve"> </w:t>
      </w:r>
      <w:r w:rsidRPr="00461D74">
        <w:rPr>
          <w:rFonts w:ascii="Garamond" w:hAnsi="Garamond"/>
          <w:sz w:val="24"/>
          <w:szCs w:val="24"/>
        </w:rPr>
        <w:t xml:space="preserve">bronze age (pre-archaic) Greece </w:t>
      </w:r>
      <w:r w:rsidR="00CE7D09" w:rsidRPr="00461D74">
        <w:rPr>
          <w:rFonts w:ascii="Garamond" w:hAnsi="Garamond"/>
          <w:sz w:val="24"/>
          <w:szCs w:val="24"/>
        </w:rPr>
        <w:t xml:space="preserve">– it is </w:t>
      </w:r>
      <w:r w:rsidRPr="00461D74">
        <w:rPr>
          <w:rFonts w:ascii="Garamond" w:hAnsi="Garamond"/>
          <w:sz w:val="24"/>
          <w:szCs w:val="24"/>
        </w:rPr>
        <w:t>rather</w:t>
      </w:r>
      <w:r w:rsidR="00CE7D09" w:rsidRPr="00461D74">
        <w:rPr>
          <w:rFonts w:ascii="Garamond" w:hAnsi="Garamond"/>
          <w:sz w:val="24"/>
          <w:szCs w:val="24"/>
        </w:rPr>
        <w:t xml:space="preserve"> </w:t>
      </w:r>
      <w:r w:rsidRPr="00461D74">
        <w:rPr>
          <w:rFonts w:ascii="Garamond" w:hAnsi="Garamond"/>
          <w:sz w:val="24"/>
          <w:szCs w:val="24"/>
        </w:rPr>
        <w:t>because classical (Athenian) society of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defined itself in terms of its relationship to that real (or mythic) past.</w:t>
      </w:r>
      <w:r w:rsidRPr="00461D74">
        <w:rPr>
          <w:rStyle w:val="FootnoteReference"/>
          <w:rFonts w:ascii="Garamond" w:hAnsi="Garamond"/>
          <w:sz w:val="24"/>
          <w:szCs w:val="24"/>
        </w:rPr>
        <w:footnoteReference w:id="52"/>
      </w:r>
      <w:r w:rsidR="001915CE" w:rsidRPr="00461D74">
        <w:rPr>
          <w:rFonts w:ascii="Garamond" w:hAnsi="Garamond"/>
          <w:sz w:val="24"/>
          <w:szCs w:val="24"/>
        </w:rPr>
        <w:t xml:space="preserve"> </w:t>
      </w:r>
      <w:r w:rsidRPr="00461D74">
        <w:rPr>
          <w:rFonts w:ascii="Garamond" w:hAnsi="Garamond"/>
          <w:sz w:val="24"/>
          <w:szCs w:val="24"/>
        </w:rPr>
        <w:t xml:space="preserve">So what is the structure of morality in heroic society rendered in Homer’s Epics? MacIntyre states that </w:t>
      </w:r>
    </w:p>
    <w:p w:rsidR="00016049" w:rsidRPr="00461D74" w:rsidRDefault="00016049" w:rsidP="00164E4D">
      <w:pPr>
        <w:spacing w:line="360" w:lineRule="auto"/>
        <w:ind w:left="1440"/>
        <w:jc w:val="both"/>
        <w:rPr>
          <w:rFonts w:ascii="Garamond" w:hAnsi="Garamond"/>
        </w:rPr>
      </w:pPr>
      <w:r w:rsidRPr="00461D74">
        <w:rPr>
          <w:rFonts w:ascii="Garamond" w:hAnsi="Garamond"/>
        </w:rPr>
        <w:lastRenderedPageBreak/>
        <w:t>“</w:t>
      </w:r>
      <w:proofErr w:type="gramStart"/>
      <w:r w:rsidRPr="00461D74">
        <w:rPr>
          <w:rFonts w:ascii="Garamond" w:hAnsi="Garamond"/>
        </w:rPr>
        <w:t>any</w:t>
      </w:r>
      <w:proofErr w:type="gramEnd"/>
      <w:r w:rsidRPr="00461D74">
        <w:rPr>
          <w:rFonts w:ascii="Garamond" w:hAnsi="Garamond"/>
        </w:rPr>
        <w:t xml:space="preserve"> adequate account of the virtues in heroic society would be impossible which divorced them from their context in its social structure, just as no adequate account of the social structure of heroic society would be possible which did not include an account of the heroic virtues. But to put it in this way is to understate the crucial point:</w:t>
      </w:r>
      <w:r w:rsidRPr="00461D74">
        <w:rPr>
          <w:rStyle w:val="fontstyle01"/>
          <w:rFonts w:ascii="Garamond" w:hAnsi="Garamond"/>
        </w:rPr>
        <w:t xml:space="preserve"> </w:t>
      </w:r>
      <w:r w:rsidRPr="00461D74">
        <w:rPr>
          <w:rFonts w:ascii="Garamond" w:hAnsi="Garamond"/>
        </w:rPr>
        <w:t>morality and social structure are in fact one and the same in heroic society. There is only one set of social bonds. Morality as something distinct does not yet exist. Evaluative questions are questions of social facts.”</w:t>
      </w:r>
      <w:r w:rsidRPr="00461D74">
        <w:rPr>
          <w:rStyle w:val="FootnoteReference"/>
          <w:rFonts w:ascii="Garamond" w:hAnsi="Garamond"/>
        </w:rPr>
        <w:footnoteReference w:id="53"/>
      </w:r>
      <w:r w:rsidRPr="00461D74">
        <w:rPr>
          <w:rFonts w:ascii="Garamond" w:hAnsi="Garamond"/>
        </w:rPr>
        <w:t xml:space="preserve"> </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A person in heroic society owes, and is in turn owed, certain obligations in virtue of her place in the hierarchical social structure. Morality thus conceived is a question of social fact. Nonetheless, the transition from bronze</w:t>
      </w:r>
      <w:r w:rsidR="006767CE" w:rsidRPr="00461D74">
        <w:rPr>
          <w:rFonts w:ascii="Garamond" w:hAnsi="Garamond"/>
          <w:sz w:val="24"/>
          <w:szCs w:val="24"/>
        </w:rPr>
        <w:t>-</w:t>
      </w:r>
      <w:r w:rsidRPr="00461D74">
        <w:rPr>
          <w:rFonts w:ascii="Garamond" w:hAnsi="Garamond"/>
          <w:sz w:val="24"/>
          <w:szCs w:val="24"/>
        </w:rPr>
        <w:t>age Greece represented in Homeric epics, to the Athenian society of the 5</w:t>
      </w:r>
      <w:r w:rsidRPr="00461D74">
        <w:rPr>
          <w:rFonts w:ascii="Garamond" w:hAnsi="Garamond"/>
          <w:sz w:val="24"/>
          <w:szCs w:val="24"/>
          <w:vertAlign w:val="superscript"/>
        </w:rPr>
        <w:t>th</w:t>
      </w:r>
      <w:r w:rsidRPr="00461D74">
        <w:rPr>
          <w:rFonts w:ascii="Garamond" w:hAnsi="Garamond"/>
          <w:sz w:val="24"/>
          <w:szCs w:val="24"/>
        </w:rPr>
        <w:t xml:space="preserve"> century BCE</w:t>
      </w:r>
      <w:r w:rsidR="00076028" w:rsidRPr="00461D74">
        <w:rPr>
          <w:rFonts w:ascii="Garamond" w:hAnsi="Garamond"/>
          <w:sz w:val="24"/>
          <w:szCs w:val="24"/>
        </w:rPr>
        <w:t>,</w:t>
      </w:r>
      <w:r w:rsidRPr="00461D74">
        <w:rPr>
          <w:rFonts w:ascii="Garamond" w:hAnsi="Garamond"/>
          <w:sz w:val="24"/>
          <w:szCs w:val="24"/>
        </w:rPr>
        <w:t xml:space="preserve"> upended </w:t>
      </w:r>
      <w:r w:rsidR="00D378D7" w:rsidRPr="00461D74">
        <w:rPr>
          <w:rFonts w:ascii="Garamond" w:hAnsi="Garamond"/>
          <w:sz w:val="24"/>
          <w:szCs w:val="24"/>
        </w:rPr>
        <w:t xml:space="preserve">this </w:t>
      </w:r>
      <w:r w:rsidRPr="00461D74">
        <w:rPr>
          <w:rFonts w:ascii="Garamond" w:hAnsi="Garamond"/>
          <w:sz w:val="24"/>
          <w:szCs w:val="24"/>
        </w:rPr>
        <w:t>relationship because the heroic social structure – which was grounded in the bonds of kinship –</w:t>
      </w:r>
      <w:r w:rsidR="00076028" w:rsidRPr="00461D74">
        <w:rPr>
          <w:rFonts w:ascii="Garamond" w:hAnsi="Garamond"/>
          <w:sz w:val="24"/>
          <w:szCs w:val="24"/>
        </w:rPr>
        <w:t xml:space="preserve"> </w:t>
      </w:r>
      <w:r w:rsidRPr="00461D74">
        <w:rPr>
          <w:rFonts w:ascii="Garamond" w:hAnsi="Garamond"/>
          <w:sz w:val="24"/>
          <w:szCs w:val="24"/>
        </w:rPr>
        <w:t xml:space="preserve">ceased to exist. </w:t>
      </w:r>
      <w:r w:rsidR="00B860C0" w:rsidRPr="00461D74">
        <w:rPr>
          <w:rFonts w:ascii="Garamond" w:hAnsi="Garamond"/>
          <w:sz w:val="24"/>
          <w:szCs w:val="24"/>
        </w:rPr>
        <w:t>Thus, d</w:t>
      </w:r>
      <w:r w:rsidRPr="00461D74">
        <w:rPr>
          <w:rFonts w:ascii="Garamond" w:hAnsi="Garamond"/>
          <w:sz w:val="24"/>
          <w:szCs w:val="24"/>
        </w:rPr>
        <w:t xml:space="preserve">uring </w:t>
      </w:r>
      <w:r w:rsidR="00B860C0" w:rsidRPr="00461D74">
        <w:rPr>
          <w:rFonts w:ascii="Garamond" w:hAnsi="Garamond"/>
          <w:sz w:val="24"/>
          <w:szCs w:val="24"/>
        </w:rPr>
        <w:t xml:space="preserve">the </w:t>
      </w:r>
      <w:r w:rsidRPr="00461D74">
        <w:rPr>
          <w:rFonts w:ascii="Garamond" w:hAnsi="Garamond"/>
          <w:sz w:val="24"/>
          <w:szCs w:val="24"/>
        </w:rPr>
        <w:t>transition from heroic society to Athens of the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w:t>
      </w:r>
      <w:r w:rsidR="009B0761" w:rsidRPr="00461D74">
        <w:rPr>
          <w:rFonts w:ascii="Garamond" w:hAnsi="Garamond"/>
          <w:sz w:val="24"/>
          <w:szCs w:val="24"/>
        </w:rPr>
        <w:t>,</w:t>
      </w:r>
      <w:r w:rsidRPr="00461D74">
        <w:rPr>
          <w:rFonts w:ascii="Garamond" w:hAnsi="Garamond"/>
          <w:sz w:val="24"/>
          <w:szCs w:val="24"/>
        </w:rPr>
        <w:t xml:space="preserve"> the bond</w:t>
      </w:r>
      <w:r w:rsidR="00B860C0" w:rsidRPr="00461D74">
        <w:rPr>
          <w:rFonts w:ascii="Garamond" w:hAnsi="Garamond"/>
          <w:sz w:val="24"/>
          <w:szCs w:val="24"/>
        </w:rPr>
        <w:t>s</w:t>
      </w:r>
      <w:r w:rsidRPr="00461D74">
        <w:rPr>
          <w:rFonts w:ascii="Garamond" w:hAnsi="Garamond"/>
          <w:sz w:val="24"/>
          <w:szCs w:val="24"/>
        </w:rPr>
        <w:t xml:space="preserve"> of kinship </w:t>
      </w:r>
      <w:r w:rsidR="00B860C0" w:rsidRPr="00461D74">
        <w:rPr>
          <w:rFonts w:ascii="Garamond" w:hAnsi="Garamond"/>
          <w:sz w:val="24"/>
          <w:szCs w:val="24"/>
        </w:rPr>
        <w:t xml:space="preserve">were </w:t>
      </w:r>
      <w:r w:rsidRPr="00461D74">
        <w:rPr>
          <w:rFonts w:ascii="Garamond" w:hAnsi="Garamond"/>
          <w:sz w:val="24"/>
          <w:szCs w:val="24"/>
        </w:rPr>
        <w:t>transformed</w:t>
      </w:r>
      <w:r w:rsidR="00B860C0" w:rsidRPr="00461D74">
        <w:rPr>
          <w:rFonts w:ascii="Garamond" w:hAnsi="Garamond"/>
          <w:sz w:val="24"/>
          <w:szCs w:val="24"/>
        </w:rPr>
        <w:t>;</w:t>
      </w:r>
      <w:r w:rsidR="009B0761" w:rsidRPr="00461D74">
        <w:rPr>
          <w:rFonts w:ascii="Garamond" w:hAnsi="Garamond"/>
          <w:sz w:val="24"/>
          <w:szCs w:val="24"/>
        </w:rPr>
        <w:t xml:space="preserve"> </w:t>
      </w:r>
      <w:r w:rsidR="00B860C0" w:rsidRPr="00461D74">
        <w:rPr>
          <w:rFonts w:ascii="Garamond" w:hAnsi="Garamond"/>
          <w:sz w:val="24"/>
          <w:szCs w:val="24"/>
        </w:rPr>
        <w:t xml:space="preserve">moreover, the newly emerging social bonds </w:t>
      </w:r>
      <w:r w:rsidRPr="00461D74">
        <w:rPr>
          <w:rFonts w:ascii="Garamond" w:hAnsi="Garamond"/>
          <w:sz w:val="24"/>
          <w:szCs w:val="24"/>
        </w:rPr>
        <w:t xml:space="preserve">were no longer the same as those in </w:t>
      </w:r>
      <w:r w:rsidR="00076028" w:rsidRPr="00461D74">
        <w:rPr>
          <w:rFonts w:ascii="Garamond" w:hAnsi="Garamond"/>
          <w:sz w:val="24"/>
          <w:szCs w:val="24"/>
        </w:rPr>
        <w:t xml:space="preserve">the </w:t>
      </w:r>
      <w:r w:rsidRPr="00461D74">
        <w:rPr>
          <w:rFonts w:ascii="Garamond" w:hAnsi="Garamond"/>
          <w:sz w:val="24"/>
          <w:szCs w:val="24"/>
        </w:rPr>
        <w:t>soci</w:t>
      </w:r>
      <w:r w:rsidR="00B860C0" w:rsidRPr="00461D74">
        <w:rPr>
          <w:rFonts w:ascii="Garamond" w:hAnsi="Garamond"/>
          <w:sz w:val="24"/>
          <w:szCs w:val="24"/>
        </w:rPr>
        <w:t xml:space="preserve">al order </w:t>
      </w:r>
      <w:r w:rsidR="00076028" w:rsidRPr="00461D74">
        <w:rPr>
          <w:rFonts w:ascii="Garamond" w:hAnsi="Garamond"/>
          <w:sz w:val="24"/>
          <w:szCs w:val="24"/>
        </w:rPr>
        <w:t>depicted by Homer</w:t>
      </w:r>
      <w:r w:rsidRPr="00461D74">
        <w:rPr>
          <w:rFonts w:ascii="Garamond" w:hAnsi="Garamond"/>
          <w:sz w:val="24"/>
          <w:szCs w:val="24"/>
        </w:rPr>
        <w:t xml:space="preserve">, and the social structure of Athenian democracy itself </w:t>
      </w:r>
      <w:r w:rsidR="00B860C0" w:rsidRPr="00461D74">
        <w:rPr>
          <w:rFonts w:ascii="Garamond" w:hAnsi="Garamond"/>
          <w:sz w:val="24"/>
          <w:szCs w:val="24"/>
        </w:rPr>
        <w:t xml:space="preserve">more and more came to </w:t>
      </w:r>
      <w:r w:rsidRPr="00461D74">
        <w:rPr>
          <w:rFonts w:ascii="Garamond" w:hAnsi="Garamond"/>
          <w:sz w:val="24"/>
          <w:szCs w:val="24"/>
        </w:rPr>
        <w:t>promote a new set of social bonds</w:t>
      </w:r>
      <w:r w:rsidR="00076028" w:rsidRPr="00461D74">
        <w:rPr>
          <w:rFonts w:ascii="Garamond" w:hAnsi="Garamond"/>
          <w:sz w:val="24"/>
          <w:szCs w:val="24"/>
        </w:rPr>
        <w:t xml:space="preserve"> </w:t>
      </w:r>
      <w:r w:rsidR="00B860C0" w:rsidRPr="00461D74">
        <w:rPr>
          <w:rFonts w:ascii="Garamond" w:hAnsi="Garamond"/>
          <w:sz w:val="24"/>
          <w:szCs w:val="24"/>
        </w:rPr>
        <w:t xml:space="preserve">– </w:t>
      </w:r>
      <w:r w:rsidR="00076028" w:rsidRPr="00461D74">
        <w:rPr>
          <w:rFonts w:ascii="Garamond" w:hAnsi="Garamond"/>
          <w:sz w:val="24"/>
          <w:szCs w:val="24"/>
        </w:rPr>
        <w:t>namely,</w:t>
      </w:r>
      <w:r w:rsidRPr="00461D74">
        <w:rPr>
          <w:rFonts w:ascii="Garamond" w:hAnsi="Garamond"/>
          <w:sz w:val="24"/>
          <w:szCs w:val="24"/>
        </w:rPr>
        <w:t xml:space="preserve"> the idea of citizenship.</w:t>
      </w:r>
      <w:r w:rsidRPr="00461D74">
        <w:rPr>
          <w:rStyle w:val="FootnoteReference"/>
          <w:rFonts w:ascii="Garamond" w:hAnsi="Garamond"/>
          <w:sz w:val="24"/>
          <w:szCs w:val="24"/>
        </w:rPr>
        <w:footnoteReference w:id="54"/>
      </w:r>
      <w:r w:rsidRPr="00461D74" w:rsidDel="002B6AE4">
        <w:rPr>
          <w:rFonts w:ascii="Garamond" w:hAnsi="Garamond"/>
          <w:sz w:val="24"/>
          <w:szCs w:val="24"/>
        </w:rPr>
        <w:t xml:space="preserve"> </w:t>
      </w:r>
      <w:r w:rsidRPr="00461D74">
        <w:rPr>
          <w:rFonts w:ascii="Garamond" w:hAnsi="Garamond"/>
          <w:sz w:val="24"/>
          <w:szCs w:val="24"/>
        </w:rPr>
        <w:t>Second, what followed from these events is that the conception of the virtues established by the place of an individual in the social hierarchy had become detached from any social role.</w:t>
      </w:r>
      <w:r w:rsidRPr="00461D74">
        <w:rPr>
          <w:rStyle w:val="FootnoteReference"/>
          <w:rFonts w:ascii="Garamond" w:hAnsi="Garamond"/>
          <w:sz w:val="24"/>
          <w:szCs w:val="24"/>
        </w:rPr>
        <w:footnoteReference w:id="55"/>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At this </w:t>
      </w:r>
      <w:r w:rsidR="00076028" w:rsidRPr="00461D74">
        <w:rPr>
          <w:rFonts w:ascii="Garamond" w:hAnsi="Garamond"/>
          <w:sz w:val="24"/>
          <w:szCs w:val="24"/>
        </w:rPr>
        <w:t xml:space="preserve">point, </w:t>
      </w:r>
      <w:r w:rsidRPr="00461D74">
        <w:rPr>
          <w:rFonts w:ascii="Garamond" w:hAnsi="Garamond"/>
          <w:sz w:val="24"/>
          <w:szCs w:val="24"/>
        </w:rPr>
        <w:t xml:space="preserve">we can identify the third hypothesis (H3) that MacIntyre is positing: </w:t>
      </w:r>
      <w:r w:rsidR="00F152B3" w:rsidRPr="00461D74">
        <w:rPr>
          <w:rFonts w:ascii="Garamond" w:hAnsi="Garamond"/>
          <w:i/>
          <w:sz w:val="24"/>
          <w:szCs w:val="24"/>
        </w:rPr>
        <w:t>the change in the Hellenic social structure from the earlier Heroic period, to that of 4</w:t>
      </w:r>
      <w:r w:rsidR="00F152B3" w:rsidRPr="00461D74">
        <w:rPr>
          <w:rFonts w:ascii="Garamond" w:hAnsi="Garamond"/>
          <w:i/>
          <w:sz w:val="24"/>
          <w:szCs w:val="24"/>
          <w:vertAlign w:val="superscript"/>
        </w:rPr>
        <w:t>th</w:t>
      </w:r>
      <w:r w:rsidR="00F152B3" w:rsidRPr="00461D74">
        <w:rPr>
          <w:rFonts w:ascii="Garamond" w:hAnsi="Garamond"/>
          <w:i/>
          <w:sz w:val="24"/>
          <w:szCs w:val="24"/>
        </w:rPr>
        <w:t>-5</w:t>
      </w:r>
      <w:r w:rsidR="00F152B3" w:rsidRPr="00461D74">
        <w:rPr>
          <w:rFonts w:ascii="Garamond" w:hAnsi="Garamond"/>
          <w:i/>
          <w:sz w:val="24"/>
          <w:szCs w:val="24"/>
          <w:vertAlign w:val="superscript"/>
        </w:rPr>
        <w:t>th</w:t>
      </w:r>
      <w:r w:rsidR="00F152B3" w:rsidRPr="00461D74">
        <w:rPr>
          <w:rFonts w:ascii="Garamond" w:hAnsi="Garamond"/>
          <w:i/>
          <w:sz w:val="24"/>
          <w:szCs w:val="24"/>
        </w:rPr>
        <w:t xml:space="preserve"> century BCE Athens, was precipitated by the historical transition which gradually dissolved and transformed the social bonds and practices of the earlier period</w:t>
      </w:r>
      <w:r w:rsidRPr="00461D74">
        <w:rPr>
          <w:rFonts w:ascii="Garamond" w:hAnsi="Garamond"/>
          <w:sz w:val="24"/>
          <w:szCs w:val="24"/>
        </w:rPr>
        <w:t>.</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lastRenderedPageBreak/>
        <w:tab/>
      </w:r>
      <w:r w:rsidR="00076028" w:rsidRPr="00461D74">
        <w:rPr>
          <w:rFonts w:ascii="Garamond" w:hAnsi="Garamond"/>
          <w:sz w:val="24"/>
          <w:szCs w:val="24"/>
        </w:rPr>
        <w:t>For MacIntyre, t</w:t>
      </w:r>
      <w:r w:rsidRPr="00461D74">
        <w:rPr>
          <w:rFonts w:ascii="Garamond" w:hAnsi="Garamond"/>
          <w:sz w:val="24"/>
          <w:szCs w:val="24"/>
        </w:rPr>
        <w:t xml:space="preserve">he tragedies depicted by Sophocles gave expression to the conflicts that emerged from the loosening of Homeric social bonds of kinship, and the loss of the strict hierarchal social structure of heroic society. On MacIntyre’s account, Sophocles in </w:t>
      </w:r>
      <w:r w:rsidR="00B860C0" w:rsidRPr="00461D74">
        <w:rPr>
          <w:rFonts w:ascii="Garamond" w:hAnsi="Garamond"/>
          <w:sz w:val="24"/>
          <w:szCs w:val="24"/>
        </w:rPr>
        <w:t xml:space="preserve">his play </w:t>
      </w:r>
      <w:proofErr w:type="spellStart"/>
      <w:proofErr w:type="gramStart"/>
      <w:r w:rsidRPr="00461D74">
        <w:rPr>
          <w:rFonts w:ascii="Garamond" w:hAnsi="Garamond"/>
          <w:sz w:val="24"/>
          <w:szCs w:val="24"/>
        </w:rPr>
        <w:t>Philoctetes</w:t>
      </w:r>
      <w:proofErr w:type="spellEnd"/>
      <w:r w:rsidR="00B860C0" w:rsidRPr="00461D74">
        <w:rPr>
          <w:rFonts w:ascii="Garamond" w:hAnsi="Garamond"/>
          <w:sz w:val="24"/>
          <w:szCs w:val="24"/>
        </w:rPr>
        <w:t>,</w:t>
      </w:r>
      <w:proofErr w:type="gramEnd"/>
      <w:r w:rsidRPr="00461D74">
        <w:rPr>
          <w:rFonts w:ascii="Garamond" w:hAnsi="Garamond"/>
          <w:sz w:val="24"/>
          <w:szCs w:val="24"/>
        </w:rPr>
        <w:t xml:space="preserve"> utilises </w:t>
      </w:r>
      <w:r w:rsidR="00B860C0" w:rsidRPr="00461D74">
        <w:rPr>
          <w:rFonts w:ascii="Garamond" w:hAnsi="Garamond"/>
          <w:sz w:val="24"/>
          <w:szCs w:val="24"/>
        </w:rPr>
        <w:t xml:space="preserve">the characters of </w:t>
      </w:r>
      <w:r w:rsidRPr="00461D74">
        <w:rPr>
          <w:rFonts w:ascii="Garamond" w:hAnsi="Garamond"/>
          <w:sz w:val="24"/>
          <w:szCs w:val="24"/>
        </w:rPr>
        <w:t xml:space="preserve">Odysseus and </w:t>
      </w:r>
      <w:proofErr w:type="spellStart"/>
      <w:r w:rsidRPr="00461D74">
        <w:rPr>
          <w:rFonts w:ascii="Garamond" w:hAnsi="Garamond"/>
          <w:sz w:val="24"/>
          <w:szCs w:val="24"/>
        </w:rPr>
        <w:t>Neoptolemus</w:t>
      </w:r>
      <w:proofErr w:type="spellEnd"/>
      <w:r w:rsidRPr="00461D74">
        <w:rPr>
          <w:rFonts w:ascii="Garamond" w:hAnsi="Garamond"/>
          <w:sz w:val="24"/>
          <w:szCs w:val="24"/>
        </w:rPr>
        <w:t xml:space="preserve"> to confront us with rival standards of behaviour. On the one hand, </w:t>
      </w:r>
      <w:proofErr w:type="spellStart"/>
      <w:r w:rsidRPr="00461D74">
        <w:rPr>
          <w:rFonts w:ascii="Garamond" w:hAnsi="Garamond"/>
          <w:sz w:val="24"/>
          <w:szCs w:val="24"/>
        </w:rPr>
        <w:t>Neoptolemus</w:t>
      </w:r>
      <w:proofErr w:type="spellEnd"/>
      <w:r w:rsidRPr="00461D74">
        <w:rPr>
          <w:rFonts w:ascii="Garamond" w:hAnsi="Garamond"/>
          <w:sz w:val="24"/>
          <w:szCs w:val="24"/>
        </w:rPr>
        <w:t xml:space="preserve"> is keenly aware of the injustice that </w:t>
      </w:r>
      <w:proofErr w:type="spellStart"/>
      <w:r w:rsidRPr="00461D74">
        <w:rPr>
          <w:rFonts w:ascii="Garamond" w:hAnsi="Garamond"/>
          <w:sz w:val="24"/>
          <w:szCs w:val="24"/>
        </w:rPr>
        <w:t>Philoctetes</w:t>
      </w:r>
      <w:proofErr w:type="spellEnd"/>
      <w:r w:rsidRPr="00461D74">
        <w:rPr>
          <w:rFonts w:ascii="Garamond" w:hAnsi="Garamond"/>
          <w:sz w:val="24"/>
          <w:szCs w:val="24"/>
        </w:rPr>
        <w:t xml:space="preserve"> will suffer</w:t>
      </w:r>
      <w:r w:rsidR="00B860C0" w:rsidRPr="00461D74">
        <w:rPr>
          <w:rFonts w:ascii="Garamond" w:hAnsi="Garamond"/>
          <w:sz w:val="24"/>
          <w:szCs w:val="24"/>
        </w:rPr>
        <w:t>, as a consequence of</w:t>
      </w:r>
      <w:r w:rsidRPr="00461D74">
        <w:rPr>
          <w:rFonts w:ascii="Garamond" w:hAnsi="Garamond"/>
          <w:sz w:val="24"/>
          <w:szCs w:val="24"/>
        </w:rPr>
        <w:t xml:space="preserve"> the cunning</w:t>
      </w:r>
      <w:r w:rsidR="00B860C0" w:rsidRPr="00461D74">
        <w:rPr>
          <w:rFonts w:ascii="Garamond" w:hAnsi="Garamond"/>
          <w:sz w:val="24"/>
          <w:szCs w:val="24"/>
        </w:rPr>
        <w:t xml:space="preserve"> ruse contrived by </w:t>
      </w:r>
      <w:r w:rsidR="00235713" w:rsidRPr="00461D74">
        <w:rPr>
          <w:rFonts w:ascii="Garamond" w:hAnsi="Garamond"/>
          <w:sz w:val="24"/>
          <w:szCs w:val="24"/>
        </w:rPr>
        <w:t xml:space="preserve">his friend </w:t>
      </w:r>
      <w:r w:rsidR="00B860C0" w:rsidRPr="00461D74">
        <w:rPr>
          <w:rFonts w:ascii="Garamond" w:hAnsi="Garamond"/>
          <w:sz w:val="24"/>
          <w:szCs w:val="24"/>
        </w:rPr>
        <w:t>Odysseus which</w:t>
      </w:r>
      <w:r w:rsidRPr="00461D74">
        <w:rPr>
          <w:rFonts w:ascii="Garamond" w:hAnsi="Garamond"/>
          <w:sz w:val="24"/>
          <w:szCs w:val="24"/>
        </w:rPr>
        <w:t xml:space="preserve"> </w:t>
      </w:r>
      <w:r w:rsidR="00B860C0" w:rsidRPr="00461D74">
        <w:rPr>
          <w:rFonts w:ascii="Garamond" w:hAnsi="Garamond"/>
          <w:sz w:val="24"/>
          <w:szCs w:val="24"/>
        </w:rPr>
        <w:t xml:space="preserve">on </w:t>
      </w:r>
      <w:r w:rsidR="00235713" w:rsidRPr="00461D74">
        <w:rPr>
          <w:rFonts w:ascii="Garamond" w:hAnsi="Garamond"/>
          <w:sz w:val="24"/>
          <w:szCs w:val="24"/>
        </w:rPr>
        <w:t xml:space="preserve">the view of </w:t>
      </w:r>
      <w:proofErr w:type="spellStart"/>
      <w:r w:rsidR="00235713" w:rsidRPr="00461D74">
        <w:rPr>
          <w:rFonts w:ascii="Garamond" w:hAnsi="Garamond"/>
          <w:sz w:val="24"/>
          <w:szCs w:val="24"/>
        </w:rPr>
        <w:t>Neoptolemus</w:t>
      </w:r>
      <w:proofErr w:type="spellEnd"/>
      <w:r w:rsidR="00235713" w:rsidRPr="00461D74">
        <w:rPr>
          <w:rFonts w:ascii="Garamond" w:hAnsi="Garamond"/>
          <w:sz w:val="24"/>
          <w:szCs w:val="24"/>
        </w:rPr>
        <w:t xml:space="preserve"> is an </w:t>
      </w:r>
      <w:r w:rsidR="00B860C0" w:rsidRPr="00461D74">
        <w:rPr>
          <w:rFonts w:ascii="Garamond" w:hAnsi="Garamond"/>
          <w:sz w:val="24"/>
          <w:szCs w:val="24"/>
        </w:rPr>
        <w:t>intentional</w:t>
      </w:r>
      <w:r w:rsidR="000457D3" w:rsidRPr="00461D74">
        <w:rPr>
          <w:rFonts w:ascii="Garamond" w:hAnsi="Garamond"/>
          <w:sz w:val="24"/>
          <w:szCs w:val="24"/>
        </w:rPr>
        <w:t xml:space="preserve"> </w:t>
      </w:r>
      <w:r w:rsidRPr="00461D74">
        <w:rPr>
          <w:rFonts w:ascii="Garamond" w:hAnsi="Garamond"/>
          <w:sz w:val="24"/>
          <w:szCs w:val="24"/>
        </w:rPr>
        <w:t xml:space="preserve">dishonourable action of his friend. On the other hand, </w:t>
      </w:r>
      <w:r w:rsidR="00235713" w:rsidRPr="00461D74">
        <w:rPr>
          <w:rFonts w:ascii="Garamond" w:hAnsi="Garamond"/>
          <w:sz w:val="24"/>
          <w:szCs w:val="24"/>
        </w:rPr>
        <w:t xml:space="preserve">the character of </w:t>
      </w:r>
      <w:r w:rsidRPr="00461D74">
        <w:rPr>
          <w:rFonts w:ascii="Garamond" w:hAnsi="Garamond"/>
          <w:sz w:val="24"/>
          <w:szCs w:val="24"/>
        </w:rPr>
        <w:t xml:space="preserve">Odysseus </w:t>
      </w:r>
      <w:r w:rsidR="00D844A2">
        <w:rPr>
          <w:rFonts w:ascii="Garamond" w:hAnsi="Garamond"/>
          <w:sz w:val="24"/>
          <w:szCs w:val="24"/>
        </w:rPr>
        <w:t>displays for</w:t>
      </w:r>
      <w:r w:rsidR="00D844A2" w:rsidRPr="00461D74">
        <w:rPr>
          <w:rFonts w:ascii="Garamond" w:hAnsi="Garamond"/>
          <w:sz w:val="24"/>
          <w:szCs w:val="24"/>
        </w:rPr>
        <w:t xml:space="preserve"> </w:t>
      </w:r>
      <w:r w:rsidRPr="00461D74">
        <w:rPr>
          <w:rFonts w:ascii="Garamond" w:hAnsi="Garamond"/>
          <w:sz w:val="24"/>
          <w:szCs w:val="24"/>
        </w:rPr>
        <w:t xml:space="preserve">us </w:t>
      </w:r>
      <w:r w:rsidR="00235713" w:rsidRPr="00461D74">
        <w:rPr>
          <w:rFonts w:ascii="Garamond" w:hAnsi="Garamond"/>
          <w:sz w:val="24"/>
          <w:szCs w:val="24"/>
        </w:rPr>
        <w:t xml:space="preserve">those </w:t>
      </w:r>
      <w:r w:rsidRPr="00461D74">
        <w:rPr>
          <w:rFonts w:ascii="Garamond" w:hAnsi="Garamond"/>
          <w:sz w:val="24"/>
          <w:szCs w:val="24"/>
        </w:rPr>
        <w:t xml:space="preserve">standards of virtue (and success) which are present in Homer’s Odyssey – that of </w:t>
      </w:r>
      <w:r w:rsidR="00235713" w:rsidRPr="00461D74">
        <w:rPr>
          <w:rFonts w:ascii="Garamond" w:hAnsi="Garamond"/>
          <w:sz w:val="24"/>
          <w:szCs w:val="24"/>
        </w:rPr>
        <w:t>benefiting</w:t>
      </w:r>
      <w:r w:rsidRPr="00461D74">
        <w:rPr>
          <w:rFonts w:ascii="Garamond" w:hAnsi="Garamond"/>
          <w:sz w:val="24"/>
          <w:szCs w:val="24"/>
        </w:rPr>
        <w:t xml:space="preserve"> one’s friend or kin</w:t>
      </w:r>
      <w:r w:rsidR="00235713" w:rsidRPr="00461D74">
        <w:rPr>
          <w:rFonts w:ascii="Garamond" w:hAnsi="Garamond"/>
          <w:sz w:val="24"/>
          <w:szCs w:val="24"/>
        </w:rPr>
        <w:t>,</w:t>
      </w:r>
      <w:r w:rsidRPr="00461D74">
        <w:rPr>
          <w:rFonts w:ascii="Garamond" w:hAnsi="Garamond"/>
          <w:sz w:val="24"/>
          <w:szCs w:val="24"/>
        </w:rPr>
        <w:t xml:space="preserve"> and </w:t>
      </w:r>
      <w:r w:rsidR="00235713" w:rsidRPr="00461D74">
        <w:rPr>
          <w:rFonts w:ascii="Garamond" w:hAnsi="Garamond"/>
          <w:sz w:val="24"/>
          <w:szCs w:val="24"/>
        </w:rPr>
        <w:t xml:space="preserve">harming </w:t>
      </w:r>
      <w:r w:rsidRPr="00461D74">
        <w:rPr>
          <w:rFonts w:ascii="Garamond" w:hAnsi="Garamond"/>
          <w:sz w:val="24"/>
          <w:szCs w:val="24"/>
        </w:rPr>
        <w:t>one’s enemy.</w:t>
      </w:r>
      <w:r w:rsidRPr="00461D74">
        <w:rPr>
          <w:rStyle w:val="FootnoteReference"/>
          <w:rFonts w:ascii="Garamond" w:hAnsi="Garamond"/>
          <w:sz w:val="24"/>
          <w:szCs w:val="24"/>
        </w:rPr>
        <w:footnoteReference w:id="56"/>
      </w:r>
      <w:r w:rsidRPr="00461D74">
        <w:rPr>
          <w:rFonts w:ascii="Garamond" w:hAnsi="Garamond"/>
          <w:sz w:val="24"/>
          <w:szCs w:val="24"/>
        </w:rPr>
        <w:t xml:space="preserve"> </w:t>
      </w:r>
      <w:r w:rsidR="007547F3" w:rsidRPr="00461D74">
        <w:rPr>
          <w:rFonts w:ascii="Garamond" w:hAnsi="Garamond"/>
          <w:sz w:val="24"/>
          <w:szCs w:val="24"/>
        </w:rPr>
        <w:t>Therefore, b</w:t>
      </w:r>
      <w:r w:rsidRPr="00461D74">
        <w:rPr>
          <w:rFonts w:ascii="Garamond" w:hAnsi="Garamond"/>
          <w:sz w:val="24"/>
          <w:szCs w:val="24"/>
        </w:rPr>
        <w:t>y the late 5</w:t>
      </w:r>
      <w:r w:rsidRPr="00461D74">
        <w:rPr>
          <w:rFonts w:ascii="Garamond" w:hAnsi="Garamond"/>
          <w:sz w:val="24"/>
          <w:szCs w:val="24"/>
          <w:vertAlign w:val="superscript"/>
        </w:rPr>
        <w:t>th</w:t>
      </w:r>
      <w:r w:rsidRPr="00461D74">
        <w:rPr>
          <w:rFonts w:ascii="Garamond" w:hAnsi="Garamond"/>
          <w:sz w:val="24"/>
          <w:szCs w:val="24"/>
        </w:rPr>
        <w:t xml:space="preserve"> century BCE it is possible to ask if it is </w:t>
      </w:r>
      <w:r w:rsidR="00DB00EA" w:rsidRPr="00DB00EA">
        <w:rPr>
          <w:rFonts w:ascii="Garamond" w:hAnsi="Garamond"/>
          <w:i/>
          <w:sz w:val="24"/>
          <w:szCs w:val="24"/>
        </w:rPr>
        <w:t>good</w:t>
      </w:r>
      <w:r w:rsidRPr="00461D74">
        <w:rPr>
          <w:rFonts w:ascii="Garamond" w:hAnsi="Garamond"/>
          <w:sz w:val="24"/>
          <w:szCs w:val="24"/>
        </w:rPr>
        <w:t xml:space="preserve">, or </w:t>
      </w:r>
      <w:r w:rsidR="00DB00EA" w:rsidRPr="00DB00EA">
        <w:rPr>
          <w:rFonts w:ascii="Garamond" w:hAnsi="Garamond"/>
          <w:i/>
          <w:sz w:val="24"/>
          <w:szCs w:val="24"/>
        </w:rPr>
        <w:t>not good</w:t>
      </w:r>
      <w:r w:rsidRPr="00461D74">
        <w:rPr>
          <w:rFonts w:ascii="Garamond" w:hAnsi="Garamond"/>
          <w:sz w:val="24"/>
          <w:szCs w:val="24"/>
        </w:rPr>
        <w:t xml:space="preserve">, to act as </w:t>
      </w:r>
      <w:proofErr w:type="spellStart"/>
      <w:r w:rsidR="00235713" w:rsidRPr="00461D74">
        <w:rPr>
          <w:rFonts w:ascii="Garamond" w:hAnsi="Garamond"/>
          <w:bCs/>
          <w:i/>
        </w:rPr>
        <w:t>dikē</w:t>
      </w:r>
      <w:proofErr w:type="spellEnd"/>
      <w:r w:rsidR="00235713" w:rsidRPr="00461D74">
        <w:rPr>
          <w:rFonts w:ascii="Garamond" w:hAnsi="Garamond"/>
          <w:bCs/>
          <w:i/>
        </w:rPr>
        <w:t xml:space="preserve"> (</w:t>
      </w:r>
      <w:proofErr w:type="spellStart"/>
      <w:r w:rsidR="00CF38EA" w:rsidRPr="00CF38EA">
        <w:rPr>
          <w:rFonts w:ascii="Times New Roman" w:hAnsi="Times New Roman" w:cs="Times New Roman"/>
        </w:rPr>
        <w:t>δίκη</w:t>
      </w:r>
      <w:proofErr w:type="spellEnd"/>
      <w:r w:rsidR="00235713" w:rsidRPr="00461D74">
        <w:rPr>
          <w:rFonts w:ascii="Garamond" w:hAnsi="Garamond"/>
        </w:rPr>
        <w:t>),</w:t>
      </w:r>
      <w:r w:rsidR="00235713" w:rsidRPr="00461D74">
        <w:rPr>
          <w:rStyle w:val="FootnoteReference"/>
          <w:rFonts w:ascii="Garamond" w:hAnsi="Garamond"/>
          <w:sz w:val="24"/>
          <w:szCs w:val="24"/>
        </w:rPr>
        <w:footnoteReference w:id="57"/>
      </w:r>
      <w:r w:rsidR="00235713" w:rsidRPr="00461D74">
        <w:rPr>
          <w:rFonts w:ascii="Garamond" w:hAnsi="Garamond"/>
        </w:rPr>
        <w:t xml:space="preserve"> </w:t>
      </w:r>
      <w:r w:rsidRPr="00461D74">
        <w:rPr>
          <w:rFonts w:ascii="Garamond" w:hAnsi="Garamond"/>
          <w:sz w:val="24"/>
          <w:szCs w:val="24"/>
        </w:rPr>
        <w:t xml:space="preserve">the established </w:t>
      </w:r>
      <w:r w:rsidR="00082815" w:rsidRPr="00461D74">
        <w:rPr>
          <w:rFonts w:ascii="Garamond" w:hAnsi="Garamond"/>
          <w:sz w:val="24"/>
          <w:szCs w:val="24"/>
        </w:rPr>
        <w:t xml:space="preserve">cosmic </w:t>
      </w:r>
      <w:r w:rsidRPr="00461D74">
        <w:rPr>
          <w:rFonts w:ascii="Garamond" w:hAnsi="Garamond"/>
          <w:sz w:val="24"/>
          <w:szCs w:val="24"/>
        </w:rPr>
        <w:t>order</w:t>
      </w:r>
      <w:r w:rsidR="00235713" w:rsidRPr="00461D74">
        <w:rPr>
          <w:rFonts w:ascii="Garamond" w:hAnsi="Garamond"/>
          <w:sz w:val="24"/>
          <w:szCs w:val="24"/>
        </w:rPr>
        <w:t>,</w:t>
      </w:r>
      <w:r w:rsidRPr="00461D74">
        <w:rPr>
          <w:rFonts w:ascii="Garamond" w:hAnsi="Garamond"/>
          <w:sz w:val="24"/>
          <w:szCs w:val="24"/>
        </w:rPr>
        <w:t xml:space="preserve"> requires</w:t>
      </w:r>
      <w:r w:rsidR="00235713" w:rsidRPr="00461D74">
        <w:rPr>
          <w:rFonts w:ascii="Garamond" w:hAnsi="Garamond"/>
          <w:sz w:val="24"/>
          <w:szCs w:val="24"/>
        </w:rPr>
        <w:t>;</w:t>
      </w:r>
      <w:r w:rsidRPr="00461D74">
        <w:rPr>
          <w:rFonts w:ascii="Garamond" w:hAnsi="Garamond"/>
          <w:sz w:val="24"/>
          <w:szCs w:val="24"/>
        </w:rPr>
        <w:t xml:space="preserve"> and </w:t>
      </w:r>
      <w:r w:rsidR="00235713" w:rsidRPr="00461D74">
        <w:rPr>
          <w:rFonts w:ascii="Garamond" w:hAnsi="Garamond"/>
          <w:sz w:val="24"/>
          <w:szCs w:val="24"/>
        </w:rPr>
        <w:t xml:space="preserve">it is also possible </w:t>
      </w:r>
      <w:r w:rsidRPr="00461D74">
        <w:rPr>
          <w:rFonts w:ascii="Garamond" w:hAnsi="Garamond"/>
          <w:sz w:val="24"/>
          <w:szCs w:val="24"/>
        </w:rPr>
        <w:t xml:space="preserve">to </w:t>
      </w:r>
      <w:r w:rsidR="00235713" w:rsidRPr="00461D74">
        <w:rPr>
          <w:rFonts w:ascii="Garamond" w:hAnsi="Garamond"/>
          <w:sz w:val="24"/>
          <w:szCs w:val="24"/>
        </w:rPr>
        <w:t xml:space="preserve">radically disagree </w:t>
      </w:r>
      <w:r w:rsidRPr="00461D74">
        <w:rPr>
          <w:rFonts w:ascii="Garamond" w:hAnsi="Garamond"/>
          <w:sz w:val="24"/>
          <w:szCs w:val="24"/>
        </w:rPr>
        <w:t xml:space="preserve">about what it </w:t>
      </w:r>
      <w:r w:rsidR="00235713" w:rsidRPr="00461D74">
        <w:rPr>
          <w:rFonts w:ascii="Garamond" w:hAnsi="Garamond"/>
          <w:sz w:val="24"/>
          <w:szCs w:val="24"/>
        </w:rPr>
        <w:t xml:space="preserve">means </w:t>
      </w:r>
      <w:r w:rsidRPr="00461D74">
        <w:rPr>
          <w:rFonts w:ascii="Garamond" w:hAnsi="Garamond"/>
          <w:sz w:val="24"/>
          <w:szCs w:val="24"/>
        </w:rPr>
        <w:t>to act in accordance with that order.</w:t>
      </w:r>
      <w:r w:rsidRPr="00461D74">
        <w:rPr>
          <w:rStyle w:val="FootnoteReference"/>
          <w:rFonts w:ascii="Garamond" w:hAnsi="Garamond"/>
          <w:sz w:val="24"/>
          <w:szCs w:val="24"/>
        </w:rPr>
        <w:footnoteReference w:id="58"/>
      </w:r>
      <w:r w:rsidRPr="00461D74">
        <w:rPr>
          <w:rFonts w:ascii="Garamond" w:hAnsi="Garamond"/>
          <w:sz w:val="24"/>
          <w:szCs w:val="24"/>
        </w:rPr>
        <w:t xml:space="preserve"> MacIntyre </w:t>
      </w:r>
      <w:r w:rsidR="00AC00BB" w:rsidRPr="00461D74">
        <w:rPr>
          <w:rFonts w:ascii="Garamond" w:hAnsi="Garamond"/>
          <w:sz w:val="24"/>
          <w:szCs w:val="24"/>
        </w:rPr>
        <w:t xml:space="preserve">therefore </w:t>
      </w:r>
      <w:r w:rsidRPr="00461D74">
        <w:rPr>
          <w:rFonts w:ascii="Garamond" w:hAnsi="Garamond"/>
          <w:sz w:val="24"/>
          <w:szCs w:val="24"/>
        </w:rPr>
        <w:t xml:space="preserve">suggests that Sophocles “systematically explores rival allegiances to incompatible goods, especially in the </w:t>
      </w:r>
      <w:proofErr w:type="spellStart"/>
      <w:r w:rsidRPr="00461D74">
        <w:rPr>
          <w:rFonts w:ascii="Garamond" w:hAnsi="Garamond"/>
          <w:sz w:val="24"/>
          <w:szCs w:val="24"/>
        </w:rPr>
        <w:t>Antigone</w:t>
      </w:r>
      <w:proofErr w:type="spellEnd"/>
      <w:r w:rsidRPr="00461D74">
        <w:rPr>
          <w:rFonts w:ascii="Garamond" w:hAnsi="Garamond"/>
          <w:sz w:val="24"/>
          <w:szCs w:val="24"/>
        </w:rPr>
        <w:t xml:space="preserve"> and </w:t>
      </w:r>
      <w:proofErr w:type="spellStart"/>
      <w:r w:rsidRPr="00461D74">
        <w:rPr>
          <w:rFonts w:ascii="Garamond" w:hAnsi="Garamond"/>
          <w:sz w:val="24"/>
          <w:szCs w:val="24"/>
        </w:rPr>
        <w:t>Philoctetes</w:t>
      </w:r>
      <w:proofErr w:type="spellEnd"/>
      <w:r w:rsidRPr="00461D74">
        <w:rPr>
          <w:rFonts w:ascii="Garamond" w:hAnsi="Garamond"/>
          <w:sz w:val="24"/>
          <w:szCs w:val="24"/>
        </w:rPr>
        <w:t>, in a way that raise a key and complex set of questions about the virtues.”</w:t>
      </w:r>
      <w:r w:rsidRPr="00461D74">
        <w:rPr>
          <w:rStyle w:val="FootnoteReference"/>
          <w:rFonts w:ascii="Garamond" w:hAnsi="Garamond"/>
          <w:sz w:val="24"/>
          <w:szCs w:val="24"/>
        </w:rPr>
        <w:footnoteReference w:id="59"/>
      </w:r>
    </w:p>
    <w:p w:rsidR="00016049" w:rsidRPr="00461D74" w:rsidRDefault="00D33125" w:rsidP="00164E4D">
      <w:pPr>
        <w:spacing w:line="360" w:lineRule="auto"/>
        <w:ind w:firstLine="720"/>
        <w:jc w:val="both"/>
        <w:rPr>
          <w:rFonts w:ascii="Garamond" w:hAnsi="Garamond"/>
          <w:sz w:val="24"/>
          <w:szCs w:val="24"/>
        </w:rPr>
      </w:pPr>
      <w:r w:rsidRPr="00461D74">
        <w:rPr>
          <w:rFonts w:ascii="Garamond" w:hAnsi="Garamond"/>
          <w:sz w:val="24"/>
          <w:szCs w:val="24"/>
        </w:rPr>
        <w:t>Now, I should once again reemphasize t</w:t>
      </w:r>
      <w:r w:rsidR="00016049" w:rsidRPr="00461D74">
        <w:rPr>
          <w:rFonts w:ascii="Garamond" w:hAnsi="Garamond"/>
          <w:sz w:val="24"/>
          <w:szCs w:val="24"/>
        </w:rPr>
        <w:t xml:space="preserve">he </w:t>
      </w:r>
      <w:r w:rsidRPr="00461D74">
        <w:rPr>
          <w:rFonts w:ascii="Garamond" w:hAnsi="Garamond"/>
          <w:sz w:val="24"/>
          <w:szCs w:val="24"/>
        </w:rPr>
        <w:t xml:space="preserve">extent of the </w:t>
      </w:r>
      <w:r w:rsidR="00016049" w:rsidRPr="00461D74">
        <w:rPr>
          <w:rFonts w:ascii="Garamond" w:hAnsi="Garamond"/>
          <w:sz w:val="24"/>
          <w:szCs w:val="24"/>
        </w:rPr>
        <w:t xml:space="preserve">close </w:t>
      </w:r>
      <w:r w:rsidRPr="00461D74">
        <w:rPr>
          <w:rFonts w:ascii="Garamond" w:hAnsi="Garamond"/>
          <w:sz w:val="24"/>
          <w:szCs w:val="24"/>
        </w:rPr>
        <w:t xml:space="preserve">relationship that MacIntyre draws </w:t>
      </w:r>
      <w:r w:rsidR="00016049" w:rsidRPr="00461D74">
        <w:rPr>
          <w:rFonts w:ascii="Garamond" w:hAnsi="Garamond"/>
          <w:sz w:val="24"/>
          <w:szCs w:val="24"/>
        </w:rPr>
        <w:t xml:space="preserve">between social structure and morality. </w:t>
      </w:r>
      <w:r w:rsidRPr="00461D74">
        <w:rPr>
          <w:rFonts w:ascii="Garamond" w:hAnsi="Garamond"/>
          <w:sz w:val="24"/>
          <w:szCs w:val="24"/>
        </w:rPr>
        <w:t xml:space="preserve">On the account of </w:t>
      </w:r>
      <w:r w:rsidR="00016049" w:rsidRPr="00461D74">
        <w:rPr>
          <w:rFonts w:ascii="Garamond" w:hAnsi="Garamond"/>
          <w:sz w:val="24"/>
          <w:szCs w:val="24"/>
        </w:rPr>
        <w:t xml:space="preserve">the </w:t>
      </w:r>
      <w:r w:rsidRPr="00461D74">
        <w:rPr>
          <w:rFonts w:ascii="Garamond" w:hAnsi="Garamond"/>
          <w:sz w:val="24"/>
          <w:szCs w:val="24"/>
        </w:rPr>
        <w:t xml:space="preserve">transformation of the </w:t>
      </w:r>
      <w:r w:rsidR="00016049" w:rsidRPr="00461D74">
        <w:rPr>
          <w:rFonts w:ascii="Garamond" w:hAnsi="Garamond"/>
          <w:sz w:val="24"/>
          <w:szCs w:val="24"/>
        </w:rPr>
        <w:t xml:space="preserve">Homeric social structure </w:t>
      </w:r>
      <w:r w:rsidRPr="00461D74">
        <w:rPr>
          <w:rFonts w:ascii="Garamond" w:hAnsi="Garamond"/>
          <w:sz w:val="24"/>
          <w:szCs w:val="24"/>
        </w:rPr>
        <w:t xml:space="preserve">and its eventual relegation, </w:t>
      </w:r>
      <w:r w:rsidR="00016049" w:rsidRPr="00461D74">
        <w:rPr>
          <w:rFonts w:ascii="Garamond" w:hAnsi="Garamond"/>
          <w:sz w:val="24"/>
          <w:szCs w:val="24"/>
        </w:rPr>
        <w:t xml:space="preserve">the ethics of Homer appear to no longer offer a mostly uncontestable ethics for the Athenian social context </w:t>
      </w:r>
      <w:r w:rsidR="00076028" w:rsidRPr="00461D74">
        <w:rPr>
          <w:rFonts w:ascii="Garamond" w:hAnsi="Garamond"/>
          <w:sz w:val="24"/>
          <w:szCs w:val="24"/>
        </w:rPr>
        <w:t xml:space="preserve">– namely, the polis </w:t>
      </w:r>
      <w:r w:rsidR="00016049" w:rsidRPr="00461D74">
        <w:rPr>
          <w:rFonts w:ascii="Garamond" w:hAnsi="Garamond"/>
          <w:sz w:val="24"/>
          <w:szCs w:val="24"/>
        </w:rPr>
        <w:t>of the 4</w:t>
      </w:r>
      <w:r w:rsidR="00016049" w:rsidRPr="00461D74">
        <w:rPr>
          <w:rFonts w:ascii="Garamond" w:hAnsi="Garamond"/>
          <w:sz w:val="24"/>
          <w:szCs w:val="24"/>
          <w:vertAlign w:val="superscript"/>
        </w:rPr>
        <w:t>th</w:t>
      </w:r>
      <w:r w:rsidR="00016049" w:rsidRPr="00461D74">
        <w:rPr>
          <w:rFonts w:ascii="Garamond" w:hAnsi="Garamond"/>
          <w:sz w:val="24"/>
          <w:szCs w:val="24"/>
        </w:rPr>
        <w:t>-5</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BCE; and so debates emerged that gave expression to rival and incompatible views </w:t>
      </w:r>
      <w:r w:rsidR="00C12C0C" w:rsidRPr="00461D74">
        <w:rPr>
          <w:rFonts w:ascii="Garamond" w:hAnsi="Garamond"/>
          <w:sz w:val="24"/>
          <w:szCs w:val="24"/>
        </w:rPr>
        <w:t>on choosing a particular moral outlook</w:t>
      </w:r>
      <w:r w:rsidR="00016049" w:rsidRPr="00461D74">
        <w:rPr>
          <w:rFonts w:ascii="Garamond" w:hAnsi="Garamond"/>
          <w:sz w:val="24"/>
          <w:szCs w:val="24"/>
        </w:rPr>
        <w:t xml:space="preserve">. What were the rival competing views which led to radical disagreement in </w:t>
      </w:r>
      <w:proofErr w:type="spellStart"/>
      <w:r w:rsidR="00016049" w:rsidRPr="00461D74">
        <w:rPr>
          <w:rFonts w:ascii="Garamond" w:hAnsi="Garamond"/>
          <w:sz w:val="24"/>
          <w:szCs w:val="24"/>
        </w:rPr>
        <w:t>Sophoclean</w:t>
      </w:r>
      <w:proofErr w:type="spellEnd"/>
      <w:r w:rsidR="00016049" w:rsidRPr="00461D74">
        <w:rPr>
          <w:rFonts w:ascii="Garamond" w:hAnsi="Garamond"/>
          <w:sz w:val="24"/>
          <w:szCs w:val="24"/>
        </w:rPr>
        <w:t xml:space="preserve"> tragedies? </w:t>
      </w:r>
      <w:r w:rsidR="00C12C0C" w:rsidRPr="00461D74">
        <w:rPr>
          <w:rFonts w:ascii="Garamond" w:hAnsi="Garamond"/>
          <w:sz w:val="24"/>
          <w:szCs w:val="24"/>
        </w:rPr>
        <w:t xml:space="preserve">Perhaps the best representative of </w:t>
      </w:r>
      <w:r w:rsidR="00C12C0C" w:rsidRPr="00461D74">
        <w:rPr>
          <w:rFonts w:ascii="Garamond" w:hAnsi="Garamond"/>
          <w:sz w:val="24"/>
          <w:szCs w:val="24"/>
        </w:rPr>
        <w:lastRenderedPageBreak/>
        <w:t xml:space="preserve">the </w:t>
      </w:r>
      <w:r w:rsidR="00016049" w:rsidRPr="00461D74">
        <w:rPr>
          <w:rFonts w:ascii="Garamond" w:hAnsi="Garamond"/>
          <w:sz w:val="24"/>
          <w:szCs w:val="24"/>
        </w:rPr>
        <w:t>first view is</w:t>
      </w:r>
      <w:r w:rsidR="00C12C0C" w:rsidRPr="00461D74">
        <w:rPr>
          <w:rFonts w:ascii="Garamond" w:hAnsi="Garamond"/>
          <w:sz w:val="24"/>
          <w:szCs w:val="24"/>
        </w:rPr>
        <w:t xml:space="preserve"> </w:t>
      </w:r>
      <w:r w:rsidR="00016049" w:rsidRPr="00461D74">
        <w:rPr>
          <w:rFonts w:ascii="Garamond" w:hAnsi="Garamond"/>
          <w:sz w:val="24"/>
          <w:szCs w:val="24"/>
        </w:rPr>
        <w:t>Thucydides. On this view, the pursuit of heterogeneous human goods “cannot be reconciled into any single moral order”. On the second view, first systematically developed by Plato, “there exists a cosmic order which dictates the place of each virtue in a total harmonious hierarchy.”</w:t>
      </w:r>
      <w:r w:rsidR="00016049" w:rsidRPr="00461D74">
        <w:rPr>
          <w:rStyle w:val="FootnoteReference"/>
          <w:rFonts w:ascii="Garamond" w:hAnsi="Garamond"/>
          <w:sz w:val="24"/>
          <w:szCs w:val="24"/>
        </w:rPr>
        <w:footnoteReference w:id="60"/>
      </w:r>
      <w:r w:rsidR="00016049" w:rsidRPr="00461D74">
        <w:rPr>
          <w:rFonts w:ascii="Garamond" w:hAnsi="Garamond"/>
          <w:sz w:val="24"/>
          <w:szCs w:val="24"/>
        </w:rPr>
        <w:t xml:space="preserve"> The former view accepts a form of relativism while the latter view is firmly realist.</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So how</w:t>
      </w:r>
      <w:r w:rsidR="00C8780F" w:rsidRPr="00461D74">
        <w:rPr>
          <w:rFonts w:ascii="Garamond" w:hAnsi="Garamond"/>
          <w:sz w:val="24"/>
          <w:szCs w:val="24"/>
        </w:rPr>
        <w:t>, on MacIntyre’s view,</w:t>
      </w:r>
      <w:r w:rsidRPr="00461D74">
        <w:rPr>
          <w:rFonts w:ascii="Garamond" w:hAnsi="Garamond"/>
          <w:sz w:val="24"/>
          <w:szCs w:val="24"/>
        </w:rPr>
        <w:t xml:space="preserve"> </w:t>
      </w:r>
      <w:r w:rsidR="00700644">
        <w:rPr>
          <w:rFonts w:ascii="Garamond" w:hAnsi="Garamond"/>
          <w:sz w:val="24"/>
          <w:szCs w:val="24"/>
        </w:rPr>
        <w:t xml:space="preserve">did </w:t>
      </w:r>
      <w:r w:rsidRPr="00461D74">
        <w:rPr>
          <w:rFonts w:ascii="Garamond" w:hAnsi="Garamond"/>
          <w:sz w:val="24"/>
          <w:szCs w:val="24"/>
        </w:rPr>
        <w:t xml:space="preserve">Aristotle </w:t>
      </w:r>
      <w:r w:rsidR="00C8780F" w:rsidRPr="00461D74">
        <w:rPr>
          <w:rFonts w:ascii="Garamond" w:hAnsi="Garamond"/>
          <w:sz w:val="24"/>
          <w:szCs w:val="24"/>
        </w:rPr>
        <w:t xml:space="preserve">come to </w:t>
      </w:r>
      <w:r w:rsidRPr="00461D74">
        <w:rPr>
          <w:rFonts w:ascii="Garamond" w:hAnsi="Garamond"/>
          <w:sz w:val="24"/>
          <w:szCs w:val="24"/>
        </w:rPr>
        <w:t xml:space="preserve">resolve the radical disagreement presented in </w:t>
      </w:r>
      <w:proofErr w:type="spellStart"/>
      <w:r w:rsidRPr="00461D74">
        <w:rPr>
          <w:rFonts w:ascii="Garamond" w:hAnsi="Garamond"/>
          <w:sz w:val="24"/>
          <w:szCs w:val="24"/>
        </w:rPr>
        <w:t>Sophoclean</w:t>
      </w:r>
      <w:proofErr w:type="spellEnd"/>
      <w:r w:rsidRPr="00461D74">
        <w:rPr>
          <w:rFonts w:ascii="Garamond" w:hAnsi="Garamond"/>
          <w:sz w:val="24"/>
          <w:szCs w:val="24"/>
        </w:rPr>
        <w:t xml:space="preserve"> tragedy between rival and incompatible views? Aristotle, on MacIntyre’s account, “holds that the city-state is the unique political form in which alone the virtues of human life can be genuinely and fully exhibited.” Additionally, Aristotle’s metaphysical biology and more broadly, his metaphysics, </w:t>
      </w:r>
      <w:r w:rsidR="00C8780F" w:rsidRPr="00461D74">
        <w:rPr>
          <w:rFonts w:ascii="Garamond" w:hAnsi="Garamond"/>
          <w:sz w:val="24"/>
          <w:szCs w:val="24"/>
        </w:rPr>
        <w:t xml:space="preserve">afforded </w:t>
      </w:r>
      <w:r w:rsidRPr="00461D74">
        <w:rPr>
          <w:rFonts w:ascii="Garamond" w:hAnsi="Garamond"/>
          <w:sz w:val="24"/>
          <w:szCs w:val="24"/>
        </w:rPr>
        <w:t>the resources to develop such an account. More importantly, within the context of the polis, Aristotle offers an account</w:t>
      </w:r>
      <w:r w:rsidR="00D539B4" w:rsidRPr="00461D74">
        <w:rPr>
          <w:rFonts w:ascii="Garamond" w:hAnsi="Garamond"/>
          <w:sz w:val="24"/>
          <w:szCs w:val="24"/>
        </w:rPr>
        <w:t xml:space="preserve"> which we can then utilise to understand</w:t>
      </w:r>
      <w:r w:rsidRPr="00461D74">
        <w:rPr>
          <w:rFonts w:ascii="Garamond" w:hAnsi="Garamond"/>
          <w:sz w:val="24"/>
          <w:szCs w:val="24"/>
        </w:rPr>
        <w:t xml:space="preserve"> the human good as </w:t>
      </w:r>
      <w:r w:rsidR="00A739B4" w:rsidRPr="00461D74">
        <w:rPr>
          <w:rFonts w:ascii="Garamond" w:hAnsi="Garamond"/>
          <w:sz w:val="24"/>
          <w:szCs w:val="24"/>
        </w:rPr>
        <w:t xml:space="preserve">a </w:t>
      </w:r>
      <w:r w:rsidRPr="00461D74">
        <w:rPr>
          <w:rFonts w:ascii="Garamond" w:hAnsi="Garamond"/>
          <w:sz w:val="24"/>
          <w:szCs w:val="24"/>
        </w:rPr>
        <w:t>local</w:t>
      </w:r>
      <w:r w:rsidR="00D539B4" w:rsidRPr="00461D74">
        <w:rPr>
          <w:rFonts w:ascii="Garamond" w:hAnsi="Garamond"/>
          <w:sz w:val="24"/>
          <w:szCs w:val="24"/>
        </w:rPr>
        <w:t>ly realised</w:t>
      </w:r>
      <w:r w:rsidRPr="00461D74">
        <w:rPr>
          <w:rFonts w:ascii="Garamond" w:hAnsi="Garamond"/>
          <w:sz w:val="24"/>
          <w:szCs w:val="24"/>
        </w:rPr>
        <w:t xml:space="preserve"> </w:t>
      </w:r>
      <w:r w:rsidR="00A739B4" w:rsidRPr="00461D74">
        <w:rPr>
          <w:rFonts w:ascii="Garamond" w:hAnsi="Garamond"/>
          <w:sz w:val="24"/>
          <w:szCs w:val="24"/>
        </w:rPr>
        <w:t xml:space="preserve">good </w:t>
      </w:r>
      <w:r w:rsidR="00D539B4" w:rsidRPr="00461D74">
        <w:rPr>
          <w:rFonts w:ascii="Garamond" w:hAnsi="Garamond"/>
          <w:sz w:val="24"/>
          <w:szCs w:val="24"/>
        </w:rPr>
        <w:t xml:space="preserve">within </w:t>
      </w:r>
      <w:r w:rsidR="00A739B4" w:rsidRPr="00461D74">
        <w:rPr>
          <w:rFonts w:ascii="Garamond" w:hAnsi="Garamond"/>
          <w:sz w:val="24"/>
          <w:szCs w:val="24"/>
        </w:rPr>
        <w:t xml:space="preserve">the bounds of </w:t>
      </w:r>
      <w:r w:rsidR="00D539B4" w:rsidRPr="00461D74">
        <w:rPr>
          <w:rFonts w:ascii="Garamond" w:hAnsi="Garamond"/>
          <w:sz w:val="24"/>
          <w:szCs w:val="24"/>
        </w:rPr>
        <w:t xml:space="preserve">a particular polis (or city-state) </w:t>
      </w:r>
      <w:r w:rsidRPr="00461D74">
        <w:rPr>
          <w:rFonts w:ascii="Garamond" w:hAnsi="Garamond"/>
          <w:sz w:val="24"/>
          <w:szCs w:val="24"/>
        </w:rPr>
        <w:t xml:space="preserve">while at the same time </w:t>
      </w:r>
      <w:r w:rsidR="00DB00EA" w:rsidRPr="00DB00EA">
        <w:rPr>
          <w:rFonts w:ascii="Garamond" w:hAnsi="Garamond"/>
          <w:i/>
          <w:sz w:val="24"/>
          <w:szCs w:val="24"/>
        </w:rPr>
        <w:t>this</w:t>
      </w:r>
      <w:r w:rsidR="00A739B4" w:rsidRPr="00461D74">
        <w:rPr>
          <w:rFonts w:ascii="Garamond" w:hAnsi="Garamond"/>
          <w:sz w:val="24"/>
          <w:szCs w:val="24"/>
        </w:rPr>
        <w:t xml:space="preserve"> good</w:t>
      </w:r>
      <w:r w:rsidR="00D539B4" w:rsidRPr="00461D74">
        <w:rPr>
          <w:rFonts w:ascii="Garamond" w:hAnsi="Garamond"/>
          <w:sz w:val="24"/>
          <w:szCs w:val="24"/>
        </w:rPr>
        <w:t xml:space="preserve"> </w:t>
      </w:r>
      <w:r w:rsidRPr="00461D74">
        <w:rPr>
          <w:rFonts w:ascii="Garamond" w:hAnsi="Garamond"/>
          <w:sz w:val="24"/>
          <w:szCs w:val="24"/>
        </w:rPr>
        <w:t xml:space="preserve">is embedded </w:t>
      </w:r>
      <w:r w:rsidR="00D539B4" w:rsidRPr="00461D74">
        <w:rPr>
          <w:rFonts w:ascii="Garamond" w:hAnsi="Garamond"/>
          <w:sz w:val="24"/>
          <w:szCs w:val="24"/>
        </w:rPr>
        <w:t>with</w:t>
      </w:r>
      <w:r w:rsidRPr="00461D74">
        <w:rPr>
          <w:rFonts w:ascii="Garamond" w:hAnsi="Garamond"/>
          <w:sz w:val="24"/>
          <w:szCs w:val="24"/>
        </w:rPr>
        <w:t xml:space="preserve">in the </w:t>
      </w:r>
      <w:r w:rsidR="00D539B4" w:rsidRPr="00461D74">
        <w:rPr>
          <w:rFonts w:ascii="Garamond" w:hAnsi="Garamond"/>
          <w:sz w:val="24"/>
          <w:szCs w:val="24"/>
        </w:rPr>
        <w:t xml:space="preserve">framework of a </w:t>
      </w:r>
      <w:r w:rsidRPr="00461D74">
        <w:rPr>
          <w:rFonts w:ascii="Garamond" w:hAnsi="Garamond"/>
          <w:sz w:val="24"/>
          <w:szCs w:val="24"/>
        </w:rPr>
        <w:t>larger cosmic reality.</w:t>
      </w:r>
      <w:r w:rsidRPr="00461D74">
        <w:rPr>
          <w:rStyle w:val="FootnoteReference"/>
          <w:rFonts w:ascii="Garamond" w:hAnsi="Garamond"/>
          <w:sz w:val="24"/>
          <w:szCs w:val="24"/>
        </w:rPr>
        <w:footnoteReference w:id="61"/>
      </w:r>
      <w:r w:rsidRPr="00461D74">
        <w:rPr>
          <w:rFonts w:ascii="Garamond" w:hAnsi="Garamond"/>
          <w:sz w:val="24"/>
          <w:szCs w:val="24"/>
        </w:rPr>
        <w:t xml:space="preserve"> In this way Aristotle can maintain a view that accepts that goods may be context relative, but that those goods should be understood as arranged within the framework of a wider cosmic order.</w:t>
      </w:r>
    </w:p>
    <w:p w:rsidR="00016049" w:rsidRPr="00461D74" w:rsidRDefault="00C31502" w:rsidP="00164E4D">
      <w:pPr>
        <w:spacing w:line="360" w:lineRule="auto"/>
        <w:ind w:firstLine="720"/>
        <w:jc w:val="both"/>
        <w:rPr>
          <w:rFonts w:ascii="Garamond" w:hAnsi="Garamond"/>
          <w:sz w:val="24"/>
          <w:szCs w:val="24"/>
        </w:rPr>
      </w:pPr>
      <w:r w:rsidRPr="00461D74">
        <w:rPr>
          <w:rFonts w:ascii="Garamond" w:hAnsi="Garamond"/>
          <w:sz w:val="24"/>
          <w:szCs w:val="24"/>
        </w:rPr>
        <w:t>Having said that</w:t>
      </w:r>
      <w:r w:rsidR="00953710" w:rsidRPr="00461D74">
        <w:rPr>
          <w:rFonts w:ascii="Garamond" w:hAnsi="Garamond"/>
          <w:sz w:val="24"/>
          <w:szCs w:val="24"/>
        </w:rPr>
        <w:t>,</w:t>
      </w:r>
      <w:r w:rsidR="00016049" w:rsidRPr="00461D74">
        <w:rPr>
          <w:rFonts w:ascii="Garamond" w:hAnsi="Garamond"/>
          <w:sz w:val="24"/>
          <w:szCs w:val="24"/>
        </w:rPr>
        <w:t xml:space="preserve"> MacIntyre </w:t>
      </w:r>
      <w:r w:rsidRPr="00461D74">
        <w:rPr>
          <w:rFonts w:ascii="Garamond" w:hAnsi="Garamond"/>
          <w:sz w:val="24"/>
          <w:szCs w:val="24"/>
        </w:rPr>
        <w:t xml:space="preserve">also </w:t>
      </w:r>
      <w:r w:rsidR="00016049" w:rsidRPr="00461D74">
        <w:rPr>
          <w:rFonts w:ascii="Garamond" w:hAnsi="Garamond"/>
          <w:sz w:val="24"/>
          <w:szCs w:val="24"/>
        </w:rPr>
        <w:t xml:space="preserve">claims that Aristotle’s account exaggerates the unity of the virtues and that Aristotle’s own analysis of the complex relationship between the virtues does not bear out his strong conclusion </w:t>
      </w:r>
      <w:r w:rsidR="00700644">
        <w:rPr>
          <w:rFonts w:ascii="Garamond" w:hAnsi="Garamond"/>
          <w:sz w:val="24"/>
          <w:szCs w:val="24"/>
        </w:rPr>
        <w:t>concerning</w:t>
      </w:r>
      <w:r w:rsidR="00D8290B" w:rsidRPr="00461D74">
        <w:rPr>
          <w:rFonts w:ascii="Garamond" w:hAnsi="Garamond"/>
          <w:sz w:val="24"/>
          <w:szCs w:val="24"/>
        </w:rPr>
        <w:t xml:space="preserve"> their unity</w:t>
      </w:r>
      <w:r w:rsidR="00016049" w:rsidRPr="00461D74">
        <w:rPr>
          <w:rFonts w:ascii="Garamond" w:hAnsi="Garamond"/>
          <w:sz w:val="24"/>
          <w:szCs w:val="24"/>
        </w:rPr>
        <w:t xml:space="preserve">; </w:t>
      </w:r>
      <w:r w:rsidR="00D8290B" w:rsidRPr="00461D74">
        <w:rPr>
          <w:rFonts w:ascii="Garamond" w:hAnsi="Garamond"/>
          <w:sz w:val="24"/>
          <w:szCs w:val="24"/>
        </w:rPr>
        <w:t>therefore,</w:t>
      </w:r>
      <w:r w:rsidR="00016049" w:rsidRPr="00461D74">
        <w:rPr>
          <w:rFonts w:ascii="Garamond" w:hAnsi="Garamond"/>
          <w:sz w:val="24"/>
          <w:szCs w:val="24"/>
        </w:rPr>
        <w:t xml:space="preserve"> an Aristotelian</w:t>
      </w:r>
      <w:r w:rsidR="00D8290B" w:rsidRPr="00461D74">
        <w:rPr>
          <w:rFonts w:ascii="Garamond" w:hAnsi="Garamond"/>
          <w:sz w:val="24"/>
          <w:szCs w:val="24"/>
        </w:rPr>
        <w:t xml:space="preserve"> view</w:t>
      </w:r>
      <w:r w:rsidR="00016049" w:rsidRPr="00461D74">
        <w:rPr>
          <w:rFonts w:ascii="Garamond" w:hAnsi="Garamond"/>
          <w:sz w:val="24"/>
          <w:szCs w:val="24"/>
        </w:rPr>
        <w:t xml:space="preserve"> that accepts the strong thesis is rather defective.</w:t>
      </w:r>
      <w:r w:rsidR="00016049" w:rsidRPr="00461D74">
        <w:rPr>
          <w:rStyle w:val="FootnoteReference"/>
          <w:rFonts w:ascii="Garamond" w:hAnsi="Garamond"/>
          <w:sz w:val="24"/>
          <w:szCs w:val="24"/>
        </w:rPr>
        <w:footnoteReference w:id="62"/>
      </w:r>
      <w:r w:rsidR="00016049" w:rsidRPr="00461D74">
        <w:rPr>
          <w:rFonts w:ascii="Garamond" w:hAnsi="Garamond"/>
          <w:sz w:val="24"/>
          <w:szCs w:val="24"/>
        </w:rPr>
        <w:t xml:space="preserve"> Another problem that MacIntyre </w:t>
      </w:r>
      <w:r w:rsidR="008A37DC" w:rsidRPr="00461D74">
        <w:rPr>
          <w:rFonts w:ascii="Garamond" w:hAnsi="Garamond"/>
          <w:sz w:val="24"/>
          <w:szCs w:val="24"/>
        </w:rPr>
        <w:t xml:space="preserve">points to here </w:t>
      </w:r>
      <w:r w:rsidR="00016049" w:rsidRPr="00461D74">
        <w:rPr>
          <w:rFonts w:ascii="Garamond" w:hAnsi="Garamond"/>
          <w:sz w:val="24"/>
          <w:szCs w:val="24"/>
        </w:rPr>
        <w:t xml:space="preserve">is that </w:t>
      </w:r>
      <w:r w:rsidR="008A37DC" w:rsidRPr="00461D74">
        <w:rPr>
          <w:rFonts w:ascii="Garamond" w:hAnsi="Garamond"/>
          <w:sz w:val="24"/>
          <w:szCs w:val="24"/>
        </w:rPr>
        <w:t xml:space="preserve">the social context does quite a lot of the philosophical work; therefore, </w:t>
      </w:r>
      <w:r w:rsidR="00016049" w:rsidRPr="00461D74">
        <w:rPr>
          <w:rFonts w:ascii="Garamond" w:hAnsi="Garamond"/>
          <w:sz w:val="24"/>
          <w:szCs w:val="24"/>
        </w:rPr>
        <w:t xml:space="preserve">it certainly appears that without the social context and social relations that are characteristic </w:t>
      </w:r>
      <w:r w:rsidR="00016049" w:rsidRPr="00461D74">
        <w:rPr>
          <w:rFonts w:ascii="Garamond" w:hAnsi="Garamond"/>
          <w:sz w:val="24"/>
          <w:szCs w:val="24"/>
        </w:rPr>
        <w:lastRenderedPageBreak/>
        <w:t xml:space="preserve">of the Greek polis, any revival of Aristotelian ethics is seemingly out of reach. Thus, the main challenge for MacIntyre is </w:t>
      </w:r>
      <w:r w:rsidR="008A37DC" w:rsidRPr="00461D74">
        <w:rPr>
          <w:rFonts w:ascii="Garamond" w:hAnsi="Garamond"/>
          <w:sz w:val="24"/>
          <w:szCs w:val="24"/>
        </w:rPr>
        <w:t xml:space="preserve">to </w:t>
      </w:r>
      <w:r w:rsidR="00016049" w:rsidRPr="00461D74">
        <w:rPr>
          <w:rFonts w:ascii="Garamond" w:hAnsi="Garamond"/>
          <w:sz w:val="24"/>
          <w:szCs w:val="24"/>
        </w:rPr>
        <w:t xml:space="preserve">find a way </w:t>
      </w:r>
      <w:r w:rsidR="008A37DC" w:rsidRPr="00461D74">
        <w:rPr>
          <w:rFonts w:ascii="Garamond" w:hAnsi="Garamond"/>
          <w:sz w:val="24"/>
          <w:szCs w:val="24"/>
        </w:rPr>
        <w:t xml:space="preserve">of </w:t>
      </w:r>
      <w:r w:rsidR="00016049" w:rsidRPr="00461D74">
        <w:rPr>
          <w:rFonts w:ascii="Garamond" w:hAnsi="Garamond"/>
          <w:sz w:val="24"/>
          <w:szCs w:val="24"/>
        </w:rPr>
        <w:t>reconcil</w:t>
      </w:r>
      <w:r w:rsidR="008A37DC" w:rsidRPr="00461D74">
        <w:rPr>
          <w:rFonts w:ascii="Garamond" w:hAnsi="Garamond"/>
          <w:sz w:val="24"/>
          <w:szCs w:val="24"/>
        </w:rPr>
        <w:t>ing</w:t>
      </w:r>
      <w:r w:rsidR="00016049" w:rsidRPr="00461D74">
        <w:rPr>
          <w:rFonts w:ascii="Garamond" w:hAnsi="Garamond"/>
          <w:sz w:val="24"/>
          <w:szCs w:val="24"/>
        </w:rPr>
        <w:t xml:space="preserve"> the heterogeneous nature of the goods and their seemingly incompatible demands, within a Neo-Aristotelian framework.</w:t>
      </w:r>
    </w:p>
    <w:p w:rsidR="00C726A9" w:rsidRPr="00461D74" w:rsidRDefault="008A37DC" w:rsidP="00164E4D">
      <w:pPr>
        <w:spacing w:line="360" w:lineRule="auto"/>
        <w:ind w:firstLine="720"/>
        <w:jc w:val="both"/>
        <w:rPr>
          <w:rFonts w:ascii="Garamond" w:hAnsi="Garamond"/>
          <w:sz w:val="24"/>
          <w:szCs w:val="24"/>
          <w:lang w:val="en-US"/>
        </w:rPr>
      </w:pPr>
      <w:r w:rsidRPr="00461D74">
        <w:rPr>
          <w:rFonts w:ascii="Garamond" w:hAnsi="Garamond"/>
          <w:sz w:val="24"/>
          <w:szCs w:val="24"/>
        </w:rPr>
        <w:t xml:space="preserve">Now, </w:t>
      </w:r>
      <w:r w:rsidR="00016049" w:rsidRPr="00461D74">
        <w:rPr>
          <w:rFonts w:ascii="Garamond" w:hAnsi="Garamond"/>
          <w:sz w:val="24"/>
          <w:szCs w:val="24"/>
        </w:rPr>
        <w:t xml:space="preserve">an implicit question that </w:t>
      </w:r>
      <w:r w:rsidR="00114003" w:rsidRPr="00461D74">
        <w:rPr>
          <w:rFonts w:ascii="Garamond" w:hAnsi="Garamond"/>
          <w:sz w:val="24"/>
          <w:szCs w:val="24"/>
        </w:rPr>
        <w:t>in my view</w:t>
      </w:r>
      <w:r w:rsidR="00016049" w:rsidRPr="00461D74">
        <w:rPr>
          <w:rFonts w:ascii="Garamond" w:hAnsi="Garamond"/>
          <w:sz w:val="24"/>
          <w:szCs w:val="24"/>
        </w:rPr>
        <w:t xml:space="preserve"> MacIntyre is entertaining here is that</w:t>
      </w:r>
      <w:r w:rsidR="00016049" w:rsidRPr="00461D74">
        <w:rPr>
          <w:rFonts w:ascii="Garamond" w:hAnsi="Garamond"/>
          <w:sz w:val="24"/>
          <w:szCs w:val="24"/>
          <w:lang w:val="en-US"/>
        </w:rPr>
        <w:t xml:space="preserve"> if we reject Aristotle’s metaphysical biology</w:t>
      </w:r>
      <w:r w:rsidR="00953710" w:rsidRPr="00461D74">
        <w:rPr>
          <w:rFonts w:ascii="Garamond" w:hAnsi="Garamond"/>
          <w:sz w:val="24"/>
          <w:szCs w:val="24"/>
          <w:lang w:val="en-US"/>
        </w:rPr>
        <w:t>,</w:t>
      </w:r>
      <w:r w:rsidR="00016049" w:rsidRPr="00461D74">
        <w:rPr>
          <w:rFonts w:ascii="Garamond" w:hAnsi="Garamond"/>
          <w:sz w:val="24"/>
          <w:szCs w:val="24"/>
          <w:lang w:val="en-US"/>
        </w:rPr>
        <w:t xml:space="preserve"> is there a way to preserve</w:t>
      </w:r>
      <w:r w:rsidR="00FF3E9F" w:rsidRPr="00461D74">
        <w:rPr>
          <w:rFonts w:ascii="Garamond" w:hAnsi="Garamond"/>
          <w:sz w:val="24"/>
          <w:szCs w:val="24"/>
          <w:lang w:val="en-US"/>
        </w:rPr>
        <w:t xml:space="preserve">, or </w:t>
      </w:r>
      <w:r w:rsidRPr="00461D74">
        <w:rPr>
          <w:rFonts w:ascii="Garamond" w:hAnsi="Garamond"/>
          <w:sz w:val="24"/>
          <w:szCs w:val="24"/>
          <w:lang w:val="en-US"/>
        </w:rPr>
        <w:t xml:space="preserve">better yet, </w:t>
      </w:r>
      <w:r w:rsidR="00FF3E9F" w:rsidRPr="00461D74">
        <w:rPr>
          <w:rFonts w:ascii="Garamond" w:hAnsi="Garamond"/>
          <w:sz w:val="24"/>
          <w:szCs w:val="24"/>
          <w:lang w:val="en-US"/>
        </w:rPr>
        <w:t>formulate</w:t>
      </w:r>
      <w:r w:rsidRPr="00461D74">
        <w:rPr>
          <w:rFonts w:ascii="Garamond" w:hAnsi="Garamond"/>
          <w:sz w:val="24"/>
          <w:szCs w:val="24"/>
          <w:lang w:val="en-US"/>
        </w:rPr>
        <w:t xml:space="preserve"> a new conception of </w:t>
      </w:r>
      <w:r w:rsidR="00016049" w:rsidRPr="00461D74">
        <w:rPr>
          <w:rFonts w:ascii="Garamond" w:hAnsi="Garamond"/>
          <w:sz w:val="24"/>
          <w:szCs w:val="24"/>
          <w:lang w:val="en-US"/>
        </w:rPr>
        <w:t xml:space="preserve">teleology? </w:t>
      </w:r>
      <w:r w:rsidRPr="00461D74">
        <w:rPr>
          <w:rFonts w:ascii="Garamond" w:hAnsi="Garamond"/>
          <w:sz w:val="24"/>
          <w:szCs w:val="24"/>
          <w:lang w:val="en-US"/>
        </w:rPr>
        <w:t xml:space="preserve">Here, </w:t>
      </w:r>
      <w:r w:rsidR="00016049" w:rsidRPr="00461D74">
        <w:rPr>
          <w:rFonts w:ascii="Garamond" w:hAnsi="Garamond"/>
          <w:sz w:val="24"/>
          <w:szCs w:val="24"/>
          <w:lang w:val="en-US"/>
        </w:rPr>
        <w:t xml:space="preserve">MacIntyre </w:t>
      </w:r>
      <w:r w:rsidRPr="00461D74">
        <w:rPr>
          <w:rFonts w:ascii="Garamond" w:hAnsi="Garamond"/>
          <w:sz w:val="24"/>
          <w:szCs w:val="24"/>
          <w:lang w:val="en-US"/>
        </w:rPr>
        <w:t xml:space="preserve">moves to systematically </w:t>
      </w:r>
      <w:r w:rsidR="00016049" w:rsidRPr="00461D74">
        <w:rPr>
          <w:rFonts w:ascii="Garamond" w:hAnsi="Garamond"/>
          <w:sz w:val="24"/>
          <w:szCs w:val="24"/>
          <w:lang w:val="en-US"/>
        </w:rPr>
        <w:t>introduce his three part concept of the virtues – namely, that of (</w:t>
      </w:r>
      <w:proofErr w:type="spellStart"/>
      <w:r w:rsidR="00016049" w:rsidRPr="00461D74">
        <w:rPr>
          <w:rFonts w:ascii="Garamond" w:hAnsi="Garamond"/>
          <w:sz w:val="24"/>
          <w:szCs w:val="24"/>
          <w:lang w:val="en-US"/>
        </w:rPr>
        <w:t>i</w:t>
      </w:r>
      <w:proofErr w:type="spellEnd"/>
      <w:r w:rsidR="00016049" w:rsidRPr="00461D74">
        <w:rPr>
          <w:rFonts w:ascii="Garamond" w:hAnsi="Garamond"/>
          <w:sz w:val="24"/>
          <w:szCs w:val="24"/>
          <w:lang w:val="en-US"/>
        </w:rPr>
        <w:t>) practice; (ii) human life understood as a narrative unity conceived as a whole life; and (iii) the concept of tradition</w:t>
      </w:r>
      <w:r w:rsidR="00327557" w:rsidRPr="00461D74">
        <w:rPr>
          <w:rStyle w:val="FootnoteReference"/>
          <w:rFonts w:ascii="Garamond" w:hAnsi="Garamond"/>
          <w:sz w:val="24"/>
          <w:szCs w:val="24"/>
          <w:lang w:val="en-US"/>
        </w:rPr>
        <w:footnoteReference w:id="63"/>
      </w:r>
      <w:r w:rsidR="00016049" w:rsidRPr="00461D74">
        <w:rPr>
          <w:rFonts w:ascii="Garamond" w:hAnsi="Garamond"/>
          <w:sz w:val="24"/>
          <w:szCs w:val="24"/>
          <w:lang w:val="en-US"/>
        </w:rPr>
        <w:t xml:space="preserve"> in moral inquiry. </w:t>
      </w:r>
      <w:r w:rsidR="00C726A9" w:rsidRPr="00461D74">
        <w:rPr>
          <w:rFonts w:ascii="Garamond" w:hAnsi="Garamond"/>
          <w:sz w:val="24"/>
          <w:szCs w:val="24"/>
          <w:lang w:val="en-US"/>
        </w:rPr>
        <w:t xml:space="preserve">At this point in my argumentative narrative, </w:t>
      </w:r>
      <w:r w:rsidR="00016049" w:rsidRPr="00461D74">
        <w:rPr>
          <w:rFonts w:ascii="Garamond" w:hAnsi="Garamond"/>
          <w:sz w:val="24"/>
          <w:szCs w:val="24"/>
          <w:lang w:val="en-US"/>
        </w:rPr>
        <w:t xml:space="preserve">I would like to </w:t>
      </w:r>
      <w:r w:rsidR="00C726A9" w:rsidRPr="00461D74">
        <w:rPr>
          <w:rFonts w:ascii="Garamond" w:hAnsi="Garamond"/>
          <w:sz w:val="24"/>
          <w:szCs w:val="24"/>
          <w:lang w:val="en-US"/>
        </w:rPr>
        <w:t xml:space="preserve">introduce an important </w:t>
      </w:r>
      <w:r w:rsidR="00016049" w:rsidRPr="00461D74">
        <w:rPr>
          <w:rFonts w:ascii="Garamond" w:hAnsi="Garamond"/>
          <w:sz w:val="24"/>
          <w:szCs w:val="24"/>
          <w:lang w:val="en-US"/>
        </w:rPr>
        <w:t>suggest</w:t>
      </w:r>
      <w:r w:rsidR="00C726A9" w:rsidRPr="00461D74">
        <w:rPr>
          <w:rFonts w:ascii="Garamond" w:hAnsi="Garamond"/>
          <w:sz w:val="24"/>
          <w:szCs w:val="24"/>
          <w:lang w:val="en-US"/>
        </w:rPr>
        <w:t xml:space="preserve">ion: namely, </w:t>
      </w:r>
      <w:r w:rsidR="00016049" w:rsidRPr="00461D74">
        <w:rPr>
          <w:rFonts w:ascii="Garamond" w:hAnsi="Garamond"/>
          <w:sz w:val="24"/>
          <w:szCs w:val="24"/>
          <w:lang w:val="en-US"/>
        </w:rPr>
        <w:t>that from here on</w:t>
      </w:r>
      <w:r w:rsidR="00953710" w:rsidRPr="00461D74">
        <w:rPr>
          <w:rFonts w:ascii="Garamond" w:hAnsi="Garamond"/>
          <w:sz w:val="24"/>
          <w:szCs w:val="24"/>
          <w:lang w:val="en-US"/>
        </w:rPr>
        <w:t>,</w:t>
      </w:r>
      <w:r w:rsidR="00016049" w:rsidRPr="00461D74">
        <w:rPr>
          <w:rFonts w:ascii="Garamond" w:hAnsi="Garamond"/>
          <w:sz w:val="24"/>
          <w:szCs w:val="24"/>
          <w:lang w:val="en-US"/>
        </w:rPr>
        <w:t xml:space="preserve"> MacIntyre’s project in </w:t>
      </w:r>
      <w:r w:rsidR="00016049" w:rsidRPr="00461D74">
        <w:rPr>
          <w:rFonts w:ascii="Garamond" w:hAnsi="Garamond"/>
          <w:i/>
          <w:sz w:val="24"/>
          <w:szCs w:val="24"/>
          <w:lang w:val="en-US"/>
        </w:rPr>
        <w:t>After Virtue</w:t>
      </w:r>
      <w:r w:rsidR="00C726A9" w:rsidRPr="00461D74">
        <w:rPr>
          <w:rFonts w:ascii="Garamond" w:hAnsi="Garamond"/>
          <w:sz w:val="24"/>
          <w:szCs w:val="24"/>
          <w:lang w:val="en-US"/>
        </w:rPr>
        <w:t>, and more specifically, his three-fold concept of the virtues, ought to be viewed as an attempt to</w:t>
      </w:r>
      <w:r w:rsidR="00016049" w:rsidRPr="00461D74">
        <w:rPr>
          <w:rFonts w:ascii="Garamond" w:hAnsi="Garamond"/>
          <w:sz w:val="24"/>
          <w:szCs w:val="24"/>
          <w:lang w:val="en-US"/>
        </w:rPr>
        <w:t xml:space="preserve"> </w:t>
      </w:r>
      <w:r w:rsidR="00C726A9" w:rsidRPr="00461D74">
        <w:rPr>
          <w:rFonts w:ascii="Garamond" w:hAnsi="Garamond"/>
          <w:sz w:val="24"/>
          <w:szCs w:val="24"/>
          <w:lang w:val="en-US"/>
        </w:rPr>
        <w:t>articulate</w:t>
      </w:r>
      <w:r w:rsidR="00016049" w:rsidRPr="00461D74">
        <w:rPr>
          <w:rFonts w:ascii="Garamond" w:hAnsi="Garamond"/>
          <w:sz w:val="24"/>
          <w:szCs w:val="24"/>
          <w:lang w:val="en-US"/>
        </w:rPr>
        <w:t xml:space="preserve"> </w:t>
      </w:r>
      <w:r w:rsidR="00FF3E9F" w:rsidRPr="00461D74">
        <w:rPr>
          <w:rFonts w:ascii="Garamond" w:hAnsi="Garamond"/>
          <w:sz w:val="24"/>
          <w:szCs w:val="24"/>
          <w:lang w:val="en-US"/>
        </w:rPr>
        <w:t xml:space="preserve">a </w:t>
      </w:r>
      <w:r w:rsidR="00016049" w:rsidRPr="00461D74">
        <w:rPr>
          <w:rFonts w:ascii="Garamond" w:hAnsi="Garamond"/>
          <w:sz w:val="24"/>
          <w:szCs w:val="24"/>
          <w:lang w:val="en-US"/>
        </w:rPr>
        <w:t>kind of social teleology</w:t>
      </w:r>
      <w:r w:rsidR="0070415A" w:rsidRPr="00461D74">
        <w:rPr>
          <w:rStyle w:val="FootnoteReference"/>
          <w:rFonts w:ascii="Garamond" w:hAnsi="Garamond"/>
          <w:sz w:val="24"/>
          <w:szCs w:val="24"/>
          <w:lang w:val="en-US"/>
        </w:rPr>
        <w:footnoteReference w:id="64"/>
      </w:r>
      <w:r w:rsidR="00016049" w:rsidRPr="00461D74">
        <w:rPr>
          <w:rFonts w:ascii="Garamond" w:hAnsi="Garamond"/>
          <w:sz w:val="24"/>
          <w:szCs w:val="24"/>
          <w:lang w:val="en-US"/>
        </w:rPr>
        <w:t xml:space="preserve"> </w:t>
      </w:r>
      <w:r w:rsidR="00C726A9" w:rsidRPr="00461D74">
        <w:rPr>
          <w:rFonts w:ascii="Garamond" w:hAnsi="Garamond"/>
          <w:sz w:val="24"/>
          <w:szCs w:val="24"/>
          <w:lang w:val="en-US"/>
        </w:rPr>
        <w:t xml:space="preserve">– one which </w:t>
      </w:r>
      <w:r w:rsidR="00016049" w:rsidRPr="00461D74">
        <w:rPr>
          <w:rFonts w:ascii="Garamond" w:hAnsi="Garamond"/>
          <w:sz w:val="24"/>
          <w:szCs w:val="24"/>
          <w:lang w:val="en-US"/>
        </w:rPr>
        <w:t xml:space="preserve">can replace the Aristotelian teleology </w:t>
      </w:r>
      <w:r w:rsidR="00C726A9" w:rsidRPr="00461D74">
        <w:rPr>
          <w:rFonts w:ascii="Garamond" w:hAnsi="Garamond"/>
          <w:sz w:val="24"/>
          <w:szCs w:val="24"/>
          <w:lang w:val="en-US"/>
        </w:rPr>
        <w:t xml:space="preserve">that </w:t>
      </w:r>
      <w:r w:rsidR="00016049" w:rsidRPr="00461D74">
        <w:rPr>
          <w:rFonts w:ascii="Garamond" w:hAnsi="Garamond"/>
          <w:sz w:val="24"/>
          <w:szCs w:val="24"/>
          <w:lang w:val="en-US"/>
        </w:rPr>
        <w:t>is no longer available to us. How does MacIntyre go about his task?</w:t>
      </w:r>
    </w:p>
    <w:p w:rsidR="00590850" w:rsidRPr="00461D74" w:rsidRDefault="00C726A9" w:rsidP="00164E4D">
      <w:pPr>
        <w:spacing w:line="360" w:lineRule="auto"/>
        <w:ind w:firstLine="720"/>
        <w:jc w:val="both"/>
        <w:rPr>
          <w:rFonts w:ascii="Garamond" w:hAnsi="Garamond"/>
          <w:sz w:val="24"/>
          <w:szCs w:val="24"/>
          <w:lang w:val="en-US"/>
        </w:rPr>
      </w:pPr>
      <w:r w:rsidRPr="00461D74">
        <w:rPr>
          <w:rFonts w:ascii="Garamond" w:hAnsi="Garamond"/>
          <w:sz w:val="24"/>
          <w:szCs w:val="24"/>
          <w:lang w:val="en-US"/>
        </w:rPr>
        <w:t xml:space="preserve">First, </w:t>
      </w:r>
      <w:r w:rsidR="00016049" w:rsidRPr="00461D74">
        <w:rPr>
          <w:rFonts w:ascii="Garamond" w:hAnsi="Garamond"/>
          <w:sz w:val="24"/>
          <w:szCs w:val="24"/>
          <w:lang w:val="en-US"/>
        </w:rPr>
        <w:t>MacIntyre defines the concept of social practices as</w:t>
      </w:r>
    </w:p>
    <w:p w:rsidR="00F152B3" w:rsidRPr="00461D74" w:rsidRDefault="00F152B3" w:rsidP="00164E4D">
      <w:pPr>
        <w:spacing w:line="360" w:lineRule="auto"/>
        <w:ind w:left="1440"/>
        <w:jc w:val="both"/>
        <w:rPr>
          <w:rFonts w:ascii="Garamond" w:hAnsi="Garamond"/>
          <w:lang w:val="en-US"/>
        </w:rPr>
      </w:pPr>
      <w:r w:rsidRPr="00461D74">
        <w:rPr>
          <w:rFonts w:ascii="Garamond" w:hAnsi="Garamond"/>
          <w:lang w:val="en-US"/>
        </w:rPr>
        <w:t xml:space="preserve">“any coherent and complex form of socially established cooperative human activity through which goods internal to that form of activity are </w:t>
      </w:r>
      <w:r w:rsidRPr="00461D74">
        <w:rPr>
          <w:rFonts w:ascii="Garamond" w:hAnsi="Garamond"/>
          <w:lang w:val="en-US"/>
        </w:rPr>
        <w:lastRenderedPageBreak/>
        <w:t>realized in the course of trying to achieve standards of excellence which are appropriate to, and partially definitive of, that form of activity, with the result that human powers to achieve excellence, and human conceptions of the ends and goods involved, are systematically extended.”</w:t>
      </w:r>
      <w:r w:rsidR="00016049" w:rsidRPr="00461D74">
        <w:rPr>
          <w:rStyle w:val="FootnoteReference"/>
          <w:rFonts w:ascii="Garamond" w:hAnsi="Garamond"/>
          <w:lang w:val="en-US"/>
        </w:rPr>
        <w:footnoteReference w:id="65"/>
      </w:r>
    </w:p>
    <w:p w:rsidR="00E560D0" w:rsidRPr="00461D74" w:rsidRDefault="00016049" w:rsidP="00164E4D">
      <w:pPr>
        <w:spacing w:line="360" w:lineRule="auto"/>
        <w:jc w:val="both"/>
        <w:rPr>
          <w:rFonts w:ascii="Garamond" w:hAnsi="Garamond"/>
          <w:sz w:val="24"/>
          <w:szCs w:val="24"/>
          <w:lang w:val="en-US"/>
        </w:rPr>
      </w:pPr>
      <w:r w:rsidRPr="00461D74">
        <w:rPr>
          <w:rFonts w:ascii="Garamond" w:hAnsi="Garamond"/>
          <w:sz w:val="24"/>
          <w:szCs w:val="24"/>
          <w:lang w:val="en-US"/>
        </w:rPr>
        <w:t>Practices then have both internal and external goods. External goods of practice are those tangible goods such as wealth or power</w:t>
      </w:r>
      <w:r w:rsidR="00CE4717" w:rsidRPr="00461D74">
        <w:rPr>
          <w:rFonts w:ascii="Garamond" w:hAnsi="Garamond"/>
          <w:sz w:val="24"/>
          <w:szCs w:val="24"/>
          <w:lang w:val="en-US"/>
        </w:rPr>
        <w:t>. Conversely</w:t>
      </w:r>
      <w:r w:rsidRPr="00461D74">
        <w:rPr>
          <w:rFonts w:ascii="Garamond" w:hAnsi="Garamond"/>
          <w:sz w:val="24"/>
          <w:szCs w:val="24"/>
          <w:lang w:val="en-US"/>
        </w:rPr>
        <w:t xml:space="preserve">, </w:t>
      </w:r>
      <w:r w:rsidR="00CE4717" w:rsidRPr="00461D74">
        <w:rPr>
          <w:rFonts w:ascii="Garamond" w:hAnsi="Garamond"/>
          <w:sz w:val="24"/>
          <w:szCs w:val="24"/>
          <w:lang w:val="en-US"/>
        </w:rPr>
        <w:t xml:space="preserve">the </w:t>
      </w:r>
      <w:r w:rsidRPr="00461D74">
        <w:rPr>
          <w:rFonts w:ascii="Garamond" w:hAnsi="Garamond"/>
          <w:sz w:val="24"/>
          <w:szCs w:val="24"/>
          <w:lang w:val="en-US"/>
        </w:rPr>
        <w:t xml:space="preserve">internal goods </w:t>
      </w:r>
      <w:r w:rsidR="00CE4717" w:rsidRPr="00461D74">
        <w:rPr>
          <w:rFonts w:ascii="Garamond" w:hAnsi="Garamond"/>
          <w:sz w:val="24"/>
          <w:szCs w:val="24"/>
          <w:lang w:val="en-US"/>
        </w:rPr>
        <w:t xml:space="preserve">of practices </w:t>
      </w:r>
      <w:r w:rsidRPr="00461D74">
        <w:rPr>
          <w:rFonts w:ascii="Garamond" w:hAnsi="Garamond"/>
          <w:sz w:val="24"/>
          <w:szCs w:val="24"/>
          <w:lang w:val="en-US"/>
        </w:rPr>
        <w:t>are those standards of excellence</w:t>
      </w:r>
      <w:r w:rsidR="00CE4717" w:rsidRPr="00461D74">
        <w:rPr>
          <w:rFonts w:ascii="Garamond" w:hAnsi="Garamond"/>
          <w:sz w:val="24"/>
          <w:szCs w:val="24"/>
          <w:lang w:val="en-US"/>
        </w:rPr>
        <w:t xml:space="preserve"> and the virtues</w:t>
      </w:r>
      <w:r w:rsidRPr="00461D74">
        <w:rPr>
          <w:rFonts w:ascii="Garamond" w:hAnsi="Garamond"/>
          <w:sz w:val="24"/>
          <w:szCs w:val="24"/>
          <w:lang w:val="en-US"/>
        </w:rPr>
        <w:t>, by which excellence in that practice is defined. In achieving the internal goods of practices, we exercise those standards of excellence that are in part constituted in the exercise of the virtues</w:t>
      </w:r>
      <w:r w:rsidR="00CE4717" w:rsidRPr="00461D74">
        <w:rPr>
          <w:rFonts w:ascii="Garamond" w:hAnsi="Garamond"/>
          <w:sz w:val="24"/>
          <w:szCs w:val="24"/>
          <w:lang w:val="en-US"/>
        </w:rPr>
        <w:t>;</w:t>
      </w:r>
      <w:r w:rsidRPr="00461D74">
        <w:rPr>
          <w:rFonts w:ascii="Garamond" w:hAnsi="Garamond"/>
          <w:sz w:val="24"/>
          <w:szCs w:val="24"/>
          <w:lang w:val="en-US"/>
        </w:rPr>
        <w:t xml:space="preserve"> </w:t>
      </w:r>
      <w:r w:rsidR="00CE4717" w:rsidRPr="00461D74">
        <w:rPr>
          <w:rFonts w:ascii="Garamond" w:hAnsi="Garamond"/>
          <w:sz w:val="24"/>
          <w:szCs w:val="24"/>
          <w:lang w:val="en-US"/>
        </w:rPr>
        <w:t>a</w:t>
      </w:r>
      <w:r w:rsidRPr="00461D74">
        <w:rPr>
          <w:rFonts w:ascii="Garamond" w:hAnsi="Garamond"/>
          <w:sz w:val="24"/>
          <w:szCs w:val="24"/>
          <w:lang w:val="en-US"/>
        </w:rPr>
        <w:t>nd for MacIntyre, a virtue is “</w:t>
      </w:r>
      <w:r w:rsidRPr="00461D74">
        <w:rPr>
          <w:rFonts w:ascii="Garamond" w:hAnsi="Garamond"/>
          <w:sz w:val="24"/>
          <w:szCs w:val="24"/>
        </w:rPr>
        <w:t>an acquired human quality the possession and exercise of which tends to enable us to achieve those goods which are internal to practices and the lack of which effectively prevents us from achieving any such goods.”</w:t>
      </w:r>
      <w:r w:rsidRPr="00461D74">
        <w:rPr>
          <w:rStyle w:val="FootnoteReference"/>
          <w:rFonts w:ascii="Garamond" w:hAnsi="Garamond"/>
          <w:sz w:val="24"/>
          <w:szCs w:val="24"/>
        </w:rPr>
        <w:footnoteReference w:id="66"/>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r>
      <w:r w:rsidR="00CE4717" w:rsidRPr="00461D74">
        <w:rPr>
          <w:rFonts w:ascii="Garamond" w:hAnsi="Garamond"/>
          <w:sz w:val="24"/>
          <w:szCs w:val="24"/>
        </w:rPr>
        <w:t xml:space="preserve">Nevertheless, </w:t>
      </w:r>
      <w:r w:rsidRPr="00461D74">
        <w:rPr>
          <w:rFonts w:ascii="Garamond" w:hAnsi="Garamond"/>
          <w:sz w:val="24"/>
          <w:szCs w:val="24"/>
        </w:rPr>
        <w:t xml:space="preserve">MacIntyre </w:t>
      </w:r>
      <w:r w:rsidR="00046FA8" w:rsidRPr="00461D74">
        <w:rPr>
          <w:rFonts w:ascii="Garamond" w:hAnsi="Garamond"/>
          <w:sz w:val="24"/>
          <w:szCs w:val="24"/>
        </w:rPr>
        <w:t xml:space="preserve">also </w:t>
      </w:r>
      <w:r w:rsidRPr="00461D74">
        <w:rPr>
          <w:rFonts w:ascii="Garamond" w:hAnsi="Garamond"/>
          <w:sz w:val="24"/>
          <w:szCs w:val="24"/>
        </w:rPr>
        <w:t xml:space="preserve">tells us that the adequate realisation of the internal goods of </w:t>
      </w:r>
      <w:r w:rsidR="00700644">
        <w:rPr>
          <w:rFonts w:ascii="Garamond" w:hAnsi="Garamond"/>
          <w:sz w:val="24"/>
          <w:szCs w:val="24"/>
        </w:rPr>
        <w:t xml:space="preserve">a </w:t>
      </w:r>
      <w:r w:rsidRPr="00461D74">
        <w:rPr>
          <w:rFonts w:ascii="Garamond" w:hAnsi="Garamond"/>
          <w:sz w:val="24"/>
          <w:szCs w:val="24"/>
        </w:rPr>
        <w:t xml:space="preserve">heterogeneous set of practices, could only be understood within a second concept – that of </w:t>
      </w:r>
      <w:r w:rsidRPr="00461D74">
        <w:rPr>
          <w:rFonts w:ascii="Garamond" w:hAnsi="Garamond"/>
          <w:i/>
          <w:iCs/>
          <w:sz w:val="24"/>
          <w:szCs w:val="24"/>
        </w:rPr>
        <w:t xml:space="preserve">the </w:t>
      </w:r>
      <w:r w:rsidR="00945049" w:rsidRPr="00461D74">
        <w:rPr>
          <w:rFonts w:ascii="Garamond" w:hAnsi="Garamond"/>
          <w:i/>
          <w:iCs/>
          <w:sz w:val="24"/>
          <w:szCs w:val="24"/>
        </w:rPr>
        <w:t xml:space="preserve">(narrative) </w:t>
      </w:r>
      <w:r w:rsidRPr="00461D74">
        <w:rPr>
          <w:rFonts w:ascii="Garamond" w:hAnsi="Garamond"/>
          <w:i/>
          <w:iCs/>
          <w:sz w:val="24"/>
          <w:szCs w:val="24"/>
        </w:rPr>
        <w:t>unity of a whole life</w:t>
      </w:r>
      <w:r w:rsidRPr="00461D74">
        <w:rPr>
          <w:rFonts w:ascii="Garamond" w:hAnsi="Garamond"/>
          <w:sz w:val="24"/>
          <w:szCs w:val="24"/>
        </w:rPr>
        <w:t xml:space="preserve">. Thus MacIntyre says that what we need is an “overriding conception of </w:t>
      </w:r>
      <w:proofErr w:type="spellStart"/>
      <w:r w:rsidRPr="00461D74">
        <w:rPr>
          <w:rFonts w:ascii="Garamond" w:hAnsi="Garamond"/>
          <w:sz w:val="24"/>
          <w:szCs w:val="24"/>
        </w:rPr>
        <w:t>telos</w:t>
      </w:r>
      <w:proofErr w:type="spellEnd"/>
      <w:r w:rsidRPr="00461D74">
        <w:rPr>
          <w:rFonts w:ascii="Garamond" w:hAnsi="Garamond"/>
          <w:sz w:val="24"/>
          <w:szCs w:val="24"/>
        </w:rPr>
        <w:t xml:space="preserve"> of a whole human life, conceived as a unity.” This conception of the unity of a whole life then allows us to rank and order the goods of social practices, and the ‘good</w:t>
      </w:r>
      <w:r w:rsidR="00204AB4">
        <w:rPr>
          <w:rFonts w:ascii="Garamond" w:hAnsi="Garamond"/>
          <w:sz w:val="24"/>
          <w:szCs w:val="24"/>
        </w:rPr>
        <w:t>,</w:t>
      </w:r>
      <w:r w:rsidRPr="00461D74">
        <w:rPr>
          <w:rFonts w:ascii="Garamond" w:hAnsi="Garamond"/>
          <w:sz w:val="24"/>
          <w:szCs w:val="24"/>
        </w:rPr>
        <w:t>’ conceived as a whole.</w:t>
      </w:r>
      <w:r w:rsidRPr="00461D74">
        <w:rPr>
          <w:rStyle w:val="FootnoteReference"/>
          <w:rFonts w:ascii="Garamond" w:hAnsi="Garamond"/>
          <w:sz w:val="24"/>
          <w:szCs w:val="24"/>
        </w:rPr>
        <w:footnoteReference w:id="67"/>
      </w:r>
      <w:r w:rsidRPr="00461D74">
        <w:rPr>
          <w:rFonts w:ascii="Garamond" w:hAnsi="Garamond"/>
          <w:sz w:val="24"/>
          <w:szCs w:val="24"/>
        </w:rPr>
        <w:t xml:space="preserve"> Moreover, this unity of a whole life has a narrative character that should be best understood in terms of the </w:t>
      </w:r>
      <w:r w:rsidRPr="00461D74">
        <w:rPr>
          <w:rFonts w:ascii="Garamond" w:hAnsi="Garamond"/>
          <w:i/>
          <w:iCs/>
          <w:sz w:val="24"/>
          <w:szCs w:val="24"/>
        </w:rPr>
        <w:t>narrative history of the self</w:t>
      </w:r>
      <w:r w:rsidRPr="00461D74">
        <w:rPr>
          <w:rFonts w:ascii="Garamond" w:hAnsi="Garamond"/>
          <w:sz w:val="24"/>
          <w:szCs w:val="24"/>
        </w:rPr>
        <w:t xml:space="preserve">. </w:t>
      </w:r>
      <w:r w:rsidR="003B1977" w:rsidRPr="00461D74">
        <w:rPr>
          <w:rFonts w:ascii="Garamond" w:hAnsi="Garamond"/>
          <w:sz w:val="24"/>
          <w:szCs w:val="24"/>
        </w:rPr>
        <w:t xml:space="preserve">It is only through </w:t>
      </w:r>
      <w:r w:rsidRPr="00461D74">
        <w:rPr>
          <w:rFonts w:ascii="Garamond" w:hAnsi="Garamond"/>
          <w:sz w:val="24"/>
          <w:szCs w:val="24"/>
        </w:rPr>
        <w:t xml:space="preserve">this narrative history </w:t>
      </w:r>
      <w:r w:rsidR="003B1977" w:rsidRPr="00461D74">
        <w:rPr>
          <w:rFonts w:ascii="Garamond" w:hAnsi="Garamond"/>
          <w:sz w:val="24"/>
          <w:szCs w:val="24"/>
        </w:rPr>
        <w:t xml:space="preserve">that the self </w:t>
      </w:r>
      <w:r w:rsidRPr="00461D74">
        <w:rPr>
          <w:rFonts w:ascii="Garamond" w:hAnsi="Garamond"/>
          <w:sz w:val="24"/>
          <w:szCs w:val="24"/>
        </w:rPr>
        <w:t>order</w:t>
      </w:r>
      <w:r w:rsidR="003B1977" w:rsidRPr="00461D74">
        <w:rPr>
          <w:rFonts w:ascii="Garamond" w:hAnsi="Garamond"/>
          <w:sz w:val="24"/>
          <w:szCs w:val="24"/>
        </w:rPr>
        <w:t>s</w:t>
      </w:r>
      <w:r w:rsidRPr="00461D74">
        <w:rPr>
          <w:rFonts w:ascii="Garamond" w:hAnsi="Garamond"/>
          <w:sz w:val="24"/>
          <w:szCs w:val="24"/>
        </w:rPr>
        <w:t xml:space="preserve"> </w:t>
      </w:r>
      <w:r w:rsidR="003B1977" w:rsidRPr="00461D74">
        <w:rPr>
          <w:rFonts w:ascii="Garamond" w:hAnsi="Garamond"/>
          <w:sz w:val="24"/>
          <w:szCs w:val="24"/>
        </w:rPr>
        <w:t xml:space="preserve">its </w:t>
      </w:r>
      <w:r w:rsidRPr="00461D74">
        <w:rPr>
          <w:rFonts w:ascii="Garamond" w:hAnsi="Garamond"/>
          <w:sz w:val="24"/>
          <w:szCs w:val="24"/>
        </w:rPr>
        <w:t xml:space="preserve">life towards the realisation of the goods of the virtue, and the good as a whole. In directing our life towards these goods we understand short-term intentions in terms of long-term intentions. This sort of narrative history, MacIntyre </w:t>
      </w:r>
      <w:r w:rsidR="00427578" w:rsidRPr="00461D74">
        <w:rPr>
          <w:rFonts w:ascii="Garamond" w:hAnsi="Garamond"/>
          <w:sz w:val="24"/>
          <w:szCs w:val="24"/>
        </w:rPr>
        <w:t>argues</w:t>
      </w:r>
      <w:r w:rsidRPr="00461D74">
        <w:rPr>
          <w:rFonts w:ascii="Garamond" w:hAnsi="Garamond"/>
          <w:sz w:val="24"/>
          <w:szCs w:val="24"/>
        </w:rPr>
        <w:t xml:space="preserve">, is an essential way by which we render human </w:t>
      </w:r>
      <w:r w:rsidRPr="00461D74">
        <w:rPr>
          <w:rFonts w:ascii="Garamond" w:hAnsi="Garamond"/>
          <w:sz w:val="24"/>
          <w:szCs w:val="24"/>
        </w:rPr>
        <w:lastRenderedPageBreak/>
        <w:t>actions intelligible.</w:t>
      </w:r>
      <w:r w:rsidRPr="00461D74">
        <w:rPr>
          <w:rStyle w:val="FootnoteReference"/>
          <w:rFonts w:ascii="Garamond" w:hAnsi="Garamond"/>
          <w:sz w:val="24"/>
          <w:szCs w:val="24"/>
        </w:rPr>
        <w:footnoteReference w:id="68"/>
      </w:r>
      <w:r w:rsidRPr="00461D74">
        <w:rPr>
          <w:rFonts w:ascii="Garamond" w:hAnsi="Garamond"/>
          <w:sz w:val="24"/>
          <w:szCs w:val="24"/>
        </w:rPr>
        <w:t xml:space="preserve"> We can thus observe that the narrative history of the self has a teleological character, albeit a more social </w:t>
      </w:r>
      <w:r w:rsidR="00427578" w:rsidRPr="00461D74">
        <w:rPr>
          <w:rFonts w:ascii="Garamond" w:hAnsi="Garamond"/>
          <w:sz w:val="24"/>
          <w:szCs w:val="24"/>
        </w:rPr>
        <w:t xml:space="preserve">version </w:t>
      </w:r>
      <w:r w:rsidRPr="00461D74">
        <w:rPr>
          <w:rFonts w:ascii="Garamond" w:hAnsi="Garamond"/>
          <w:sz w:val="24"/>
          <w:szCs w:val="24"/>
        </w:rPr>
        <w:t xml:space="preserve">of teleology than the metaphysical account we find in Aristotle. This narrative unity of a human life as whole is defined in terms of a narrative quest, and this quest is the quest for the </w:t>
      </w:r>
      <w:r w:rsidRPr="00461D74">
        <w:rPr>
          <w:rFonts w:ascii="Garamond" w:hAnsi="Garamond"/>
          <w:i/>
          <w:iCs/>
          <w:sz w:val="24"/>
          <w:szCs w:val="24"/>
        </w:rPr>
        <w:t>good</w:t>
      </w:r>
      <w:r w:rsidRPr="00461D74">
        <w:rPr>
          <w:rFonts w:ascii="Garamond" w:hAnsi="Garamond"/>
          <w:sz w:val="24"/>
          <w:szCs w:val="24"/>
        </w:rPr>
        <w:t xml:space="preserve"> that should be understood in terms of a quest for the human </w:t>
      </w:r>
      <w:proofErr w:type="spellStart"/>
      <w:r w:rsidRPr="00461D74">
        <w:rPr>
          <w:rFonts w:ascii="Garamond" w:hAnsi="Garamond"/>
          <w:sz w:val="24"/>
          <w:szCs w:val="24"/>
        </w:rPr>
        <w:t>telos</w:t>
      </w:r>
      <w:proofErr w:type="spellEnd"/>
      <w:r w:rsidRPr="00461D74">
        <w:rPr>
          <w:rFonts w:ascii="Garamond" w:hAnsi="Garamond"/>
          <w:sz w:val="24"/>
          <w:szCs w:val="24"/>
        </w:rPr>
        <w:t>.</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MacIntyre then offers us a somewhat wide ranging definition of the good life: “</w:t>
      </w:r>
      <w:r w:rsidR="00DB00EA" w:rsidRPr="00DB00EA">
        <w:rPr>
          <w:rFonts w:ascii="Garamond" w:hAnsi="Garamond"/>
          <w:i/>
          <w:sz w:val="24"/>
          <w:szCs w:val="24"/>
        </w:rPr>
        <w:t>the good life for man is life spent in seeking good life for man, and the virtues necessary for seeking are those which will enable us to understand what more and what else the good life for man is</w:t>
      </w:r>
      <w:r w:rsidR="00E817B9" w:rsidRPr="00461D74">
        <w:rPr>
          <w:rFonts w:ascii="Garamond" w:hAnsi="Garamond"/>
          <w:i/>
          <w:sz w:val="24"/>
          <w:szCs w:val="24"/>
        </w:rPr>
        <w:t xml:space="preserve"> </w:t>
      </w:r>
      <w:r w:rsidR="00DB00EA" w:rsidRPr="00DB00EA">
        <w:rPr>
          <w:rFonts w:ascii="Garamond" w:hAnsi="Garamond"/>
          <w:sz w:val="24"/>
          <w:szCs w:val="24"/>
        </w:rPr>
        <w:t>[emphasis mine]</w:t>
      </w:r>
      <w:r w:rsidR="008A37DC" w:rsidRPr="00461D74">
        <w:rPr>
          <w:rFonts w:ascii="Garamond" w:hAnsi="Garamond"/>
          <w:sz w:val="24"/>
          <w:szCs w:val="24"/>
        </w:rPr>
        <w:t>;</w:t>
      </w:r>
      <w:r w:rsidRPr="00461D74">
        <w:rPr>
          <w:rFonts w:ascii="Garamond" w:hAnsi="Garamond"/>
          <w:sz w:val="24"/>
          <w:szCs w:val="24"/>
        </w:rPr>
        <w:t>”</w:t>
      </w:r>
      <w:r w:rsidR="00E817B9" w:rsidRPr="00461D74">
        <w:rPr>
          <w:rStyle w:val="FootnoteReference"/>
          <w:rFonts w:ascii="Garamond" w:hAnsi="Garamond"/>
          <w:sz w:val="24"/>
          <w:szCs w:val="24"/>
        </w:rPr>
        <w:footnoteReference w:id="69"/>
      </w:r>
      <w:r w:rsidRPr="00461D74">
        <w:rPr>
          <w:rFonts w:ascii="Garamond" w:hAnsi="Garamond"/>
          <w:sz w:val="24"/>
          <w:szCs w:val="24"/>
        </w:rPr>
        <w:t xml:space="preserve"> and MacIntyre </w:t>
      </w:r>
      <w:r w:rsidR="008A37DC" w:rsidRPr="00461D74">
        <w:rPr>
          <w:rFonts w:ascii="Garamond" w:hAnsi="Garamond"/>
          <w:sz w:val="24"/>
          <w:szCs w:val="24"/>
        </w:rPr>
        <w:t xml:space="preserve">also </w:t>
      </w:r>
      <w:r w:rsidRPr="00461D74">
        <w:rPr>
          <w:rFonts w:ascii="Garamond" w:hAnsi="Garamond"/>
          <w:sz w:val="24"/>
          <w:szCs w:val="24"/>
        </w:rPr>
        <w:t>accepts that under his wide-ranging account of the good life, the good life “for a 5</w:t>
      </w:r>
      <w:r w:rsidRPr="00461D74">
        <w:rPr>
          <w:rFonts w:ascii="Garamond" w:hAnsi="Garamond"/>
          <w:sz w:val="24"/>
          <w:szCs w:val="24"/>
          <w:vertAlign w:val="superscript"/>
        </w:rPr>
        <w:t>th</w:t>
      </w:r>
      <w:r w:rsidRPr="00461D74">
        <w:rPr>
          <w:rFonts w:ascii="Garamond" w:hAnsi="Garamond"/>
          <w:sz w:val="24"/>
          <w:szCs w:val="24"/>
        </w:rPr>
        <w:t xml:space="preserve"> century Athenian general will not be the same was what it was for a medieval nun or 17</w:t>
      </w:r>
      <w:r w:rsidRPr="00461D74">
        <w:rPr>
          <w:rFonts w:ascii="Garamond" w:hAnsi="Garamond"/>
          <w:sz w:val="24"/>
          <w:szCs w:val="24"/>
          <w:vertAlign w:val="superscript"/>
        </w:rPr>
        <w:t>th</w:t>
      </w:r>
      <w:r w:rsidRPr="00461D74">
        <w:rPr>
          <w:rFonts w:ascii="Garamond" w:hAnsi="Garamond"/>
          <w:sz w:val="24"/>
          <w:szCs w:val="24"/>
        </w:rPr>
        <w:t xml:space="preserve"> century farmer.”</w:t>
      </w:r>
      <w:r w:rsidRPr="00461D74">
        <w:rPr>
          <w:rStyle w:val="FootnoteReference"/>
          <w:rFonts w:ascii="Garamond" w:hAnsi="Garamond"/>
          <w:sz w:val="24"/>
          <w:szCs w:val="24"/>
        </w:rPr>
        <w:footnoteReference w:id="70"/>
      </w:r>
      <w:r w:rsidRPr="00461D74">
        <w:rPr>
          <w:rFonts w:ascii="Garamond" w:hAnsi="Garamond"/>
          <w:sz w:val="24"/>
          <w:szCs w:val="24"/>
        </w:rPr>
        <w:t xml:space="preserve"> Thus, his account is in an important sense socio-historical and context dependent.</w:t>
      </w: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t xml:space="preserve">MacIntyre then introduces </w:t>
      </w:r>
      <w:r w:rsidR="00353890" w:rsidRPr="00461D74">
        <w:rPr>
          <w:rFonts w:ascii="Garamond" w:hAnsi="Garamond"/>
          <w:sz w:val="24"/>
          <w:szCs w:val="24"/>
        </w:rPr>
        <w:t>the</w:t>
      </w:r>
      <w:r w:rsidRPr="00461D74">
        <w:rPr>
          <w:rFonts w:ascii="Garamond" w:hAnsi="Garamond"/>
          <w:sz w:val="24"/>
          <w:szCs w:val="24"/>
        </w:rPr>
        <w:t xml:space="preserve"> third </w:t>
      </w:r>
      <w:r w:rsidR="00353890" w:rsidRPr="00461D74">
        <w:rPr>
          <w:rFonts w:ascii="Garamond" w:hAnsi="Garamond"/>
          <w:sz w:val="24"/>
          <w:szCs w:val="24"/>
        </w:rPr>
        <w:t xml:space="preserve">concept with which he articulates the notion of </w:t>
      </w:r>
      <w:r w:rsidRPr="00461D74">
        <w:rPr>
          <w:rFonts w:ascii="Garamond" w:hAnsi="Garamond"/>
          <w:sz w:val="24"/>
          <w:szCs w:val="24"/>
        </w:rPr>
        <w:t xml:space="preserve">virtue – that of tradition. </w:t>
      </w:r>
      <w:r w:rsidR="00427578" w:rsidRPr="00461D74">
        <w:rPr>
          <w:rFonts w:ascii="Garamond" w:hAnsi="Garamond"/>
          <w:sz w:val="24"/>
          <w:szCs w:val="24"/>
        </w:rPr>
        <w:t xml:space="preserve">Now, we are in need of </w:t>
      </w:r>
      <w:r w:rsidRPr="00461D74">
        <w:rPr>
          <w:rFonts w:ascii="Garamond" w:hAnsi="Garamond"/>
          <w:sz w:val="24"/>
          <w:szCs w:val="24"/>
        </w:rPr>
        <w:t xml:space="preserve">this third concept </w:t>
      </w:r>
      <w:r w:rsidR="00427578" w:rsidRPr="00461D74">
        <w:rPr>
          <w:rFonts w:ascii="Garamond" w:hAnsi="Garamond"/>
          <w:sz w:val="24"/>
          <w:szCs w:val="24"/>
        </w:rPr>
        <w:t xml:space="preserve">simply for the reason that it is only possible to come to an adequate understanding of the narrative character of a unified individual human life directed towards its good, </w:t>
      </w:r>
      <w:r w:rsidR="002D7B9F">
        <w:rPr>
          <w:rFonts w:ascii="Garamond" w:hAnsi="Garamond"/>
          <w:sz w:val="24"/>
          <w:szCs w:val="24"/>
        </w:rPr>
        <w:t xml:space="preserve">if that life </w:t>
      </w:r>
      <w:r w:rsidR="00B062E0" w:rsidRPr="00461D74">
        <w:rPr>
          <w:rFonts w:ascii="Garamond" w:hAnsi="Garamond"/>
          <w:sz w:val="24"/>
          <w:szCs w:val="24"/>
        </w:rPr>
        <w:t>remains</w:t>
      </w:r>
      <w:r w:rsidR="00427578" w:rsidRPr="00461D74">
        <w:rPr>
          <w:rFonts w:ascii="Garamond" w:hAnsi="Garamond"/>
          <w:sz w:val="24"/>
          <w:szCs w:val="24"/>
        </w:rPr>
        <w:t xml:space="preserve"> intimately connected to </w:t>
      </w:r>
      <w:r w:rsidR="00B062E0" w:rsidRPr="00461D74">
        <w:rPr>
          <w:rFonts w:ascii="Garamond" w:hAnsi="Garamond"/>
          <w:sz w:val="24"/>
          <w:szCs w:val="24"/>
        </w:rPr>
        <w:t xml:space="preserve">the various (social) </w:t>
      </w:r>
      <w:r w:rsidR="00147F6B" w:rsidRPr="00461D74">
        <w:rPr>
          <w:rFonts w:ascii="Garamond" w:hAnsi="Garamond"/>
          <w:sz w:val="24"/>
          <w:szCs w:val="24"/>
        </w:rPr>
        <w:t xml:space="preserve">practices </w:t>
      </w:r>
      <w:r w:rsidR="00CC4B6C" w:rsidRPr="00461D74">
        <w:rPr>
          <w:rFonts w:ascii="Garamond" w:hAnsi="Garamond"/>
          <w:sz w:val="24"/>
          <w:szCs w:val="24"/>
        </w:rPr>
        <w:t>(</w:t>
      </w:r>
      <w:r w:rsidR="00B062E0" w:rsidRPr="00461D74">
        <w:rPr>
          <w:rFonts w:ascii="Garamond" w:hAnsi="Garamond"/>
          <w:sz w:val="24"/>
          <w:szCs w:val="24"/>
        </w:rPr>
        <w:t>in the context of society viewed as a whole</w:t>
      </w:r>
      <w:r w:rsidR="00CC4B6C" w:rsidRPr="00461D74">
        <w:rPr>
          <w:rFonts w:ascii="Garamond" w:hAnsi="Garamond"/>
          <w:sz w:val="24"/>
          <w:szCs w:val="24"/>
        </w:rPr>
        <w:t>)</w:t>
      </w:r>
      <w:r w:rsidR="002D7B9F">
        <w:rPr>
          <w:rFonts w:ascii="Garamond" w:hAnsi="Garamond"/>
          <w:sz w:val="24"/>
          <w:szCs w:val="24"/>
        </w:rPr>
        <w:t>,</w:t>
      </w:r>
      <w:r w:rsidR="00427578" w:rsidRPr="00461D74">
        <w:rPr>
          <w:rFonts w:ascii="Garamond" w:hAnsi="Garamond"/>
          <w:sz w:val="24"/>
          <w:szCs w:val="24"/>
        </w:rPr>
        <w:t xml:space="preserve"> and those social practices are </w:t>
      </w:r>
      <w:r w:rsidR="00147F6B" w:rsidRPr="00461D74">
        <w:rPr>
          <w:rFonts w:ascii="Garamond" w:hAnsi="Garamond"/>
          <w:sz w:val="24"/>
          <w:szCs w:val="24"/>
        </w:rPr>
        <w:t xml:space="preserve">always </w:t>
      </w:r>
      <w:r w:rsidR="00427578" w:rsidRPr="00461D74">
        <w:rPr>
          <w:rFonts w:ascii="Garamond" w:hAnsi="Garamond"/>
          <w:sz w:val="24"/>
          <w:szCs w:val="24"/>
        </w:rPr>
        <w:t xml:space="preserve">embodied </w:t>
      </w:r>
      <w:r w:rsidR="00147F6B" w:rsidRPr="00461D74">
        <w:rPr>
          <w:rFonts w:ascii="Garamond" w:hAnsi="Garamond"/>
          <w:sz w:val="24"/>
          <w:szCs w:val="24"/>
        </w:rPr>
        <w:t xml:space="preserve">and articulated </w:t>
      </w:r>
      <w:r w:rsidR="00427578" w:rsidRPr="00461D74">
        <w:rPr>
          <w:rFonts w:ascii="Garamond" w:hAnsi="Garamond"/>
          <w:sz w:val="24"/>
          <w:szCs w:val="24"/>
        </w:rPr>
        <w:t>within some tradition</w:t>
      </w:r>
      <w:r w:rsidR="00147F6B" w:rsidRPr="00461D74">
        <w:rPr>
          <w:rFonts w:ascii="Garamond" w:hAnsi="Garamond"/>
          <w:sz w:val="24"/>
          <w:szCs w:val="24"/>
        </w:rPr>
        <w:t>.</w:t>
      </w:r>
      <w:r w:rsidRPr="00461D74">
        <w:rPr>
          <w:rFonts w:ascii="Garamond" w:hAnsi="Garamond"/>
          <w:sz w:val="24"/>
          <w:szCs w:val="24"/>
        </w:rPr>
        <w:t xml:space="preserve"> Thus</w:t>
      </w:r>
      <w:r w:rsidR="005F5988" w:rsidRPr="00461D74">
        <w:rPr>
          <w:rFonts w:ascii="Garamond" w:hAnsi="Garamond"/>
          <w:sz w:val="24"/>
          <w:szCs w:val="24"/>
        </w:rPr>
        <w:t>,</w:t>
      </w:r>
      <w:r w:rsidRPr="00461D74">
        <w:rPr>
          <w:rFonts w:ascii="Garamond" w:hAnsi="Garamond"/>
          <w:sz w:val="24"/>
          <w:szCs w:val="24"/>
        </w:rPr>
        <w:t xml:space="preserve"> </w:t>
      </w:r>
      <w:r w:rsidR="005F5988" w:rsidRPr="00461D74">
        <w:rPr>
          <w:rFonts w:ascii="Garamond" w:hAnsi="Garamond"/>
          <w:sz w:val="24"/>
          <w:szCs w:val="24"/>
        </w:rPr>
        <w:t xml:space="preserve">not only is it the case that </w:t>
      </w:r>
      <w:r w:rsidRPr="00461D74">
        <w:rPr>
          <w:rFonts w:ascii="Garamond" w:hAnsi="Garamond"/>
          <w:sz w:val="24"/>
          <w:szCs w:val="24"/>
        </w:rPr>
        <w:t xml:space="preserve">practices are </w:t>
      </w:r>
      <w:r w:rsidR="005F5988" w:rsidRPr="00461D74">
        <w:rPr>
          <w:rFonts w:ascii="Garamond" w:hAnsi="Garamond"/>
          <w:sz w:val="24"/>
          <w:szCs w:val="24"/>
        </w:rPr>
        <w:t xml:space="preserve">conveyed and </w:t>
      </w:r>
      <w:r w:rsidRPr="00461D74">
        <w:rPr>
          <w:rFonts w:ascii="Garamond" w:hAnsi="Garamond"/>
          <w:sz w:val="24"/>
          <w:szCs w:val="24"/>
        </w:rPr>
        <w:t>transmitted through traditions</w:t>
      </w:r>
      <w:r w:rsidR="005F5988" w:rsidRPr="00461D74">
        <w:rPr>
          <w:rFonts w:ascii="Garamond" w:hAnsi="Garamond"/>
          <w:sz w:val="24"/>
          <w:szCs w:val="24"/>
        </w:rPr>
        <w:t>,</w:t>
      </w:r>
      <w:r w:rsidRPr="00461D74">
        <w:rPr>
          <w:rFonts w:ascii="Garamond" w:hAnsi="Garamond"/>
          <w:sz w:val="24"/>
          <w:szCs w:val="24"/>
        </w:rPr>
        <w:t xml:space="preserve"> </w:t>
      </w:r>
      <w:r w:rsidR="00970EC3">
        <w:rPr>
          <w:rFonts w:ascii="Garamond" w:hAnsi="Garamond"/>
          <w:sz w:val="24"/>
          <w:szCs w:val="24"/>
        </w:rPr>
        <w:t xml:space="preserve">but rather </w:t>
      </w:r>
      <w:r w:rsidRPr="00461D74">
        <w:rPr>
          <w:rFonts w:ascii="Garamond" w:hAnsi="Garamond"/>
          <w:sz w:val="24"/>
          <w:szCs w:val="24"/>
        </w:rPr>
        <w:t xml:space="preserve">all reasoning about </w:t>
      </w:r>
      <w:r w:rsidR="00DB00EA" w:rsidRPr="00DB00EA">
        <w:rPr>
          <w:rFonts w:ascii="Garamond" w:hAnsi="Garamond"/>
          <w:i/>
          <w:sz w:val="24"/>
          <w:szCs w:val="24"/>
        </w:rPr>
        <w:t>the</w:t>
      </w:r>
      <w:r w:rsidRPr="00461D74">
        <w:rPr>
          <w:rFonts w:ascii="Garamond" w:hAnsi="Garamond"/>
          <w:sz w:val="24"/>
          <w:szCs w:val="24"/>
        </w:rPr>
        <w:t xml:space="preserve"> good takes place within some tradition. MacIntyre then offers an expansive definition of tradition as: “</w:t>
      </w:r>
      <w:proofErr w:type="gramStart"/>
      <w:r w:rsidRPr="00461D74">
        <w:rPr>
          <w:rFonts w:ascii="Garamond" w:hAnsi="Garamond"/>
          <w:sz w:val="24"/>
          <w:szCs w:val="24"/>
        </w:rPr>
        <w:t>an</w:t>
      </w:r>
      <w:proofErr w:type="gramEnd"/>
      <w:r w:rsidRPr="00461D74">
        <w:rPr>
          <w:rFonts w:ascii="Garamond" w:hAnsi="Garamond"/>
          <w:sz w:val="24"/>
          <w:szCs w:val="24"/>
        </w:rPr>
        <w:t xml:space="preserve"> historically extended, socially embodied argument, and an argument precisely in part about the goods which constitute that tradition.”</w:t>
      </w:r>
      <w:r w:rsidRPr="00461D74">
        <w:rPr>
          <w:rStyle w:val="FootnoteReference"/>
          <w:rFonts w:ascii="Garamond" w:hAnsi="Garamond"/>
          <w:sz w:val="24"/>
          <w:szCs w:val="24"/>
        </w:rPr>
        <w:footnoteReference w:id="71"/>
      </w:r>
      <w:r w:rsidRPr="00461D74">
        <w:rPr>
          <w:rFonts w:ascii="Garamond" w:hAnsi="Garamond"/>
          <w:sz w:val="24"/>
          <w:szCs w:val="24"/>
        </w:rPr>
        <w:t xml:space="preserve"> The narrative history of a self, </w:t>
      </w:r>
      <w:r w:rsidR="00D676BB" w:rsidRPr="00461D74">
        <w:rPr>
          <w:rFonts w:ascii="Garamond" w:hAnsi="Garamond"/>
          <w:sz w:val="24"/>
          <w:szCs w:val="24"/>
        </w:rPr>
        <w:t xml:space="preserve">which remains </w:t>
      </w:r>
      <w:r w:rsidRPr="00461D74">
        <w:rPr>
          <w:rFonts w:ascii="Garamond" w:hAnsi="Garamond"/>
          <w:sz w:val="24"/>
          <w:szCs w:val="24"/>
        </w:rPr>
        <w:t xml:space="preserve">directed towards </w:t>
      </w:r>
      <w:r w:rsidR="00D676BB" w:rsidRPr="00461D74">
        <w:rPr>
          <w:rFonts w:ascii="Garamond" w:hAnsi="Garamond"/>
          <w:sz w:val="24"/>
          <w:szCs w:val="24"/>
        </w:rPr>
        <w:t xml:space="preserve">its </w:t>
      </w:r>
      <w:r w:rsidRPr="00461D74">
        <w:rPr>
          <w:rFonts w:ascii="Garamond" w:hAnsi="Garamond"/>
          <w:sz w:val="24"/>
          <w:szCs w:val="24"/>
        </w:rPr>
        <w:lastRenderedPageBreak/>
        <w:t xml:space="preserve">quest for </w:t>
      </w:r>
      <w:r w:rsidR="00DB00EA" w:rsidRPr="00DB00EA">
        <w:rPr>
          <w:rFonts w:ascii="Garamond" w:hAnsi="Garamond"/>
          <w:i/>
          <w:sz w:val="24"/>
          <w:szCs w:val="24"/>
        </w:rPr>
        <w:t>the</w:t>
      </w:r>
      <w:r w:rsidRPr="00461D74">
        <w:rPr>
          <w:rFonts w:ascii="Garamond" w:hAnsi="Garamond"/>
          <w:sz w:val="24"/>
          <w:szCs w:val="24"/>
        </w:rPr>
        <w:t xml:space="preserve"> good, is always defined in terms of a</w:t>
      </w:r>
      <w:r w:rsidR="00D676BB" w:rsidRPr="00461D74">
        <w:rPr>
          <w:rFonts w:ascii="Garamond" w:hAnsi="Garamond"/>
          <w:sz w:val="24"/>
          <w:szCs w:val="24"/>
        </w:rPr>
        <w:t>n</w:t>
      </w:r>
      <w:r w:rsidRPr="00461D74">
        <w:rPr>
          <w:rFonts w:ascii="Garamond" w:hAnsi="Garamond"/>
          <w:sz w:val="24"/>
          <w:szCs w:val="24"/>
        </w:rPr>
        <w:t xml:space="preserve"> </w:t>
      </w:r>
      <w:r w:rsidR="00D676BB" w:rsidRPr="00461D74">
        <w:rPr>
          <w:rFonts w:ascii="Garamond" w:hAnsi="Garamond"/>
          <w:sz w:val="24"/>
          <w:szCs w:val="24"/>
        </w:rPr>
        <w:t>expanded (</w:t>
      </w:r>
      <w:r w:rsidRPr="00461D74">
        <w:rPr>
          <w:rFonts w:ascii="Garamond" w:hAnsi="Garamond"/>
          <w:sz w:val="24"/>
          <w:szCs w:val="24"/>
        </w:rPr>
        <w:t>historical</w:t>
      </w:r>
      <w:r w:rsidR="00D676BB" w:rsidRPr="00461D74">
        <w:rPr>
          <w:rFonts w:ascii="Garamond" w:hAnsi="Garamond"/>
          <w:sz w:val="24"/>
          <w:szCs w:val="24"/>
        </w:rPr>
        <w:t>)</w:t>
      </w:r>
      <w:r w:rsidRPr="00461D74">
        <w:rPr>
          <w:rFonts w:ascii="Garamond" w:hAnsi="Garamond"/>
          <w:sz w:val="24"/>
          <w:szCs w:val="24"/>
        </w:rPr>
        <w:t xml:space="preserve"> narrative defined in terms of </w:t>
      </w:r>
      <w:r w:rsidR="00D676BB" w:rsidRPr="00461D74">
        <w:rPr>
          <w:rFonts w:ascii="Garamond" w:hAnsi="Garamond"/>
          <w:sz w:val="24"/>
          <w:szCs w:val="24"/>
        </w:rPr>
        <w:t xml:space="preserve">a number of </w:t>
      </w:r>
      <w:r w:rsidRPr="00461D74">
        <w:rPr>
          <w:rFonts w:ascii="Garamond" w:hAnsi="Garamond"/>
          <w:sz w:val="24"/>
          <w:szCs w:val="24"/>
        </w:rPr>
        <w:t>arguments advanced within some tradition.</w:t>
      </w:r>
      <w:r w:rsidRPr="00461D74">
        <w:rPr>
          <w:rStyle w:val="FootnoteReference"/>
          <w:rFonts w:ascii="Garamond" w:hAnsi="Garamond"/>
          <w:sz w:val="24"/>
          <w:szCs w:val="24"/>
        </w:rPr>
        <w:footnoteReference w:id="72"/>
      </w:r>
    </w:p>
    <w:p w:rsidR="00353890" w:rsidRPr="00461D74" w:rsidRDefault="00016049" w:rsidP="00164E4D">
      <w:pPr>
        <w:spacing w:line="360" w:lineRule="auto"/>
        <w:jc w:val="both"/>
        <w:rPr>
          <w:rFonts w:ascii="Garamond" w:hAnsi="Garamond"/>
          <w:sz w:val="24"/>
          <w:szCs w:val="24"/>
        </w:rPr>
      </w:pPr>
      <w:r w:rsidRPr="00461D74">
        <w:rPr>
          <w:rFonts w:ascii="Garamond" w:hAnsi="Garamond"/>
          <w:sz w:val="24"/>
          <w:szCs w:val="24"/>
        </w:rPr>
        <w:tab/>
      </w:r>
      <w:r w:rsidR="00353890" w:rsidRPr="00461D74">
        <w:rPr>
          <w:rFonts w:ascii="Garamond" w:hAnsi="Garamond"/>
          <w:sz w:val="24"/>
          <w:szCs w:val="24"/>
        </w:rPr>
        <w:t xml:space="preserve">For the purposes of </w:t>
      </w:r>
      <w:r w:rsidRPr="00461D74">
        <w:rPr>
          <w:rFonts w:ascii="Garamond" w:hAnsi="Garamond"/>
          <w:sz w:val="24"/>
          <w:szCs w:val="24"/>
        </w:rPr>
        <w:t>our inquiry</w:t>
      </w:r>
      <w:r w:rsidR="00353890" w:rsidRPr="00461D74">
        <w:rPr>
          <w:rFonts w:ascii="Garamond" w:hAnsi="Garamond"/>
          <w:sz w:val="24"/>
          <w:szCs w:val="24"/>
        </w:rPr>
        <w:t xml:space="preserve"> in this thesis</w:t>
      </w:r>
      <w:r w:rsidRPr="00461D74">
        <w:rPr>
          <w:rFonts w:ascii="Garamond" w:hAnsi="Garamond"/>
          <w:sz w:val="24"/>
          <w:szCs w:val="24"/>
        </w:rPr>
        <w:t xml:space="preserve">, MacIntyre’s </w:t>
      </w:r>
      <w:r w:rsidR="00C50AEF" w:rsidRPr="00461D74">
        <w:rPr>
          <w:rFonts w:ascii="Garamond" w:hAnsi="Garamond"/>
          <w:sz w:val="24"/>
          <w:szCs w:val="24"/>
        </w:rPr>
        <w:t xml:space="preserve">discussion </w:t>
      </w:r>
      <w:r w:rsidRPr="00461D74">
        <w:rPr>
          <w:rFonts w:ascii="Garamond" w:hAnsi="Garamond"/>
          <w:sz w:val="24"/>
          <w:szCs w:val="24"/>
        </w:rPr>
        <w:t xml:space="preserve">of the concept of tradition </w:t>
      </w:r>
      <w:r w:rsidR="00C50AEF" w:rsidRPr="00461D74">
        <w:rPr>
          <w:rFonts w:ascii="Garamond" w:hAnsi="Garamond"/>
          <w:sz w:val="24"/>
          <w:szCs w:val="24"/>
        </w:rPr>
        <w:t xml:space="preserve">in </w:t>
      </w:r>
      <w:r w:rsidR="003519B2" w:rsidRPr="003519B2">
        <w:rPr>
          <w:rFonts w:ascii="Garamond" w:hAnsi="Garamond"/>
          <w:i/>
          <w:sz w:val="24"/>
          <w:szCs w:val="24"/>
        </w:rPr>
        <w:t>After Virtue</w:t>
      </w:r>
      <w:r w:rsidR="00C50AEF" w:rsidRPr="00461D74">
        <w:rPr>
          <w:rFonts w:ascii="Garamond" w:hAnsi="Garamond"/>
          <w:sz w:val="24"/>
          <w:szCs w:val="24"/>
        </w:rPr>
        <w:t xml:space="preserve"> </w:t>
      </w:r>
      <w:r w:rsidR="00353890" w:rsidRPr="00461D74">
        <w:rPr>
          <w:rFonts w:ascii="Garamond" w:hAnsi="Garamond"/>
          <w:sz w:val="24"/>
          <w:szCs w:val="24"/>
        </w:rPr>
        <w:t xml:space="preserve">is </w:t>
      </w:r>
      <w:r w:rsidR="00C50AEF" w:rsidRPr="00461D74">
        <w:rPr>
          <w:rFonts w:ascii="Garamond" w:hAnsi="Garamond"/>
          <w:sz w:val="24"/>
          <w:szCs w:val="24"/>
        </w:rPr>
        <w:t xml:space="preserve">an appropriate place </w:t>
      </w:r>
      <w:r w:rsidR="00353890" w:rsidRPr="00461D74">
        <w:rPr>
          <w:rFonts w:ascii="Garamond" w:hAnsi="Garamond"/>
          <w:sz w:val="24"/>
          <w:szCs w:val="24"/>
        </w:rPr>
        <w:t xml:space="preserve">to bring our </w:t>
      </w:r>
      <w:r w:rsidR="00C50AEF" w:rsidRPr="00461D74">
        <w:rPr>
          <w:rFonts w:ascii="Garamond" w:hAnsi="Garamond"/>
          <w:sz w:val="24"/>
          <w:szCs w:val="24"/>
        </w:rPr>
        <w:t xml:space="preserve">examination </w:t>
      </w:r>
      <w:r w:rsidR="00353890" w:rsidRPr="00461D74">
        <w:rPr>
          <w:rFonts w:ascii="Garamond" w:hAnsi="Garamond"/>
          <w:sz w:val="24"/>
          <w:szCs w:val="24"/>
        </w:rPr>
        <w:t>of</w:t>
      </w:r>
      <w:r w:rsidR="00C50AEF" w:rsidRPr="00461D74">
        <w:rPr>
          <w:rFonts w:ascii="Garamond" w:hAnsi="Garamond"/>
          <w:sz w:val="24"/>
          <w:szCs w:val="24"/>
        </w:rPr>
        <w:t xml:space="preserve"> this work</w:t>
      </w:r>
      <w:r w:rsidR="00C50AEF" w:rsidRPr="00461D74">
        <w:rPr>
          <w:rFonts w:ascii="Garamond" w:hAnsi="Garamond"/>
          <w:i/>
          <w:sz w:val="24"/>
          <w:szCs w:val="24"/>
        </w:rPr>
        <w:t xml:space="preserve"> </w:t>
      </w:r>
      <w:r w:rsidR="00353890" w:rsidRPr="00461D74">
        <w:rPr>
          <w:rFonts w:ascii="Garamond" w:hAnsi="Garamond"/>
          <w:sz w:val="24"/>
          <w:szCs w:val="24"/>
        </w:rPr>
        <w:t>to a</w:t>
      </w:r>
      <w:r w:rsidR="00C50AEF" w:rsidRPr="00461D74">
        <w:rPr>
          <w:rFonts w:ascii="Garamond" w:hAnsi="Garamond"/>
          <w:sz w:val="24"/>
          <w:szCs w:val="24"/>
        </w:rPr>
        <w:t xml:space="preserve"> natural </w:t>
      </w:r>
      <w:r w:rsidR="00353890" w:rsidRPr="00461D74">
        <w:rPr>
          <w:rFonts w:ascii="Garamond" w:hAnsi="Garamond"/>
          <w:sz w:val="24"/>
          <w:szCs w:val="24"/>
        </w:rPr>
        <w:t>conclusion</w:t>
      </w:r>
      <w:r w:rsidRPr="00461D74">
        <w:rPr>
          <w:rFonts w:ascii="Garamond" w:hAnsi="Garamond"/>
          <w:sz w:val="24"/>
          <w:szCs w:val="24"/>
        </w:rPr>
        <w:t>. However, there are two important criticisms that we should consider before moving on</w:t>
      </w:r>
      <w:r w:rsidR="00353890" w:rsidRPr="00461D74">
        <w:rPr>
          <w:rFonts w:ascii="Garamond" w:hAnsi="Garamond"/>
          <w:sz w:val="24"/>
          <w:szCs w:val="24"/>
        </w:rPr>
        <w:t xml:space="preserve">, </w:t>
      </w:r>
      <w:r w:rsidR="00C50AEF" w:rsidRPr="00461D74">
        <w:rPr>
          <w:rFonts w:ascii="Garamond" w:hAnsi="Garamond"/>
          <w:sz w:val="24"/>
          <w:szCs w:val="24"/>
        </w:rPr>
        <w:t xml:space="preserve">for they will </w:t>
      </w:r>
      <w:r w:rsidR="00D763FB" w:rsidRPr="00461D74">
        <w:rPr>
          <w:rFonts w:ascii="Garamond" w:hAnsi="Garamond"/>
          <w:sz w:val="24"/>
          <w:szCs w:val="24"/>
        </w:rPr>
        <w:t xml:space="preserve">highlight </w:t>
      </w:r>
      <w:r w:rsidR="00C50AEF" w:rsidRPr="00461D74">
        <w:rPr>
          <w:rFonts w:ascii="Garamond" w:hAnsi="Garamond"/>
          <w:sz w:val="24"/>
          <w:szCs w:val="24"/>
        </w:rPr>
        <w:t>a crucially important weakness</w:t>
      </w:r>
      <w:r w:rsidR="00D763FB" w:rsidRPr="00461D74">
        <w:rPr>
          <w:rFonts w:ascii="Garamond" w:hAnsi="Garamond"/>
          <w:sz w:val="24"/>
          <w:szCs w:val="24"/>
        </w:rPr>
        <w:t xml:space="preserve"> </w:t>
      </w:r>
      <w:r w:rsidR="00C50AEF" w:rsidRPr="00461D74">
        <w:rPr>
          <w:rFonts w:ascii="Garamond" w:hAnsi="Garamond"/>
          <w:sz w:val="24"/>
          <w:szCs w:val="24"/>
        </w:rPr>
        <w:t>of this work</w:t>
      </w:r>
      <w:r w:rsidR="00E15D81" w:rsidRPr="00461D74">
        <w:rPr>
          <w:rFonts w:ascii="Garamond" w:hAnsi="Garamond"/>
          <w:sz w:val="24"/>
          <w:szCs w:val="24"/>
        </w:rPr>
        <w:t>; and this limitation</w:t>
      </w:r>
      <w:r w:rsidR="00C50AEF" w:rsidRPr="00461D74">
        <w:rPr>
          <w:rFonts w:ascii="Garamond" w:hAnsi="Garamond"/>
          <w:sz w:val="24"/>
          <w:szCs w:val="24"/>
        </w:rPr>
        <w:t xml:space="preserve"> in my view</w:t>
      </w:r>
      <w:r w:rsidR="00E15D81" w:rsidRPr="00461D74">
        <w:rPr>
          <w:rFonts w:ascii="Garamond" w:hAnsi="Garamond"/>
          <w:sz w:val="24"/>
          <w:szCs w:val="24"/>
        </w:rPr>
        <w:t>,</w:t>
      </w:r>
      <w:r w:rsidR="00C50AEF" w:rsidRPr="00461D74">
        <w:rPr>
          <w:rFonts w:ascii="Garamond" w:hAnsi="Garamond"/>
          <w:sz w:val="24"/>
          <w:szCs w:val="24"/>
        </w:rPr>
        <w:t xml:space="preserve"> </w:t>
      </w:r>
      <w:r w:rsidR="00353890" w:rsidRPr="00461D74">
        <w:rPr>
          <w:rFonts w:ascii="Garamond" w:hAnsi="Garamond"/>
          <w:sz w:val="24"/>
          <w:szCs w:val="24"/>
        </w:rPr>
        <w:t>shape</w:t>
      </w:r>
      <w:r w:rsidR="00C50AEF" w:rsidRPr="00461D74">
        <w:rPr>
          <w:rFonts w:ascii="Garamond" w:hAnsi="Garamond"/>
          <w:sz w:val="24"/>
          <w:szCs w:val="24"/>
        </w:rPr>
        <w:t>s</w:t>
      </w:r>
      <w:r w:rsidR="00353890" w:rsidRPr="00461D74">
        <w:rPr>
          <w:rFonts w:ascii="Garamond" w:hAnsi="Garamond"/>
          <w:sz w:val="24"/>
          <w:szCs w:val="24"/>
        </w:rPr>
        <w:t xml:space="preserve"> the later development</w:t>
      </w:r>
      <w:r w:rsidR="00C50AEF" w:rsidRPr="00461D74">
        <w:rPr>
          <w:rFonts w:ascii="Garamond" w:hAnsi="Garamond"/>
          <w:sz w:val="24"/>
          <w:szCs w:val="24"/>
        </w:rPr>
        <w:t>s</w:t>
      </w:r>
      <w:r w:rsidR="00353890" w:rsidRPr="00461D74">
        <w:rPr>
          <w:rFonts w:ascii="Garamond" w:hAnsi="Garamond"/>
          <w:sz w:val="24"/>
          <w:szCs w:val="24"/>
        </w:rPr>
        <w:t xml:space="preserve"> </w:t>
      </w:r>
      <w:r w:rsidR="00C50AEF" w:rsidRPr="00461D74">
        <w:rPr>
          <w:rFonts w:ascii="Garamond" w:hAnsi="Garamond"/>
          <w:sz w:val="24"/>
          <w:szCs w:val="24"/>
        </w:rPr>
        <w:t xml:space="preserve">in </w:t>
      </w:r>
      <w:r w:rsidR="00353890" w:rsidRPr="00461D74">
        <w:rPr>
          <w:rFonts w:ascii="Garamond" w:hAnsi="Garamond"/>
          <w:sz w:val="24"/>
          <w:szCs w:val="24"/>
        </w:rPr>
        <w:t>MacIntyre’s thought</w:t>
      </w:r>
      <w:r w:rsidRPr="00461D74">
        <w:rPr>
          <w:rFonts w:ascii="Garamond" w:hAnsi="Garamond"/>
          <w:sz w:val="24"/>
          <w:szCs w:val="24"/>
        </w:rPr>
        <w:t>.</w:t>
      </w:r>
    </w:p>
    <w:p w:rsidR="00E560D0" w:rsidRPr="00461D74" w:rsidRDefault="00973C39" w:rsidP="00164E4D">
      <w:pPr>
        <w:spacing w:line="360" w:lineRule="auto"/>
        <w:ind w:firstLine="720"/>
        <w:jc w:val="both"/>
        <w:rPr>
          <w:rFonts w:ascii="Garamond" w:hAnsi="Garamond"/>
          <w:sz w:val="24"/>
          <w:szCs w:val="24"/>
        </w:rPr>
      </w:pPr>
      <w:r w:rsidRPr="00461D74">
        <w:rPr>
          <w:rFonts w:ascii="Garamond" w:hAnsi="Garamond"/>
          <w:sz w:val="24"/>
          <w:szCs w:val="24"/>
        </w:rPr>
        <w:t xml:space="preserve">Here, </w:t>
      </w:r>
      <w:r w:rsidR="00082D4B" w:rsidRPr="00461D74">
        <w:rPr>
          <w:rFonts w:ascii="Garamond" w:hAnsi="Garamond"/>
          <w:sz w:val="24"/>
          <w:szCs w:val="24"/>
        </w:rPr>
        <w:t xml:space="preserve">Jerome B. </w:t>
      </w:r>
      <w:proofErr w:type="spellStart"/>
      <w:r w:rsidR="00016049" w:rsidRPr="00461D74">
        <w:rPr>
          <w:rFonts w:ascii="Garamond" w:hAnsi="Garamond"/>
          <w:sz w:val="24"/>
          <w:szCs w:val="24"/>
        </w:rPr>
        <w:t>Schneewind</w:t>
      </w:r>
      <w:proofErr w:type="spellEnd"/>
      <w:r w:rsidR="00016049" w:rsidRPr="00461D74">
        <w:rPr>
          <w:rFonts w:ascii="Garamond" w:hAnsi="Garamond"/>
          <w:sz w:val="24"/>
          <w:szCs w:val="24"/>
        </w:rPr>
        <w:t xml:space="preserve"> advances the first criticism</w:t>
      </w:r>
      <w:r w:rsidRPr="00461D74">
        <w:rPr>
          <w:rFonts w:ascii="Garamond" w:hAnsi="Garamond"/>
          <w:sz w:val="24"/>
          <w:szCs w:val="24"/>
        </w:rPr>
        <w:t>.</w:t>
      </w:r>
      <w:r w:rsidR="00016049" w:rsidRPr="00461D74">
        <w:rPr>
          <w:rFonts w:ascii="Garamond" w:hAnsi="Garamond"/>
          <w:sz w:val="24"/>
          <w:szCs w:val="24"/>
        </w:rPr>
        <w:t xml:space="preserve"> </w:t>
      </w:r>
      <w:r w:rsidRPr="00461D74">
        <w:rPr>
          <w:rFonts w:ascii="Garamond" w:hAnsi="Garamond"/>
          <w:sz w:val="24"/>
          <w:szCs w:val="24"/>
        </w:rPr>
        <w:t>He argues</w:t>
      </w:r>
      <w:r w:rsidR="00016049" w:rsidRPr="00461D74">
        <w:rPr>
          <w:rFonts w:ascii="Garamond" w:hAnsi="Garamond"/>
          <w:sz w:val="24"/>
          <w:szCs w:val="24"/>
        </w:rPr>
        <w:t xml:space="preserve"> that MacIntyre’s social teleology developed in his tripartite concept of the virtues reinforces the </w:t>
      </w:r>
      <w:proofErr w:type="spellStart"/>
      <w:r w:rsidR="00016049" w:rsidRPr="00461D74">
        <w:rPr>
          <w:rFonts w:ascii="Garamond" w:hAnsi="Garamond"/>
          <w:sz w:val="24"/>
          <w:szCs w:val="24"/>
        </w:rPr>
        <w:t>emotivist</w:t>
      </w:r>
      <w:proofErr w:type="spellEnd"/>
      <w:r w:rsidR="00016049" w:rsidRPr="00461D74">
        <w:rPr>
          <w:rFonts w:ascii="Garamond" w:hAnsi="Garamond"/>
          <w:sz w:val="24"/>
          <w:szCs w:val="24"/>
        </w:rPr>
        <w:t xml:space="preserve"> thesis.</w:t>
      </w:r>
      <w:r w:rsidR="00443B48" w:rsidRPr="00461D74">
        <w:rPr>
          <w:rStyle w:val="FootnoteReference"/>
          <w:rFonts w:ascii="Garamond" w:hAnsi="Garamond"/>
          <w:sz w:val="24"/>
          <w:szCs w:val="24"/>
        </w:rPr>
        <w:footnoteReference w:id="73"/>
      </w:r>
      <w:r w:rsidR="00016049" w:rsidRPr="00461D74">
        <w:rPr>
          <w:rFonts w:ascii="Garamond" w:hAnsi="Garamond"/>
          <w:sz w:val="24"/>
          <w:szCs w:val="24"/>
        </w:rPr>
        <w:t xml:space="preserve"> Why? Because MacIntyre’s </w:t>
      </w:r>
      <w:r w:rsidRPr="00461D74">
        <w:rPr>
          <w:rFonts w:ascii="Garamond" w:hAnsi="Garamond"/>
          <w:sz w:val="24"/>
          <w:szCs w:val="24"/>
        </w:rPr>
        <w:t xml:space="preserve">account of </w:t>
      </w:r>
      <w:r w:rsidR="00DB00EA" w:rsidRPr="00DB00EA">
        <w:rPr>
          <w:rFonts w:ascii="Garamond" w:hAnsi="Garamond"/>
          <w:i/>
          <w:sz w:val="24"/>
          <w:szCs w:val="24"/>
        </w:rPr>
        <w:t>the</w:t>
      </w:r>
      <w:r w:rsidRPr="00461D74">
        <w:rPr>
          <w:rFonts w:ascii="Garamond" w:hAnsi="Garamond"/>
          <w:sz w:val="24"/>
          <w:szCs w:val="24"/>
        </w:rPr>
        <w:t xml:space="preserve"> </w:t>
      </w:r>
      <w:r w:rsidR="00C16F54" w:rsidRPr="00461D74">
        <w:rPr>
          <w:rFonts w:ascii="Garamond" w:hAnsi="Garamond"/>
          <w:sz w:val="24"/>
          <w:szCs w:val="24"/>
        </w:rPr>
        <w:t>‘</w:t>
      </w:r>
      <w:r w:rsidRPr="00461D74">
        <w:rPr>
          <w:rFonts w:ascii="Garamond" w:hAnsi="Garamond"/>
          <w:sz w:val="24"/>
          <w:szCs w:val="24"/>
        </w:rPr>
        <w:t>good,</w:t>
      </w:r>
      <w:r w:rsidR="00C16F54" w:rsidRPr="00461D74">
        <w:rPr>
          <w:rFonts w:ascii="Garamond" w:hAnsi="Garamond"/>
          <w:sz w:val="24"/>
          <w:szCs w:val="24"/>
        </w:rPr>
        <w:t>’</w:t>
      </w:r>
      <w:r w:rsidRPr="00461D74">
        <w:rPr>
          <w:rFonts w:ascii="Garamond" w:hAnsi="Garamond"/>
          <w:sz w:val="24"/>
          <w:szCs w:val="24"/>
        </w:rPr>
        <w:t xml:space="preserve"> and his </w:t>
      </w:r>
      <w:r w:rsidR="00016049" w:rsidRPr="00461D74">
        <w:rPr>
          <w:rFonts w:ascii="Garamond" w:hAnsi="Garamond"/>
          <w:sz w:val="24"/>
          <w:szCs w:val="24"/>
        </w:rPr>
        <w:t xml:space="preserve">conception of </w:t>
      </w:r>
      <w:r w:rsidR="00DB00EA" w:rsidRPr="00DB00EA">
        <w:rPr>
          <w:rFonts w:ascii="Garamond" w:hAnsi="Garamond"/>
          <w:i/>
          <w:sz w:val="24"/>
          <w:szCs w:val="24"/>
        </w:rPr>
        <w:t>the</w:t>
      </w:r>
      <w:r w:rsidR="00016049" w:rsidRPr="00461D74">
        <w:rPr>
          <w:rFonts w:ascii="Garamond" w:hAnsi="Garamond"/>
          <w:sz w:val="24"/>
          <w:szCs w:val="24"/>
        </w:rPr>
        <w:t xml:space="preserve"> </w:t>
      </w:r>
      <w:r w:rsidR="009503B0" w:rsidRPr="00461D74">
        <w:rPr>
          <w:rFonts w:ascii="Garamond" w:hAnsi="Garamond"/>
          <w:sz w:val="24"/>
          <w:szCs w:val="24"/>
        </w:rPr>
        <w:t>‘</w:t>
      </w:r>
      <w:r w:rsidR="00016049" w:rsidRPr="00461D74">
        <w:rPr>
          <w:rFonts w:ascii="Garamond" w:hAnsi="Garamond"/>
          <w:sz w:val="24"/>
          <w:szCs w:val="24"/>
        </w:rPr>
        <w:t>good life</w:t>
      </w:r>
      <w:r w:rsidRPr="00461D74">
        <w:rPr>
          <w:rFonts w:ascii="Garamond" w:hAnsi="Garamond"/>
          <w:sz w:val="24"/>
          <w:szCs w:val="24"/>
        </w:rPr>
        <w:t>,</w:t>
      </w:r>
      <w:r w:rsidR="009503B0" w:rsidRPr="00461D74">
        <w:rPr>
          <w:rFonts w:ascii="Garamond" w:hAnsi="Garamond"/>
          <w:sz w:val="24"/>
          <w:szCs w:val="24"/>
        </w:rPr>
        <w:t>’</w:t>
      </w:r>
      <w:r w:rsidR="00016049" w:rsidRPr="00461D74">
        <w:rPr>
          <w:rFonts w:ascii="Garamond" w:hAnsi="Garamond"/>
          <w:sz w:val="24"/>
          <w:szCs w:val="24"/>
        </w:rPr>
        <w:t xml:space="preserve"> </w:t>
      </w:r>
      <w:r w:rsidRPr="00461D74">
        <w:rPr>
          <w:rFonts w:ascii="Garamond" w:hAnsi="Garamond"/>
          <w:sz w:val="24"/>
          <w:szCs w:val="24"/>
        </w:rPr>
        <w:t xml:space="preserve">remains </w:t>
      </w:r>
      <w:r w:rsidR="00016049" w:rsidRPr="00461D74">
        <w:rPr>
          <w:rFonts w:ascii="Garamond" w:hAnsi="Garamond"/>
          <w:sz w:val="24"/>
          <w:szCs w:val="24"/>
        </w:rPr>
        <w:t xml:space="preserve">very </w:t>
      </w:r>
      <w:r w:rsidRPr="00461D74">
        <w:rPr>
          <w:rFonts w:ascii="Garamond" w:hAnsi="Garamond"/>
          <w:sz w:val="24"/>
          <w:szCs w:val="24"/>
        </w:rPr>
        <w:t xml:space="preserve">much </w:t>
      </w:r>
      <w:r w:rsidR="00016049" w:rsidRPr="00461D74">
        <w:rPr>
          <w:rFonts w:ascii="Garamond" w:hAnsi="Garamond"/>
          <w:sz w:val="24"/>
          <w:szCs w:val="24"/>
        </w:rPr>
        <w:t xml:space="preserve">open-ended and </w:t>
      </w:r>
      <w:r w:rsidRPr="00461D74">
        <w:rPr>
          <w:rFonts w:ascii="Garamond" w:hAnsi="Garamond"/>
          <w:sz w:val="24"/>
          <w:szCs w:val="24"/>
        </w:rPr>
        <w:t xml:space="preserve">will more than likely produce a </w:t>
      </w:r>
      <w:r w:rsidR="00016049" w:rsidRPr="00461D74">
        <w:rPr>
          <w:rFonts w:ascii="Garamond" w:hAnsi="Garamond"/>
          <w:sz w:val="24"/>
          <w:szCs w:val="24"/>
        </w:rPr>
        <w:t>heterogeneous</w:t>
      </w:r>
      <w:r w:rsidRPr="00461D74">
        <w:rPr>
          <w:rFonts w:ascii="Garamond" w:hAnsi="Garamond"/>
          <w:sz w:val="24"/>
          <w:szCs w:val="24"/>
        </w:rPr>
        <w:t xml:space="preserve"> set of goods that are not </w:t>
      </w:r>
      <w:r w:rsidR="009503B0" w:rsidRPr="00461D74">
        <w:rPr>
          <w:rFonts w:ascii="Garamond" w:hAnsi="Garamond"/>
          <w:sz w:val="24"/>
          <w:szCs w:val="24"/>
        </w:rPr>
        <w:t>easily nor necessarily</w:t>
      </w:r>
      <w:r w:rsidRPr="00461D74">
        <w:rPr>
          <w:rFonts w:ascii="Garamond" w:hAnsi="Garamond"/>
          <w:sz w:val="24"/>
          <w:szCs w:val="24"/>
        </w:rPr>
        <w:t xml:space="preserve"> reconcilable.</w:t>
      </w:r>
      <w:r w:rsidR="00016049" w:rsidRPr="00461D74">
        <w:rPr>
          <w:rFonts w:ascii="Garamond" w:hAnsi="Garamond"/>
          <w:sz w:val="24"/>
          <w:szCs w:val="24"/>
        </w:rPr>
        <w:t xml:space="preserve"> </w:t>
      </w:r>
      <w:r w:rsidRPr="00461D74">
        <w:rPr>
          <w:rFonts w:ascii="Garamond" w:hAnsi="Garamond"/>
          <w:sz w:val="24"/>
          <w:szCs w:val="24"/>
        </w:rPr>
        <w:t>T</w:t>
      </w:r>
      <w:r w:rsidR="00016049" w:rsidRPr="00461D74">
        <w:rPr>
          <w:rFonts w:ascii="Garamond" w:hAnsi="Garamond"/>
          <w:sz w:val="24"/>
          <w:szCs w:val="24"/>
        </w:rPr>
        <w:t>hus</w:t>
      </w:r>
      <w:r w:rsidRPr="00461D74">
        <w:rPr>
          <w:rFonts w:ascii="Garamond" w:hAnsi="Garamond"/>
          <w:sz w:val="24"/>
          <w:szCs w:val="24"/>
        </w:rPr>
        <w:t xml:space="preserve">, contrary to MacIntyre’s </w:t>
      </w:r>
      <w:r w:rsidR="009503B0" w:rsidRPr="00461D74">
        <w:rPr>
          <w:rFonts w:ascii="Garamond" w:hAnsi="Garamond"/>
          <w:sz w:val="24"/>
          <w:szCs w:val="24"/>
        </w:rPr>
        <w:t>ultimate objective</w:t>
      </w:r>
      <w:r w:rsidRPr="00461D74">
        <w:rPr>
          <w:rFonts w:ascii="Garamond" w:hAnsi="Garamond"/>
          <w:sz w:val="24"/>
          <w:szCs w:val="24"/>
        </w:rPr>
        <w:t>,</w:t>
      </w:r>
      <w:r w:rsidR="00016049" w:rsidRPr="00461D74">
        <w:rPr>
          <w:rFonts w:ascii="Garamond" w:hAnsi="Garamond"/>
          <w:sz w:val="24"/>
          <w:szCs w:val="24"/>
        </w:rPr>
        <w:t xml:space="preserve"> </w:t>
      </w:r>
      <w:r w:rsidRPr="00461D74">
        <w:rPr>
          <w:rFonts w:ascii="Garamond" w:hAnsi="Garamond"/>
          <w:sz w:val="24"/>
          <w:szCs w:val="24"/>
        </w:rPr>
        <w:t xml:space="preserve">his account </w:t>
      </w:r>
      <w:r w:rsidR="00C16F54" w:rsidRPr="00461D74">
        <w:rPr>
          <w:rFonts w:ascii="Garamond" w:hAnsi="Garamond"/>
          <w:sz w:val="24"/>
          <w:szCs w:val="24"/>
        </w:rPr>
        <w:t xml:space="preserve">in </w:t>
      </w:r>
      <w:r w:rsidR="00DB00EA" w:rsidRPr="00DB00EA">
        <w:rPr>
          <w:rFonts w:ascii="Garamond" w:hAnsi="Garamond"/>
          <w:i/>
          <w:sz w:val="24"/>
          <w:szCs w:val="24"/>
        </w:rPr>
        <w:t>After Virtue</w:t>
      </w:r>
      <w:r w:rsidR="00C16F54" w:rsidRPr="00461D74">
        <w:rPr>
          <w:rFonts w:ascii="Garamond" w:hAnsi="Garamond"/>
          <w:sz w:val="24"/>
          <w:szCs w:val="24"/>
        </w:rPr>
        <w:t xml:space="preserve"> </w:t>
      </w:r>
      <w:r w:rsidRPr="00461D74">
        <w:rPr>
          <w:rFonts w:ascii="Garamond" w:hAnsi="Garamond"/>
          <w:sz w:val="24"/>
          <w:szCs w:val="24"/>
        </w:rPr>
        <w:t>has the unintended effect of reinforcing</w:t>
      </w:r>
      <w:r w:rsidR="00016049" w:rsidRPr="00461D74">
        <w:rPr>
          <w:rFonts w:ascii="Garamond" w:hAnsi="Garamond"/>
          <w:sz w:val="24"/>
          <w:szCs w:val="24"/>
        </w:rPr>
        <w:t xml:space="preserve"> a </w:t>
      </w:r>
      <w:r w:rsidRPr="00461D74">
        <w:rPr>
          <w:rFonts w:ascii="Garamond" w:hAnsi="Garamond"/>
          <w:sz w:val="24"/>
          <w:szCs w:val="24"/>
        </w:rPr>
        <w:t>(</w:t>
      </w:r>
      <w:r w:rsidR="00016049" w:rsidRPr="00461D74">
        <w:rPr>
          <w:rFonts w:ascii="Garamond" w:hAnsi="Garamond"/>
          <w:sz w:val="24"/>
          <w:szCs w:val="24"/>
        </w:rPr>
        <w:t>highly</w:t>
      </w:r>
      <w:r w:rsidRPr="00461D74">
        <w:rPr>
          <w:rFonts w:ascii="Garamond" w:hAnsi="Garamond"/>
          <w:sz w:val="24"/>
          <w:szCs w:val="24"/>
        </w:rPr>
        <w:t>)</w:t>
      </w:r>
      <w:r w:rsidR="00016049" w:rsidRPr="00461D74">
        <w:rPr>
          <w:rFonts w:ascii="Garamond" w:hAnsi="Garamond"/>
          <w:sz w:val="24"/>
          <w:szCs w:val="24"/>
        </w:rPr>
        <w:t xml:space="preserve"> </w:t>
      </w:r>
      <w:proofErr w:type="spellStart"/>
      <w:r w:rsidR="00016049" w:rsidRPr="00461D74">
        <w:rPr>
          <w:rFonts w:ascii="Garamond" w:hAnsi="Garamond"/>
          <w:sz w:val="24"/>
          <w:szCs w:val="24"/>
        </w:rPr>
        <w:t>particularist</w:t>
      </w:r>
      <w:proofErr w:type="spellEnd"/>
      <w:r w:rsidR="00016049" w:rsidRPr="00461D74">
        <w:rPr>
          <w:rFonts w:ascii="Garamond" w:hAnsi="Garamond"/>
          <w:sz w:val="24"/>
          <w:szCs w:val="24"/>
        </w:rPr>
        <w:t xml:space="preserve"> conception of the good life, </w:t>
      </w:r>
      <w:r w:rsidRPr="00461D74">
        <w:rPr>
          <w:rFonts w:ascii="Garamond" w:hAnsi="Garamond"/>
          <w:sz w:val="24"/>
          <w:szCs w:val="24"/>
        </w:rPr>
        <w:t xml:space="preserve">and </w:t>
      </w:r>
      <w:r w:rsidR="00016049" w:rsidRPr="00461D74">
        <w:rPr>
          <w:rFonts w:ascii="Garamond" w:hAnsi="Garamond"/>
          <w:sz w:val="24"/>
          <w:szCs w:val="24"/>
        </w:rPr>
        <w:t xml:space="preserve">leaves us with </w:t>
      </w:r>
      <w:r w:rsidRPr="00461D74">
        <w:rPr>
          <w:rFonts w:ascii="Garamond" w:hAnsi="Garamond"/>
          <w:sz w:val="24"/>
          <w:szCs w:val="24"/>
        </w:rPr>
        <w:t xml:space="preserve">a number of </w:t>
      </w:r>
      <w:r w:rsidR="00016049" w:rsidRPr="00461D74">
        <w:rPr>
          <w:rFonts w:ascii="Garamond" w:hAnsi="Garamond"/>
          <w:sz w:val="24"/>
          <w:szCs w:val="24"/>
        </w:rPr>
        <w:t>difficulties in reconciling the goods of different practices</w:t>
      </w:r>
      <w:r w:rsidR="00C16F54" w:rsidRPr="00461D74">
        <w:rPr>
          <w:rFonts w:ascii="Garamond" w:hAnsi="Garamond"/>
          <w:sz w:val="24"/>
          <w:szCs w:val="24"/>
        </w:rPr>
        <w:t>.</w:t>
      </w:r>
      <w:r w:rsidRPr="00461D74">
        <w:rPr>
          <w:rFonts w:ascii="Garamond" w:hAnsi="Garamond"/>
          <w:sz w:val="24"/>
          <w:szCs w:val="24"/>
        </w:rPr>
        <w:t xml:space="preserve"> </w:t>
      </w:r>
      <w:r w:rsidR="00C16F54" w:rsidRPr="00461D74">
        <w:rPr>
          <w:rFonts w:ascii="Garamond" w:hAnsi="Garamond"/>
          <w:sz w:val="24"/>
          <w:szCs w:val="24"/>
        </w:rPr>
        <w:t>Therefore,</w:t>
      </w:r>
      <w:r w:rsidRPr="00461D74">
        <w:rPr>
          <w:rFonts w:ascii="Garamond" w:hAnsi="Garamond"/>
          <w:sz w:val="24"/>
          <w:szCs w:val="24"/>
        </w:rPr>
        <w:t xml:space="preserve"> owing to MacIntyre’s definition of the </w:t>
      </w:r>
      <w:r w:rsidR="00C16F54" w:rsidRPr="00461D74">
        <w:rPr>
          <w:rFonts w:ascii="Garamond" w:hAnsi="Garamond"/>
          <w:sz w:val="24"/>
          <w:szCs w:val="24"/>
        </w:rPr>
        <w:t>‘</w:t>
      </w:r>
      <w:r w:rsidRPr="00461D74">
        <w:rPr>
          <w:rFonts w:ascii="Garamond" w:hAnsi="Garamond"/>
          <w:sz w:val="24"/>
          <w:szCs w:val="24"/>
        </w:rPr>
        <w:t>good,</w:t>
      </w:r>
      <w:r w:rsidR="00C16F54" w:rsidRPr="00461D74">
        <w:rPr>
          <w:rFonts w:ascii="Garamond" w:hAnsi="Garamond"/>
          <w:sz w:val="24"/>
          <w:szCs w:val="24"/>
        </w:rPr>
        <w:t>’</w:t>
      </w:r>
      <w:r w:rsidRPr="00461D74">
        <w:rPr>
          <w:rFonts w:ascii="Garamond" w:hAnsi="Garamond"/>
          <w:sz w:val="24"/>
          <w:szCs w:val="24"/>
        </w:rPr>
        <w:t xml:space="preserve"> </w:t>
      </w:r>
      <w:r w:rsidR="00016049" w:rsidRPr="00461D74">
        <w:rPr>
          <w:rFonts w:ascii="Garamond" w:hAnsi="Garamond"/>
          <w:sz w:val="24"/>
          <w:szCs w:val="24"/>
        </w:rPr>
        <w:t xml:space="preserve">there is no easy way of reconciling the various heterogeneous goods </w:t>
      </w:r>
      <w:r w:rsidR="00C16F54" w:rsidRPr="00461D74">
        <w:rPr>
          <w:rFonts w:ascii="Garamond" w:hAnsi="Garamond"/>
          <w:sz w:val="24"/>
          <w:szCs w:val="24"/>
        </w:rPr>
        <w:t xml:space="preserve">of (social) practices, </w:t>
      </w:r>
      <w:r w:rsidR="00016049" w:rsidRPr="00461D74">
        <w:rPr>
          <w:rFonts w:ascii="Garamond" w:hAnsi="Garamond"/>
          <w:sz w:val="24"/>
          <w:szCs w:val="24"/>
        </w:rPr>
        <w:t xml:space="preserve">within a narrative unity of a human life directed towards its </w:t>
      </w:r>
      <w:proofErr w:type="spellStart"/>
      <w:r w:rsidR="00016049" w:rsidRPr="00461D74">
        <w:rPr>
          <w:rFonts w:ascii="Garamond" w:hAnsi="Garamond"/>
          <w:sz w:val="24"/>
          <w:szCs w:val="24"/>
        </w:rPr>
        <w:t>telos</w:t>
      </w:r>
      <w:proofErr w:type="spellEnd"/>
      <w:r w:rsidR="00C16F54" w:rsidRPr="00461D74">
        <w:rPr>
          <w:rFonts w:ascii="Garamond" w:hAnsi="Garamond"/>
          <w:sz w:val="24"/>
          <w:szCs w:val="24"/>
        </w:rPr>
        <w:t xml:space="preserve"> –</w:t>
      </w:r>
      <w:r w:rsidR="00016049" w:rsidRPr="00461D74">
        <w:rPr>
          <w:rFonts w:ascii="Garamond" w:hAnsi="Garamond"/>
          <w:sz w:val="24"/>
          <w:szCs w:val="24"/>
        </w:rPr>
        <w:t xml:space="preserve"> namely, the good.</w:t>
      </w:r>
    </w:p>
    <w:p w:rsidR="005529A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The second criticism is advanced by </w:t>
      </w:r>
      <w:r w:rsidR="00082D4B" w:rsidRPr="00461D74">
        <w:rPr>
          <w:rFonts w:ascii="Garamond" w:hAnsi="Garamond"/>
          <w:sz w:val="24"/>
          <w:szCs w:val="24"/>
        </w:rPr>
        <w:t xml:space="preserve">Richard </w:t>
      </w:r>
      <w:r w:rsidRPr="00461D74">
        <w:rPr>
          <w:rFonts w:ascii="Garamond" w:hAnsi="Garamond"/>
          <w:sz w:val="24"/>
          <w:szCs w:val="24"/>
        </w:rPr>
        <w:t xml:space="preserve">Bernstein, where he criticises first concept </w:t>
      </w:r>
      <w:r w:rsidR="00970EC3">
        <w:rPr>
          <w:rFonts w:ascii="Garamond" w:hAnsi="Garamond"/>
          <w:sz w:val="24"/>
          <w:szCs w:val="24"/>
        </w:rPr>
        <w:t xml:space="preserve">in MacIntyre’s account </w:t>
      </w:r>
      <w:r w:rsidRPr="00461D74">
        <w:rPr>
          <w:rFonts w:ascii="Garamond" w:hAnsi="Garamond"/>
          <w:sz w:val="24"/>
          <w:szCs w:val="24"/>
        </w:rPr>
        <w:t xml:space="preserve">of the virtues – namely, practice – and </w:t>
      </w:r>
      <w:r w:rsidR="00082D4B" w:rsidRPr="00461D74">
        <w:rPr>
          <w:rFonts w:ascii="Garamond" w:hAnsi="Garamond"/>
          <w:sz w:val="24"/>
          <w:szCs w:val="24"/>
        </w:rPr>
        <w:t xml:space="preserve">puzzles over </w:t>
      </w:r>
      <w:r w:rsidRPr="00461D74">
        <w:rPr>
          <w:rFonts w:ascii="Garamond" w:hAnsi="Garamond"/>
          <w:sz w:val="24"/>
          <w:szCs w:val="24"/>
        </w:rPr>
        <w:t xml:space="preserve">the relationship </w:t>
      </w:r>
      <w:r w:rsidR="00082D4B" w:rsidRPr="00461D74">
        <w:rPr>
          <w:rFonts w:ascii="Garamond" w:hAnsi="Garamond"/>
          <w:sz w:val="24"/>
          <w:szCs w:val="24"/>
        </w:rPr>
        <w:t xml:space="preserve">between </w:t>
      </w:r>
      <w:r w:rsidRPr="00461D74">
        <w:rPr>
          <w:rFonts w:ascii="Garamond" w:hAnsi="Garamond"/>
          <w:sz w:val="24"/>
          <w:szCs w:val="24"/>
        </w:rPr>
        <w:t>th</w:t>
      </w:r>
      <w:r w:rsidR="005529A9" w:rsidRPr="00461D74">
        <w:rPr>
          <w:rFonts w:ascii="Garamond" w:hAnsi="Garamond"/>
          <w:sz w:val="24"/>
          <w:szCs w:val="24"/>
        </w:rPr>
        <w:t>e</w:t>
      </w:r>
      <w:r w:rsidRPr="00461D74">
        <w:rPr>
          <w:rFonts w:ascii="Garamond" w:hAnsi="Garamond"/>
          <w:sz w:val="24"/>
          <w:szCs w:val="24"/>
        </w:rPr>
        <w:t xml:space="preserve"> first concept</w:t>
      </w:r>
      <w:r w:rsidR="00082D4B" w:rsidRPr="00461D74">
        <w:rPr>
          <w:rFonts w:ascii="Garamond" w:hAnsi="Garamond"/>
          <w:sz w:val="24"/>
          <w:szCs w:val="24"/>
        </w:rPr>
        <w:t xml:space="preserve"> </w:t>
      </w:r>
      <w:r w:rsidR="005529A9" w:rsidRPr="00461D74">
        <w:rPr>
          <w:rFonts w:ascii="Garamond" w:hAnsi="Garamond"/>
          <w:sz w:val="24"/>
          <w:szCs w:val="24"/>
        </w:rPr>
        <w:t xml:space="preserve">and </w:t>
      </w:r>
      <w:r w:rsidRPr="00461D74">
        <w:rPr>
          <w:rFonts w:ascii="Garamond" w:hAnsi="Garamond"/>
          <w:sz w:val="24"/>
          <w:szCs w:val="24"/>
        </w:rPr>
        <w:t xml:space="preserve">MacIntyre’s second concept – that of the unity of a whole life </w:t>
      </w:r>
      <w:r w:rsidR="005529A9" w:rsidRPr="00461D74">
        <w:rPr>
          <w:rFonts w:ascii="Garamond" w:hAnsi="Garamond"/>
          <w:sz w:val="24"/>
          <w:szCs w:val="24"/>
        </w:rPr>
        <w:t>understood</w:t>
      </w:r>
      <w:r w:rsidR="00082D4B" w:rsidRPr="00461D74">
        <w:rPr>
          <w:rFonts w:ascii="Garamond" w:hAnsi="Garamond"/>
          <w:sz w:val="24"/>
          <w:szCs w:val="24"/>
        </w:rPr>
        <w:t xml:space="preserve"> </w:t>
      </w:r>
      <w:r w:rsidRPr="00461D74">
        <w:rPr>
          <w:rFonts w:ascii="Garamond" w:hAnsi="Garamond"/>
          <w:sz w:val="24"/>
          <w:szCs w:val="24"/>
        </w:rPr>
        <w:t xml:space="preserve">as a narrative quest towards </w:t>
      </w:r>
      <w:r w:rsidRPr="00461D74">
        <w:rPr>
          <w:rFonts w:ascii="Garamond" w:hAnsi="Garamond"/>
          <w:sz w:val="24"/>
          <w:szCs w:val="24"/>
        </w:rPr>
        <w:lastRenderedPageBreak/>
        <w:t>the good.</w:t>
      </w:r>
      <w:r w:rsidRPr="00461D74">
        <w:rPr>
          <w:rStyle w:val="FootnoteReference"/>
          <w:rFonts w:ascii="Garamond" w:hAnsi="Garamond"/>
          <w:sz w:val="24"/>
          <w:szCs w:val="24"/>
        </w:rPr>
        <w:t xml:space="preserve"> </w:t>
      </w:r>
      <w:r w:rsidRPr="00461D74">
        <w:rPr>
          <w:rStyle w:val="FootnoteReference"/>
          <w:rFonts w:ascii="Garamond" w:hAnsi="Garamond"/>
          <w:sz w:val="24"/>
          <w:szCs w:val="24"/>
        </w:rPr>
        <w:footnoteReference w:id="74"/>
      </w:r>
      <w:r w:rsidRPr="00461D74">
        <w:rPr>
          <w:rFonts w:ascii="Garamond" w:hAnsi="Garamond"/>
          <w:sz w:val="24"/>
          <w:szCs w:val="24"/>
        </w:rPr>
        <w:t xml:space="preserve"> Bernstein </w:t>
      </w:r>
      <w:r w:rsidR="005529A9" w:rsidRPr="00461D74">
        <w:rPr>
          <w:rFonts w:ascii="Garamond" w:hAnsi="Garamond"/>
          <w:sz w:val="24"/>
          <w:szCs w:val="24"/>
        </w:rPr>
        <w:t xml:space="preserve">argues </w:t>
      </w:r>
      <w:r w:rsidRPr="00461D74">
        <w:rPr>
          <w:rFonts w:ascii="Garamond" w:hAnsi="Garamond"/>
          <w:sz w:val="24"/>
          <w:szCs w:val="24"/>
        </w:rPr>
        <w:t xml:space="preserve">that MacIntyre’s account of practice is </w:t>
      </w:r>
      <w:r w:rsidR="005529A9" w:rsidRPr="00461D74">
        <w:rPr>
          <w:rFonts w:ascii="Garamond" w:hAnsi="Garamond"/>
          <w:sz w:val="24"/>
          <w:szCs w:val="24"/>
        </w:rPr>
        <w:t xml:space="preserve">much </w:t>
      </w:r>
      <w:r w:rsidRPr="00461D74">
        <w:rPr>
          <w:rFonts w:ascii="Garamond" w:hAnsi="Garamond"/>
          <w:sz w:val="24"/>
          <w:szCs w:val="24"/>
        </w:rPr>
        <w:t>too wide-ranging since it seems that not all practices are directed towards the good</w:t>
      </w:r>
      <w:r w:rsidR="005529A9" w:rsidRPr="00461D74">
        <w:rPr>
          <w:rFonts w:ascii="Garamond" w:hAnsi="Garamond"/>
          <w:sz w:val="24"/>
          <w:szCs w:val="24"/>
        </w:rPr>
        <w:t>;</w:t>
      </w:r>
      <w:r w:rsidR="00B95A56" w:rsidRPr="00461D74">
        <w:rPr>
          <w:rFonts w:ascii="Garamond" w:hAnsi="Garamond"/>
          <w:sz w:val="24"/>
          <w:szCs w:val="24"/>
        </w:rPr>
        <w:t xml:space="preserve"> </w:t>
      </w:r>
      <w:r w:rsidR="005529A9" w:rsidRPr="00461D74">
        <w:rPr>
          <w:rFonts w:ascii="Garamond" w:hAnsi="Garamond"/>
          <w:sz w:val="24"/>
          <w:szCs w:val="24"/>
        </w:rPr>
        <w:t xml:space="preserve">and because </w:t>
      </w:r>
      <w:r w:rsidR="00B95A56" w:rsidRPr="00461D74">
        <w:rPr>
          <w:rFonts w:ascii="Garamond" w:hAnsi="Garamond"/>
          <w:sz w:val="24"/>
          <w:szCs w:val="24"/>
        </w:rPr>
        <w:t xml:space="preserve">MacIntyre rejects Aristotle’s </w:t>
      </w:r>
      <w:r w:rsidRPr="00461D74">
        <w:rPr>
          <w:rFonts w:ascii="Garamond" w:hAnsi="Garamond"/>
          <w:sz w:val="24"/>
          <w:szCs w:val="24"/>
        </w:rPr>
        <w:t xml:space="preserve">metaphysical biology, it is not clear how </w:t>
      </w:r>
      <w:r w:rsidR="00B95A56" w:rsidRPr="00461D74">
        <w:rPr>
          <w:rFonts w:ascii="Garamond" w:hAnsi="Garamond"/>
          <w:sz w:val="24"/>
          <w:szCs w:val="24"/>
        </w:rPr>
        <w:t>he</w:t>
      </w:r>
      <w:r w:rsidR="005E52EE" w:rsidRPr="00461D74">
        <w:rPr>
          <w:rFonts w:ascii="Garamond" w:hAnsi="Garamond"/>
          <w:sz w:val="24"/>
          <w:szCs w:val="24"/>
        </w:rPr>
        <w:t xml:space="preserve"> </w:t>
      </w:r>
      <w:r w:rsidRPr="00461D74">
        <w:rPr>
          <w:rFonts w:ascii="Garamond" w:hAnsi="Garamond"/>
          <w:sz w:val="24"/>
          <w:szCs w:val="24"/>
        </w:rPr>
        <w:t>can sort out good practices from bad practices</w:t>
      </w:r>
      <w:r w:rsidR="00B95A56" w:rsidRPr="00461D74">
        <w:rPr>
          <w:rFonts w:ascii="Garamond" w:hAnsi="Garamond"/>
          <w:sz w:val="24"/>
          <w:szCs w:val="24"/>
        </w:rPr>
        <w:t xml:space="preserve">. </w:t>
      </w:r>
      <w:r w:rsidR="005529A9" w:rsidRPr="00461D74">
        <w:rPr>
          <w:rFonts w:ascii="Garamond" w:hAnsi="Garamond"/>
          <w:sz w:val="24"/>
          <w:szCs w:val="24"/>
        </w:rPr>
        <w:t>Moreover, if we can’t make a clear distinction between good and bad practices, it is not entirely clear how we can connect the first concept of the virtues to MacIntyre’s second concept.</w:t>
      </w:r>
    </w:p>
    <w:p w:rsidR="00016049" w:rsidRPr="00461D74" w:rsidRDefault="005529A9" w:rsidP="00164E4D">
      <w:pPr>
        <w:spacing w:line="360" w:lineRule="auto"/>
        <w:ind w:firstLine="720"/>
        <w:jc w:val="both"/>
        <w:rPr>
          <w:rFonts w:ascii="Garamond" w:hAnsi="Garamond"/>
          <w:sz w:val="24"/>
          <w:szCs w:val="24"/>
        </w:rPr>
      </w:pPr>
      <w:r w:rsidRPr="00461D74">
        <w:rPr>
          <w:rFonts w:ascii="Garamond" w:hAnsi="Garamond"/>
          <w:sz w:val="24"/>
          <w:szCs w:val="24"/>
        </w:rPr>
        <w:t xml:space="preserve">Now, this criticism is essentially an implication or upshot of the first criticism advanced by </w:t>
      </w:r>
      <w:proofErr w:type="spellStart"/>
      <w:r w:rsidRPr="00461D74">
        <w:rPr>
          <w:rFonts w:ascii="Garamond" w:hAnsi="Garamond"/>
          <w:sz w:val="24"/>
          <w:szCs w:val="24"/>
        </w:rPr>
        <w:t>Schneewind</w:t>
      </w:r>
      <w:proofErr w:type="spellEnd"/>
      <w:r w:rsidRPr="00461D74">
        <w:rPr>
          <w:rFonts w:ascii="Garamond" w:hAnsi="Garamond"/>
          <w:sz w:val="24"/>
          <w:szCs w:val="24"/>
        </w:rPr>
        <w:t xml:space="preserve">, which is that </w:t>
      </w:r>
      <w:r w:rsidR="00016049" w:rsidRPr="00461D74">
        <w:rPr>
          <w:rFonts w:ascii="Garamond" w:hAnsi="Garamond"/>
          <w:sz w:val="24"/>
          <w:szCs w:val="24"/>
        </w:rPr>
        <w:t xml:space="preserve">the evaluation and ordering of </w:t>
      </w:r>
      <w:r w:rsidRPr="00461D74">
        <w:rPr>
          <w:rFonts w:ascii="Garamond" w:hAnsi="Garamond"/>
          <w:sz w:val="24"/>
          <w:szCs w:val="24"/>
        </w:rPr>
        <w:t xml:space="preserve">various social </w:t>
      </w:r>
      <w:r w:rsidR="00016049" w:rsidRPr="00461D74">
        <w:rPr>
          <w:rFonts w:ascii="Garamond" w:hAnsi="Garamond"/>
          <w:sz w:val="24"/>
          <w:szCs w:val="24"/>
        </w:rPr>
        <w:t xml:space="preserve">practices </w:t>
      </w:r>
      <w:r w:rsidR="00B95A56" w:rsidRPr="00461D74">
        <w:rPr>
          <w:rFonts w:ascii="Garamond" w:hAnsi="Garamond"/>
          <w:sz w:val="24"/>
          <w:szCs w:val="24"/>
        </w:rPr>
        <w:t xml:space="preserve">remains </w:t>
      </w:r>
      <w:r w:rsidR="00016049" w:rsidRPr="00461D74">
        <w:rPr>
          <w:rFonts w:ascii="Garamond" w:hAnsi="Garamond"/>
          <w:sz w:val="24"/>
          <w:szCs w:val="24"/>
        </w:rPr>
        <w:t>problematic under MacIntyre’s deflationary account of the good life</w:t>
      </w:r>
      <w:r w:rsidR="00B95A56" w:rsidRPr="00461D74">
        <w:rPr>
          <w:rFonts w:ascii="Garamond" w:hAnsi="Garamond"/>
          <w:sz w:val="24"/>
          <w:szCs w:val="24"/>
        </w:rPr>
        <w:t>.</w:t>
      </w:r>
      <w:r w:rsidR="00016049" w:rsidRPr="00461D74">
        <w:rPr>
          <w:rFonts w:ascii="Garamond" w:hAnsi="Garamond"/>
          <w:sz w:val="24"/>
          <w:szCs w:val="24"/>
        </w:rPr>
        <w:t xml:space="preserve"> Thus</w:t>
      </w:r>
      <w:r w:rsidR="00B95A56" w:rsidRPr="00461D74">
        <w:rPr>
          <w:rFonts w:ascii="Garamond" w:hAnsi="Garamond"/>
          <w:sz w:val="24"/>
          <w:szCs w:val="24"/>
        </w:rPr>
        <w:t>,</w:t>
      </w:r>
      <w:r w:rsidR="00016049" w:rsidRPr="00461D74">
        <w:rPr>
          <w:rFonts w:ascii="Garamond" w:hAnsi="Garamond"/>
          <w:sz w:val="24"/>
          <w:szCs w:val="24"/>
        </w:rPr>
        <w:t xml:space="preserve"> for Bernstein</w:t>
      </w:r>
      <w:r w:rsidR="00BA7F56" w:rsidRPr="00461D74">
        <w:rPr>
          <w:rFonts w:ascii="Garamond" w:hAnsi="Garamond"/>
          <w:sz w:val="24"/>
          <w:szCs w:val="24"/>
        </w:rPr>
        <w:t xml:space="preserve"> and</w:t>
      </w:r>
      <w:r w:rsidR="00016049" w:rsidRPr="00461D74">
        <w:rPr>
          <w:rFonts w:ascii="Garamond" w:hAnsi="Garamond"/>
          <w:sz w:val="24"/>
          <w:szCs w:val="24"/>
        </w:rPr>
        <w:t xml:space="preserve"> </w:t>
      </w:r>
      <w:proofErr w:type="spellStart"/>
      <w:r w:rsidR="00016049" w:rsidRPr="00461D74">
        <w:rPr>
          <w:rFonts w:ascii="Garamond" w:hAnsi="Garamond"/>
          <w:sz w:val="24"/>
          <w:szCs w:val="24"/>
        </w:rPr>
        <w:t>Schneewind</w:t>
      </w:r>
      <w:proofErr w:type="spellEnd"/>
      <w:r w:rsidR="00016049" w:rsidRPr="00461D74">
        <w:rPr>
          <w:rFonts w:ascii="Garamond" w:hAnsi="Garamond"/>
          <w:sz w:val="24"/>
          <w:szCs w:val="24"/>
        </w:rPr>
        <w:t xml:space="preserve">, MacIntyre’s project in </w:t>
      </w:r>
      <w:r w:rsidR="00016049" w:rsidRPr="00461D74">
        <w:rPr>
          <w:rFonts w:ascii="Garamond" w:hAnsi="Garamond"/>
          <w:i/>
          <w:sz w:val="24"/>
          <w:szCs w:val="24"/>
        </w:rPr>
        <w:t>After Virtue</w:t>
      </w:r>
      <w:r w:rsidR="00016049" w:rsidRPr="00461D74">
        <w:rPr>
          <w:rFonts w:ascii="Garamond" w:hAnsi="Garamond"/>
          <w:sz w:val="24"/>
          <w:szCs w:val="24"/>
        </w:rPr>
        <w:t xml:space="preserve"> </w:t>
      </w:r>
      <w:r w:rsidR="005936CE">
        <w:rPr>
          <w:rFonts w:ascii="Garamond" w:hAnsi="Garamond"/>
          <w:sz w:val="24"/>
          <w:szCs w:val="24"/>
        </w:rPr>
        <w:t xml:space="preserve">appears to inadvertently </w:t>
      </w:r>
      <w:r w:rsidR="00016049" w:rsidRPr="00461D74">
        <w:rPr>
          <w:rFonts w:ascii="Garamond" w:hAnsi="Garamond"/>
          <w:sz w:val="24"/>
          <w:szCs w:val="24"/>
        </w:rPr>
        <w:t>reinforce</w:t>
      </w:r>
      <w:r w:rsidRPr="00461D74">
        <w:rPr>
          <w:rFonts w:ascii="Garamond" w:hAnsi="Garamond"/>
          <w:sz w:val="24"/>
          <w:szCs w:val="24"/>
        </w:rPr>
        <w:t>,</w:t>
      </w:r>
      <w:r w:rsidR="00016049" w:rsidRPr="00461D74">
        <w:rPr>
          <w:rFonts w:ascii="Garamond" w:hAnsi="Garamond"/>
          <w:sz w:val="24"/>
          <w:szCs w:val="24"/>
        </w:rPr>
        <w:t xml:space="preserve"> </w:t>
      </w:r>
      <w:r w:rsidR="005936CE">
        <w:rPr>
          <w:rFonts w:ascii="Garamond" w:hAnsi="Garamond"/>
          <w:sz w:val="24"/>
          <w:szCs w:val="24"/>
        </w:rPr>
        <w:t>as opposed to</w:t>
      </w:r>
      <w:r w:rsidR="00991CAC">
        <w:rPr>
          <w:rFonts w:ascii="Garamond" w:hAnsi="Garamond"/>
          <w:sz w:val="24"/>
          <w:szCs w:val="24"/>
        </w:rPr>
        <w:t xml:space="preserve"> </w:t>
      </w:r>
      <w:r w:rsidR="005936CE" w:rsidRPr="00461D74">
        <w:rPr>
          <w:rFonts w:ascii="Garamond" w:hAnsi="Garamond"/>
          <w:sz w:val="24"/>
          <w:szCs w:val="24"/>
        </w:rPr>
        <w:t>undermin</w:t>
      </w:r>
      <w:r w:rsidR="005936CE">
        <w:rPr>
          <w:rFonts w:ascii="Garamond" w:hAnsi="Garamond"/>
          <w:sz w:val="24"/>
          <w:szCs w:val="24"/>
        </w:rPr>
        <w:t>e</w:t>
      </w:r>
      <w:r w:rsidR="00991CAC">
        <w:rPr>
          <w:rFonts w:ascii="Garamond" w:hAnsi="Garamond"/>
          <w:sz w:val="24"/>
          <w:szCs w:val="24"/>
        </w:rPr>
        <w:t>,</w:t>
      </w:r>
      <w:r w:rsidR="00016049" w:rsidRPr="00461D74">
        <w:rPr>
          <w:rFonts w:ascii="Garamond" w:hAnsi="Garamond"/>
          <w:sz w:val="24"/>
          <w:szCs w:val="24"/>
        </w:rPr>
        <w:t xml:space="preserve"> the </w:t>
      </w:r>
      <w:proofErr w:type="spellStart"/>
      <w:r w:rsidR="00016049" w:rsidRPr="00461D74">
        <w:rPr>
          <w:rFonts w:ascii="Garamond" w:hAnsi="Garamond"/>
          <w:sz w:val="24"/>
          <w:szCs w:val="24"/>
        </w:rPr>
        <w:t>emotivist</w:t>
      </w:r>
      <w:proofErr w:type="spellEnd"/>
      <w:r w:rsidR="0058673A" w:rsidRPr="00461D74">
        <w:rPr>
          <w:rFonts w:ascii="Garamond" w:hAnsi="Garamond"/>
          <w:sz w:val="24"/>
          <w:szCs w:val="24"/>
        </w:rPr>
        <w:t xml:space="preserve">, or even </w:t>
      </w:r>
      <w:r w:rsidR="005936CE">
        <w:rPr>
          <w:rFonts w:ascii="Garamond" w:hAnsi="Garamond"/>
          <w:sz w:val="24"/>
          <w:szCs w:val="24"/>
        </w:rPr>
        <w:t xml:space="preserve">the </w:t>
      </w:r>
      <w:r w:rsidR="0058673A" w:rsidRPr="00461D74">
        <w:rPr>
          <w:rFonts w:ascii="Garamond" w:hAnsi="Garamond"/>
          <w:sz w:val="24"/>
          <w:szCs w:val="24"/>
        </w:rPr>
        <w:t>Nietzschean</w:t>
      </w:r>
      <w:r w:rsidR="00016049" w:rsidRPr="00461D74">
        <w:rPr>
          <w:rFonts w:ascii="Garamond" w:hAnsi="Garamond"/>
          <w:sz w:val="24"/>
          <w:szCs w:val="24"/>
        </w:rPr>
        <w:t xml:space="preserve"> account</w:t>
      </w:r>
      <w:r w:rsidR="0058673A" w:rsidRPr="00461D74">
        <w:rPr>
          <w:rFonts w:ascii="Garamond" w:hAnsi="Garamond"/>
          <w:sz w:val="24"/>
          <w:szCs w:val="24"/>
        </w:rPr>
        <w:t>,</w:t>
      </w:r>
      <w:r w:rsidR="00016049" w:rsidRPr="00461D74">
        <w:rPr>
          <w:rFonts w:ascii="Garamond" w:hAnsi="Garamond"/>
          <w:sz w:val="24"/>
          <w:szCs w:val="24"/>
        </w:rPr>
        <w:t xml:space="preserve"> </w:t>
      </w:r>
      <w:r w:rsidR="0058673A" w:rsidRPr="00461D74">
        <w:rPr>
          <w:rFonts w:ascii="Garamond" w:hAnsi="Garamond"/>
          <w:sz w:val="24"/>
          <w:szCs w:val="24"/>
        </w:rPr>
        <w:t xml:space="preserve">which </w:t>
      </w:r>
      <w:r w:rsidR="00016049" w:rsidRPr="00461D74">
        <w:rPr>
          <w:rFonts w:ascii="Garamond" w:hAnsi="Garamond"/>
          <w:sz w:val="24"/>
          <w:szCs w:val="24"/>
        </w:rPr>
        <w:t xml:space="preserve">he so forcefully </w:t>
      </w:r>
      <w:r w:rsidR="00991CAC">
        <w:rPr>
          <w:rFonts w:ascii="Garamond" w:hAnsi="Garamond"/>
          <w:sz w:val="24"/>
          <w:szCs w:val="24"/>
        </w:rPr>
        <w:t xml:space="preserve">sets out </w:t>
      </w:r>
      <w:r w:rsidR="00016049" w:rsidRPr="00461D74">
        <w:rPr>
          <w:rFonts w:ascii="Garamond" w:hAnsi="Garamond"/>
          <w:sz w:val="24"/>
          <w:szCs w:val="24"/>
        </w:rPr>
        <w:t>to oppose</w:t>
      </w:r>
      <w:r w:rsidR="0058673A" w:rsidRPr="00461D74">
        <w:rPr>
          <w:rFonts w:ascii="Garamond" w:hAnsi="Garamond"/>
          <w:sz w:val="24"/>
          <w:szCs w:val="24"/>
        </w:rPr>
        <w:t xml:space="preserve"> in this work</w:t>
      </w:r>
      <w:r w:rsidR="00016049" w:rsidRPr="00461D74">
        <w:rPr>
          <w:rFonts w:ascii="Garamond" w:hAnsi="Garamond"/>
          <w:sz w:val="24"/>
          <w:szCs w:val="24"/>
        </w:rPr>
        <w:t>.</w:t>
      </w:r>
    </w:p>
    <w:p w:rsidR="00016049" w:rsidRDefault="00016049" w:rsidP="00164E4D">
      <w:pPr>
        <w:spacing w:line="360" w:lineRule="auto"/>
        <w:jc w:val="both"/>
        <w:rPr>
          <w:rFonts w:ascii="Garamond" w:hAnsi="Garamond"/>
          <w:sz w:val="24"/>
          <w:szCs w:val="24"/>
        </w:rPr>
      </w:pPr>
      <w:r w:rsidRPr="00461D74">
        <w:rPr>
          <w:rFonts w:ascii="Garamond" w:hAnsi="Garamond"/>
          <w:sz w:val="24"/>
          <w:szCs w:val="24"/>
        </w:rPr>
        <w:tab/>
        <w:t>I</w:t>
      </w:r>
      <w:r w:rsidR="00BA7F56" w:rsidRPr="00461D74">
        <w:rPr>
          <w:rFonts w:ascii="Garamond" w:hAnsi="Garamond"/>
          <w:sz w:val="24"/>
          <w:szCs w:val="24"/>
        </w:rPr>
        <w:t xml:space="preserve">t seems reasonable to </w:t>
      </w:r>
      <w:r w:rsidR="0058673A" w:rsidRPr="00461D74">
        <w:rPr>
          <w:rFonts w:ascii="Garamond" w:hAnsi="Garamond"/>
          <w:sz w:val="24"/>
          <w:szCs w:val="24"/>
        </w:rPr>
        <w:t xml:space="preserve">then </w:t>
      </w:r>
      <w:r w:rsidR="00BA7F56" w:rsidRPr="00461D74">
        <w:rPr>
          <w:rFonts w:ascii="Garamond" w:hAnsi="Garamond"/>
          <w:sz w:val="24"/>
          <w:szCs w:val="24"/>
        </w:rPr>
        <w:t xml:space="preserve">argue </w:t>
      </w:r>
      <w:r w:rsidRPr="00461D74">
        <w:rPr>
          <w:rFonts w:ascii="Garamond" w:hAnsi="Garamond"/>
          <w:sz w:val="24"/>
          <w:szCs w:val="24"/>
        </w:rPr>
        <w:t xml:space="preserve">that MacIntyre’s tripartite concept of the virtues – </w:t>
      </w:r>
      <w:r w:rsidR="006767CE" w:rsidRPr="00461D74">
        <w:rPr>
          <w:rFonts w:ascii="Garamond" w:hAnsi="Garamond"/>
          <w:sz w:val="24"/>
          <w:szCs w:val="24"/>
        </w:rPr>
        <w:t xml:space="preserve">namely, </w:t>
      </w:r>
      <w:r w:rsidRPr="00461D74">
        <w:rPr>
          <w:rFonts w:ascii="Garamond" w:hAnsi="Garamond"/>
          <w:sz w:val="24"/>
          <w:szCs w:val="24"/>
        </w:rPr>
        <w:t>his Neo-Aristotelian social teleology – doesn’t appear to offer us an account that can adequately evaluate and rank what are seemingly diverse set of incompatible goods available in the modern social context.</w:t>
      </w:r>
      <w:r w:rsidR="00984D40" w:rsidRPr="00461D74">
        <w:rPr>
          <w:rStyle w:val="FootnoteReference"/>
          <w:rFonts w:ascii="Garamond" w:hAnsi="Garamond"/>
          <w:sz w:val="24"/>
          <w:szCs w:val="24"/>
        </w:rPr>
        <w:footnoteReference w:id="75"/>
      </w:r>
      <w:r w:rsidRPr="00461D74">
        <w:rPr>
          <w:rFonts w:ascii="Garamond" w:hAnsi="Garamond"/>
          <w:sz w:val="24"/>
          <w:szCs w:val="24"/>
        </w:rPr>
        <w:t xml:space="preserve"> </w:t>
      </w:r>
      <w:r w:rsidR="00B439D6" w:rsidRPr="00461D74">
        <w:rPr>
          <w:rFonts w:ascii="Garamond" w:hAnsi="Garamond"/>
          <w:sz w:val="24"/>
          <w:szCs w:val="24"/>
        </w:rPr>
        <w:t xml:space="preserve">However, my intention here is to qualify this conclusion. In my view, the problem with MacIntyre’s three-fold social account (or teleology) doesn’t necessarily originate in the mechanics of the three concepts; rather this problem emerges because MacIntyre offers a rather thin conception of the ‘good’ and the ‘good life.’ Therefore, I am not suggesting here, nor is it my intention to suggest at a later </w:t>
      </w:r>
      <w:r w:rsidR="00B439D6" w:rsidRPr="00461D74">
        <w:rPr>
          <w:rFonts w:ascii="Garamond" w:hAnsi="Garamond"/>
          <w:sz w:val="24"/>
          <w:szCs w:val="24"/>
        </w:rPr>
        <w:lastRenderedPageBreak/>
        <w:t>stage</w:t>
      </w:r>
      <w:r w:rsidR="00970EC3">
        <w:rPr>
          <w:rFonts w:ascii="Garamond" w:hAnsi="Garamond"/>
          <w:sz w:val="24"/>
          <w:szCs w:val="24"/>
        </w:rPr>
        <w:t>,</w:t>
      </w:r>
      <w:r w:rsidR="00B439D6" w:rsidRPr="00461D74">
        <w:rPr>
          <w:rFonts w:ascii="Garamond" w:hAnsi="Garamond"/>
          <w:sz w:val="24"/>
          <w:szCs w:val="24"/>
        </w:rPr>
        <w:t xml:space="preserve"> that we ought to altogether jettison MacIntyre’s three-fold concept of the virtues. Moreover, as a last remark, I would like to draw attention to a hypothesis that I alluded to earlier: namely, that </w:t>
      </w:r>
      <w:r w:rsidRPr="00461D74">
        <w:rPr>
          <w:rFonts w:ascii="Garamond" w:hAnsi="Garamond"/>
          <w:sz w:val="24"/>
          <w:szCs w:val="24"/>
        </w:rPr>
        <w:t xml:space="preserve">the criticisms advanced by </w:t>
      </w:r>
      <w:proofErr w:type="spellStart"/>
      <w:r w:rsidRPr="00461D74">
        <w:rPr>
          <w:rFonts w:ascii="Garamond" w:hAnsi="Garamond"/>
          <w:sz w:val="24"/>
          <w:szCs w:val="24"/>
        </w:rPr>
        <w:t>Schneewind</w:t>
      </w:r>
      <w:proofErr w:type="spellEnd"/>
      <w:r w:rsidRPr="00461D74">
        <w:rPr>
          <w:rFonts w:ascii="Garamond" w:hAnsi="Garamond"/>
          <w:sz w:val="24"/>
          <w:szCs w:val="24"/>
        </w:rPr>
        <w:t xml:space="preserve"> and Bernstein, are the sort of paradigmatic </w:t>
      </w:r>
      <w:r w:rsidR="005904BC" w:rsidRPr="00461D74">
        <w:rPr>
          <w:rFonts w:ascii="Garamond" w:hAnsi="Garamond"/>
          <w:sz w:val="24"/>
          <w:szCs w:val="24"/>
        </w:rPr>
        <w:t>cases (of criticisms) which to a significant extent</w:t>
      </w:r>
      <w:r w:rsidRPr="00461D74">
        <w:rPr>
          <w:rFonts w:ascii="Garamond" w:hAnsi="Garamond"/>
          <w:sz w:val="24"/>
          <w:szCs w:val="24"/>
        </w:rPr>
        <w:t xml:space="preserve"> motivates MacIntyre’s project in </w:t>
      </w:r>
      <w:r w:rsidRPr="00461D74">
        <w:rPr>
          <w:rFonts w:ascii="Garamond" w:hAnsi="Garamond"/>
          <w:i/>
          <w:sz w:val="24"/>
          <w:szCs w:val="24"/>
        </w:rPr>
        <w:t>Whose Justice</w:t>
      </w:r>
      <w:r w:rsidRPr="00461D74">
        <w:rPr>
          <w:rFonts w:ascii="Garamond" w:hAnsi="Garamond"/>
          <w:sz w:val="24"/>
          <w:szCs w:val="24"/>
        </w:rPr>
        <w:t>.</w:t>
      </w:r>
    </w:p>
    <w:p w:rsidR="004E7DAA" w:rsidRPr="00461D74" w:rsidRDefault="004E7DAA" w:rsidP="00164E4D">
      <w:pPr>
        <w:spacing w:line="360" w:lineRule="auto"/>
        <w:jc w:val="both"/>
        <w:rPr>
          <w:rFonts w:ascii="Garamond" w:hAnsi="Garamond"/>
          <w:sz w:val="24"/>
          <w:szCs w:val="24"/>
        </w:rPr>
      </w:pPr>
    </w:p>
    <w:p w:rsidR="00016049" w:rsidRPr="00461D74" w:rsidRDefault="00195ABA" w:rsidP="00164E4D">
      <w:pPr>
        <w:pStyle w:val="Heading2"/>
        <w:spacing w:line="360" w:lineRule="auto"/>
        <w:jc w:val="both"/>
        <w:rPr>
          <w:rFonts w:cstheme="majorHAnsi"/>
        </w:rPr>
      </w:pPr>
      <w:bookmarkStart w:id="10" w:name="_Toc528077792"/>
      <w:r w:rsidRPr="00461D74">
        <w:rPr>
          <w:rFonts w:cstheme="majorHAnsi"/>
        </w:rPr>
        <w:t xml:space="preserve">4. </w:t>
      </w:r>
      <w:r w:rsidR="002137F1" w:rsidRPr="00461D74">
        <w:rPr>
          <w:rFonts w:cstheme="majorHAnsi"/>
        </w:rPr>
        <w:t>Is Tradition a Theoretical Articulation of Socially Embodied Norms?</w:t>
      </w:r>
      <w:bookmarkEnd w:id="10"/>
      <w:r w:rsidR="00F87660" w:rsidRPr="00461D74">
        <w:rPr>
          <w:rFonts w:cstheme="majorHAnsi"/>
        </w:rPr>
        <w:t xml:space="preserve"> </w:t>
      </w:r>
    </w:p>
    <w:p w:rsidR="00EC6689" w:rsidRPr="00461D74" w:rsidRDefault="00EC6689" w:rsidP="00164E4D">
      <w:pPr>
        <w:spacing w:line="360" w:lineRule="auto"/>
        <w:jc w:val="both"/>
        <w:rPr>
          <w:rFonts w:ascii="Garamond" w:hAnsi="Garamond"/>
          <w:sz w:val="24"/>
          <w:szCs w:val="24"/>
        </w:rPr>
      </w:pPr>
    </w:p>
    <w:p w:rsidR="0098347B" w:rsidRPr="00461D74" w:rsidRDefault="004D430C" w:rsidP="00164E4D">
      <w:pPr>
        <w:spacing w:line="360" w:lineRule="auto"/>
        <w:jc w:val="both"/>
        <w:rPr>
          <w:rFonts w:ascii="Garamond" w:hAnsi="Garamond"/>
          <w:sz w:val="24"/>
          <w:szCs w:val="24"/>
        </w:rPr>
      </w:pPr>
      <w:r w:rsidRPr="00461D74">
        <w:rPr>
          <w:rFonts w:ascii="Garamond" w:hAnsi="Garamond"/>
          <w:sz w:val="24"/>
          <w:szCs w:val="24"/>
        </w:rPr>
        <w:t xml:space="preserve">In the conclusion of the previous section, I recounted the arguments advanced by </w:t>
      </w:r>
      <w:proofErr w:type="spellStart"/>
      <w:r w:rsidRPr="00461D74">
        <w:rPr>
          <w:rFonts w:ascii="Garamond" w:hAnsi="Garamond"/>
          <w:sz w:val="24"/>
          <w:szCs w:val="24"/>
        </w:rPr>
        <w:t>Schneewind</w:t>
      </w:r>
      <w:proofErr w:type="spellEnd"/>
      <w:r w:rsidRPr="00461D74">
        <w:rPr>
          <w:rFonts w:ascii="Garamond" w:hAnsi="Garamond"/>
          <w:sz w:val="24"/>
          <w:szCs w:val="24"/>
        </w:rPr>
        <w:t xml:space="preserve"> and Bernstein wh</w:t>
      </w:r>
      <w:r w:rsidR="00970EC3">
        <w:rPr>
          <w:rFonts w:ascii="Garamond" w:hAnsi="Garamond"/>
          <w:sz w:val="24"/>
          <w:szCs w:val="24"/>
        </w:rPr>
        <w:t>ich</w:t>
      </w:r>
      <w:r w:rsidRPr="00461D74">
        <w:rPr>
          <w:rFonts w:ascii="Garamond" w:hAnsi="Garamond"/>
          <w:sz w:val="24"/>
          <w:szCs w:val="24"/>
        </w:rPr>
        <w:t xml:space="preserve"> criticised </w:t>
      </w:r>
      <w:r w:rsidR="00016049" w:rsidRPr="00461D74">
        <w:rPr>
          <w:rFonts w:ascii="Garamond" w:hAnsi="Garamond"/>
          <w:sz w:val="24"/>
          <w:szCs w:val="24"/>
        </w:rPr>
        <w:t xml:space="preserve">MacIntyre’s historical reconstruction in </w:t>
      </w:r>
      <w:r w:rsidR="00016049" w:rsidRPr="00461D74">
        <w:rPr>
          <w:rFonts w:ascii="Garamond" w:hAnsi="Garamond"/>
          <w:i/>
          <w:sz w:val="24"/>
          <w:szCs w:val="24"/>
        </w:rPr>
        <w:t>After Virtue</w:t>
      </w:r>
      <w:r w:rsidRPr="00461D74">
        <w:rPr>
          <w:rFonts w:ascii="Garamond" w:hAnsi="Garamond"/>
          <w:sz w:val="24"/>
          <w:szCs w:val="24"/>
        </w:rPr>
        <w:t xml:space="preserve">. They do not simply argue that </w:t>
      </w:r>
      <w:r w:rsidR="00DB00EA" w:rsidRPr="00DB00EA">
        <w:rPr>
          <w:rFonts w:ascii="Garamond" w:hAnsi="Garamond"/>
          <w:i/>
          <w:sz w:val="24"/>
          <w:szCs w:val="24"/>
        </w:rPr>
        <w:t>After Virtue</w:t>
      </w:r>
      <w:r w:rsidR="00016049" w:rsidRPr="00461D74">
        <w:rPr>
          <w:rFonts w:ascii="Garamond" w:hAnsi="Garamond"/>
          <w:sz w:val="24"/>
          <w:szCs w:val="24"/>
        </w:rPr>
        <w:t xml:space="preserve"> shows </w:t>
      </w:r>
      <w:r w:rsidRPr="00461D74">
        <w:rPr>
          <w:rFonts w:ascii="Garamond" w:hAnsi="Garamond"/>
          <w:sz w:val="24"/>
          <w:szCs w:val="24"/>
        </w:rPr>
        <w:t xml:space="preserve">us </w:t>
      </w:r>
      <w:r w:rsidR="00016049" w:rsidRPr="00461D74">
        <w:rPr>
          <w:rFonts w:ascii="Garamond" w:hAnsi="Garamond"/>
          <w:sz w:val="24"/>
          <w:szCs w:val="24"/>
        </w:rPr>
        <w:t xml:space="preserve">how </w:t>
      </w:r>
      <w:r w:rsidRPr="00461D74">
        <w:rPr>
          <w:rFonts w:ascii="Garamond" w:hAnsi="Garamond"/>
          <w:sz w:val="24"/>
          <w:szCs w:val="24"/>
        </w:rPr>
        <w:t xml:space="preserve">and why </w:t>
      </w:r>
      <w:r w:rsidR="00F87660" w:rsidRPr="00461D74">
        <w:rPr>
          <w:rFonts w:ascii="Garamond" w:hAnsi="Garamond"/>
          <w:sz w:val="24"/>
          <w:szCs w:val="24"/>
        </w:rPr>
        <w:t xml:space="preserve">the </w:t>
      </w:r>
      <w:r w:rsidR="00016049" w:rsidRPr="00461D74">
        <w:rPr>
          <w:rFonts w:ascii="Garamond" w:hAnsi="Garamond"/>
          <w:sz w:val="24"/>
          <w:szCs w:val="24"/>
        </w:rPr>
        <w:t xml:space="preserve">morality </w:t>
      </w:r>
      <w:r w:rsidRPr="00461D74">
        <w:rPr>
          <w:rFonts w:ascii="Garamond" w:hAnsi="Garamond"/>
          <w:sz w:val="24"/>
          <w:szCs w:val="24"/>
        </w:rPr>
        <w:t>that we encounter in</w:t>
      </w:r>
      <w:r w:rsidR="00016049" w:rsidRPr="00461D74">
        <w:rPr>
          <w:rFonts w:ascii="Garamond" w:hAnsi="Garamond"/>
          <w:sz w:val="24"/>
          <w:szCs w:val="24"/>
        </w:rPr>
        <w:t xml:space="preserve"> modern liberal society – </w:t>
      </w:r>
      <w:r w:rsidRPr="00461D74">
        <w:rPr>
          <w:rFonts w:ascii="Garamond" w:hAnsi="Garamond"/>
          <w:sz w:val="24"/>
          <w:szCs w:val="24"/>
        </w:rPr>
        <w:t xml:space="preserve">namely, </w:t>
      </w:r>
      <w:r w:rsidR="00016049" w:rsidRPr="00461D74">
        <w:rPr>
          <w:rFonts w:ascii="Garamond" w:hAnsi="Garamond"/>
          <w:sz w:val="24"/>
          <w:szCs w:val="24"/>
        </w:rPr>
        <w:t xml:space="preserve">emotivism – </w:t>
      </w:r>
      <w:r w:rsidR="00F87660" w:rsidRPr="00461D74">
        <w:rPr>
          <w:rFonts w:ascii="Garamond" w:hAnsi="Garamond"/>
          <w:sz w:val="24"/>
          <w:szCs w:val="24"/>
        </w:rPr>
        <w:t xml:space="preserve">is essentially a </w:t>
      </w:r>
      <w:r w:rsidR="00016049" w:rsidRPr="00461D74">
        <w:rPr>
          <w:rFonts w:ascii="Garamond" w:hAnsi="Garamond"/>
          <w:sz w:val="24"/>
          <w:szCs w:val="24"/>
        </w:rPr>
        <w:t>theoretical</w:t>
      </w:r>
      <w:r w:rsidR="00F87660" w:rsidRPr="00461D74">
        <w:rPr>
          <w:rFonts w:ascii="Garamond" w:hAnsi="Garamond"/>
          <w:sz w:val="24"/>
          <w:szCs w:val="24"/>
        </w:rPr>
        <w:t xml:space="preserve"> articulation</w:t>
      </w:r>
      <w:r w:rsidR="00016049" w:rsidRPr="00461D74">
        <w:rPr>
          <w:rFonts w:ascii="Garamond" w:hAnsi="Garamond"/>
          <w:sz w:val="24"/>
          <w:szCs w:val="24"/>
        </w:rPr>
        <w:t xml:space="preserve"> </w:t>
      </w:r>
      <w:r w:rsidR="00F87660" w:rsidRPr="00461D74">
        <w:rPr>
          <w:rFonts w:ascii="Garamond" w:hAnsi="Garamond"/>
          <w:sz w:val="24"/>
          <w:szCs w:val="24"/>
        </w:rPr>
        <w:t>of the</w:t>
      </w:r>
      <w:r w:rsidR="00016049" w:rsidRPr="00461D74">
        <w:rPr>
          <w:rFonts w:ascii="Garamond" w:hAnsi="Garamond"/>
          <w:sz w:val="24"/>
          <w:szCs w:val="24"/>
        </w:rPr>
        <w:t xml:space="preserve"> </w:t>
      </w:r>
      <w:r w:rsidRPr="00461D74">
        <w:rPr>
          <w:rFonts w:ascii="Garamond" w:hAnsi="Garamond"/>
          <w:sz w:val="24"/>
          <w:szCs w:val="24"/>
        </w:rPr>
        <w:t>social practices in that society, which is of course a thesis that is at home in MacIntyre’s account. Rather</w:t>
      </w:r>
      <w:r w:rsidR="0098347B" w:rsidRPr="00461D74">
        <w:rPr>
          <w:rFonts w:ascii="Garamond" w:hAnsi="Garamond"/>
          <w:sz w:val="24"/>
          <w:szCs w:val="24"/>
        </w:rPr>
        <w:t>,</w:t>
      </w:r>
      <w:r w:rsidRPr="00461D74">
        <w:rPr>
          <w:rFonts w:ascii="Garamond" w:hAnsi="Garamond"/>
          <w:sz w:val="24"/>
          <w:szCs w:val="24"/>
        </w:rPr>
        <w:t xml:space="preserve"> they argue that MacIntyre’s definition of the ‘good,’ connected to his three-fold account of the virtues, generates a </w:t>
      </w:r>
      <w:r w:rsidR="00016049" w:rsidRPr="00461D74">
        <w:rPr>
          <w:rFonts w:ascii="Garamond" w:hAnsi="Garamond"/>
          <w:sz w:val="24"/>
          <w:szCs w:val="24"/>
        </w:rPr>
        <w:t xml:space="preserve">heterogeneous </w:t>
      </w:r>
      <w:r w:rsidR="0098347B" w:rsidRPr="00461D74">
        <w:rPr>
          <w:rFonts w:ascii="Garamond" w:hAnsi="Garamond"/>
          <w:sz w:val="24"/>
          <w:szCs w:val="24"/>
        </w:rPr>
        <w:t xml:space="preserve">set </w:t>
      </w:r>
      <w:r w:rsidR="00016049" w:rsidRPr="00461D74">
        <w:rPr>
          <w:rFonts w:ascii="Garamond" w:hAnsi="Garamond"/>
          <w:sz w:val="24"/>
          <w:szCs w:val="24"/>
        </w:rPr>
        <w:t xml:space="preserve">of human goods </w:t>
      </w:r>
      <w:r w:rsidR="00F87660" w:rsidRPr="00461D74">
        <w:rPr>
          <w:rFonts w:ascii="Garamond" w:hAnsi="Garamond"/>
          <w:sz w:val="24"/>
          <w:szCs w:val="24"/>
        </w:rPr>
        <w:t xml:space="preserve">that </w:t>
      </w:r>
      <w:r w:rsidR="0098347B" w:rsidRPr="00461D74">
        <w:rPr>
          <w:rFonts w:ascii="Garamond" w:hAnsi="Garamond"/>
          <w:sz w:val="24"/>
          <w:szCs w:val="24"/>
        </w:rPr>
        <w:t xml:space="preserve">remain in potential conflict, and the tension between these goods – especially, the ways which we ought to order them – strengthens the case for emotivism, at least </w:t>
      </w:r>
      <w:r w:rsidR="00016049" w:rsidRPr="00461D74">
        <w:rPr>
          <w:rFonts w:ascii="Garamond" w:hAnsi="Garamond"/>
          <w:sz w:val="24"/>
          <w:szCs w:val="24"/>
        </w:rPr>
        <w:t xml:space="preserve">in </w:t>
      </w:r>
      <w:r w:rsidR="00F87660" w:rsidRPr="00461D74">
        <w:rPr>
          <w:rFonts w:ascii="Garamond" w:hAnsi="Garamond"/>
          <w:sz w:val="24"/>
          <w:szCs w:val="24"/>
        </w:rPr>
        <w:t>contemporary</w:t>
      </w:r>
      <w:r w:rsidR="00016049" w:rsidRPr="00461D74">
        <w:rPr>
          <w:rFonts w:ascii="Garamond" w:hAnsi="Garamond"/>
          <w:sz w:val="24"/>
          <w:szCs w:val="24"/>
        </w:rPr>
        <w:t xml:space="preserve"> liberal society. </w:t>
      </w:r>
    </w:p>
    <w:p w:rsidR="004D3A89" w:rsidRDefault="0098347B">
      <w:pPr>
        <w:spacing w:line="360" w:lineRule="auto"/>
        <w:ind w:firstLine="720"/>
        <w:jc w:val="both"/>
        <w:rPr>
          <w:rFonts w:ascii="Garamond" w:hAnsi="Garamond"/>
          <w:sz w:val="24"/>
          <w:szCs w:val="24"/>
        </w:rPr>
      </w:pPr>
      <w:r w:rsidRPr="00461D74">
        <w:rPr>
          <w:rFonts w:ascii="Garamond" w:hAnsi="Garamond"/>
          <w:sz w:val="24"/>
          <w:szCs w:val="24"/>
        </w:rPr>
        <w:t>Therefore</w:t>
      </w:r>
      <w:r w:rsidR="00016049" w:rsidRPr="00461D74">
        <w:rPr>
          <w:rFonts w:ascii="Garamond" w:hAnsi="Garamond"/>
          <w:sz w:val="24"/>
          <w:szCs w:val="24"/>
        </w:rPr>
        <w:t xml:space="preserve">, if MacIntyre wants to </w:t>
      </w:r>
      <w:r w:rsidR="00E14AD9">
        <w:rPr>
          <w:rFonts w:ascii="Garamond" w:hAnsi="Garamond"/>
          <w:sz w:val="24"/>
          <w:szCs w:val="24"/>
        </w:rPr>
        <w:t>undermine</w:t>
      </w:r>
      <w:r w:rsidR="00016049" w:rsidRPr="00461D74">
        <w:rPr>
          <w:rFonts w:ascii="Garamond" w:hAnsi="Garamond"/>
          <w:sz w:val="24"/>
          <w:szCs w:val="24"/>
        </w:rPr>
        <w:t xml:space="preserve"> </w:t>
      </w:r>
      <w:r w:rsidRPr="00461D74">
        <w:rPr>
          <w:rFonts w:ascii="Garamond" w:hAnsi="Garamond"/>
          <w:sz w:val="24"/>
          <w:szCs w:val="24"/>
        </w:rPr>
        <w:t>the efficacy of the</w:t>
      </w:r>
      <w:r w:rsidR="00520A30">
        <w:rPr>
          <w:rFonts w:ascii="Garamond" w:hAnsi="Garamond"/>
          <w:sz w:val="24"/>
          <w:szCs w:val="24"/>
        </w:rPr>
        <w:t>ir</w:t>
      </w:r>
      <w:r w:rsidRPr="00461D74">
        <w:rPr>
          <w:rFonts w:ascii="Garamond" w:hAnsi="Garamond"/>
          <w:sz w:val="24"/>
          <w:szCs w:val="24"/>
        </w:rPr>
        <w:t xml:space="preserve"> </w:t>
      </w:r>
      <w:r w:rsidR="00016049" w:rsidRPr="00461D74">
        <w:rPr>
          <w:rFonts w:ascii="Garamond" w:hAnsi="Garamond"/>
          <w:sz w:val="24"/>
          <w:szCs w:val="24"/>
        </w:rPr>
        <w:t xml:space="preserve">claim that his </w:t>
      </w:r>
      <w:r w:rsidRPr="00461D74">
        <w:rPr>
          <w:rFonts w:ascii="Garamond" w:hAnsi="Garamond"/>
          <w:sz w:val="24"/>
          <w:szCs w:val="24"/>
        </w:rPr>
        <w:t xml:space="preserve">account </w:t>
      </w:r>
      <w:r w:rsidR="00016049" w:rsidRPr="00461D74">
        <w:rPr>
          <w:rFonts w:ascii="Garamond" w:hAnsi="Garamond"/>
          <w:sz w:val="24"/>
          <w:szCs w:val="24"/>
        </w:rPr>
        <w:t xml:space="preserve">in </w:t>
      </w:r>
      <w:r w:rsidR="00016049" w:rsidRPr="00461D74">
        <w:rPr>
          <w:rFonts w:ascii="Garamond" w:hAnsi="Garamond"/>
          <w:i/>
          <w:sz w:val="24"/>
          <w:szCs w:val="24"/>
        </w:rPr>
        <w:t>After Virtue</w:t>
      </w:r>
      <w:r w:rsidR="00016049" w:rsidRPr="00461D74">
        <w:rPr>
          <w:rFonts w:ascii="Garamond" w:hAnsi="Garamond"/>
          <w:sz w:val="24"/>
          <w:szCs w:val="24"/>
        </w:rPr>
        <w:t xml:space="preserve"> confirms the </w:t>
      </w:r>
      <w:proofErr w:type="spellStart"/>
      <w:r w:rsidR="00016049" w:rsidRPr="00461D74">
        <w:rPr>
          <w:rFonts w:ascii="Garamond" w:hAnsi="Garamond"/>
          <w:sz w:val="24"/>
          <w:szCs w:val="24"/>
        </w:rPr>
        <w:t>emotivist</w:t>
      </w:r>
      <w:proofErr w:type="spellEnd"/>
      <w:r w:rsidR="00537C44" w:rsidRPr="00461D74">
        <w:rPr>
          <w:rFonts w:ascii="Garamond" w:hAnsi="Garamond"/>
          <w:sz w:val="24"/>
          <w:szCs w:val="24"/>
        </w:rPr>
        <w:t xml:space="preserve"> </w:t>
      </w:r>
      <w:r w:rsidR="00016049" w:rsidRPr="00461D74">
        <w:rPr>
          <w:rFonts w:ascii="Garamond" w:hAnsi="Garamond"/>
          <w:sz w:val="24"/>
          <w:szCs w:val="24"/>
        </w:rPr>
        <w:t xml:space="preserve">thesis </w:t>
      </w:r>
      <w:r w:rsidRPr="00461D74">
        <w:rPr>
          <w:rFonts w:ascii="Garamond" w:hAnsi="Garamond"/>
          <w:sz w:val="24"/>
          <w:szCs w:val="24"/>
        </w:rPr>
        <w:t xml:space="preserve">– </w:t>
      </w:r>
      <w:r w:rsidR="00016049" w:rsidRPr="00461D74">
        <w:rPr>
          <w:rFonts w:ascii="Garamond" w:hAnsi="Garamond"/>
          <w:sz w:val="24"/>
          <w:szCs w:val="24"/>
        </w:rPr>
        <w:t xml:space="preserve">namely, that emotivism is a more or less </w:t>
      </w:r>
      <w:r w:rsidR="00DB00EA" w:rsidRPr="00DB00EA">
        <w:rPr>
          <w:rFonts w:ascii="Garamond" w:hAnsi="Garamond"/>
          <w:i/>
          <w:sz w:val="24"/>
          <w:szCs w:val="24"/>
        </w:rPr>
        <w:t>adequate</w:t>
      </w:r>
      <w:r w:rsidR="00016049" w:rsidRPr="00461D74">
        <w:rPr>
          <w:rFonts w:ascii="Garamond" w:hAnsi="Garamond"/>
          <w:sz w:val="24"/>
          <w:szCs w:val="24"/>
        </w:rPr>
        <w:t xml:space="preserve"> theoretical formulation of what ethics</w:t>
      </w:r>
      <w:r w:rsidR="00C52F49" w:rsidRPr="00461D74">
        <w:rPr>
          <w:rFonts w:ascii="Garamond" w:hAnsi="Garamond"/>
          <w:sz w:val="24"/>
          <w:szCs w:val="24"/>
        </w:rPr>
        <w:t xml:space="preserve"> </w:t>
      </w:r>
      <w:r w:rsidR="00DB00EA" w:rsidRPr="00DB00EA">
        <w:rPr>
          <w:rFonts w:ascii="Garamond" w:hAnsi="Garamond"/>
          <w:i/>
          <w:sz w:val="24"/>
          <w:szCs w:val="24"/>
        </w:rPr>
        <w:t>is</w:t>
      </w:r>
      <w:r w:rsidR="00016049" w:rsidRPr="00461D74">
        <w:rPr>
          <w:rFonts w:ascii="Garamond" w:hAnsi="Garamond"/>
          <w:sz w:val="24"/>
          <w:szCs w:val="24"/>
        </w:rPr>
        <w:t xml:space="preserve"> under </w:t>
      </w:r>
      <w:r w:rsidR="00537C44" w:rsidRPr="00461D74">
        <w:rPr>
          <w:rFonts w:ascii="Garamond" w:hAnsi="Garamond"/>
          <w:sz w:val="24"/>
          <w:szCs w:val="24"/>
        </w:rPr>
        <w:t xml:space="preserve">modern </w:t>
      </w:r>
      <w:r w:rsidR="00C52F49" w:rsidRPr="00461D74">
        <w:rPr>
          <w:rFonts w:ascii="Garamond" w:hAnsi="Garamond"/>
          <w:sz w:val="24"/>
          <w:szCs w:val="24"/>
        </w:rPr>
        <w:t xml:space="preserve">liberal </w:t>
      </w:r>
      <w:r w:rsidR="00537C44" w:rsidRPr="00461D74">
        <w:rPr>
          <w:rFonts w:ascii="Garamond" w:hAnsi="Garamond"/>
          <w:sz w:val="24"/>
          <w:szCs w:val="24"/>
        </w:rPr>
        <w:t>social conditions</w:t>
      </w:r>
      <w:r w:rsidR="00970EC3">
        <w:rPr>
          <w:rFonts w:ascii="Garamond" w:hAnsi="Garamond"/>
          <w:sz w:val="24"/>
          <w:szCs w:val="24"/>
        </w:rPr>
        <w:t xml:space="preserve"> – </w:t>
      </w:r>
      <w:r w:rsidR="00016049" w:rsidRPr="00461D74">
        <w:rPr>
          <w:rFonts w:ascii="Garamond" w:hAnsi="Garamond"/>
          <w:sz w:val="24"/>
          <w:szCs w:val="24"/>
        </w:rPr>
        <w:t xml:space="preserve">it seems </w:t>
      </w:r>
      <w:r w:rsidR="00C52F49" w:rsidRPr="00461D74">
        <w:rPr>
          <w:rFonts w:ascii="Garamond" w:hAnsi="Garamond"/>
          <w:sz w:val="24"/>
          <w:szCs w:val="24"/>
        </w:rPr>
        <w:t xml:space="preserve">then </w:t>
      </w:r>
      <w:r w:rsidR="00016049" w:rsidRPr="00461D74">
        <w:rPr>
          <w:rFonts w:ascii="Garamond" w:hAnsi="Garamond"/>
          <w:sz w:val="24"/>
          <w:szCs w:val="24"/>
        </w:rPr>
        <w:t xml:space="preserve">he has little choice but to </w:t>
      </w:r>
      <w:r w:rsidRPr="00461D74">
        <w:rPr>
          <w:rFonts w:ascii="Garamond" w:hAnsi="Garamond"/>
          <w:sz w:val="24"/>
          <w:szCs w:val="24"/>
        </w:rPr>
        <w:t xml:space="preserve">articulate </w:t>
      </w:r>
      <w:r w:rsidR="00016049" w:rsidRPr="00461D74">
        <w:rPr>
          <w:rFonts w:ascii="Garamond" w:hAnsi="Garamond"/>
          <w:sz w:val="24"/>
          <w:szCs w:val="24"/>
        </w:rPr>
        <w:t xml:space="preserve">an account that can reconcile the apparently incompatible </w:t>
      </w:r>
      <w:r w:rsidR="00537C44" w:rsidRPr="00461D74">
        <w:rPr>
          <w:rFonts w:ascii="Garamond" w:hAnsi="Garamond"/>
          <w:sz w:val="24"/>
          <w:szCs w:val="24"/>
        </w:rPr>
        <w:t xml:space="preserve">heterogeneous </w:t>
      </w:r>
      <w:r w:rsidR="00016049" w:rsidRPr="00461D74">
        <w:rPr>
          <w:rFonts w:ascii="Garamond" w:hAnsi="Garamond"/>
          <w:sz w:val="24"/>
          <w:szCs w:val="24"/>
        </w:rPr>
        <w:t>goods</w:t>
      </w:r>
      <w:r w:rsidRPr="00461D74">
        <w:rPr>
          <w:rFonts w:ascii="Garamond" w:hAnsi="Garamond"/>
          <w:sz w:val="24"/>
          <w:szCs w:val="24"/>
        </w:rPr>
        <w:t xml:space="preserve"> generated by such a society</w:t>
      </w:r>
      <w:r w:rsidR="00016049" w:rsidRPr="00461D74">
        <w:rPr>
          <w:rFonts w:ascii="Garamond" w:hAnsi="Garamond"/>
          <w:sz w:val="24"/>
          <w:szCs w:val="24"/>
        </w:rPr>
        <w:t xml:space="preserve">. </w:t>
      </w:r>
      <w:r w:rsidRPr="00461D74">
        <w:rPr>
          <w:rFonts w:ascii="Garamond" w:hAnsi="Garamond"/>
          <w:sz w:val="24"/>
          <w:szCs w:val="24"/>
        </w:rPr>
        <w:t>Now, as a first approximation</w:t>
      </w:r>
      <w:r w:rsidR="008720E3" w:rsidRPr="00461D74">
        <w:rPr>
          <w:rFonts w:ascii="Garamond" w:hAnsi="Garamond"/>
          <w:sz w:val="24"/>
          <w:szCs w:val="24"/>
        </w:rPr>
        <w:t xml:space="preserve">, </w:t>
      </w:r>
      <w:r w:rsidRPr="00461D74">
        <w:rPr>
          <w:rFonts w:ascii="Garamond" w:hAnsi="Garamond"/>
          <w:sz w:val="24"/>
          <w:szCs w:val="24"/>
        </w:rPr>
        <w:t xml:space="preserve">it seems that </w:t>
      </w:r>
      <w:r w:rsidR="008720E3" w:rsidRPr="00461D74">
        <w:rPr>
          <w:rFonts w:ascii="Garamond" w:hAnsi="Garamond"/>
          <w:sz w:val="24"/>
          <w:szCs w:val="24"/>
        </w:rPr>
        <w:t>s</w:t>
      </w:r>
      <w:r w:rsidR="00016049" w:rsidRPr="00461D74">
        <w:rPr>
          <w:rFonts w:ascii="Garamond" w:hAnsi="Garamond"/>
          <w:sz w:val="24"/>
          <w:szCs w:val="24"/>
        </w:rPr>
        <w:t xml:space="preserve">uch an account will </w:t>
      </w:r>
      <w:r w:rsidR="00537C44" w:rsidRPr="00461D74">
        <w:rPr>
          <w:rFonts w:ascii="Garamond" w:hAnsi="Garamond"/>
          <w:sz w:val="24"/>
          <w:szCs w:val="24"/>
        </w:rPr>
        <w:t>require</w:t>
      </w:r>
      <w:r w:rsidR="00016049" w:rsidRPr="00461D74">
        <w:rPr>
          <w:rFonts w:ascii="Garamond" w:hAnsi="Garamond"/>
          <w:sz w:val="24"/>
          <w:szCs w:val="24"/>
        </w:rPr>
        <w:t xml:space="preserve"> a more substantive account of the ‘Good’ than the </w:t>
      </w:r>
      <w:r w:rsidR="0027115D" w:rsidRPr="00461D74">
        <w:rPr>
          <w:rFonts w:ascii="Garamond" w:hAnsi="Garamond"/>
          <w:sz w:val="24"/>
          <w:szCs w:val="24"/>
        </w:rPr>
        <w:t>account</w:t>
      </w:r>
      <w:r w:rsidR="00016049" w:rsidRPr="00461D74">
        <w:rPr>
          <w:rFonts w:ascii="Garamond" w:hAnsi="Garamond"/>
          <w:sz w:val="24"/>
          <w:szCs w:val="24"/>
        </w:rPr>
        <w:t xml:space="preserve"> offered in </w:t>
      </w:r>
      <w:r w:rsidR="00016049" w:rsidRPr="00461D74">
        <w:rPr>
          <w:rFonts w:ascii="Garamond" w:hAnsi="Garamond"/>
          <w:i/>
          <w:sz w:val="24"/>
          <w:szCs w:val="24"/>
        </w:rPr>
        <w:t>After Virtue</w:t>
      </w:r>
      <w:r w:rsidR="0027115D" w:rsidRPr="00461D74">
        <w:rPr>
          <w:rFonts w:ascii="Garamond" w:hAnsi="Garamond"/>
          <w:sz w:val="24"/>
          <w:szCs w:val="24"/>
        </w:rPr>
        <w:t xml:space="preserve">. </w:t>
      </w:r>
      <w:r w:rsidRPr="00461D74">
        <w:rPr>
          <w:rFonts w:ascii="Garamond" w:hAnsi="Garamond"/>
          <w:sz w:val="24"/>
          <w:szCs w:val="24"/>
        </w:rPr>
        <w:t xml:space="preserve">The hope here is that </w:t>
      </w:r>
      <w:r w:rsidR="00E54AE0" w:rsidRPr="00461D74">
        <w:rPr>
          <w:rFonts w:ascii="Garamond" w:hAnsi="Garamond"/>
          <w:sz w:val="24"/>
          <w:szCs w:val="24"/>
        </w:rPr>
        <w:t>a</w:t>
      </w:r>
      <w:r w:rsidR="0027115D" w:rsidRPr="00461D74">
        <w:rPr>
          <w:rFonts w:ascii="Garamond" w:hAnsi="Garamond"/>
          <w:sz w:val="24"/>
          <w:szCs w:val="24"/>
        </w:rPr>
        <w:t xml:space="preserve"> more substantive</w:t>
      </w:r>
      <w:r w:rsidR="00016049" w:rsidRPr="00461D74">
        <w:rPr>
          <w:rFonts w:ascii="Garamond" w:hAnsi="Garamond"/>
          <w:sz w:val="24"/>
          <w:szCs w:val="24"/>
        </w:rPr>
        <w:t xml:space="preserve"> account </w:t>
      </w:r>
      <w:r w:rsidR="00E54AE0" w:rsidRPr="00461D74">
        <w:rPr>
          <w:rFonts w:ascii="Garamond" w:hAnsi="Garamond"/>
          <w:sz w:val="24"/>
          <w:szCs w:val="24"/>
        </w:rPr>
        <w:t xml:space="preserve">is capable </w:t>
      </w:r>
      <w:r w:rsidR="00E54AE0" w:rsidRPr="00461D74">
        <w:rPr>
          <w:rFonts w:ascii="Garamond" w:hAnsi="Garamond"/>
          <w:sz w:val="24"/>
          <w:szCs w:val="24"/>
        </w:rPr>
        <w:lastRenderedPageBreak/>
        <w:t>of</w:t>
      </w:r>
      <w:r w:rsidR="00016049" w:rsidRPr="00461D74">
        <w:rPr>
          <w:rFonts w:ascii="Garamond" w:hAnsi="Garamond"/>
          <w:sz w:val="24"/>
          <w:szCs w:val="24"/>
        </w:rPr>
        <w:t xml:space="preserve"> order</w:t>
      </w:r>
      <w:r w:rsidR="00E54AE0" w:rsidRPr="00461D74">
        <w:rPr>
          <w:rFonts w:ascii="Garamond" w:hAnsi="Garamond"/>
          <w:sz w:val="24"/>
          <w:szCs w:val="24"/>
        </w:rPr>
        <w:t>ing</w:t>
      </w:r>
      <w:r w:rsidR="00016049" w:rsidRPr="00461D74">
        <w:rPr>
          <w:rFonts w:ascii="Garamond" w:hAnsi="Garamond"/>
          <w:sz w:val="24"/>
          <w:szCs w:val="24"/>
        </w:rPr>
        <w:t xml:space="preserve"> the </w:t>
      </w:r>
      <w:r w:rsidR="0027115D" w:rsidRPr="00461D74">
        <w:rPr>
          <w:rFonts w:ascii="Garamond" w:hAnsi="Garamond"/>
          <w:sz w:val="24"/>
          <w:szCs w:val="24"/>
        </w:rPr>
        <w:t xml:space="preserve">heterogeneous set of </w:t>
      </w:r>
      <w:r w:rsidR="00016049" w:rsidRPr="00461D74">
        <w:rPr>
          <w:rFonts w:ascii="Garamond" w:hAnsi="Garamond"/>
          <w:sz w:val="24"/>
          <w:szCs w:val="24"/>
        </w:rPr>
        <w:t xml:space="preserve">goods </w:t>
      </w:r>
      <w:r w:rsidR="00E54AE0" w:rsidRPr="00461D74">
        <w:rPr>
          <w:rFonts w:ascii="Garamond" w:hAnsi="Garamond"/>
          <w:sz w:val="24"/>
          <w:szCs w:val="24"/>
        </w:rPr>
        <w:t>generated under contemporary material conditions, which are only apparently</w:t>
      </w:r>
      <w:r w:rsidR="0027115D" w:rsidRPr="00461D74">
        <w:rPr>
          <w:rFonts w:ascii="Garamond" w:hAnsi="Garamond"/>
          <w:sz w:val="24"/>
          <w:szCs w:val="24"/>
        </w:rPr>
        <w:t xml:space="preserve"> </w:t>
      </w:r>
      <w:r w:rsidR="00E54AE0" w:rsidRPr="00461D74">
        <w:rPr>
          <w:rFonts w:ascii="Garamond" w:hAnsi="Garamond"/>
          <w:sz w:val="24"/>
          <w:szCs w:val="24"/>
        </w:rPr>
        <w:t xml:space="preserve">(or superficially) </w:t>
      </w:r>
      <w:r w:rsidR="00016049" w:rsidRPr="00461D74">
        <w:rPr>
          <w:rFonts w:ascii="Garamond" w:hAnsi="Garamond"/>
          <w:sz w:val="24"/>
          <w:szCs w:val="24"/>
        </w:rPr>
        <w:t xml:space="preserve">incompatible. </w:t>
      </w:r>
      <w:r w:rsidR="0027115D" w:rsidRPr="00461D74">
        <w:rPr>
          <w:rFonts w:ascii="Garamond" w:hAnsi="Garamond"/>
          <w:sz w:val="24"/>
          <w:szCs w:val="24"/>
        </w:rPr>
        <w:t xml:space="preserve">Thus, it is instructive that </w:t>
      </w:r>
      <w:r w:rsidR="00016049" w:rsidRPr="00461D74">
        <w:rPr>
          <w:rFonts w:ascii="Garamond" w:hAnsi="Garamond"/>
          <w:sz w:val="24"/>
          <w:szCs w:val="24"/>
        </w:rPr>
        <w:t xml:space="preserve">at some point between writing </w:t>
      </w:r>
      <w:r w:rsidR="00016049" w:rsidRPr="00461D74">
        <w:rPr>
          <w:rFonts w:ascii="Garamond" w:hAnsi="Garamond"/>
          <w:i/>
          <w:sz w:val="24"/>
          <w:szCs w:val="24"/>
        </w:rPr>
        <w:t>After Virtue</w:t>
      </w:r>
      <w:r w:rsidR="00016049" w:rsidRPr="00461D74">
        <w:rPr>
          <w:rFonts w:ascii="Garamond" w:hAnsi="Garamond"/>
          <w:sz w:val="24"/>
          <w:szCs w:val="24"/>
        </w:rPr>
        <w:t xml:space="preserve"> and before </w:t>
      </w:r>
      <w:r w:rsidR="00016049" w:rsidRPr="00461D74">
        <w:rPr>
          <w:rFonts w:ascii="Garamond" w:hAnsi="Garamond"/>
          <w:i/>
          <w:sz w:val="24"/>
          <w:szCs w:val="24"/>
        </w:rPr>
        <w:t>Whose Justice</w:t>
      </w:r>
      <w:r w:rsidR="00016049" w:rsidRPr="00461D74">
        <w:rPr>
          <w:rFonts w:ascii="Garamond" w:hAnsi="Garamond"/>
          <w:sz w:val="24"/>
          <w:szCs w:val="24"/>
        </w:rPr>
        <w:t>, MacIntyre reveal</w:t>
      </w:r>
      <w:r w:rsidR="00E54AE0" w:rsidRPr="00461D74">
        <w:rPr>
          <w:rFonts w:ascii="Garamond" w:hAnsi="Garamond"/>
          <w:sz w:val="24"/>
          <w:szCs w:val="24"/>
        </w:rPr>
        <w:t>s</w:t>
      </w:r>
      <w:r w:rsidR="00016049" w:rsidRPr="00461D74">
        <w:rPr>
          <w:rFonts w:ascii="Garamond" w:hAnsi="Garamond"/>
          <w:sz w:val="24"/>
          <w:szCs w:val="24"/>
        </w:rPr>
        <w:t xml:space="preserve"> </w:t>
      </w:r>
      <w:r w:rsidR="00524A97" w:rsidRPr="00461D74">
        <w:rPr>
          <w:rFonts w:ascii="Garamond" w:hAnsi="Garamond"/>
          <w:sz w:val="24"/>
          <w:szCs w:val="24"/>
        </w:rPr>
        <w:t>his support for the</w:t>
      </w:r>
      <w:r w:rsidR="00016049" w:rsidRPr="00461D74">
        <w:rPr>
          <w:rFonts w:ascii="Garamond" w:hAnsi="Garamond"/>
          <w:sz w:val="24"/>
          <w:szCs w:val="24"/>
        </w:rPr>
        <w:t xml:space="preserve"> Aristotelian-Thomist</w:t>
      </w:r>
      <w:r w:rsidR="00524A97" w:rsidRPr="00461D74">
        <w:rPr>
          <w:rFonts w:ascii="Garamond" w:hAnsi="Garamond"/>
          <w:sz w:val="24"/>
          <w:szCs w:val="24"/>
        </w:rPr>
        <w:t xml:space="preserve"> tradition</w:t>
      </w:r>
      <w:r w:rsidR="00016049" w:rsidRPr="00461D74">
        <w:rPr>
          <w:rFonts w:ascii="Garamond" w:hAnsi="Garamond"/>
          <w:sz w:val="24"/>
          <w:szCs w:val="24"/>
        </w:rPr>
        <w:t>,</w:t>
      </w:r>
      <w:r w:rsidR="00016049" w:rsidRPr="00461D74">
        <w:rPr>
          <w:rStyle w:val="FootnoteReference"/>
          <w:rFonts w:ascii="Garamond" w:hAnsi="Garamond"/>
          <w:sz w:val="24"/>
          <w:szCs w:val="24"/>
        </w:rPr>
        <w:footnoteReference w:id="76"/>
      </w:r>
      <w:r w:rsidR="00016049" w:rsidRPr="00461D74">
        <w:rPr>
          <w:rFonts w:ascii="Garamond" w:hAnsi="Garamond"/>
          <w:sz w:val="24"/>
          <w:szCs w:val="24"/>
        </w:rPr>
        <w:t xml:space="preserve"> which </w:t>
      </w:r>
      <w:r w:rsidR="00524A97" w:rsidRPr="00461D74">
        <w:rPr>
          <w:rFonts w:ascii="Garamond" w:hAnsi="Garamond"/>
          <w:sz w:val="24"/>
          <w:szCs w:val="24"/>
        </w:rPr>
        <w:t xml:space="preserve">indeed possesses </w:t>
      </w:r>
      <w:r w:rsidR="00016049" w:rsidRPr="00461D74">
        <w:rPr>
          <w:rFonts w:ascii="Garamond" w:hAnsi="Garamond"/>
          <w:sz w:val="24"/>
          <w:szCs w:val="24"/>
        </w:rPr>
        <w:t>a more robust account of the good of just this sort</w:t>
      </w:r>
      <w:r w:rsidR="00524A97" w:rsidRPr="00461D74">
        <w:rPr>
          <w:rFonts w:ascii="Garamond" w:hAnsi="Garamond"/>
          <w:sz w:val="24"/>
          <w:szCs w:val="24"/>
        </w:rPr>
        <w:t>,</w:t>
      </w:r>
      <w:r w:rsidR="00016049" w:rsidRPr="00461D74">
        <w:rPr>
          <w:rFonts w:ascii="Garamond" w:hAnsi="Garamond"/>
          <w:sz w:val="24"/>
          <w:szCs w:val="24"/>
        </w:rPr>
        <w:t xml:space="preserve"> </w:t>
      </w:r>
      <w:r w:rsidR="00524A97" w:rsidRPr="00461D74">
        <w:rPr>
          <w:rFonts w:ascii="Garamond" w:hAnsi="Garamond"/>
          <w:sz w:val="24"/>
          <w:szCs w:val="24"/>
        </w:rPr>
        <w:t xml:space="preserve">which </w:t>
      </w:r>
      <w:r w:rsidR="00016049" w:rsidRPr="00461D74">
        <w:rPr>
          <w:rFonts w:ascii="Garamond" w:hAnsi="Garamond"/>
          <w:sz w:val="24"/>
          <w:szCs w:val="24"/>
        </w:rPr>
        <w:t xml:space="preserve">could </w:t>
      </w:r>
      <w:r w:rsidR="00524A97" w:rsidRPr="00461D74">
        <w:rPr>
          <w:rFonts w:ascii="Garamond" w:hAnsi="Garamond"/>
          <w:sz w:val="24"/>
          <w:szCs w:val="24"/>
        </w:rPr>
        <w:t xml:space="preserve">potentially </w:t>
      </w:r>
      <w:r w:rsidR="00016049" w:rsidRPr="00461D74">
        <w:rPr>
          <w:rFonts w:ascii="Garamond" w:hAnsi="Garamond"/>
          <w:sz w:val="24"/>
          <w:szCs w:val="24"/>
        </w:rPr>
        <w:t>order these rival</w:t>
      </w:r>
      <w:r w:rsidR="0027115D" w:rsidRPr="00461D74">
        <w:rPr>
          <w:rFonts w:ascii="Garamond" w:hAnsi="Garamond"/>
          <w:sz w:val="24"/>
          <w:szCs w:val="24"/>
        </w:rPr>
        <w:t>,</w:t>
      </w:r>
      <w:r w:rsidR="00016049" w:rsidRPr="00461D74">
        <w:rPr>
          <w:rFonts w:ascii="Garamond" w:hAnsi="Garamond"/>
          <w:sz w:val="24"/>
          <w:szCs w:val="24"/>
        </w:rPr>
        <w:t xml:space="preserve"> and at least </w:t>
      </w:r>
      <w:r w:rsidR="0027115D" w:rsidRPr="00461D74">
        <w:rPr>
          <w:rFonts w:ascii="Garamond" w:hAnsi="Garamond"/>
          <w:sz w:val="24"/>
          <w:szCs w:val="24"/>
        </w:rPr>
        <w:t>ostensibly,</w:t>
      </w:r>
      <w:r w:rsidR="00016049" w:rsidRPr="00461D74">
        <w:rPr>
          <w:rFonts w:ascii="Garamond" w:hAnsi="Garamond"/>
          <w:sz w:val="24"/>
          <w:szCs w:val="24"/>
        </w:rPr>
        <w:t xml:space="preserve"> incompatible goods</w:t>
      </w:r>
      <w:r w:rsidR="00524A97" w:rsidRPr="00461D74">
        <w:rPr>
          <w:rFonts w:ascii="Garamond" w:hAnsi="Garamond"/>
          <w:sz w:val="24"/>
          <w:szCs w:val="24"/>
        </w:rPr>
        <w:t>,</w:t>
      </w:r>
      <w:r w:rsidR="00016049" w:rsidRPr="00461D74">
        <w:rPr>
          <w:rFonts w:ascii="Garamond" w:hAnsi="Garamond"/>
          <w:sz w:val="24"/>
          <w:szCs w:val="24"/>
        </w:rPr>
        <w:t xml:space="preserve"> within a unified </w:t>
      </w:r>
      <w:r w:rsidR="00524A97" w:rsidRPr="00461D74">
        <w:rPr>
          <w:rFonts w:ascii="Garamond" w:hAnsi="Garamond"/>
          <w:sz w:val="24"/>
          <w:szCs w:val="24"/>
        </w:rPr>
        <w:t xml:space="preserve">conception of a </w:t>
      </w:r>
      <w:r w:rsidR="00016049" w:rsidRPr="00461D74">
        <w:rPr>
          <w:rFonts w:ascii="Garamond" w:hAnsi="Garamond"/>
          <w:sz w:val="24"/>
          <w:szCs w:val="24"/>
        </w:rPr>
        <w:t>human life</w:t>
      </w:r>
      <w:r w:rsidR="00524A97" w:rsidRPr="00461D74">
        <w:rPr>
          <w:rFonts w:ascii="Garamond" w:hAnsi="Garamond"/>
          <w:sz w:val="24"/>
          <w:szCs w:val="24"/>
        </w:rPr>
        <w:t xml:space="preserve"> directed towards its good</w:t>
      </w:r>
      <w:r w:rsidR="00C9766C">
        <w:rPr>
          <w:rFonts w:ascii="Garamond" w:hAnsi="Garamond"/>
          <w:sz w:val="24"/>
          <w:szCs w:val="24"/>
        </w:rPr>
        <w:t xml:space="preserve"> – and thus see off the threat of a return to emotivism</w:t>
      </w:r>
      <w:r w:rsidR="00016049" w:rsidRPr="00461D74">
        <w:rPr>
          <w:rFonts w:ascii="Garamond" w:hAnsi="Garamond"/>
          <w:sz w:val="24"/>
          <w:szCs w:val="24"/>
        </w:rPr>
        <w:t>.</w:t>
      </w:r>
    </w:p>
    <w:p w:rsidR="00016049" w:rsidRPr="00461D74" w:rsidRDefault="00BC36FD" w:rsidP="00164E4D">
      <w:pPr>
        <w:spacing w:line="360" w:lineRule="auto"/>
        <w:ind w:firstLine="720"/>
        <w:jc w:val="both"/>
        <w:rPr>
          <w:rFonts w:ascii="Garamond" w:hAnsi="Garamond"/>
          <w:sz w:val="24"/>
          <w:szCs w:val="24"/>
        </w:rPr>
      </w:pPr>
      <w:r w:rsidRPr="00461D74">
        <w:rPr>
          <w:rFonts w:ascii="Garamond" w:hAnsi="Garamond"/>
          <w:sz w:val="24"/>
          <w:szCs w:val="24"/>
        </w:rPr>
        <w:t>Nevertheless</w:t>
      </w:r>
      <w:r w:rsidR="00016049" w:rsidRPr="00461D74">
        <w:rPr>
          <w:rFonts w:ascii="Garamond" w:hAnsi="Garamond"/>
          <w:sz w:val="24"/>
          <w:szCs w:val="24"/>
        </w:rPr>
        <w:t xml:space="preserve">, </w:t>
      </w:r>
      <w:r w:rsidRPr="00461D74">
        <w:rPr>
          <w:rFonts w:ascii="Garamond" w:hAnsi="Garamond"/>
          <w:sz w:val="24"/>
          <w:szCs w:val="24"/>
        </w:rPr>
        <w:t xml:space="preserve">it seems that what follows from MacIntyre’s historical account of traditions is that in order for his endorsement of Thomism </w:t>
      </w:r>
      <w:r w:rsidR="00016049" w:rsidRPr="00461D74">
        <w:rPr>
          <w:rFonts w:ascii="Garamond" w:hAnsi="Garamond"/>
          <w:sz w:val="24"/>
          <w:szCs w:val="24"/>
        </w:rPr>
        <w:t xml:space="preserve">to </w:t>
      </w:r>
      <w:r w:rsidRPr="00461D74">
        <w:rPr>
          <w:rFonts w:ascii="Garamond" w:hAnsi="Garamond"/>
          <w:sz w:val="24"/>
          <w:szCs w:val="24"/>
        </w:rPr>
        <w:t>succeed</w:t>
      </w:r>
      <w:r w:rsidR="00C9766C">
        <w:rPr>
          <w:rFonts w:ascii="Garamond" w:hAnsi="Garamond"/>
          <w:sz w:val="24"/>
          <w:szCs w:val="24"/>
        </w:rPr>
        <w:t>,</w:t>
      </w:r>
      <w:r w:rsidR="00016049" w:rsidRPr="00461D74">
        <w:rPr>
          <w:rFonts w:ascii="Garamond" w:hAnsi="Garamond"/>
          <w:sz w:val="24"/>
          <w:szCs w:val="24"/>
        </w:rPr>
        <w:t xml:space="preserve"> </w:t>
      </w:r>
      <w:r w:rsidRPr="00461D74">
        <w:rPr>
          <w:rFonts w:ascii="Garamond" w:hAnsi="Garamond"/>
          <w:sz w:val="24"/>
          <w:szCs w:val="24"/>
        </w:rPr>
        <w:t xml:space="preserve">he </w:t>
      </w:r>
      <w:r w:rsidR="00016049" w:rsidRPr="00461D74">
        <w:rPr>
          <w:rFonts w:ascii="Garamond" w:hAnsi="Garamond"/>
          <w:sz w:val="24"/>
          <w:szCs w:val="24"/>
        </w:rPr>
        <w:t xml:space="preserve">has to show </w:t>
      </w:r>
      <w:r w:rsidRPr="00461D74">
        <w:rPr>
          <w:rFonts w:ascii="Garamond" w:hAnsi="Garamond"/>
          <w:sz w:val="24"/>
          <w:szCs w:val="24"/>
        </w:rPr>
        <w:t xml:space="preserve">exactly why the </w:t>
      </w:r>
      <w:r w:rsidR="00016049" w:rsidRPr="00461D74">
        <w:rPr>
          <w:rFonts w:ascii="Garamond" w:hAnsi="Garamond"/>
          <w:sz w:val="24"/>
          <w:szCs w:val="24"/>
        </w:rPr>
        <w:t>Aristotelian-Thomis</w:t>
      </w:r>
      <w:r w:rsidRPr="00461D74">
        <w:rPr>
          <w:rFonts w:ascii="Garamond" w:hAnsi="Garamond"/>
          <w:sz w:val="24"/>
          <w:szCs w:val="24"/>
        </w:rPr>
        <w:t xml:space="preserve">tic </w:t>
      </w:r>
      <w:r w:rsidR="00016049" w:rsidRPr="00461D74">
        <w:rPr>
          <w:rFonts w:ascii="Garamond" w:hAnsi="Garamond"/>
          <w:sz w:val="24"/>
          <w:szCs w:val="24"/>
        </w:rPr>
        <w:t xml:space="preserve">tradition is </w:t>
      </w:r>
      <w:r w:rsidRPr="00461D74">
        <w:rPr>
          <w:rFonts w:ascii="Garamond" w:hAnsi="Garamond"/>
          <w:sz w:val="24"/>
          <w:szCs w:val="24"/>
        </w:rPr>
        <w:t xml:space="preserve">in fact </w:t>
      </w:r>
      <w:r w:rsidR="00DB00EA" w:rsidRPr="00DB00EA">
        <w:rPr>
          <w:rFonts w:ascii="Garamond" w:hAnsi="Garamond"/>
          <w:i/>
          <w:sz w:val="24"/>
          <w:szCs w:val="24"/>
        </w:rPr>
        <w:t>the</w:t>
      </w:r>
      <w:r w:rsidR="00016049" w:rsidRPr="00461D74">
        <w:rPr>
          <w:rFonts w:ascii="Garamond" w:hAnsi="Garamond"/>
          <w:sz w:val="24"/>
          <w:szCs w:val="24"/>
        </w:rPr>
        <w:t xml:space="preserve"> best tradition thus far. For on the account he presents in </w:t>
      </w:r>
      <w:r w:rsidR="00016049" w:rsidRPr="00461D74">
        <w:rPr>
          <w:rFonts w:ascii="Garamond" w:hAnsi="Garamond"/>
          <w:i/>
          <w:sz w:val="24"/>
          <w:szCs w:val="24"/>
        </w:rPr>
        <w:t>After Virtue</w:t>
      </w:r>
      <w:r w:rsidR="00016049" w:rsidRPr="00461D74">
        <w:rPr>
          <w:rFonts w:ascii="Garamond" w:hAnsi="Garamond"/>
          <w:sz w:val="24"/>
          <w:szCs w:val="24"/>
        </w:rPr>
        <w:t xml:space="preserve"> and </w:t>
      </w:r>
      <w:r w:rsidR="008720E3" w:rsidRPr="00461D74">
        <w:rPr>
          <w:rFonts w:ascii="Garamond" w:hAnsi="Garamond"/>
          <w:sz w:val="24"/>
          <w:szCs w:val="24"/>
        </w:rPr>
        <w:t xml:space="preserve">which he continues to hold in </w:t>
      </w:r>
      <w:r w:rsidR="00016049" w:rsidRPr="00461D74">
        <w:rPr>
          <w:rFonts w:ascii="Garamond" w:hAnsi="Garamond"/>
          <w:i/>
          <w:sz w:val="24"/>
          <w:szCs w:val="24"/>
        </w:rPr>
        <w:t>Whose Justice</w:t>
      </w:r>
      <w:r w:rsidR="00016049" w:rsidRPr="00461D74">
        <w:rPr>
          <w:rFonts w:ascii="Garamond" w:hAnsi="Garamond"/>
          <w:sz w:val="24"/>
          <w:szCs w:val="24"/>
        </w:rPr>
        <w:t xml:space="preserve">, </w:t>
      </w:r>
      <w:r w:rsidR="008720E3" w:rsidRPr="00461D74">
        <w:rPr>
          <w:rFonts w:ascii="Garamond" w:hAnsi="Garamond"/>
          <w:sz w:val="24"/>
          <w:szCs w:val="24"/>
        </w:rPr>
        <w:t xml:space="preserve">the </w:t>
      </w:r>
      <w:r w:rsidR="00016049" w:rsidRPr="00461D74">
        <w:rPr>
          <w:rFonts w:ascii="Garamond" w:hAnsi="Garamond"/>
          <w:sz w:val="24"/>
          <w:szCs w:val="24"/>
        </w:rPr>
        <w:t xml:space="preserve">validation of a tradition is only through a history of the resolution of conflicts within that tradition; and so he has to </w:t>
      </w:r>
      <w:r w:rsidR="0093354E" w:rsidRPr="00461D74">
        <w:rPr>
          <w:rFonts w:ascii="Garamond" w:hAnsi="Garamond"/>
          <w:sz w:val="24"/>
          <w:szCs w:val="24"/>
        </w:rPr>
        <w:t xml:space="preserve">demonstrate </w:t>
      </w:r>
      <w:r w:rsidR="00016049" w:rsidRPr="00461D74">
        <w:rPr>
          <w:rFonts w:ascii="Garamond" w:hAnsi="Garamond"/>
          <w:sz w:val="24"/>
          <w:szCs w:val="24"/>
        </w:rPr>
        <w:t>how at each stage earlier traditions encountered problems</w:t>
      </w:r>
      <w:r w:rsidR="0093354E" w:rsidRPr="00461D74">
        <w:rPr>
          <w:rFonts w:ascii="Garamond" w:hAnsi="Garamond"/>
          <w:sz w:val="24"/>
          <w:szCs w:val="24"/>
        </w:rPr>
        <w:t>,</w:t>
      </w:r>
      <w:r w:rsidR="00016049" w:rsidRPr="00461D74">
        <w:rPr>
          <w:rFonts w:ascii="Garamond" w:hAnsi="Garamond"/>
          <w:sz w:val="24"/>
          <w:szCs w:val="24"/>
        </w:rPr>
        <w:t xml:space="preserve"> and </w:t>
      </w:r>
      <w:r w:rsidR="0093354E" w:rsidRPr="00461D74">
        <w:rPr>
          <w:rFonts w:ascii="Garamond" w:hAnsi="Garamond"/>
          <w:sz w:val="24"/>
          <w:szCs w:val="24"/>
        </w:rPr>
        <w:t xml:space="preserve">in what fashion </w:t>
      </w:r>
      <w:r w:rsidR="00016049" w:rsidRPr="00461D74">
        <w:rPr>
          <w:rFonts w:ascii="Garamond" w:hAnsi="Garamond"/>
          <w:sz w:val="24"/>
          <w:szCs w:val="24"/>
        </w:rPr>
        <w:t xml:space="preserve">they were </w:t>
      </w:r>
      <w:r w:rsidR="0093354E" w:rsidRPr="00461D74">
        <w:rPr>
          <w:rFonts w:ascii="Garamond" w:hAnsi="Garamond"/>
          <w:sz w:val="24"/>
          <w:szCs w:val="24"/>
        </w:rPr>
        <w:t xml:space="preserve">ultimately superseded or otherwise </w:t>
      </w:r>
      <w:r w:rsidR="00016049" w:rsidRPr="00461D74">
        <w:rPr>
          <w:rFonts w:ascii="Garamond" w:hAnsi="Garamond"/>
          <w:sz w:val="24"/>
          <w:szCs w:val="24"/>
        </w:rPr>
        <w:t>surpassed by later traditions</w:t>
      </w:r>
      <w:r w:rsidR="0027115D" w:rsidRPr="00461D74">
        <w:rPr>
          <w:rFonts w:ascii="Garamond" w:hAnsi="Garamond"/>
          <w:sz w:val="24"/>
          <w:szCs w:val="24"/>
        </w:rPr>
        <w:t xml:space="preserve"> in ways</w:t>
      </w:r>
      <w:r w:rsidR="00016049" w:rsidRPr="00461D74">
        <w:rPr>
          <w:rFonts w:ascii="Garamond" w:hAnsi="Garamond"/>
          <w:sz w:val="24"/>
          <w:szCs w:val="24"/>
        </w:rPr>
        <w:t xml:space="preserve"> that resolved those earlier problems. Thus, he has to </w:t>
      </w:r>
      <w:r w:rsidR="0093354E" w:rsidRPr="00461D74">
        <w:rPr>
          <w:rFonts w:ascii="Garamond" w:hAnsi="Garamond"/>
          <w:sz w:val="24"/>
          <w:szCs w:val="24"/>
        </w:rPr>
        <w:t xml:space="preserve">first </w:t>
      </w:r>
      <w:r w:rsidR="00016049" w:rsidRPr="00461D74">
        <w:rPr>
          <w:rFonts w:ascii="Garamond" w:hAnsi="Garamond"/>
          <w:sz w:val="24"/>
          <w:szCs w:val="24"/>
        </w:rPr>
        <w:t xml:space="preserve">show </w:t>
      </w:r>
      <w:r w:rsidR="0093354E" w:rsidRPr="00461D74">
        <w:rPr>
          <w:rFonts w:ascii="Garamond" w:hAnsi="Garamond"/>
          <w:sz w:val="24"/>
          <w:szCs w:val="24"/>
        </w:rPr>
        <w:t xml:space="preserve">in what way </w:t>
      </w:r>
      <w:r w:rsidR="00016049" w:rsidRPr="00461D74">
        <w:rPr>
          <w:rFonts w:ascii="Garamond" w:hAnsi="Garamond"/>
          <w:sz w:val="24"/>
          <w:szCs w:val="24"/>
        </w:rPr>
        <w:t>Aristotle resolve</w:t>
      </w:r>
      <w:r w:rsidR="0093354E" w:rsidRPr="00461D74">
        <w:rPr>
          <w:rFonts w:ascii="Garamond" w:hAnsi="Garamond"/>
          <w:sz w:val="24"/>
          <w:szCs w:val="24"/>
        </w:rPr>
        <w:t>s</w:t>
      </w:r>
      <w:r w:rsidR="00016049" w:rsidRPr="00461D74">
        <w:rPr>
          <w:rFonts w:ascii="Garamond" w:hAnsi="Garamond"/>
          <w:sz w:val="24"/>
          <w:szCs w:val="24"/>
        </w:rPr>
        <w:t xml:space="preserve"> the problems </w:t>
      </w:r>
      <w:r w:rsidR="0093354E" w:rsidRPr="00461D74">
        <w:rPr>
          <w:rFonts w:ascii="Garamond" w:hAnsi="Garamond"/>
          <w:sz w:val="24"/>
          <w:szCs w:val="24"/>
        </w:rPr>
        <w:t xml:space="preserve">that </w:t>
      </w:r>
      <w:r w:rsidR="00016049" w:rsidRPr="00461D74">
        <w:rPr>
          <w:rFonts w:ascii="Garamond" w:hAnsi="Garamond"/>
          <w:sz w:val="24"/>
          <w:szCs w:val="24"/>
        </w:rPr>
        <w:t xml:space="preserve">emerged in </w:t>
      </w:r>
      <w:r w:rsidR="0093354E" w:rsidRPr="00461D74">
        <w:rPr>
          <w:rFonts w:ascii="Garamond" w:hAnsi="Garamond"/>
          <w:sz w:val="24"/>
          <w:szCs w:val="24"/>
        </w:rPr>
        <w:t xml:space="preserve">the context of </w:t>
      </w:r>
      <w:r w:rsidR="00016049" w:rsidRPr="00461D74">
        <w:rPr>
          <w:rFonts w:ascii="Garamond" w:hAnsi="Garamond"/>
          <w:sz w:val="24"/>
          <w:szCs w:val="24"/>
        </w:rPr>
        <w:t>4</w:t>
      </w:r>
      <w:r w:rsidR="00016049" w:rsidRPr="00461D74">
        <w:rPr>
          <w:rFonts w:ascii="Garamond" w:hAnsi="Garamond"/>
          <w:sz w:val="24"/>
          <w:szCs w:val="24"/>
          <w:vertAlign w:val="superscript"/>
        </w:rPr>
        <w:t>th</w:t>
      </w:r>
      <w:r w:rsidR="00016049" w:rsidRPr="00461D74">
        <w:rPr>
          <w:rFonts w:ascii="Garamond" w:hAnsi="Garamond"/>
          <w:sz w:val="24"/>
          <w:szCs w:val="24"/>
        </w:rPr>
        <w:t>-5</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BCE </w:t>
      </w:r>
      <w:r w:rsidR="0093354E" w:rsidRPr="00461D74">
        <w:rPr>
          <w:rFonts w:ascii="Garamond" w:hAnsi="Garamond"/>
          <w:sz w:val="24"/>
          <w:szCs w:val="24"/>
        </w:rPr>
        <w:t>Greek polis,</w:t>
      </w:r>
      <w:r w:rsidR="00016049" w:rsidRPr="00461D74">
        <w:rPr>
          <w:rFonts w:ascii="Garamond" w:hAnsi="Garamond"/>
          <w:sz w:val="24"/>
          <w:szCs w:val="24"/>
        </w:rPr>
        <w:t xml:space="preserve"> and </w:t>
      </w:r>
      <w:r w:rsidR="00791895" w:rsidRPr="00461D74">
        <w:rPr>
          <w:rFonts w:ascii="Garamond" w:hAnsi="Garamond"/>
          <w:sz w:val="24"/>
          <w:szCs w:val="24"/>
        </w:rPr>
        <w:t>similarly</w:t>
      </w:r>
      <w:r w:rsidR="0093354E" w:rsidRPr="00461D74">
        <w:rPr>
          <w:rFonts w:ascii="Garamond" w:hAnsi="Garamond"/>
          <w:sz w:val="24"/>
          <w:szCs w:val="24"/>
        </w:rPr>
        <w:t xml:space="preserve"> go on </w:t>
      </w:r>
      <w:r w:rsidR="00016049" w:rsidRPr="00461D74">
        <w:rPr>
          <w:rFonts w:ascii="Garamond" w:hAnsi="Garamond"/>
          <w:sz w:val="24"/>
          <w:szCs w:val="24"/>
        </w:rPr>
        <w:t xml:space="preserve">to </w:t>
      </w:r>
      <w:r w:rsidR="00791895" w:rsidRPr="00461D74">
        <w:rPr>
          <w:rFonts w:ascii="Garamond" w:hAnsi="Garamond"/>
          <w:sz w:val="24"/>
          <w:szCs w:val="24"/>
        </w:rPr>
        <w:t>specify</w:t>
      </w:r>
      <w:r w:rsidR="0093354E" w:rsidRPr="00461D74">
        <w:rPr>
          <w:rFonts w:ascii="Garamond" w:hAnsi="Garamond"/>
          <w:sz w:val="24"/>
          <w:szCs w:val="24"/>
        </w:rPr>
        <w:t xml:space="preserve"> </w:t>
      </w:r>
      <w:r w:rsidR="00791895" w:rsidRPr="00461D74">
        <w:rPr>
          <w:rFonts w:ascii="Garamond" w:hAnsi="Garamond"/>
          <w:sz w:val="24"/>
          <w:szCs w:val="24"/>
        </w:rPr>
        <w:t xml:space="preserve">the standards under which </w:t>
      </w:r>
      <w:r w:rsidR="00016049" w:rsidRPr="00461D74">
        <w:rPr>
          <w:rFonts w:ascii="Garamond" w:hAnsi="Garamond"/>
          <w:sz w:val="24"/>
          <w:szCs w:val="24"/>
        </w:rPr>
        <w:t>Thomism surpasse</w:t>
      </w:r>
      <w:r w:rsidR="00791895" w:rsidRPr="00461D74">
        <w:rPr>
          <w:rFonts w:ascii="Garamond" w:hAnsi="Garamond"/>
          <w:sz w:val="24"/>
          <w:szCs w:val="24"/>
        </w:rPr>
        <w:t>s</w:t>
      </w:r>
      <w:r w:rsidR="00016049" w:rsidRPr="00461D74">
        <w:rPr>
          <w:rFonts w:ascii="Garamond" w:hAnsi="Garamond"/>
          <w:sz w:val="24"/>
          <w:szCs w:val="24"/>
        </w:rPr>
        <w:t xml:space="preserve"> </w:t>
      </w:r>
      <w:r w:rsidR="00791895" w:rsidRPr="00461D74">
        <w:rPr>
          <w:rFonts w:ascii="Garamond" w:hAnsi="Garamond"/>
          <w:sz w:val="24"/>
          <w:szCs w:val="24"/>
        </w:rPr>
        <w:t xml:space="preserve">its predecessor </w:t>
      </w:r>
      <w:r w:rsidR="00016049" w:rsidRPr="00461D74">
        <w:rPr>
          <w:rFonts w:ascii="Garamond" w:hAnsi="Garamond"/>
          <w:sz w:val="24"/>
          <w:szCs w:val="24"/>
        </w:rPr>
        <w:t>Aristotelian tradition.</w:t>
      </w:r>
      <w:r w:rsidR="0093354E" w:rsidRPr="00461D74">
        <w:rPr>
          <w:rStyle w:val="FootnoteReference"/>
          <w:rFonts w:ascii="Garamond" w:hAnsi="Garamond"/>
          <w:sz w:val="24"/>
          <w:szCs w:val="24"/>
        </w:rPr>
        <w:footnoteReference w:id="77"/>
      </w:r>
      <w:r w:rsidR="00016049" w:rsidRPr="00461D74">
        <w:rPr>
          <w:rFonts w:ascii="Garamond" w:hAnsi="Garamond"/>
          <w:sz w:val="24"/>
          <w:szCs w:val="24"/>
        </w:rPr>
        <w:t xml:space="preserve"> This is the main task that MacIntyre sets </w:t>
      </w:r>
      <w:r w:rsidR="00791895" w:rsidRPr="00461D74">
        <w:rPr>
          <w:rFonts w:ascii="Garamond" w:hAnsi="Garamond"/>
          <w:sz w:val="24"/>
          <w:szCs w:val="24"/>
        </w:rPr>
        <w:t xml:space="preserve">out </w:t>
      </w:r>
      <w:r w:rsidR="00016049" w:rsidRPr="00461D74">
        <w:rPr>
          <w:rFonts w:ascii="Garamond" w:hAnsi="Garamond"/>
          <w:sz w:val="24"/>
          <w:szCs w:val="24"/>
        </w:rPr>
        <w:t xml:space="preserve">to </w:t>
      </w:r>
      <w:r w:rsidR="00AA43B5">
        <w:rPr>
          <w:rFonts w:ascii="Garamond" w:hAnsi="Garamond"/>
          <w:sz w:val="24"/>
          <w:szCs w:val="24"/>
        </w:rPr>
        <w:t>achieve</w:t>
      </w:r>
      <w:r w:rsidR="00791895" w:rsidRPr="00461D74">
        <w:rPr>
          <w:rFonts w:ascii="Garamond" w:hAnsi="Garamond"/>
          <w:sz w:val="24"/>
          <w:szCs w:val="24"/>
        </w:rPr>
        <w:t xml:space="preserve"> </w:t>
      </w:r>
      <w:r w:rsidR="00016049" w:rsidRPr="00461D74">
        <w:rPr>
          <w:rFonts w:ascii="Garamond" w:hAnsi="Garamond"/>
          <w:sz w:val="24"/>
          <w:szCs w:val="24"/>
        </w:rPr>
        <w:t xml:space="preserve">in </w:t>
      </w:r>
      <w:r w:rsidR="00016049" w:rsidRPr="00461D74">
        <w:rPr>
          <w:rFonts w:ascii="Garamond" w:hAnsi="Garamond"/>
          <w:i/>
          <w:sz w:val="24"/>
          <w:szCs w:val="24"/>
        </w:rPr>
        <w:t>Whose Justice</w:t>
      </w:r>
      <w:r w:rsidR="00A2471A" w:rsidRPr="00461D74">
        <w:rPr>
          <w:rFonts w:ascii="Garamond" w:hAnsi="Garamond"/>
          <w:sz w:val="24"/>
          <w:szCs w:val="24"/>
        </w:rPr>
        <w:t>, and</w:t>
      </w:r>
      <w:r w:rsidR="00AA43B5" w:rsidRPr="00AA43B5">
        <w:rPr>
          <w:rFonts w:ascii="Garamond" w:hAnsi="Garamond"/>
          <w:sz w:val="24"/>
          <w:szCs w:val="24"/>
        </w:rPr>
        <w:t xml:space="preserve"> </w:t>
      </w:r>
      <w:r w:rsidR="00AA43B5" w:rsidRPr="00461D74">
        <w:rPr>
          <w:rFonts w:ascii="Garamond" w:hAnsi="Garamond"/>
          <w:sz w:val="24"/>
          <w:szCs w:val="24"/>
        </w:rPr>
        <w:t xml:space="preserve">which </w:t>
      </w:r>
      <w:r w:rsidR="00AA43B5">
        <w:rPr>
          <w:rFonts w:ascii="Garamond" w:hAnsi="Garamond"/>
          <w:sz w:val="24"/>
          <w:szCs w:val="24"/>
        </w:rPr>
        <w:t xml:space="preserve">I shall consider in the </w:t>
      </w:r>
      <w:r w:rsidR="00C9766C">
        <w:rPr>
          <w:rFonts w:ascii="Garamond" w:hAnsi="Garamond"/>
          <w:sz w:val="24"/>
          <w:szCs w:val="24"/>
        </w:rPr>
        <w:t xml:space="preserve">following </w:t>
      </w:r>
      <w:r w:rsidR="00AA43B5">
        <w:rPr>
          <w:rFonts w:ascii="Garamond" w:hAnsi="Garamond"/>
          <w:sz w:val="24"/>
          <w:szCs w:val="24"/>
        </w:rPr>
        <w:t>discussion.</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lang w:val="en-US"/>
        </w:rPr>
        <w:lastRenderedPageBreak/>
        <w:t xml:space="preserve">MacIntyre </w:t>
      </w:r>
      <w:r w:rsidRPr="00461D74">
        <w:rPr>
          <w:rFonts w:ascii="Garamond" w:hAnsi="Garamond"/>
          <w:sz w:val="24"/>
          <w:szCs w:val="24"/>
        </w:rPr>
        <w:t xml:space="preserve">begins by exploring </w:t>
      </w:r>
      <w:r w:rsidR="00130B16" w:rsidRPr="00461D74">
        <w:rPr>
          <w:rFonts w:ascii="Garamond" w:hAnsi="Garamond"/>
          <w:sz w:val="24"/>
          <w:szCs w:val="24"/>
        </w:rPr>
        <w:t xml:space="preserve">the standards of </w:t>
      </w:r>
      <w:r w:rsidRPr="00461D74">
        <w:rPr>
          <w:rFonts w:ascii="Garamond" w:hAnsi="Garamond"/>
          <w:sz w:val="24"/>
          <w:szCs w:val="24"/>
        </w:rPr>
        <w:t xml:space="preserve">rational justification </w:t>
      </w:r>
      <w:r w:rsidR="00130B16" w:rsidRPr="00461D74">
        <w:rPr>
          <w:rFonts w:ascii="Garamond" w:hAnsi="Garamond"/>
          <w:sz w:val="24"/>
          <w:szCs w:val="24"/>
        </w:rPr>
        <w:t xml:space="preserve">within </w:t>
      </w:r>
      <w:r w:rsidRPr="00461D74">
        <w:rPr>
          <w:rFonts w:ascii="Garamond" w:hAnsi="Garamond"/>
          <w:sz w:val="24"/>
          <w:szCs w:val="24"/>
        </w:rPr>
        <w:t>a tradition</w:t>
      </w:r>
      <w:r w:rsidR="00130B16" w:rsidRPr="00461D74">
        <w:rPr>
          <w:rFonts w:ascii="Garamond" w:hAnsi="Garamond"/>
          <w:sz w:val="24"/>
          <w:szCs w:val="24"/>
        </w:rPr>
        <w:t>,</w:t>
      </w:r>
      <w:r w:rsidRPr="00461D74">
        <w:rPr>
          <w:rFonts w:ascii="Garamond" w:hAnsi="Garamond"/>
          <w:sz w:val="24"/>
          <w:szCs w:val="24"/>
        </w:rPr>
        <w:t xml:space="preserve"> and how </w:t>
      </w:r>
      <w:r w:rsidR="00130B16" w:rsidRPr="00461D74">
        <w:rPr>
          <w:rFonts w:ascii="Garamond" w:hAnsi="Garamond"/>
          <w:sz w:val="24"/>
          <w:szCs w:val="24"/>
        </w:rPr>
        <w:t xml:space="preserve">we can identify whether a </w:t>
      </w:r>
      <w:r w:rsidRPr="00461D74">
        <w:rPr>
          <w:rFonts w:ascii="Garamond" w:hAnsi="Garamond"/>
          <w:sz w:val="24"/>
          <w:szCs w:val="24"/>
        </w:rPr>
        <w:t xml:space="preserve">traditions </w:t>
      </w:r>
      <w:r w:rsidR="00130B16" w:rsidRPr="00461D74">
        <w:rPr>
          <w:rFonts w:ascii="Garamond" w:hAnsi="Garamond"/>
          <w:sz w:val="24"/>
          <w:szCs w:val="24"/>
        </w:rPr>
        <w:t xml:space="preserve">has realised a meaningful degree of </w:t>
      </w:r>
      <w:r w:rsidRPr="00461D74">
        <w:rPr>
          <w:rFonts w:ascii="Garamond" w:hAnsi="Garamond"/>
          <w:sz w:val="24"/>
          <w:szCs w:val="24"/>
        </w:rPr>
        <w:t>progress. This is important</w:t>
      </w:r>
      <w:r w:rsidR="00C9766C">
        <w:rPr>
          <w:rFonts w:ascii="Garamond" w:hAnsi="Garamond"/>
          <w:sz w:val="24"/>
          <w:szCs w:val="24"/>
        </w:rPr>
        <w:t>,</w:t>
      </w:r>
      <w:r w:rsidRPr="00461D74">
        <w:rPr>
          <w:rFonts w:ascii="Garamond" w:hAnsi="Garamond"/>
          <w:sz w:val="24"/>
          <w:szCs w:val="24"/>
        </w:rPr>
        <w:t xml:space="preserve"> </w:t>
      </w:r>
      <w:r w:rsidR="00C9766C">
        <w:rPr>
          <w:rFonts w:ascii="Garamond" w:hAnsi="Garamond"/>
          <w:sz w:val="24"/>
          <w:szCs w:val="24"/>
        </w:rPr>
        <w:t>as</w:t>
      </w:r>
      <w:r w:rsidRPr="00461D74">
        <w:rPr>
          <w:rFonts w:ascii="Garamond" w:hAnsi="Garamond"/>
          <w:sz w:val="24"/>
          <w:szCs w:val="24"/>
        </w:rPr>
        <w:t xml:space="preserve"> MacIntyre </w:t>
      </w:r>
      <w:r w:rsidR="008D558F" w:rsidRPr="00461D74">
        <w:rPr>
          <w:rFonts w:ascii="Garamond" w:hAnsi="Garamond"/>
          <w:sz w:val="24"/>
          <w:szCs w:val="24"/>
        </w:rPr>
        <w:t xml:space="preserve">is </w:t>
      </w:r>
      <w:r w:rsidR="00130B16" w:rsidRPr="00461D74">
        <w:rPr>
          <w:rFonts w:ascii="Garamond" w:hAnsi="Garamond"/>
          <w:sz w:val="24"/>
          <w:szCs w:val="24"/>
        </w:rPr>
        <w:t>aim</w:t>
      </w:r>
      <w:r w:rsidR="008D558F" w:rsidRPr="00461D74">
        <w:rPr>
          <w:rFonts w:ascii="Garamond" w:hAnsi="Garamond"/>
          <w:sz w:val="24"/>
          <w:szCs w:val="24"/>
        </w:rPr>
        <w:t>ing</w:t>
      </w:r>
      <w:r w:rsidR="00130B16" w:rsidRPr="00461D74">
        <w:rPr>
          <w:rFonts w:ascii="Garamond" w:hAnsi="Garamond"/>
          <w:sz w:val="24"/>
          <w:szCs w:val="24"/>
        </w:rPr>
        <w:t xml:space="preserve"> </w:t>
      </w:r>
      <w:r w:rsidR="008D558F" w:rsidRPr="00461D74">
        <w:rPr>
          <w:rFonts w:ascii="Garamond" w:hAnsi="Garamond"/>
          <w:sz w:val="24"/>
          <w:szCs w:val="24"/>
        </w:rPr>
        <w:t xml:space="preserve">to </w:t>
      </w:r>
      <w:r w:rsidR="00130B16" w:rsidRPr="00461D74">
        <w:rPr>
          <w:rFonts w:ascii="Garamond" w:hAnsi="Garamond"/>
          <w:sz w:val="24"/>
          <w:szCs w:val="24"/>
        </w:rPr>
        <w:t>justify the standards under which we can distinguish the successful progression of</w:t>
      </w:r>
      <w:r w:rsidR="008D558F" w:rsidRPr="00461D74">
        <w:rPr>
          <w:rFonts w:ascii="Garamond" w:hAnsi="Garamond"/>
          <w:sz w:val="24"/>
          <w:szCs w:val="24"/>
        </w:rPr>
        <w:t xml:space="preserve"> a</w:t>
      </w:r>
      <w:r w:rsidRPr="00461D74">
        <w:rPr>
          <w:rFonts w:ascii="Garamond" w:hAnsi="Garamond"/>
          <w:sz w:val="24"/>
          <w:szCs w:val="24"/>
        </w:rPr>
        <w:t xml:space="preserve"> tradition </w:t>
      </w:r>
      <w:r w:rsidR="00130B16" w:rsidRPr="00461D74">
        <w:rPr>
          <w:rFonts w:ascii="Garamond" w:hAnsi="Garamond"/>
          <w:sz w:val="24"/>
          <w:szCs w:val="24"/>
        </w:rPr>
        <w:t>at each stage</w:t>
      </w:r>
      <w:r w:rsidR="008D558F" w:rsidRPr="00461D74">
        <w:rPr>
          <w:rFonts w:ascii="Garamond" w:hAnsi="Garamond"/>
          <w:sz w:val="24"/>
          <w:szCs w:val="24"/>
        </w:rPr>
        <w:t xml:space="preserve"> of its development. Here</w:t>
      </w:r>
      <w:r w:rsidRPr="00461D74">
        <w:rPr>
          <w:rFonts w:ascii="Garamond" w:hAnsi="Garamond"/>
          <w:sz w:val="24"/>
          <w:szCs w:val="24"/>
        </w:rPr>
        <w:t xml:space="preserve">, </w:t>
      </w:r>
      <w:r w:rsidR="008D558F" w:rsidRPr="00461D74">
        <w:rPr>
          <w:rFonts w:ascii="Garamond" w:hAnsi="Garamond"/>
          <w:sz w:val="24"/>
          <w:szCs w:val="24"/>
        </w:rPr>
        <w:t xml:space="preserve">MacIntyre goes on </w:t>
      </w:r>
      <w:r w:rsidRPr="00461D74">
        <w:rPr>
          <w:rFonts w:ascii="Garamond" w:hAnsi="Garamond"/>
          <w:sz w:val="24"/>
          <w:szCs w:val="24"/>
        </w:rPr>
        <w:t xml:space="preserve">to </w:t>
      </w:r>
      <w:r w:rsidR="008D558F" w:rsidRPr="00461D74">
        <w:rPr>
          <w:rFonts w:ascii="Garamond" w:hAnsi="Garamond"/>
          <w:sz w:val="24"/>
          <w:szCs w:val="24"/>
        </w:rPr>
        <w:t xml:space="preserve">spell out </w:t>
      </w:r>
      <w:r w:rsidRPr="00461D74">
        <w:rPr>
          <w:rFonts w:ascii="Garamond" w:hAnsi="Garamond"/>
          <w:sz w:val="24"/>
          <w:szCs w:val="24"/>
        </w:rPr>
        <w:t>how the tradition depicted in Homer’s epic</w:t>
      </w:r>
      <w:r w:rsidR="008D558F" w:rsidRPr="00461D74">
        <w:rPr>
          <w:rFonts w:ascii="Garamond" w:hAnsi="Garamond"/>
          <w:sz w:val="24"/>
          <w:szCs w:val="24"/>
        </w:rPr>
        <w:t>s</w:t>
      </w:r>
      <w:r w:rsidRPr="00461D74">
        <w:rPr>
          <w:rFonts w:ascii="Garamond" w:hAnsi="Garamond"/>
          <w:sz w:val="24"/>
          <w:szCs w:val="24"/>
        </w:rPr>
        <w:t xml:space="preserve"> was </w:t>
      </w:r>
      <w:r w:rsidR="008D558F" w:rsidRPr="00461D74">
        <w:rPr>
          <w:rFonts w:ascii="Garamond" w:hAnsi="Garamond"/>
          <w:sz w:val="24"/>
          <w:szCs w:val="24"/>
        </w:rPr>
        <w:t xml:space="preserve">superseded </w:t>
      </w:r>
      <w:r w:rsidRPr="00461D74">
        <w:rPr>
          <w:rFonts w:ascii="Garamond" w:hAnsi="Garamond"/>
          <w:sz w:val="24"/>
          <w:szCs w:val="24"/>
        </w:rPr>
        <w:t xml:space="preserve">by the Aristotelian tradition, and still later, </w:t>
      </w:r>
      <w:r w:rsidR="008D558F" w:rsidRPr="00461D74">
        <w:rPr>
          <w:rFonts w:ascii="Garamond" w:hAnsi="Garamond"/>
          <w:sz w:val="24"/>
          <w:szCs w:val="24"/>
        </w:rPr>
        <w:t xml:space="preserve">outline the way in which Thomism surpasses </w:t>
      </w:r>
      <w:r w:rsidRPr="00461D74">
        <w:rPr>
          <w:rFonts w:ascii="Garamond" w:hAnsi="Garamond"/>
          <w:sz w:val="24"/>
          <w:szCs w:val="24"/>
        </w:rPr>
        <w:t xml:space="preserve">the </w:t>
      </w:r>
      <w:r w:rsidR="008D558F" w:rsidRPr="00461D74">
        <w:rPr>
          <w:rFonts w:ascii="Garamond" w:hAnsi="Garamond"/>
          <w:sz w:val="24"/>
          <w:szCs w:val="24"/>
        </w:rPr>
        <w:t xml:space="preserve">limitations of the </w:t>
      </w:r>
      <w:r w:rsidRPr="00461D74">
        <w:rPr>
          <w:rFonts w:ascii="Garamond" w:hAnsi="Garamond"/>
          <w:sz w:val="24"/>
          <w:szCs w:val="24"/>
        </w:rPr>
        <w:t>Aristotelian tradition.</w:t>
      </w:r>
    </w:p>
    <w:p w:rsidR="00605B48" w:rsidRPr="00461D74" w:rsidRDefault="00605B48" w:rsidP="00164E4D">
      <w:pPr>
        <w:spacing w:line="360" w:lineRule="auto"/>
        <w:ind w:firstLine="720"/>
        <w:jc w:val="both"/>
        <w:rPr>
          <w:rFonts w:ascii="Garamond" w:hAnsi="Garamond"/>
          <w:sz w:val="24"/>
          <w:szCs w:val="24"/>
        </w:rPr>
      </w:pPr>
      <w:r w:rsidRPr="00461D74">
        <w:rPr>
          <w:rFonts w:ascii="Garamond" w:hAnsi="Garamond"/>
          <w:sz w:val="24"/>
          <w:szCs w:val="24"/>
        </w:rPr>
        <w:t>Now</w:t>
      </w:r>
      <w:r w:rsidR="008D558F" w:rsidRPr="00461D74">
        <w:rPr>
          <w:rFonts w:ascii="Garamond" w:hAnsi="Garamond"/>
          <w:sz w:val="24"/>
          <w:szCs w:val="24"/>
        </w:rPr>
        <w:t xml:space="preserve">, </w:t>
      </w:r>
      <w:r w:rsidR="00016049" w:rsidRPr="00461D74">
        <w:rPr>
          <w:rFonts w:ascii="Garamond" w:hAnsi="Garamond"/>
          <w:sz w:val="24"/>
          <w:szCs w:val="24"/>
        </w:rPr>
        <w:t xml:space="preserve">MacIntyre </w:t>
      </w:r>
      <w:r w:rsidR="008D558F" w:rsidRPr="00461D74">
        <w:rPr>
          <w:rFonts w:ascii="Garamond" w:hAnsi="Garamond"/>
          <w:sz w:val="24"/>
          <w:szCs w:val="24"/>
        </w:rPr>
        <w:t xml:space="preserve">argues </w:t>
      </w:r>
      <w:r w:rsidR="00016049" w:rsidRPr="00461D74">
        <w:rPr>
          <w:rFonts w:ascii="Garamond" w:hAnsi="Garamond"/>
          <w:sz w:val="24"/>
          <w:szCs w:val="24"/>
        </w:rPr>
        <w:t xml:space="preserve">that </w:t>
      </w:r>
      <w:r w:rsidR="008D558F" w:rsidRPr="00461D74">
        <w:rPr>
          <w:rFonts w:ascii="Garamond" w:hAnsi="Garamond"/>
          <w:sz w:val="24"/>
          <w:szCs w:val="24"/>
        </w:rPr>
        <w:t xml:space="preserve">the standards of rational justification tend to </w:t>
      </w:r>
      <w:r w:rsidR="00ED4320" w:rsidRPr="00461D74">
        <w:rPr>
          <w:rFonts w:ascii="Garamond" w:hAnsi="Garamond"/>
          <w:sz w:val="24"/>
          <w:szCs w:val="24"/>
        </w:rPr>
        <w:t>explicitly</w:t>
      </w:r>
      <w:r w:rsidR="008D558F" w:rsidRPr="00461D74">
        <w:rPr>
          <w:rFonts w:ascii="Garamond" w:hAnsi="Garamond"/>
          <w:sz w:val="24"/>
          <w:szCs w:val="24"/>
        </w:rPr>
        <w:t xml:space="preserve"> emerge within some </w:t>
      </w:r>
      <w:r w:rsidR="00016049" w:rsidRPr="00461D74">
        <w:rPr>
          <w:rFonts w:ascii="Garamond" w:hAnsi="Garamond"/>
          <w:sz w:val="24"/>
          <w:szCs w:val="24"/>
        </w:rPr>
        <w:t xml:space="preserve">tradition; and </w:t>
      </w:r>
      <w:r w:rsidR="00ED4320" w:rsidRPr="00461D74">
        <w:rPr>
          <w:rFonts w:ascii="Garamond" w:hAnsi="Garamond"/>
          <w:sz w:val="24"/>
          <w:szCs w:val="24"/>
        </w:rPr>
        <w:t xml:space="preserve">that </w:t>
      </w:r>
      <w:r w:rsidR="00016049" w:rsidRPr="00461D74">
        <w:rPr>
          <w:rFonts w:ascii="Garamond" w:hAnsi="Garamond"/>
          <w:sz w:val="24"/>
          <w:szCs w:val="24"/>
        </w:rPr>
        <w:t>th</w:t>
      </w:r>
      <w:r w:rsidR="00ED4320" w:rsidRPr="00461D74">
        <w:rPr>
          <w:rFonts w:ascii="Garamond" w:hAnsi="Garamond"/>
          <w:sz w:val="24"/>
          <w:szCs w:val="24"/>
        </w:rPr>
        <w:t>ose standards</w:t>
      </w:r>
      <w:r w:rsidR="00016049" w:rsidRPr="00461D74">
        <w:rPr>
          <w:rFonts w:ascii="Garamond" w:hAnsi="Garamond"/>
          <w:sz w:val="24"/>
          <w:szCs w:val="24"/>
        </w:rPr>
        <w:t xml:space="preserve"> only emerge in the context of a history in which they are proved adequate in correcting the defect of their predecessors, and thus surpassing them in the history of that tradition.</w:t>
      </w:r>
      <w:r w:rsidR="00016049" w:rsidRPr="00461D74">
        <w:rPr>
          <w:rStyle w:val="FootnoteReference"/>
          <w:rFonts w:ascii="Garamond" w:hAnsi="Garamond"/>
          <w:sz w:val="24"/>
          <w:szCs w:val="24"/>
        </w:rPr>
        <w:footnoteReference w:id="78"/>
      </w:r>
      <w:r w:rsidR="00016049" w:rsidRPr="00461D74">
        <w:rPr>
          <w:rFonts w:ascii="Garamond" w:hAnsi="Garamond"/>
          <w:sz w:val="24"/>
          <w:szCs w:val="24"/>
        </w:rPr>
        <w:t xml:space="preserve"> </w:t>
      </w:r>
      <w:r w:rsidR="006B55C0" w:rsidRPr="00461D74">
        <w:rPr>
          <w:rFonts w:ascii="Garamond" w:hAnsi="Garamond"/>
          <w:sz w:val="24"/>
          <w:szCs w:val="24"/>
        </w:rPr>
        <w:t>Therefore, the question as to ‘</w:t>
      </w:r>
      <w:r w:rsidR="00016049" w:rsidRPr="00461D74">
        <w:rPr>
          <w:rFonts w:ascii="Garamond" w:hAnsi="Garamond"/>
          <w:sz w:val="24"/>
          <w:szCs w:val="24"/>
        </w:rPr>
        <w:t xml:space="preserve">how </w:t>
      </w:r>
      <w:r w:rsidR="006B55C0" w:rsidRPr="00461D74">
        <w:rPr>
          <w:rFonts w:ascii="Garamond" w:hAnsi="Garamond"/>
          <w:sz w:val="24"/>
          <w:szCs w:val="24"/>
        </w:rPr>
        <w:t xml:space="preserve">can </w:t>
      </w:r>
      <w:r w:rsidR="00C9766C">
        <w:rPr>
          <w:rFonts w:ascii="Garamond" w:hAnsi="Garamond"/>
          <w:sz w:val="24"/>
          <w:szCs w:val="24"/>
        </w:rPr>
        <w:t xml:space="preserve">traditions </w:t>
      </w:r>
      <w:r w:rsidR="006B55C0" w:rsidRPr="00461D74">
        <w:rPr>
          <w:rFonts w:ascii="Garamond" w:hAnsi="Garamond"/>
          <w:sz w:val="24"/>
          <w:szCs w:val="24"/>
        </w:rPr>
        <w:t xml:space="preserve">be counted as affording </w:t>
      </w:r>
      <w:r w:rsidR="00016049" w:rsidRPr="00461D74">
        <w:rPr>
          <w:rFonts w:ascii="Garamond" w:hAnsi="Garamond"/>
          <w:sz w:val="24"/>
          <w:szCs w:val="24"/>
        </w:rPr>
        <w:t xml:space="preserve">progress, and are thus justified </w:t>
      </w:r>
      <w:r w:rsidR="00C07709" w:rsidRPr="00461D74">
        <w:rPr>
          <w:rFonts w:ascii="Garamond" w:hAnsi="Garamond"/>
          <w:sz w:val="24"/>
          <w:szCs w:val="24"/>
        </w:rPr>
        <w:t xml:space="preserve">as </w:t>
      </w:r>
      <w:r w:rsidR="006B55C0" w:rsidRPr="00461D74">
        <w:rPr>
          <w:rFonts w:ascii="Garamond" w:hAnsi="Garamond"/>
          <w:sz w:val="24"/>
          <w:szCs w:val="24"/>
        </w:rPr>
        <w:t xml:space="preserve">traditions which are </w:t>
      </w:r>
      <w:r w:rsidRPr="00461D74">
        <w:rPr>
          <w:rFonts w:ascii="Garamond" w:hAnsi="Garamond"/>
          <w:sz w:val="24"/>
          <w:szCs w:val="24"/>
        </w:rPr>
        <w:t xml:space="preserve">reasonably </w:t>
      </w:r>
      <w:r w:rsidR="006B55C0" w:rsidRPr="00461D74">
        <w:rPr>
          <w:rFonts w:ascii="Garamond" w:hAnsi="Garamond"/>
          <w:sz w:val="24"/>
          <w:szCs w:val="24"/>
        </w:rPr>
        <w:t xml:space="preserve">viewed as </w:t>
      </w:r>
      <w:r w:rsidR="00C07709" w:rsidRPr="00461D74">
        <w:rPr>
          <w:rFonts w:ascii="Garamond" w:hAnsi="Garamond"/>
          <w:sz w:val="24"/>
          <w:szCs w:val="24"/>
        </w:rPr>
        <w:t>rational</w:t>
      </w:r>
      <w:r w:rsidR="006B55C0" w:rsidRPr="00461D74">
        <w:rPr>
          <w:rFonts w:ascii="Garamond" w:hAnsi="Garamond"/>
          <w:sz w:val="24"/>
          <w:szCs w:val="24"/>
        </w:rPr>
        <w:t>ly</w:t>
      </w:r>
      <w:r w:rsidR="00C07709" w:rsidRPr="00461D74">
        <w:rPr>
          <w:rFonts w:ascii="Garamond" w:hAnsi="Garamond"/>
          <w:sz w:val="24"/>
          <w:szCs w:val="24"/>
        </w:rPr>
        <w:t xml:space="preserve"> progress</w:t>
      </w:r>
      <w:r w:rsidR="006B55C0" w:rsidRPr="00461D74">
        <w:rPr>
          <w:rFonts w:ascii="Garamond" w:hAnsi="Garamond"/>
          <w:sz w:val="24"/>
          <w:szCs w:val="24"/>
        </w:rPr>
        <w:t>ive</w:t>
      </w:r>
      <w:r w:rsidR="00C07709" w:rsidRPr="00461D74">
        <w:rPr>
          <w:rFonts w:ascii="Garamond" w:hAnsi="Garamond"/>
          <w:sz w:val="24"/>
          <w:szCs w:val="24"/>
        </w:rPr>
        <w:t xml:space="preserve"> </w:t>
      </w:r>
      <w:r w:rsidR="006B55C0" w:rsidRPr="00461D74">
        <w:rPr>
          <w:rFonts w:ascii="Garamond" w:hAnsi="Garamond"/>
          <w:sz w:val="24"/>
          <w:szCs w:val="24"/>
        </w:rPr>
        <w:t>with</w:t>
      </w:r>
      <w:r w:rsidR="00016049" w:rsidRPr="00461D74">
        <w:rPr>
          <w:rFonts w:ascii="Garamond" w:hAnsi="Garamond"/>
          <w:sz w:val="24"/>
          <w:szCs w:val="24"/>
        </w:rPr>
        <w:t>in th</w:t>
      </w:r>
      <w:r w:rsidRPr="00461D74">
        <w:rPr>
          <w:rFonts w:ascii="Garamond" w:hAnsi="Garamond"/>
          <w:sz w:val="24"/>
          <w:szCs w:val="24"/>
        </w:rPr>
        <w:t>eir</w:t>
      </w:r>
      <w:r w:rsidR="00016049" w:rsidRPr="00461D74">
        <w:rPr>
          <w:rFonts w:ascii="Garamond" w:hAnsi="Garamond"/>
          <w:sz w:val="24"/>
          <w:szCs w:val="24"/>
        </w:rPr>
        <w:t xml:space="preserve"> history</w:t>
      </w:r>
      <w:r w:rsidR="006B55C0" w:rsidRPr="00461D74">
        <w:rPr>
          <w:rFonts w:ascii="Garamond" w:hAnsi="Garamond"/>
          <w:sz w:val="24"/>
          <w:szCs w:val="24"/>
        </w:rPr>
        <w:t>?,’ seems imperative.</w:t>
      </w:r>
    </w:p>
    <w:p w:rsidR="00016049" w:rsidRPr="00461D74" w:rsidRDefault="00605B48" w:rsidP="00164E4D">
      <w:pPr>
        <w:spacing w:line="360" w:lineRule="auto"/>
        <w:ind w:firstLine="720"/>
        <w:jc w:val="both"/>
        <w:rPr>
          <w:rFonts w:ascii="Garamond" w:hAnsi="Garamond"/>
          <w:sz w:val="24"/>
          <w:szCs w:val="24"/>
        </w:rPr>
      </w:pPr>
      <w:r w:rsidRPr="00461D74">
        <w:rPr>
          <w:rFonts w:ascii="Garamond" w:hAnsi="Garamond"/>
          <w:sz w:val="24"/>
          <w:szCs w:val="24"/>
        </w:rPr>
        <w:t xml:space="preserve">Here, </w:t>
      </w:r>
      <w:r w:rsidR="00016049" w:rsidRPr="00461D74">
        <w:rPr>
          <w:rFonts w:ascii="Garamond" w:hAnsi="Garamond"/>
          <w:sz w:val="24"/>
          <w:szCs w:val="24"/>
        </w:rPr>
        <w:t xml:space="preserve">MacIntyre suggests that what justifies </w:t>
      </w:r>
      <w:r w:rsidR="00DE1023" w:rsidRPr="00461D74">
        <w:rPr>
          <w:rFonts w:ascii="Garamond" w:hAnsi="Garamond"/>
          <w:sz w:val="24"/>
          <w:szCs w:val="24"/>
        </w:rPr>
        <w:t xml:space="preserve">the </w:t>
      </w:r>
      <w:r w:rsidR="00016049" w:rsidRPr="00461D74">
        <w:rPr>
          <w:rFonts w:ascii="Garamond" w:hAnsi="Garamond"/>
          <w:sz w:val="24"/>
          <w:szCs w:val="24"/>
        </w:rPr>
        <w:t>first principles</w:t>
      </w:r>
      <w:r w:rsidR="007645B3" w:rsidRPr="00461D74">
        <w:rPr>
          <w:rFonts w:ascii="Garamond" w:hAnsi="Garamond"/>
          <w:sz w:val="24"/>
          <w:szCs w:val="24"/>
        </w:rPr>
        <w:t>,</w:t>
      </w:r>
      <w:r w:rsidR="00016049" w:rsidRPr="00461D74">
        <w:rPr>
          <w:rFonts w:ascii="Garamond" w:hAnsi="Garamond"/>
          <w:sz w:val="24"/>
          <w:szCs w:val="24"/>
        </w:rPr>
        <w:t xml:space="preserve"> and the theoretical structure of theories advanced within a tradition, is the rational superiority of </w:t>
      </w:r>
      <w:r w:rsidRPr="00461D74">
        <w:rPr>
          <w:rFonts w:ascii="Garamond" w:hAnsi="Garamond"/>
          <w:sz w:val="24"/>
          <w:szCs w:val="24"/>
        </w:rPr>
        <w:t xml:space="preserve">its </w:t>
      </w:r>
      <w:r w:rsidR="00016049" w:rsidRPr="00461D74">
        <w:rPr>
          <w:rFonts w:ascii="Garamond" w:hAnsi="Garamond"/>
          <w:sz w:val="24"/>
          <w:szCs w:val="24"/>
        </w:rPr>
        <w:t>particular structure to all prior attempts (within th</w:t>
      </w:r>
      <w:r w:rsidRPr="00461D74">
        <w:rPr>
          <w:rFonts w:ascii="Garamond" w:hAnsi="Garamond"/>
          <w:sz w:val="24"/>
          <w:szCs w:val="24"/>
        </w:rPr>
        <w:t>at</w:t>
      </w:r>
      <w:r w:rsidR="00016049" w:rsidRPr="00461D74">
        <w:rPr>
          <w:rFonts w:ascii="Garamond" w:hAnsi="Garamond"/>
          <w:sz w:val="24"/>
          <w:szCs w:val="24"/>
        </w:rPr>
        <w:t xml:space="preserve"> tradition) to formulate a theory.</w:t>
      </w:r>
      <w:r w:rsidR="00016049" w:rsidRPr="00461D74">
        <w:rPr>
          <w:rStyle w:val="FootnoteReference"/>
          <w:rFonts w:ascii="Garamond" w:hAnsi="Garamond"/>
          <w:sz w:val="24"/>
          <w:szCs w:val="24"/>
        </w:rPr>
        <w:footnoteReference w:id="79"/>
      </w:r>
      <w:r w:rsidR="00016049" w:rsidRPr="00461D74">
        <w:rPr>
          <w:rFonts w:ascii="Garamond" w:hAnsi="Garamond"/>
          <w:sz w:val="24"/>
          <w:szCs w:val="24"/>
        </w:rPr>
        <w:t xml:space="preserve"> Thus MacIntyre says that “from the standpoint of tradition-constituted and tradition-constitutive enquiry, what a particular doctrine claims is always a matter of how precisely it was in fact advanced</w:t>
      </w:r>
      <w:r w:rsidR="003C2F5F">
        <w:rPr>
          <w:rFonts w:ascii="Garamond" w:hAnsi="Garamond"/>
          <w:sz w:val="24"/>
          <w:szCs w:val="24"/>
        </w:rPr>
        <w:t>.</w:t>
      </w:r>
      <w:r w:rsidR="00016049" w:rsidRPr="00461D74">
        <w:rPr>
          <w:rFonts w:ascii="Garamond" w:hAnsi="Garamond"/>
          <w:sz w:val="24"/>
          <w:szCs w:val="24"/>
        </w:rPr>
        <w:t>”</w:t>
      </w:r>
      <w:r w:rsidR="00016049" w:rsidRPr="00461D74">
        <w:rPr>
          <w:rStyle w:val="FootnoteReference"/>
          <w:rFonts w:ascii="Garamond" w:hAnsi="Garamond"/>
          <w:sz w:val="24"/>
          <w:szCs w:val="24"/>
        </w:rPr>
        <w:footnoteReference w:id="80"/>
      </w:r>
      <w:r w:rsidR="00016049" w:rsidRPr="00461D74">
        <w:rPr>
          <w:rFonts w:ascii="Garamond" w:hAnsi="Garamond"/>
          <w:sz w:val="24"/>
          <w:szCs w:val="24"/>
        </w:rPr>
        <w:t xml:space="preserve"> </w:t>
      </w:r>
      <w:r w:rsidRPr="00461D74">
        <w:rPr>
          <w:rFonts w:ascii="Garamond" w:hAnsi="Garamond"/>
          <w:sz w:val="24"/>
          <w:szCs w:val="24"/>
        </w:rPr>
        <w:t>Here, the history of t</w:t>
      </w:r>
      <w:r w:rsidR="00016049" w:rsidRPr="00461D74">
        <w:rPr>
          <w:rFonts w:ascii="Garamond" w:hAnsi="Garamond"/>
          <w:sz w:val="24"/>
          <w:szCs w:val="24"/>
        </w:rPr>
        <w:t xml:space="preserve">raditions, </w:t>
      </w:r>
      <w:r w:rsidRPr="00461D74">
        <w:rPr>
          <w:rFonts w:ascii="Garamond" w:hAnsi="Garamond"/>
          <w:sz w:val="24"/>
          <w:szCs w:val="24"/>
        </w:rPr>
        <w:t xml:space="preserve">just </w:t>
      </w:r>
      <w:r w:rsidR="00C9766C">
        <w:rPr>
          <w:rFonts w:ascii="Garamond" w:hAnsi="Garamond"/>
          <w:sz w:val="24"/>
          <w:szCs w:val="24"/>
        </w:rPr>
        <w:t>like</w:t>
      </w:r>
      <w:r w:rsidR="00016049" w:rsidRPr="00461D74">
        <w:rPr>
          <w:rFonts w:ascii="Garamond" w:hAnsi="Garamond"/>
          <w:sz w:val="24"/>
          <w:szCs w:val="24"/>
        </w:rPr>
        <w:t xml:space="preserve"> the history of social transformation</w:t>
      </w:r>
      <w:r w:rsidR="00A2471A" w:rsidRPr="00461D74">
        <w:rPr>
          <w:rFonts w:ascii="Garamond" w:hAnsi="Garamond"/>
          <w:sz w:val="24"/>
          <w:szCs w:val="24"/>
        </w:rPr>
        <w:t>s</w:t>
      </w:r>
      <w:r w:rsidR="00016049" w:rsidRPr="00461D74">
        <w:rPr>
          <w:rFonts w:ascii="Garamond" w:hAnsi="Garamond"/>
          <w:sz w:val="24"/>
          <w:szCs w:val="24"/>
        </w:rPr>
        <w:t xml:space="preserve">, </w:t>
      </w:r>
      <w:r w:rsidRPr="00461D74">
        <w:rPr>
          <w:rFonts w:ascii="Garamond" w:hAnsi="Garamond"/>
          <w:sz w:val="24"/>
          <w:szCs w:val="24"/>
        </w:rPr>
        <w:t xml:space="preserve">remains </w:t>
      </w:r>
      <w:r w:rsidR="00016049" w:rsidRPr="00461D74">
        <w:rPr>
          <w:rFonts w:ascii="Garamond" w:hAnsi="Garamond"/>
          <w:sz w:val="24"/>
          <w:szCs w:val="24"/>
        </w:rPr>
        <w:t xml:space="preserve">in an important sense </w:t>
      </w:r>
      <w:r w:rsidRPr="00461D74">
        <w:rPr>
          <w:rFonts w:ascii="Garamond" w:hAnsi="Garamond"/>
          <w:sz w:val="24"/>
          <w:szCs w:val="24"/>
        </w:rPr>
        <w:t xml:space="preserve">a </w:t>
      </w:r>
      <w:r w:rsidR="00016049" w:rsidRPr="00461D74">
        <w:rPr>
          <w:rFonts w:ascii="Garamond" w:hAnsi="Garamond"/>
          <w:sz w:val="24"/>
          <w:szCs w:val="24"/>
        </w:rPr>
        <w:t>history of conflicts</w:t>
      </w:r>
      <w:r w:rsidRPr="00461D74">
        <w:rPr>
          <w:rFonts w:ascii="Garamond" w:hAnsi="Garamond"/>
          <w:sz w:val="24"/>
          <w:szCs w:val="24"/>
        </w:rPr>
        <w:t>; and</w:t>
      </w:r>
      <w:r w:rsidR="007645B3" w:rsidRPr="00461D74">
        <w:rPr>
          <w:rFonts w:ascii="Garamond" w:hAnsi="Garamond"/>
          <w:sz w:val="24"/>
          <w:szCs w:val="24"/>
        </w:rPr>
        <w:t xml:space="preserve"> </w:t>
      </w:r>
      <w:r w:rsidR="00016049" w:rsidRPr="00461D74">
        <w:rPr>
          <w:rFonts w:ascii="Garamond" w:hAnsi="Garamond"/>
          <w:sz w:val="24"/>
          <w:szCs w:val="24"/>
        </w:rPr>
        <w:t xml:space="preserve">traditions </w:t>
      </w:r>
      <w:r w:rsidRPr="00461D74">
        <w:rPr>
          <w:rFonts w:ascii="Garamond" w:hAnsi="Garamond"/>
          <w:sz w:val="24"/>
          <w:szCs w:val="24"/>
        </w:rPr>
        <w:t xml:space="preserve">on this view </w:t>
      </w:r>
      <w:r w:rsidR="00016049" w:rsidRPr="00461D74">
        <w:rPr>
          <w:rFonts w:ascii="Garamond" w:hAnsi="Garamond"/>
          <w:sz w:val="24"/>
          <w:szCs w:val="24"/>
        </w:rPr>
        <w:t xml:space="preserve">are </w:t>
      </w:r>
      <w:r w:rsidRPr="00461D74">
        <w:rPr>
          <w:rFonts w:ascii="Garamond" w:hAnsi="Garamond"/>
          <w:sz w:val="24"/>
          <w:szCs w:val="24"/>
        </w:rPr>
        <w:t xml:space="preserve">to a large extent </w:t>
      </w:r>
      <w:r w:rsidR="00016049" w:rsidRPr="00461D74">
        <w:rPr>
          <w:rFonts w:ascii="Garamond" w:hAnsi="Garamond"/>
          <w:sz w:val="24"/>
          <w:szCs w:val="24"/>
        </w:rPr>
        <w:t xml:space="preserve">defined </w:t>
      </w:r>
      <w:r w:rsidR="00016049" w:rsidRPr="00461D74">
        <w:rPr>
          <w:rFonts w:ascii="Garamond" w:hAnsi="Garamond"/>
          <w:sz w:val="24"/>
          <w:szCs w:val="24"/>
        </w:rPr>
        <w:lastRenderedPageBreak/>
        <w:t>in terms of continuities of conflicts</w:t>
      </w:r>
      <w:r w:rsidR="007645B3" w:rsidRPr="00461D74">
        <w:rPr>
          <w:rFonts w:ascii="Garamond" w:hAnsi="Garamond"/>
          <w:sz w:val="24"/>
          <w:szCs w:val="24"/>
        </w:rPr>
        <w:t xml:space="preserve"> and progress. Thus, the</w:t>
      </w:r>
      <w:r w:rsidR="00016049" w:rsidRPr="00461D74">
        <w:rPr>
          <w:rFonts w:ascii="Garamond" w:hAnsi="Garamond"/>
          <w:sz w:val="24"/>
          <w:szCs w:val="24"/>
        </w:rPr>
        <w:t xml:space="preserve"> resolution of conflict is </w:t>
      </w:r>
      <w:r w:rsidR="007645B3" w:rsidRPr="00461D74">
        <w:rPr>
          <w:rFonts w:ascii="Garamond" w:hAnsi="Garamond"/>
          <w:sz w:val="24"/>
          <w:szCs w:val="24"/>
        </w:rPr>
        <w:t xml:space="preserve">paramount in </w:t>
      </w:r>
      <w:r w:rsidR="00016049" w:rsidRPr="00461D74">
        <w:rPr>
          <w:rFonts w:ascii="Garamond" w:hAnsi="Garamond"/>
          <w:sz w:val="24"/>
          <w:szCs w:val="24"/>
        </w:rPr>
        <w:t>understanding progress within traditions.</w:t>
      </w:r>
      <w:r w:rsidR="00016049" w:rsidRPr="00461D74">
        <w:rPr>
          <w:rStyle w:val="FootnoteReference"/>
          <w:rFonts w:ascii="Garamond" w:hAnsi="Garamond"/>
          <w:sz w:val="24"/>
          <w:szCs w:val="24"/>
        </w:rPr>
        <w:footnoteReference w:id="81"/>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MacIntyre</w:t>
      </w:r>
      <w:r w:rsidR="000209C3" w:rsidRPr="00461D74">
        <w:rPr>
          <w:rFonts w:ascii="Garamond" w:hAnsi="Garamond"/>
          <w:sz w:val="24"/>
          <w:szCs w:val="24"/>
        </w:rPr>
        <w:t xml:space="preserve">, through the use of some examples, renders </w:t>
      </w:r>
      <w:r w:rsidRPr="00461D74">
        <w:rPr>
          <w:rFonts w:ascii="Garamond" w:hAnsi="Garamond"/>
          <w:sz w:val="24"/>
          <w:szCs w:val="24"/>
        </w:rPr>
        <w:t>concrete</w:t>
      </w:r>
      <w:r w:rsidR="000209C3" w:rsidRPr="00461D74">
        <w:rPr>
          <w:rFonts w:ascii="Garamond" w:hAnsi="Garamond"/>
          <w:sz w:val="24"/>
          <w:szCs w:val="24"/>
        </w:rPr>
        <w:t xml:space="preserve"> </w:t>
      </w:r>
      <w:r w:rsidRPr="00461D74">
        <w:rPr>
          <w:rFonts w:ascii="Garamond" w:hAnsi="Garamond"/>
          <w:sz w:val="24"/>
          <w:szCs w:val="24"/>
        </w:rPr>
        <w:t xml:space="preserve">the process of historical progress within traditions. In order to do this, he goes back to drawing on some of his favourite examples – those in Greek antiquity. </w:t>
      </w:r>
      <w:r w:rsidR="00190454" w:rsidRPr="00461D74">
        <w:rPr>
          <w:rFonts w:ascii="Garamond" w:hAnsi="Garamond"/>
          <w:sz w:val="24"/>
          <w:szCs w:val="24"/>
        </w:rPr>
        <w:t>E</w:t>
      </w:r>
      <w:r w:rsidRPr="00461D74">
        <w:rPr>
          <w:rFonts w:ascii="Garamond" w:hAnsi="Garamond"/>
          <w:sz w:val="24"/>
          <w:szCs w:val="24"/>
        </w:rPr>
        <w:t>arlier in</w:t>
      </w:r>
      <w:r w:rsidR="000209C3" w:rsidRPr="00461D74">
        <w:rPr>
          <w:rFonts w:ascii="Garamond" w:hAnsi="Garamond"/>
          <w:sz w:val="24"/>
          <w:szCs w:val="24"/>
        </w:rPr>
        <w:t xml:space="preserve"> our discussion of</w:t>
      </w:r>
      <w:r w:rsidRPr="00461D74">
        <w:rPr>
          <w:rFonts w:ascii="Garamond" w:hAnsi="Garamond"/>
          <w:sz w:val="24"/>
          <w:szCs w:val="24"/>
        </w:rPr>
        <w:t xml:space="preserve"> </w:t>
      </w:r>
      <w:r w:rsidRPr="00461D74">
        <w:rPr>
          <w:rFonts w:ascii="Garamond" w:hAnsi="Garamond"/>
          <w:i/>
          <w:sz w:val="24"/>
          <w:szCs w:val="24"/>
        </w:rPr>
        <w:t>After Virtue</w:t>
      </w:r>
      <w:r w:rsidR="001C0A39" w:rsidRPr="00461D74">
        <w:rPr>
          <w:rFonts w:ascii="Garamond" w:hAnsi="Garamond"/>
          <w:sz w:val="24"/>
          <w:szCs w:val="24"/>
        </w:rPr>
        <w:t>, we saw that</w:t>
      </w:r>
      <w:r w:rsidR="00582BA6" w:rsidRPr="00461D74">
        <w:rPr>
          <w:rFonts w:ascii="Garamond" w:hAnsi="Garamond"/>
          <w:sz w:val="24"/>
          <w:szCs w:val="24"/>
        </w:rPr>
        <w:t xml:space="preserve"> </w:t>
      </w:r>
      <w:r w:rsidRPr="00461D74">
        <w:rPr>
          <w:rFonts w:ascii="Garamond" w:hAnsi="Garamond"/>
          <w:sz w:val="24"/>
          <w:szCs w:val="24"/>
        </w:rPr>
        <w:t xml:space="preserve">MacIntyre </w:t>
      </w:r>
      <w:r w:rsidR="000209C3" w:rsidRPr="00461D74">
        <w:rPr>
          <w:rFonts w:ascii="Garamond" w:hAnsi="Garamond"/>
          <w:sz w:val="24"/>
          <w:szCs w:val="24"/>
        </w:rPr>
        <w:t>argued that</w:t>
      </w:r>
      <w:r w:rsidRPr="00461D74">
        <w:rPr>
          <w:rFonts w:ascii="Garamond" w:hAnsi="Garamond"/>
          <w:sz w:val="24"/>
          <w:szCs w:val="24"/>
        </w:rPr>
        <w:t xml:space="preserve"> the loosening of social (kinship) bonds</w:t>
      </w:r>
      <w:r w:rsidR="00190454" w:rsidRPr="00461D74">
        <w:rPr>
          <w:rFonts w:ascii="Garamond" w:hAnsi="Garamond"/>
          <w:sz w:val="24"/>
          <w:szCs w:val="24"/>
        </w:rPr>
        <w:t>,</w:t>
      </w:r>
      <w:r w:rsidRPr="00461D74">
        <w:rPr>
          <w:rFonts w:ascii="Garamond" w:hAnsi="Garamond"/>
          <w:sz w:val="24"/>
          <w:szCs w:val="24"/>
        </w:rPr>
        <w:t xml:space="preserve"> </w:t>
      </w:r>
      <w:r w:rsidR="00FA239D" w:rsidRPr="00461D74">
        <w:rPr>
          <w:rFonts w:ascii="Garamond" w:hAnsi="Garamond"/>
          <w:sz w:val="24"/>
          <w:szCs w:val="24"/>
        </w:rPr>
        <w:t xml:space="preserve">and the concomitant </w:t>
      </w:r>
      <w:r w:rsidRPr="00461D74">
        <w:rPr>
          <w:rFonts w:ascii="Garamond" w:hAnsi="Garamond"/>
          <w:sz w:val="24"/>
          <w:szCs w:val="24"/>
        </w:rPr>
        <w:t xml:space="preserve">emergence of </w:t>
      </w:r>
      <w:proofErr w:type="spellStart"/>
      <w:r w:rsidRPr="00461D74">
        <w:rPr>
          <w:rFonts w:ascii="Garamond" w:hAnsi="Garamond"/>
          <w:sz w:val="24"/>
          <w:szCs w:val="24"/>
        </w:rPr>
        <w:t>Periclean</w:t>
      </w:r>
      <w:proofErr w:type="spellEnd"/>
      <w:r w:rsidRPr="00461D74">
        <w:rPr>
          <w:rFonts w:ascii="Garamond" w:hAnsi="Garamond"/>
          <w:sz w:val="24"/>
          <w:szCs w:val="24"/>
        </w:rPr>
        <w:t xml:space="preserve"> democracy in Athens</w:t>
      </w:r>
      <w:r w:rsidR="00190454" w:rsidRPr="00461D74">
        <w:rPr>
          <w:rFonts w:ascii="Garamond" w:hAnsi="Garamond"/>
          <w:sz w:val="24"/>
          <w:szCs w:val="24"/>
        </w:rPr>
        <w:t>,</w:t>
      </w:r>
      <w:r w:rsidRPr="00461D74">
        <w:rPr>
          <w:rFonts w:ascii="Garamond" w:hAnsi="Garamond"/>
          <w:sz w:val="24"/>
          <w:szCs w:val="24"/>
        </w:rPr>
        <w:t xml:space="preserve"> </w:t>
      </w:r>
      <w:r w:rsidR="00190454" w:rsidRPr="00461D74">
        <w:rPr>
          <w:rFonts w:ascii="Garamond" w:hAnsi="Garamond"/>
          <w:sz w:val="24"/>
          <w:szCs w:val="24"/>
        </w:rPr>
        <w:t>generated a number of</w:t>
      </w:r>
      <w:r w:rsidRPr="00461D74">
        <w:rPr>
          <w:rFonts w:ascii="Garamond" w:hAnsi="Garamond"/>
          <w:sz w:val="24"/>
          <w:szCs w:val="24"/>
        </w:rPr>
        <w:t xml:space="preserve"> radical disagreement</w:t>
      </w:r>
      <w:r w:rsidR="00190454" w:rsidRPr="00461D74">
        <w:rPr>
          <w:rFonts w:ascii="Garamond" w:hAnsi="Garamond"/>
          <w:sz w:val="24"/>
          <w:szCs w:val="24"/>
        </w:rPr>
        <w:t>s</w:t>
      </w:r>
      <w:r w:rsidRPr="00461D74">
        <w:rPr>
          <w:rFonts w:ascii="Garamond" w:hAnsi="Garamond"/>
          <w:sz w:val="24"/>
          <w:szCs w:val="24"/>
        </w:rPr>
        <w:t xml:space="preserve"> between rival views</w:t>
      </w:r>
      <w:r w:rsidR="00190454" w:rsidRPr="00461D74">
        <w:rPr>
          <w:rFonts w:ascii="Garamond" w:hAnsi="Garamond"/>
          <w:sz w:val="24"/>
          <w:szCs w:val="24"/>
        </w:rPr>
        <w:t xml:space="preserve"> </w:t>
      </w:r>
      <w:r w:rsidR="00FA239D" w:rsidRPr="00461D74">
        <w:rPr>
          <w:rFonts w:ascii="Garamond" w:hAnsi="Garamond"/>
          <w:sz w:val="24"/>
          <w:szCs w:val="24"/>
        </w:rPr>
        <w:t xml:space="preserve">as to which definition of the ‘good’ amounted to a correct account of human flourishing. </w:t>
      </w:r>
      <w:r w:rsidRPr="00461D74">
        <w:rPr>
          <w:rFonts w:ascii="Garamond" w:hAnsi="Garamond"/>
          <w:sz w:val="24"/>
          <w:szCs w:val="24"/>
        </w:rPr>
        <w:t xml:space="preserve">In a way, </w:t>
      </w:r>
      <w:r w:rsidR="00FA239D" w:rsidRPr="00461D74">
        <w:rPr>
          <w:rFonts w:ascii="Garamond" w:hAnsi="Garamond"/>
          <w:sz w:val="24"/>
          <w:szCs w:val="24"/>
        </w:rPr>
        <w:t xml:space="preserve">MacIntyre </w:t>
      </w:r>
      <w:r w:rsidRPr="00461D74">
        <w:rPr>
          <w:rFonts w:ascii="Garamond" w:hAnsi="Garamond"/>
          <w:sz w:val="24"/>
          <w:szCs w:val="24"/>
        </w:rPr>
        <w:t xml:space="preserve">in </w:t>
      </w:r>
      <w:r w:rsidRPr="00461D74">
        <w:rPr>
          <w:rFonts w:ascii="Garamond" w:hAnsi="Garamond"/>
          <w:i/>
          <w:sz w:val="24"/>
          <w:szCs w:val="24"/>
        </w:rPr>
        <w:t>After Virtue</w:t>
      </w:r>
      <w:r w:rsidRPr="00461D74">
        <w:rPr>
          <w:rFonts w:ascii="Garamond" w:hAnsi="Garamond"/>
          <w:sz w:val="24"/>
          <w:szCs w:val="24"/>
        </w:rPr>
        <w:t xml:space="preserve"> </w:t>
      </w:r>
      <w:r w:rsidR="00FA239D" w:rsidRPr="00461D74">
        <w:rPr>
          <w:rFonts w:ascii="Garamond" w:hAnsi="Garamond"/>
          <w:sz w:val="24"/>
          <w:szCs w:val="24"/>
        </w:rPr>
        <w:t>presents us</w:t>
      </w:r>
      <w:r w:rsidRPr="00461D74">
        <w:rPr>
          <w:rFonts w:ascii="Garamond" w:hAnsi="Garamond"/>
          <w:sz w:val="24"/>
          <w:szCs w:val="24"/>
        </w:rPr>
        <w:t xml:space="preserve"> </w:t>
      </w:r>
      <w:r w:rsidR="00FA239D" w:rsidRPr="00461D74">
        <w:rPr>
          <w:rFonts w:ascii="Garamond" w:hAnsi="Garamond"/>
          <w:sz w:val="24"/>
          <w:szCs w:val="24"/>
        </w:rPr>
        <w:t xml:space="preserve">with </w:t>
      </w:r>
      <w:r w:rsidRPr="00461D74">
        <w:rPr>
          <w:rFonts w:ascii="Garamond" w:hAnsi="Garamond"/>
          <w:sz w:val="24"/>
          <w:szCs w:val="24"/>
        </w:rPr>
        <w:t xml:space="preserve">a sociological-cum-historical explanation of these events. However, in </w:t>
      </w:r>
      <w:r w:rsidRPr="00461D74">
        <w:rPr>
          <w:rFonts w:ascii="Garamond" w:hAnsi="Garamond"/>
          <w:i/>
          <w:sz w:val="24"/>
          <w:szCs w:val="24"/>
        </w:rPr>
        <w:t>Whose Justice</w:t>
      </w:r>
      <w:r w:rsidRPr="00461D74">
        <w:rPr>
          <w:rFonts w:ascii="Garamond" w:hAnsi="Garamond"/>
          <w:sz w:val="24"/>
          <w:szCs w:val="24"/>
        </w:rPr>
        <w:t xml:space="preserve">, while that sort of explanation </w:t>
      </w:r>
      <w:r w:rsidR="00FA239D" w:rsidRPr="00461D74">
        <w:rPr>
          <w:rFonts w:ascii="Garamond" w:hAnsi="Garamond"/>
          <w:sz w:val="24"/>
          <w:szCs w:val="24"/>
        </w:rPr>
        <w:t>plays an important role</w:t>
      </w:r>
      <w:r w:rsidRPr="00461D74">
        <w:rPr>
          <w:rFonts w:ascii="Garamond" w:hAnsi="Garamond"/>
          <w:sz w:val="24"/>
          <w:szCs w:val="24"/>
        </w:rPr>
        <w:t xml:space="preserve">, MacIntyre </w:t>
      </w:r>
      <w:r w:rsidR="00FA239D" w:rsidRPr="00461D74">
        <w:rPr>
          <w:rFonts w:ascii="Garamond" w:hAnsi="Garamond"/>
          <w:sz w:val="24"/>
          <w:szCs w:val="24"/>
        </w:rPr>
        <w:t xml:space="preserve">appears to </w:t>
      </w:r>
      <w:r w:rsidRPr="00461D74">
        <w:rPr>
          <w:rFonts w:ascii="Garamond" w:hAnsi="Garamond"/>
          <w:sz w:val="24"/>
          <w:szCs w:val="24"/>
        </w:rPr>
        <w:t>frame the problem in more conceptual terms.</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begins by showing how Greek life was defined in terms of the concept of the </w:t>
      </w:r>
      <w:proofErr w:type="spellStart"/>
      <w:r w:rsidRPr="00461D74">
        <w:rPr>
          <w:rFonts w:ascii="Garamond" w:hAnsi="Garamond"/>
          <w:i/>
          <w:iCs/>
          <w:sz w:val="24"/>
          <w:szCs w:val="24"/>
        </w:rPr>
        <w:t>a</w:t>
      </w:r>
      <w:r w:rsidR="00F61D4C" w:rsidRPr="00461D74">
        <w:rPr>
          <w:rFonts w:ascii="Garamond" w:hAnsi="Garamond"/>
          <w:bCs/>
          <w:sz w:val="24"/>
          <w:szCs w:val="24"/>
        </w:rPr>
        <w:t>gōn</w:t>
      </w:r>
      <w:proofErr w:type="spellEnd"/>
      <w:r w:rsidR="00F61D4C" w:rsidRPr="00461D74">
        <w:rPr>
          <w:rFonts w:ascii="Garamond" w:hAnsi="Garamond"/>
          <w:bCs/>
          <w:sz w:val="24"/>
          <w:szCs w:val="24"/>
        </w:rPr>
        <w:t xml:space="preserve"> </w:t>
      </w:r>
      <w:r w:rsidR="00AA1332">
        <w:rPr>
          <w:rFonts w:ascii="Garamond" w:hAnsi="Garamond"/>
          <w:bCs/>
          <w:sz w:val="24"/>
          <w:szCs w:val="24"/>
        </w:rPr>
        <w:t>(</w:t>
      </w:r>
      <w:proofErr w:type="spellStart"/>
      <w:r w:rsidR="005966AC" w:rsidRPr="00592207">
        <w:rPr>
          <w:rFonts w:ascii="Times New Roman" w:hAnsi="Times New Roman" w:cs="Times New Roman"/>
        </w:rPr>
        <w:t>ἀ</w:t>
      </w:r>
      <w:r w:rsidR="00CF38EA" w:rsidRPr="00CF38EA">
        <w:rPr>
          <w:rFonts w:ascii="Times New Roman" w:hAnsi="Times New Roman" w:cs="Times New Roman"/>
        </w:rPr>
        <w:t>γών</w:t>
      </w:r>
      <w:proofErr w:type="spellEnd"/>
      <w:r w:rsidR="00F61D4C" w:rsidRPr="00461D74">
        <w:rPr>
          <w:rFonts w:ascii="Garamond" w:hAnsi="Garamond"/>
          <w:bCs/>
          <w:sz w:val="24"/>
          <w:szCs w:val="24"/>
        </w:rPr>
        <w:t>)</w:t>
      </w:r>
      <w:r w:rsidRPr="00461D74">
        <w:rPr>
          <w:rFonts w:ascii="Garamond" w:hAnsi="Garamond"/>
          <w:sz w:val="24"/>
          <w:szCs w:val="24"/>
        </w:rPr>
        <w:t>.</w:t>
      </w:r>
      <w:r w:rsidRPr="00461D74">
        <w:rPr>
          <w:rStyle w:val="FootnoteReference"/>
          <w:rFonts w:ascii="Garamond" w:hAnsi="Garamond"/>
          <w:sz w:val="24"/>
          <w:szCs w:val="24"/>
        </w:rPr>
        <w:footnoteReference w:id="82"/>
      </w:r>
      <w:r w:rsidRPr="00461D74">
        <w:rPr>
          <w:rFonts w:ascii="Garamond" w:hAnsi="Garamond"/>
          <w:sz w:val="24"/>
          <w:szCs w:val="24"/>
        </w:rPr>
        <w:t xml:space="preserve"> On this Greek view, life is in large part understood as a contest</w:t>
      </w:r>
      <w:r w:rsidR="000209C3" w:rsidRPr="00461D74">
        <w:rPr>
          <w:rFonts w:ascii="Garamond" w:hAnsi="Garamond"/>
          <w:sz w:val="24"/>
          <w:szCs w:val="24"/>
        </w:rPr>
        <w:t xml:space="preserve">; here </w:t>
      </w:r>
      <w:r w:rsidRPr="00461D74">
        <w:rPr>
          <w:rFonts w:ascii="Garamond" w:hAnsi="Garamond"/>
          <w:sz w:val="24"/>
          <w:szCs w:val="24"/>
        </w:rPr>
        <w:t xml:space="preserve">Greek life is </w:t>
      </w:r>
      <w:r w:rsidR="000209C3" w:rsidRPr="00461D74">
        <w:rPr>
          <w:rFonts w:ascii="Garamond" w:hAnsi="Garamond"/>
          <w:sz w:val="24"/>
          <w:szCs w:val="24"/>
        </w:rPr>
        <w:t xml:space="preserve">primarily </w:t>
      </w:r>
      <w:r w:rsidRPr="00461D74">
        <w:rPr>
          <w:rFonts w:ascii="Garamond" w:hAnsi="Garamond"/>
          <w:sz w:val="24"/>
          <w:szCs w:val="24"/>
        </w:rPr>
        <w:t xml:space="preserve">defined in terms </w:t>
      </w:r>
      <w:r w:rsidRPr="00461D74">
        <w:rPr>
          <w:rFonts w:ascii="Garamond" w:hAnsi="Garamond"/>
          <w:i/>
          <w:sz w:val="24"/>
          <w:szCs w:val="24"/>
        </w:rPr>
        <w:t>winning</w:t>
      </w:r>
      <w:r w:rsidR="000209C3" w:rsidRPr="00461D74">
        <w:rPr>
          <w:rFonts w:ascii="Garamond" w:hAnsi="Garamond"/>
          <w:sz w:val="24"/>
          <w:szCs w:val="24"/>
        </w:rPr>
        <w:t>,</w:t>
      </w:r>
      <w:r w:rsidRPr="00461D74">
        <w:rPr>
          <w:rFonts w:ascii="Garamond" w:hAnsi="Garamond"/>
          <w:sz w:val="24"/>
          <w:szCs w:val="24"/>
        </w:rPr>
        <w:t xml:space="preserve"> and </w:t>
      </w:r>
      <w:r w:rsidRPr="00461D74">
        <w:rPr>
          <w:rFonts w:ascii="Garamond" w:hAnsi="Garamond"/>
          <w:i/>
          <w:sz w:val="24"/>
          <w:szCs w:val="24"/>
        </w:rPr>
        <w:t>excellence</w:t>
      </w:r>
      <w:r w:rsidR="000209C3" w:rsidRPr="00461D74">
        <w:rPr>
          <w:rFonts w:ascii="Garamond" w:hAnsi="Garamond"/>
          <w:sz w:val="24"/>
          <w:szCs w:val="24"/>
        </w:rPr>
        <w:t>,</w:t>
      </w:r>
      <w:r w:rsidRPr="00461D74">
        <w:rPr>
          <w:rFonts w:ascii="Garamond" w:hAnsi="Garamond"/>
          <w:sz w:val="24"/>
          <w:szCs w:val="24"/>
        </w:rPr>
        <w:t xml:space="preserve"> in the </w:t>
      </w:r>
      <w:proofErr w:type="spellStart"/>
      <w:r w:rsidR="00F61D4C" w:rsidRPr="00461D74">
        <w:rPr>
          <w:rFonts w:ascii="Garamond" w:hAnsi="Garamond"/>
          <w:i/>
          <w:iCs/>
          <w:sz w:val="24"/>
          <w:szCs w:val="24"/>
        </w:rPr>
        <w:t>a</w:t>
      </w:r>
      <w:r w:rsidR="00F61D4C" w:rsidRPr="00461D74">
        <w:rPr>
          <w:rFonts w:ascii="Garamond" w:hAnsi="Garamond"/>
          <w:bCs/>
          <w:sz w:val="24"/>
          <w:szCs w:val="24"/>
        </w:rPr>
        <w:t>gōn</w:t>
      </w:r>
      <w:proofErr w:type="spellEnd"/>
      <w:r w:rsidRPr="00461D74">
        <w:rPr>
          <w:rFonts w:ascii="Garamond" w:hAnsi="Garamond"/>
          <w:sz w:val="24"/>
          <w:szCs w:val="24"/>
        </w:rPr>
        <w:t>. Nevertheless, the</w:t>
      </w:r>
      <w:r w:rsidR="000209C3" w:rsidRPr="00461D74">
        <w:rPr>
          <w:rFonts w:ascii="Garamond" w:hAnsi="Garamond"/>
          <w:sz w:val="24"/>
          <w:szCs w:val="24"/>
        </w:rPr>
        <w:t>se</w:t>
      </w:r>
      <w:r w:rsidRPr="00461D74">
        <w:rPr>
          <w:rFonts w:ascii="Garamond" w:hAnsi="Garamond"/>
          <w:sz w:val="24"/>
          <w:szCs w:val="24"/>
        </w:rPr>
        <w:t xml:space="preserve"> two concepts</w:t>
      </w:r>
      <w:r w:rsidR="000209C3" w:rsidRPr="00461D74">
        <w:rPr>
          <w:rFonts w:ascii="Garamond" w:hAnsi="Garamond"/>
          <w:sz w:val="24"/>
          <w:szCs w:val="24"/>
        </w:rPr>
        <w:t xml:space="preserve"> </w:t>
      </w:r>
      <w:r w:rsidR="00506CE9" w:rsidRPr="00461D74">
        <w:rPr>
          <w:rFonts w:ascii="Garamond" w:hAnsi="Garamond"/>
          <w:sz w:val="24"/>
          <w:szCs w:val="24"/>
        </w:rPr>
        <w:t xml:space="preserve">– namely, </w:t>
      </w:r>
      <w:r w:rsidR="000209C3" w:rsidRPr="00461D74">
        <w:rPr>
          <w:rFonts w:ascii="Garamond" w:hAnsi="Garamond"/>
          <w:sz w:val="24"/>
          <w:szCs w:val="24"/>
        </w:rPr>
        <w:t>winning and excellence</w:t>
      </w:r>
      <w:r w:rsidR="00506CE9" w:rsidRPr="00461D74">
        <w:rPr>
          <w:rFonts w:ascii="Garamond" w:hAnsi="Garamond"/>
          <w:sz w:val="24"/>
          <w:szCs w:val="24"/>
        </w:rPr>
        <w:t xml:space="preserve"> –</w:t>
      </w:r>
      <w:r w:rsidR="000209C3" w:rsidRPr="00461D74">
        <w:rPr>
          <w:rFonts w:ascii="Garamond" w:hAnsi="Garamond"/>
          <w:sz w:val="24"/>
          <w:szCs w:val="24"/>
        </w:rPr>
        <w:t xml:space="preserve"> </w:t>
      </w:r>
      <w:r w:rsidR="00506CE9" w:rsidRPr="00461D74">
        <w:rPr>
          <w:rFonts w:ascii="Garamond" w:hAnsi="Garamond"/>
          <w:sz w:val="24"/>
          <w:szCs w:val="24"/>
        </w:rPr>
        <w:t>progressively</w:t>
      </w:r>
      <w:r w:rsidRPr="00461D74">
        <w:rPr>
          <w:rFonts w:ascii="Garamond" w:hAnsi="Garamond"/>
          <w:sz w:val="24"/>
          <w:szCs w:val="24"/>
        </w:rPr>
        <w:t xml:space="preserve"> came apart in the intervening period</w:t>
      </w:r>
      <w:r w:rsidR="00506CE9" w:rsidRPr="00461D74">
        <w:rPr>
          <w:rFonts w:ascii="Garamond" w:hAnsi="Garamond"/>
          <w:sz w:val="24"/>
          <w:szCs w:val="24"/>
        </w:rPr>
        <w:t>.</w:t>
      </w:r>
      <w:r w:rsidR="00506CE9" w:rsidRPr="00461D74">
        <w:rPr>
          <w:rStyle w:val="FootnoteReference"/>
          <w:rFonts w:ascii="Garamond" w:hAnsi="Garamond"/>
          <w:sz w:val="24"/>
          <w:szCs w:val="24"/>
        </w:rPr>
        <w:footnoteReference w:id="83"/>
      </w:r>
      <w:r w:rsidR="00755FB6" w:rsidRPr="00461D74">
        <w:rPr>
          <w:rFonts w:ascii="Garamond" w:hAnsi="Garamond"/>
          <w:sz w:val="24"/>
          <w:szCs w:val="24"/>
        </w:rPr>
        <w:t xml:space="preserve"> More importantly</w:t>
      </w:r>
      <w:r w:rsidRPr="00461D74">
        <w:rPr>
          <w:rFonts w:ascii="Garamond" w:hAnsi="Garamond"/>
          <w:sz w:val="24"/>
          <w:szCs w:val="24"/>
        </w:rPr>
        <w:t xml:space="preserve">, </w:t>
      </w:r>
      <w:r w:rsidR="00755FB6" w:rsidRPr="00461D74">
        <w:rPr>
          <w:rFonts w:ascii="Garamond" w:hAnsi="Garamond"/>
          <w:sz w:val="24"/>
          <w:szCs w:val="24"/>
        </w:rPr>
        <w:t xml:space="preserve">because winning and excellence came to be viewed as separate or distinct, it generated a new </w:t>
      </w:r>
      <w:r w:rsidR="00506CE9" w:rsidRPr="00461D74">
        <w:rPr>
          <w:rFonts w:ascii="Garamond" w:hAnsi="Garamond"/>
          <w:sz w:val="24"/>
          <w:szCs w:val="24"/>
        </w:rPr>
        <w:t xml:space="preserve">set of </w:t>
      </w:r>
      <w:r w:rsidRPr="00461D74">
        <w:rPr>
          <w:rFonts w:ascii="Garamond" w:hAnsi="Garamond"/>
          <w:sz w:val="24"/>
          <w:szCs w:val="24"/>
        </w:rPr>
        <w:t>problem</w:t>
      </w:r>
      <w:r w:rsidR="00506CE9" w:rsidRPr="00461D74">
        <w:rPr>
          <w:rFonts w:ascii="Garamond" w:hAnsi="Garamond"/>
          <w:sz w:val="24"/>
          <w:szCs w:val="24"/>
        </w:rPr>
        <w:t>s, chief among them was a serious reconciliation of</w:t>
      </w:r>
      <w:r w:rsidRPr="00461D74">
        <w:rPr>
          <w:rFonts w:ascii="Garamond" w:hAnsi="Garamond"/>
          <w:sz w:val="24"/>
          <w:szCs w:val="24"/>
        </w:rPr>
        <w:t xml:space="preserve"> </w:t>
      </w:r>
      <w:r w:rsidR="00755FB6" w:rsidRPr="00461D74">
        <w:rPr>
          <w:rFonts w:ascii="Garamond" w:hAnsi="Garamond"/>
          <w:sz w:val="24"/>
          <w:szCs w:val="24"/>
        </w:rPr>
        <w:t xml:space="preserve">Homeric </w:t>
      </w:r>
      <w:r w:rsidRPr="00461D74">
        <w:rPr>
          <w:rFonts w:ascii="Garamond" w:hAnsi="Garamond"/>
          <w:sz w:val="24"/>
          <w:szCs w:val="24"/>
        </w:rPr>
        <w:t>morality within the new</w:t>
      </w:r>
      <w:r w:rsidR="00506CE9" w:rsidRPr="00461D74">
        <w:rPr>
          <w:rFonts w:ascii="Garamond" w:hAnsi="Garamond"/>
          <w:sz w:val="24"/>
          <w:szCs w:val="24"/>
        </w:rPr>
        <w:t>ly emerging</w:t>
      </w:r>
      <w:r w:rsidRPr="00461D74">
        <w:rPr>
          <w:rFonts w:ascii="Garamond" w:hAnsi="Garamond"/>
          <w:sz w:val="24"/>
          <w:szCs w:val="24"/>
        </w:rPr>
        <w:t xml:space="preserve"> </w:t>
      </w:r>
      <w:r w:rsidR="00755FB6" w:rsidRPr="00461D74">
        <w:rPr>
          <w:rFonts w:ascii="Garamond" w:hAnsi="Garamond"/>
          <w:sz w:val="24"/>
          <w:szCs w:val="24"/>
        </w:rPr>
        <w:t xml:space="preserve">classical </w:t>
      </w:r>
      <w:r w:rsidRPr="00461D74">
        <w:rPr>
          <w:rFonts w:ascii="Garamond" w:hAnsi="Garamond"/>
          <w:sz w:val="24"/>
          <w:szCs w:val="24"/>
        </w:rPr>
        <w:t>social structure. So how did this problematic unfold?</w:t>
      </w:r>
    </w:p>
    <w:p w:rsidR="00082815"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In the Homeric accounts, the use of the word </w:t>
      </w:r>
      <w:proofErr w:type="spellStart"/>
      <w:r w:rsidR="009A07A8" w:rsidRPr="00461D74">
        <w:rPr>
          <w:rFonts w:ascii="Garamond" w:hAnsi="Garamond"/>
          <w:i/>
          <w:iCs/>
          <w:sz w:val="24"/>
          <w:szCs w:val="24"/>
        </w:rPr>
        <w:t>dikē</w:t>
      </w:r>
      <w:proofErr w:type="spellEnd"/>
      <w:r w:rsidR="009A07A8" w:rsidRPr="00461D74">
        <w:rPr>
          <w:rFonts w:ascii="Garamond" w:hAnsi="Garamond"/>
          <w:i/>
          <w:iCs/>
          <w:sz w:val="24"/>
          <w:szCs w:val="24"/>
        </w:rPr>
        <w:t xml:space="preserve"> </w:t>
      </w:r>
      <w:r w:rsidR="009A07A8" w:rsidRPr="00461D74">
        <w:rPr>
          <w:rFonts w:ascii="Garamond" w:hAnsi="Garamond"/>
          <w:sz w:val="24"/>
          <w:szCs w:val="24"/>
        </w:rPr>
        <w:t>(</w:t>
      </w:r>
      <w:proofErr w:type="spellStart"/>
      <w:r w:rsidR="00CF38EA" w:rsidRPr="00CF38EA">
        <w:rPr>
          <w:rFonts w:ascii="Times New Roman" w:hAnsi="Times New Roman" w:cs="Times New Roman"/>
        </w:rPr>
        <w:t>δίκη</w:t>
      </w:r>
      <w:proofErr w:type="spellEnd"/>
      <w:r w:rsidR="009A07A8" w:rsidRPr="00461D74">
        <w:rPr>
          <w:rFonts w:ascii="Garamond" w:hAnsi="Garamond"/>
          <w:sz w:val="24"/>
          <w:szCs w:val="24"/>
        </w:rPr>
        <w:t>)</w:t>
      </w:r>
      <w:r w:rsidR="00250F20" w:rsidRPr="00461D74">
        <w:rPr>
          <w:rStyle w:val="FootnoteReference"/>
          <w:rFonts w:ascii="Garamond" w:hAnsi="Garamond"/>
          <w:sz w:val="24"/>
          <w:szCs w:val="24"/>
        </w:rPr>
        <w:footnoteReference w:id="84"/>
      </w:r>
      <w:r w:rsidR="009A07A8" w:rsidRPr="00461D74">
        <w:rPr>
          <w:rFonts w:ascii="Garamond" w:hAnsi="Garamond"/>
          <w:sz w:val="24"/>
          <w:szCs w:val="24"/>
        </w:rPr>
        <w:t xml:space="preserve"> </w:t>
      </w:r>
      <w:r w:rsidR="00082815" w:rsidRPr="00461D74">
        <w:rPr>
          <w:rFonts w:ascii="Garamond" w:hAnsi="Garamond"/>
          <w:sz w:val="24"/>
          <w:szCs w:val="24"/>
        </w:rPr>
        <w:t xml:space="preserve">is </w:t>
      </w:r>
      <w:r w:rsidR="009A07A8" w:rsidRPr="00461D74">
        <w:rPr>
          <w:rFonts w:ascii="Garamond" w:hAnsi="Garamond"/>
          <w:sz w:val="24"/>
          <w:szCs w:val="24"/>
        </w:rPr>
        <w:t>p</w:t>
      </w:r>
      <w:r w:rsidRPr="00461D74">
        <w:rPr>
          <w:rFonts w:ascii="Garamond" w:hAnsi="Garamond"/>
          <w:sz w:val="24"/>
          <w:szCs w:val="24"/>
        </w:rPr>
        <w:t xml:space="preserve">resupposed </w:t>
      </w:r>
      <w:r w:rsidR="00082815" w:rsidRPr="00461D74">
        <w:rPr>
          <w:rFonts w:ascii="Garamond" w:hAnsi="Garamond"/>
          <w:sz w:val="24"/>
          <w:szCs w:val="24"/>
        </w:rPr>
        <w:t xml:space="preserve">by </w:t>
      </w:r>
      <w:r w:rsidRPr="00461D74">
        <w:rPr>
          <w:rFonts w:ascii="Garamond" w:hAnsi="Garamond"/>
          <w:sz w:val="24"/>
          <w:szCs w:val="24"/>
        </w:rPr>
        <w:t>the existence of a fundamental cosmic order</w:t>
      </w:r>
      <w:r w:rsidR="004772E5" w:rsidRPr="00461D74">
        <w:rPr>
          <w:rFonts w:ascii="Garamond" w:hAnsi="Garamond"/>
          <w:sz w:val="24"/>
          <w:szCs w:val="24"/>
        </w:rPr>
        <w:t>, one</w:t>
      </w:r>
      <w:r w:rsidRPr="00461D74">
        <w:rPr>
          <w:rFonts w:ascii="Garamond" w:hAnsi="Garamond"/>
          <w:sz w:val="24"/>
          <w:szCs w:val="24"/>
        </w:rPr>
        <w:t xml:space="preserve"> that shaped both nature and society. </w:t>
      </w:r>
      <w:r w:rsidR="004772E5" w:rsidRPr="00461D74">
        <w:rPr>
          <w:rFonts w:ascii="Garamond" w:hAnsi="Garamond"/>
          <w:sz w:val="24"/>
          <w:szCs w:val="24"/>
        </w:rPr>
        <w:t>A</w:t>
      </w:r>
      <w:r w:rsidRPr="00461D74">
        <w:rPr>
          <w:rFonts w:ascii="Garamond" w:hAnsi="Garamond"/>
          <w:sz w:val="24"/>
          <w:szCs w:val="24"/>
        </w:rPr>
        <w:t xml:space="preserve"> </w:t>
      </w:r>
      <w:proofErr w:type="spellStart"/>
      <w:r w:rsidRPr="00461D74">
        <w:rPr>
          <w:rFonts w:ascii="Garamond" w:hAnsi="Garamond"/>
          <w:i/>
          <w:iCs/>
          <w:sz w:val="24"/>
          <w:szCs w:val="24"/>
        </w:rPr>
        <w:t>dikaios</w:t>
      </w:r>
      <w:proofErr w:type="spellEnd"/>
      <w:r w:rsidRPr="00461D74">
        <w:rPr>
          <w:rFonts w:ascii="Garamond" w:hAnsi="Garamond"/>
          <w:sz w:val="24"/>
          <w:szCs w:val="24"/>
        </w:rPr>
        <w:t xml:space="preserve"> </w:t>
      </w:r>
      <w:r w:rsidR="009A07A8" w:rsidRPr="00461D74">
        <w:rPr>
          <w:rFonts w:ascii="Garamond" w:hAnsi="Garamond"/>
          <w:sz w:val="24"/>
          <w:szCs w:val="24"/>
        </w:rPr>
        <w:t>(</w:t>
      </w:r>
      <w:proofErr w:type="spellStart"/>
      <w:r w:rsidR="00CF38EA" w:rsidRPr="00CF38EA">
        <w:rPr>
          <w:rFonts w:ascii="Times New Roman" w:hAnsi="Times New Roman" w:cs="Times New Roman"/>
        </w:rPr>
        <w:t>δ</w:t>
      </w:r>
      <w:r w:rsidR="00CF38EA" w:rsidRPr="00CF38EA">
        <w:rPr>
          <w:rFonts w:ascii="Times New Roman" w:hAnsi="Times New Roman" w:cs="Times New Roman"/>
          <w:bCs/>
        </w:rPr>
        <w:t>ί</w:t>
      </w:r>
      <w:r w:rsidR="00CF38EA" w:rsidRPr="00CF38EA">
        <w:rPr>
          <w:rFonts w:ascii="Times New Roman" w:hAnsi="Times New Roman" w:cs="Times New Roman"/>
        </w:rPr>
        <w:t>καιος</w:t>
      </w:r>
      <w:proofErr w:type="spellEnd"/>
      <w:r w:rsidR="009A07A8" w:rsidRPr="00461D74">
        <w:rPr>
          <w:rFonts w:ascii="Garamond" w:hAnsi="Garamond"/>
          <w:sz w:val="24"/>
          <w:szCs w:val="24"/>
        </w:rPr>
        <w:t>)</w:t>
      </w:r>
      <w:r w:rsidR="00082815" w:rsidRPr="00461D74">
        <w:rPr>
          <w:rStyle w:val="FootnoteReference"/>
          <w:rFonts w:ascii="Garamond" w:hAnsi="Garamond"/>
          <w:sz w:val="24"/>
          <w:szCs w:val="24"/>
        </w:rPr>
        <w:footnoteReference w:id="85"/>
      </w:r>
      <w:r w:rsidR="001C0A39" w:rsidRPr="00461D74">
        <w:rPr>
          <w:rFonts w:ascii="Garamond" w:hAnsi="Garamond"/>
          <w:sz w:val="24"/>
          <w:szCs w:val="24"/>
        </w:rPr>
        <w:t xml:space="preserve"> </w:t>
      </w:r>
      <w:r w:rsidR="00082815" w:rsidRPr="00461D74">
        <w:rPr>
          <w:rFonts w:ascii="Garamond" w:hAnsi="Garamond"/>
          <w:sz w:val="24"/>
          <w:szCs w:val="24"/>
        </w:rPr>
        <w:t>–</w:t>
      </w:r>
      <w:r w:rsidR="001C0A39" w:rsidRPr="00461D74">
        <w:rPr>
          <w:rFonts w:ascii="Garamond" w:hAnsi="Garamond"/>
          <w:sz w:val="24"/>
          <w:szCs w:val="24"/>
        </w:rPr>
        <w:t xml:space="preserve"> </w:t>
      </w:r>
      <w:r w:rsidR="00082815" w:rsidRPr="00461D74">
        <w:rPr>
          <w:rFonts w:ascii="Garamond" w:hAnsi="Garamond"/>
          <w:sz w:val="24"/>
          <w:szCs w:val="24"/>
        </w:rPr>
        <w:t>translated as righteous (or just)</w:t>
      </w:r>
      <w:r w:rsidR="001C0A39" w:rsidRPr="00461D74">
        <w:rPr>
          <w:rFonts w:ascii="Garamond" w:hAnsi="Garamond"/>
          <w:sz w:val="24"/>
          <w:szCs w:val="24"/>
        </w:rPr>
        <w:t xml:space="preserve"> </w:t>
      </w:r>
      <w:r w:rsidR="00082815" w:rsidRPr="00461D74">
        <w:rPr>
          <w:rFonts w:ascii="Garamond" w:hAnsi="Garamond"/>
          <w:sz w:val="24"/>
          <w:szCs w:val="24"/>
        </w:rPr>
        <w:t>–</w:t>
      </w:r>
      <w:r w:rsidR="001C0A39" w:rsidRPr="00461D74">
        <w:rPr>
          <w:rFonts w:ascii="Garamond" w:hAnsi="Garamond"/>
          <w:sz w:val="24"/>
          <w:szCs w:val="24"/>
        </w:rPr>
        <w:t xml:space="preserve"> </w:t>
      </w:r>
      <w:r w:rsidRPr="00461D74">
        <w:rPr>
          <w:rFonts w:ascii="Garamond" w:hAnsi="Garamond"/>
          <w:sz w:val="24"/>
          <w:szCs w:val="24"/>
        </w:rPr>
        <w:t>is</w:t>
      </w:r>
      <w:r w:rsidR="004772E5" w:rsidRPr="00461D74">
        <w:rPr>
          <w:rFonts w:ascii="Garamond" w:hAnsi="Garamond"/>
          <w:sz w:val="24"/>
          <w:szCs w:val="24"/>
        </w:rPr>
        <w:t xml:space="preserve"> then</w:t>
      </w:r>
      <w:r w:rsidRPr="00461D74">
        <w:rPr>
          <w:rFonts w:ascii="Garamond" w:hAnsi="Garamond"/>
          <w:sz w:val="24"/>
          <w:szCs w:val="24"/>
        </w:rPr>
        <w:t xml:space="preserve"> someone whose activities </w:t>
      </w:r>
      <w:r w:rsidR="00082815" w:rsidRPr="00461D74">
        <w:rPr>
          <w:rFonts w:ascii="Garamond" w:hAnsi="Garamond"/>
          <w:sz w:val="24"/>
          <w:szCs w:val="24"/>
        </w:rPr>
        <w:t>are</w:t>
      </w:r>
      <w:r w:rsidRPr="00461D74">
        <w:rPr>
          <w:rFonts w:ascii="Garamond" w:hAnsi="Garamond"/>
          <w:sz w:val="24"/>
          <w:szCs w:val="24"/>
        </w:rPr>
        <w:t xml:space="preserve"> aligned with this order.</w:t>
      </w:r>
      <w:r w:rsidRPr="00461D74">
        <w:rPr>
          <w:rStyle w:val="FootnoteReference"/>
          <w:rFonts w:ascii="Garamond" w:hAnsi="Garamond"/>
          <w:sz w:val="24"/>
          <w:szCs w:val="24"/>
        </w:rPr>
        <w:footnoteReference w:id="86"/>
      </w:r>
      <w:r w:rsidRPr="00461D74">
        <w:rPr>
          <w:rFonts w:ascii="Garamond" w:hAnsi="Garamond"/>
          <w:sz w:val="24"/>
          <w:szCs w:val="24"/>
        </w:rPr>
        <w:t xml:space="preserve"> </w:t>
      </w:r>
      <w:proofErr w:type="spellStart"/>
      <w:r w:rsidRPr="00461D74">
        <w:rPr>
          <w:rFonts w:ascii="Garamond" w:hAnsi="Garamond"/>
          <w:i/>
          <w:iCs/>
          <w:sz w:val="24"/>
          <w:szCs w:val="24"/>
        </w:rPr>
        <w:t>Agath</w:t>
      </w:r>
      <w:r w:rsidR="003D73EA" w:rsidRPr="00461D74">
        <w:rPr>
          <w:rFonts w:ascii="Garamond" w:hAnsi="Garamond"/>
          <w:i/>
          <w:iCs/>
          <w:sz w:val="24"/>
          <w:szCs w:val="24"/>
        </w:rPr>
        <w:t>ó</w:t>
      </w:r>
      <w:r w:rsidRPr="00461D74">
        <w:rPr>
          <w:rFonts w:ascii="Garamond" w:hAnsi="Garamond"/>
          <w:i/>
          <w:iCs/>
          <w:sz w:val="24"/>
          <w:szCs w:val="24"/>
        </w:rPr>
        <w:t>s</w:t>
      </w:r>
      <w:proofErr w:type="spellEnd"/>
      <w:r w:rsidRPr="00461D74">
        <w:rPr>
          <w:rFonts w:ascii="Garamond" w:hAnsi="Garamond"/>
          <w:sz w:val="24"/>
          <w:szCs w:val="24"/>
        </w:rPr>
        <w:t xml:space="preserve"> </w:t>
      </w:r>
      <w:r w:rsidR="009A07A8" w:rsidRPr="00461D74">
        <w:rPr>
          <w:rFonts w:ascii="Garamond" w:hAnsi="Garamond"/>
          <w:sz w:val="24"/>
          <w:szCs w:val="24"/>
        </w:rPr>
        <w:t>(</w:t>
      </w:r>
      <w:proofErr w:type="spellStart"/>
      <w:r w:rsidR="00561F0A" w:rsidRPr="00CF38EA">
        <w:rPr>
          <w:rFonts w:ascii="Times New Roman" w:hAnsi="Times New Roman" w:cs="Times New Roman"/>
        </w:rPr>
        <w:t>ἀγαθὸς</w:t>
      </w:r>
      <w:proofErr w:type="spellEnd"/>
      <w:r w:rsidR="009A07A8" w:rsidRPr="00461D74">
        <w:rPr>
          <w:rFonts w:ascii="Garamond" w:hAnsi="Garamond"/>
          <w:sz w:val="24"/>
          <w:szCs w:val="24"/>
        </w:rPr>
        <w:t>)</w:t>
      </w:r>
      <w:r w:rsidR="009A07A8" w:rsidRPr="00461D74">
        <w:rPr>
          <w:rStyle w:val="FootnoteReference"/>
          <w:rFonts w:ascii="Garamond" w:hAnsi="Garamond"/>
          <w:sz w:val="24"/>
          <w:szCs w:val="24"/>
        </w:rPr>
        <w:footnoteReference w:id="87"/>
      </w:r>
      <w:r w:rsidR="009A07A8" w:rsidRPr="00461D74">
        <w:rPr>
          <w:rFonts w:ascii="Garamond" w:hAnsi="Garamond"/>
          <w:sz w:val="24"/>
          <w:szCs w:val="24"/>
        </w:rPr>
        <w:t xml:space="preserve"> </w:t>
      </w:r>
      <w:r w:rsidR="003D73EA" w:rsidRPr="00461D74">
        <w:rPr>
          <w:rFonts w:ascii="Garamond" w:hAnsi="Garamond"/>
          <w:sz w:val="24"/>
          <w:szCs w:val="24"/>
        </w:rPr>
        <w:t>(</w:t>
      </w:r>
      <w:r w:rsidR="009A07A8" w:rsidRPr="00461D74">
        <w:rPr>
          <w:rFonts w:ascii="Garamond" w:hAnsi="Garamond"/>
          <w:sz w:val="24"/>
          <w:szCs w:val="24"/>
        </w:rPr>
        <w:t xml:space="preserve">or </w:t>
      </w:r>
      <w:r w:rsidRPr="00461D74">
        <w:rPr>
          <w:rFonts w:ascii="Garamond" w:hAnsi="Garamond"/>
          <w:i/>
          <w:iCs/>
          <w:sz w:val="24"/>
          <w:szCs w:val="24"/>
        </w:rPr>
        <w:t>arête</w:t>
      </w:r>
      <w:r w:rsidRPr="00461D74">
        <w:rPr>
          <w:rFonts w:ascii="Garamond" w:hAnsi="Garamond"/>
          <w:sz w:val="24"/>
          <w:szCs w:val="24"/>
        </w:rPr>
        <w:t xml:space="preserve"> </w:t>
      </w:r>
      <w:proofErr w:type="spellStart"/>
      <w:r w:rsidR="00CF38EA" w:rsidRPr="00CF38EA">
        <w:rPr>
          <w:rFonts w:ascii="Times New Roman" w:hAnsi="Times New Roman" w:cs="Times New Roman"/>
        </w:rPr>
        <w:t>ἀρετή</w:t>
      </w:r>
      <w:proofErr w:type="spellEnd"/>
      <w:r w:rsidR="003D73EA" w:rsidRPr="00461D74">
        <w:rPr>
          <w:rFonts w:ascii="Garamond" w:hAnsi="Garamond"/>
          <w:sz w:val="24"/>
          <w:szCs w:val="24"/>
        </w:rPr>
        <w:t>)</w:t>
      </w:r>
      <w:r w:rsidR="003D73EA" w:rsidRPr="00461D74">
        <w:rPr>
          <w:rStyle w:val="FootnoteReference"/>
          <w:rFonts w:ascii="Garamond" w:hAnsi="Garamond"/>
          <w:sz w:val="24"/>
          <w:szCs w:val="24"/>
        </w:rPr>
        <w:footnoteReference w:id="88"/>
      </w:r>
      <w:r w:rsidR="001C0A39" w:rsidRPr="00461D74">
        <w:rPr>
          <w:rFonts w:ascii="Garamond" w:hAnsi="Garamond"/>
          <w:sz w:val="24"/>
          <w:szCs w:val="24"/>
        </w:rPr>
        <w:t xml:space="preserve"> </w:t>
      </w:r>
      <w:r w:rsidR="009A07A8" w:rsidRPr="00461D74">
        <w:rPr>
          <w:rFonts w:ascii="Garamond" w:hAnsi="Garamond"/>
          <w:sz w:val="24"/>
          <w:szCs w:val="24"/>
        </w:rPr>
        <w:t>–</w:t>
      </w:r>
      <w:r w:rsidR="001C0A39" w:rsidRPr="00461D74">
        <w:rPr>
          <w:rFonts w:ascii="Garamond" w:hAnsi="Garamond"/>
          <w:sz w:val="24"/>
          <w:szCs w:val="24"/>
        </w:rPr>
        <w:t xml:space="preserve"> </w:t>
      </w:r>
      <w:r w:rsidR="00250F20" w:rsidRPr="00461D74">
        <w:rPr>
          <w:rFonts w:ascii="Garamond" w:hAnsi="Garamond"/>
          <w:sz w:val="24"/>
          <w:szCs w:val="24"/>
        </w:rPr>
        <w:t xml:space="preserve">namely, </w:t>
      </w:r>
      <w:r w:rsidR="00082815" w:rsidRPr="00461D74">
        <w:rPr>
          <w:rFonts w:ascii="Garamond" w:hAnsi="Garamond"/>
          <w:sz w:val="24"/>
          <w:szCs w:val="24"/>
        </w:rPr>
        <w:t>excellence</w:t>
      </w:r>
      <w:r w:rsidR="001C0A39" w:rsidRPr="00461D74">
        <w:rPr>
          <w:rFonts w:ascii="Garamond" w:hAnsi="Garamond"/>
          <w:sz w:val="24"/>
          <w:szCs w:val="24"/>
        </w:rPr>
        <w:t xml:space="preserve"> </w:t>
      </w:r>
      <w:r w:rsidR="00082815" w:rsidRPr="00461D74">
        <w:rPr>
          <w:rFonts w:ascii="Garamond" w:hAnsi="Garamond"/>
          <w:sz w:val="24"/>
          <w:szCs w:val="24"/>
        </w:rPr>
        <w:t>–</w:t>
      </w:r>
      <w:r w:rsidR="001C0A39" w:rsidRPr="00461D74">
        <w:rPr>
          <w:rFonts w:ascii="Garamond" w:hAnsi="Garamond"/>
          <w:sz w:val="24"/>
          <w:szCs w:val="24"/>
        </w:rPr>
        <w:t xml:space="preserve"> </w:t>
      </w:r>
      <w:r w:rsidR="00250F20" w:rsidRPr="00461D74">
        <w:rPr>
          <w:rFonts w:ascii="Garamond" w:hAnsi="Garamond"/>
          <w:sz w:val="24"/>
          <w:szCs w:val="24"/>
        </w:rPr>
        <w:t>should</w:t>
      </w:r>
      <w:r w:rsidRPr="00461D74">
        <w:rPr>
          <w:rFonts w:ascii="Garamond" w:hAnsi="Garamond"/>
          <w:sz w:val="24"/>
          <w:szCs w:val="24"/>
        </w:rPr>
        <w:t xml:space="preserve"> be understood as </w:t>
      </w:r>
      <w:r w:rsidR="008B2506" w:rsidRPr="00461D74">
        <w:rPr>
          <w:rFonts w:ascii="Garamond" w:hAnsi="Garamond"/>
          <w:sz w:val="24"/>
          <w:szCs w:val="24"/>
        </w:rPr>
        <w:t xml:space="preserve">realising (or achieving) </w:t>
      </w:r>
      <w:r w:rsidRPr="00461D74">
        <w:rPr>
          <w:rFonts w:ascii="Garamond" w:hAnsi="Garamond"/>
          <w:sz w:val="24"/>
          <w:szCs w:val="24"/>
        </w:rPr>
        <w:t xml:space="preserve">what </w:t>
      </w:r>
      <w:r w:rsidR="008B2506" w:rsidRPr="00461D74">
        <w:rPr>
          <w:rFonts w:ascii="Garamond" w:hAnsi="Garamond"/>
          <w:sz w:val="24"/>
          <w:szCs w:val="24"/>
        </w:rPr>
        <w:t xml:space="preserve">is required of you in </w:t>
      </w:r>
      <w:r w:rsidRPr="00461D74">
        <w:rPr>
          <w:rFonts w:ascii="Garamond" w:hAnsi="Garamond"/>
          <w:sz w:val="24"/>
          <w:szCs w:val="24"/>
        </w:rPr>
        <w:t xml:space="preserve">your </w:t>
      </w:r>
      <w:r w:rsidR="008B2506" w:rsidRPr="00461D74">
        <w:rPr>
          <w:rFonts w:ascii="Garamond" w:hAnsi="Garamond"/>
          <w:sz w:val="24"/>
          <w:szCs w:val="24"/>
        </w:rPr>
        <w:t xml:space="preserve">social </w:t>
      </w:r>
      <w:r w:rsidRPr="00461D74">
        <w:rPr>
          <w:rFonts w:ascii="Garamond" w:hAnsi="Garamond"/>
          <w:sz w:val="24"/>
          <w:szCs w:val="24"/>
        </w:rPr>
        <w:t>role</w:t>
      </w:r>
      <w:r w:rsidR="008B2506" w:rsidRPr="00461D74">
        <w:rPr>
          <w:rFonts w:ascii="Garamond" w:hAnsi="Garamond"/>
          <w:sz w:val="24"/>
          <w:szCs w:val="24"/>
        </w:rPr>
        <w:t>,</w:t>
      </w:r>
      <w:r w:rsidRPr="00461D74">
        <w:rPr>
          <w:rFonts w:ascii="Garamond" w:hAnsi="Garamond"/>
          <w:sz w:val="24"/>
          <w:szCs w:val="24"/>
        </w:rPr>
        <w:t xml:space="preserve"> and to do it well using the </w:t>
      </w:r>
      <w:r w:rsidR="004772E5" w:rsidRPr="00461D74">
        <w:rPr>
          <w:rFonts w:ascii="Garamond" w:hAnsi="Garamond"/>
          <w:sz w:val="24"/>
          <w:szCs w:val="24"/>
        </w:rPr>
        <w:t xml:space="preserve">correct </w:t>
      </w:r>
      <w:r w:rsidRPr="00461D74">
        <w:rPr>
          <w:rFonts w:ascii="Garamond" w:hAnsi="Garamond"/>
          <w:sz w:val="24"/>
          <w:szCs w:val="24"/>
        </w:rPr>
        <w:t xml:space="preserve">skills </w:t>
      </w:r>
      <w:r w:rsidR="004772E5" w:rsidRPr="00461D74">
        <w:rPr>
          <w:rFonts w:ascii="Garamond" w:hAnsi="Garamond"/>
          <w:sz w:val="24"/>
          <w:szCs w:val="24"/>
        </w:rPr>
        <w:t xml:space="preserve">that are </w:t>
      </w:r>
      <w:r w:rsidRPr="00461D74">
        <w:rPr>
          <w:rFonts w:ascii="Garamond" w:hAnsi="Garamond"/>
          <w:sz w:val="24"/>
          <w:szCs w:val="24"/>
        </w:rPr>
        <w:t xml:space="preserve">necessary to </w:t>
      </w:r>
      <w:r w:rsidR="008B2506" w:rsidRPr="00461D74">
        <w:rPr>
          <w:rFonts w:ascii="Garamond" w:hAnsi="Garamond"/>
          <w:sz w:val="24"/>
          <w:szCs w:val="24"/>
        </w:rPr>
        <w:t>successfully fulfill the commitments assigned to you as a person occupying a certain role within a specified social structure</w:t>
      </w:r>
      <w:r w:rsidRPr="00461D74">
        <w:rPr>
          <w:rFonts w:ascii="Garamond" w:hAnsi="Garamond"/>
          <w:sz w:val="24"/>
          <w:szCs w:val="24"/>
        </w:rPr>
        <w:t>.</w:t>
      </w:r>
      <w:r w:rsidRPr="00461D74">
        <w:rPr>
          <w:rStyle w:val="FootnoteReference"/>
          <w:rFonts w:ascii="Garamond" w:hAnsi="Garamond"/>
          <w:sz w:val="24"/>
          <w:szCs w:val="24"/>
        </w:rPr>
        <w:footnoteReference w:id="89"/>
      </w:r>
      <w:r w:rsidR="00246640" w:rsidRPr="00461D74">
        <w:rPr>
          <w:rFonts w:ascii="Garamond" w:hAnsi="Garamond"/>
          <w:sz w:val="24"/>
          <w:szCs w:val="24"/>
        </w:rPr>
        <w:t xml:space="preserve"> </w:t>
      </w:r>
      <w:r w:rsidR="008B2506" w:rsidRPr="00461D74">
        <w:rPr>
          <w:rFonts w:ascii="Garamond" w:hAnsi="Garamond"/>
          <w:sz w:val="24"/>
          <w:szCs w:val="24"/>
        </w:rPr>
        <w:t>MacIntyre then argues that t</w:t>
      </w:r>
      <w:r w:rsidR="00246640" w:rsidRPr="00461D74">
        <w:rPr>
          <w:rFonts w:ascii="Garamond" w:hAnsi="Garamond"/>
          <w:sz w:val="24"/>
          <w:szCs w:val="24"/>
        </w:rPr>
        <w:t>he concept of achievement</w:t>
      </w:r>
      <w:r w:rsidR="001C0A39" w:rsidRPr="00461D74">
        <w:rPr>
          <w:rFonts w:ascii="Garamond" w:hAnsi="Garamond"/>
          <w:sz w:val="24"/>
          <w:szCs w:val="24"/>
        </w:rPr>
        <w:t xml:space="preserve"> </w:t>
      </w:r>
      <w:r w:rsidR="00246640" w:rsidRPr="00461D74">
        <w:rPr>
          <w:rFonts w:ascii="Garamond" w:hAnsi="Garamond"/>
          <w:sz w:val="24"/>
          <w:szCs w:val="24"/>
        </w:rPr>
        <w:t>–</w:t>
      </w:r>
      <w:r w:rsidR="001C0A39" w:rsidRPr="00461D74">
        <w:rPr>
          <w:rFonts w:ascii="Garamond" w:hAnsi="Garamond"/>
          <w:sz w:val="24"/>
          <w:szCs w:val="24"/>
        </w:rPr>
        <w:t xml:space="preserve"> </w:t>
      </w:r>
      <w:r w:rsidR="003519B2" w:rsidRPr="003519B2">
        <w:rPr>
          <w:rFonts w:ascii="Garamond" w:hAnsi="Garamond"/>
          <w:i/>
          <w:sz w:val="24"/>
          <w:szCs w:val="24"/>
        </w:rPr>
        <w:t>arête</w:t>
      </w:r>
      <w:r w:rsidRPr="00461D74">
        <w:rPr>
          <w:rFonts w:ascii="Garamond" w:hAnsi="Garamond"/>
          <w:sz w:val="24"/>
          <w:szCs w:val="24"/>
        </w:rPr>
        <w:t xml:space="preserve"> </w:t>
      </w:r>
      <w:r w:rsidR="00513184" w:rsidRPr="00461D74">
        <w:rPr>
          <w:rFonts w:ascii="Garamond" w:hAnsi="Garamond"/>
          <w:sz w:val="24"/>
          <w:szCs w:val="24"/>
        </w:rPr>
        <w:t>(</w:t>
      </w:r>
      <w:proofErr w:type="spellStart"/>
      <w:r w:rsidR="00CF38EA" w:rsidRPr="00CF38EA">
        <w:rPr>
          <w:rFonts w:ascii="Times New Roman" w:hAnsi="Times New Roman" w:cs="Times New Roman"/>
        </w:rPr>
        <w:t>ἀρετή</w:t>
      </w:r>
      <w:proofErr w:type="spellEnd"/>
      <w:r w:rsidR="00513184" w:rsidRPr="00461D74">
        <w:rPr>
          <w:rFonts w:ascii="Garamond" w:hAnsi="Garamond"/>
          <w:sz w:val="24"/>
          <w:szCs w:val="24"/>
        </w:rPr>
        <w:t>)</w:t>
      </w:r>
      <w:r w:rsidR="001C0A39" w:rsidRPr="00461D74">
        <w:rPr>
          <w:rFonts w:ascii="Garamond" w:hAnsi="Garamond"/>
          <w:sz w:val="24"/>
          <w:szCs w:val="24"/>
        </w:rPr>
        <w:t xml:space="preserve"> </w:t>
      </w:r>
      <w:r w:rsidR="00246640" w:rsidRPr="00461D74">
        <w:rPr>
          <w:rFonts w:ascii="Garamond" w:hAnsi="Garamond"/>
          <w:sz w:val="24"/>
          <w:szCs w:val="24"/>
        </w:rPr>
        <w:t>–</w:t>
      </w:r>
      <w:r w:rsidR="001C0A39" w:rsidRPr="00461D74">
        <w:rPr>
          <w:rFonts w:ascii="Garamond" w:hAnsi="Garamond"/>
          <w:sz w:val="24"/>
          <w:szCs w:val="24"/>
        </w:rPr>
        <w:t xml:space="preserve"> </w:t>
      </w:r>
      <w:r w:rsidRPr="00461D74">
        <w:rPr>
          <w:rFonts w:ascii="Garamond" w:hAnsi="Garamond"/>
          <w:sz w:val="24"/>
          <w:szCs w:val="24"/>
        </w:rPr>
        <w:t xml:space="preserve">in Homer </w:t>
      </w:r>
      <w:r w:rsidR="008B2506" w:rsidRPr="00461D74">
        <w:rPr>
          <w:rFonts w:ascii="Garamond" w:hAnsi="Garamond"/>
          <w:sz w:val="24"/>
          <w:szCs w:val="24"/>
        </w:rPr>
        <w:t xml:space="preserve">possesses </w:t>
      </w:r>
      <w:r w:rsidRPr="00461D74">
        <w:rPr>
          <w:rFonts w:ascii="Garamond" w:hAnsi="Garamond"/>
          <w:sz w:val="24"/>
          <w:szCs w:val="24"/>
        </w:rPr>
        <w:t>two distinct aspects</w:t>
      </w:r>
      <w:r w:rsidR="00C9766C">
        <w:rPr>
          <w:rFonts w:ascii="Garamond" w:hAnsi="Garamond"/>
          <w:sz w:val="24"/>
          <w:szCs w:val="24"/>
        </w:rPr>
        <w:t>:</w:t>
      </w:r>
      <w:r w:rsidRPr="00461D74">
        <w:rPr>
          <w:rFonts w:ascii="Garamond" w:hAnsi="Garamond"/>
          <w:sz w:val="24"/>
          <w:szCs w:val="24"/>
        </w:rPr>
        <w:t xml:space="preserve"> </w:t>
      </w:r>
      <w:r w:rsidR="00C9766C">
        <w:rPr>
          <w:rFonts w:ascii="Garamond" w:hAnsi="Garamond"/>
          <w:sz w:val="24"/>
          <w:szCs w:val="24"/>
        </w:rPr>
        <w:t>t</w:t>
      </w:r>
      <w:r w:rsidRPr="00461D74">
        <w:rPr>
          <w:rFonts w:ascii="Garamond" w:hAnsi="Garamond"/>
          <w:sz w:val="24"/>
          <w:szCs w:val="24"/>
        </w:rPr>
        <w:t>o achieve is to excel</w:t>
      </w:r>
      <w:r w:rsidR="00A2471A" w:rsidRPr="00461D74">
        <w:rPr>
          <w:rFonts w:ascii="Garamond" w:hAnsi="Garamond"/>
          <w:sz w:val="24"/>
          <w:szCs w:val="24"/>
        </w:rPr>
        <w:t>,</w:t>
      </w:r>
      <w:r w:rsidRPr="00461D74">
        <w:rPr>
          <w:rFonts w:ascii="Garamond" w:hAnsi="Garamond"/>
          <w:sz w:val="24"/>
          <w:szCs w:val="24"/>
        </w:rPr>
        <w:t xml:space="preserve"> but to achieve is also to win.</w:t>
      </w:r>
      <w:r w:rsidRPr="00461D74">
        <w:rPr>
          <w:rStyle w:val="FootnoteReference"/>
          <w:rFonts w:ascii="Garamond" w:hAnsi="Garamond"/>
          <w:sz w:val="24"/>
          <w:szCs w:val="24"/>
        </w:rPr>
        <w:footnoteReference w:id="90"/>
      </w:r>
      <w:r w:rsidRPr="00461D74">
        <w:rPr>
          <w:rFonts w:ascii="Garamond" w:hAnsi="Garamond"/>
          <w:sz w:val="24"/>
          <w:szCs w:val="24"/>
        </w:rPr>
        <w:t xml:space="preserve"> </w:t>
      </w:r>
      <w:r w:rsidR="008B2506" w:rsidRPr="00461D74">
        <w:rPr>
          <w:rFonts w:ascii="Garamond" w:hAnsi="Garamond"/>
          <w:sz w:val="24"/>
          <w:szCs w:val="24"/>
        </w:rPr>
        <w:t>Nevertheless</w:t>
      </w:r>
      <w:r w:rsidRPr="00461D74">
        <w:rPr>
          <w:rFonts w:ascii="Garamond" w:hAnsi="Garamond"/>
          <w:sz w:val="24"/>
          <w:szCs w:val="24"/>
        </w:rPr>
        <w:t>, in Heroic society</w:t>
      </w:r>
      <w:r w:rsidR="008B2506" w:rsidRPr="00461D74">
        <w:rPr>
          <w:rFonts w:ascii="Garamond" w:hAnsi="Garamond"/>
          <w:sz w:val="24"/>
          <w:szCs w:val="24"/>
        </w:rPr>
        <w:t>,</w:t>
      </w:r>
      <w:r w:rsidRPr="00461D74">
        <w:rPr>
          <w:rFonts w:ascii="Garamond" w:hAnsi="Garamond"/>
          <w:sz w:val="24"/>
          <w:szCs w:val="24"/>
        </w:rPr>
        <w:t xml:space="preserve"> the incompatibility between those qualities required for the pursuit of </w:t>
      </w:r>
      <w:r w:rsidR="003E6DBC" w:rsidRPr="00461D74">
        <w:rPr>
          <w:rFonts w:ascii="Garamond" w:hAnsi="Garamond"/>
          <w:sz w:val="24"/>
          <w:szCs w:val="24"/>
        </w:rPr>
        <w:t>winning (</w:t>
      </w:r>
      <w:r w:rsidRPr="00461D74">
        <w:rPr>
          <w:rFonts w:ascii="Garamond" w:hAnsi="Garamond"/>
          <w:sz w:val="24"/>
          <w:szCs w:val="24"/>
        </w:rPr>
        <w:t>external goods</w:t>
      </w:r>
      <w:r w:rsidR="003E6DBC" w:rsidRPr="00461D74">
        <w:rPr>
          <w:rFonts w:ascii="Garamond" w:hAnsi="Garamond"/>
          <w:sz w:val="24"/>
          <w:szCs w:val="24"/>
        </w:rPr>
        <w:t>),</w:t>
      </w:r>
      <w:r w:rsidRPr="00461D74">
        <w:rPr>
          <w:rFonts w:ascii="Garamond" w:hAnsi="Garamond"/>
          <w:sz w:val="24"/>
          <w:szCs w:val="24"/>
        </w:rPr>
        <w:t xml:space="preserve"> and those </w:t>
      </w:r>
      <w:r w:rsidR="003E6DBC" w:rsidRPr="00461D74">
        <w:rPr>
          <w:rFonts w:ascii="Garamond" w:hAnsi="Garamond"/>
          <w:sz w:val="24"/>
          <w:szCs w:val="24"/>
        </w:rPr>
        <w:t xml:space="preserve">required </w:t>
      </w:r>
      <w:r w:rsidRPr="00461D74">
        <w:rPr>
          <w:rFonts w:ascii="Garamond" w:hAnsi="Garamond"/>
          <w:sz w:val="24"/>
          <w:szCs w:val="24"/>
        </w:rPr>
        <w:t>for the pursuit of excellence (internal goods)</w:t>
      </w:r>
      <w:r w:rsidR="003E6DBC" w:rsidRPr="00461D74">
        <w:rPr>
          <w:rFonts w:ascii="Garamond" w:hAnsi="Garamond"/>
          <w:sz w:val="24"/>
          <w:szCs w:val="24"/>
        </w:rPr>
        <w:t>,</w:t>
      </w:r>
      <w:r w:rsidRPr="00461D74">
        <w:rPr>
          <w:rFonts w:ascii="Garamond" w:hAnsi="Garamond"/>
          <w:sz w:val="24"/>
          <w:szCs w:val="24"/>
        </w:rPr>
        <w:t xml:space="preserve"> remain mostly unacknowledged.</w:t>
      </w:r>
      <w:r w:rsidRPr="00461D74">
        <w:rPr>
          <w:rStyle w:val="FootnoteReference"/>
          <w:rFonts w:ascii="Garamond" w:hAnsi="Garamond"/>
          <w:sz w:val="24"/>
          <w:szCs w:val="24"/>
        </w:rPr>
        <w:footnoteReference w:id="91"/>
      </w:r>
      <w:r w:rsidRPr="00461D74">
        <w:rPr>
          <w:rFonts w:ascii="Garamond" w:hAnsi="Garamond"/>
          <w:sz w:val="24"/>
          <w:szCs w:val="24"/>
        </w:rPr>
        <w:t xml:space="preserve"> </w:t>
      </w:r>
      <w:r w:rsidR="00250F20" w:rsidRPr="00461D74">
        <w:rPr>
          <w:rFonts w:ascii="Garamond" w:hAnsi="Garamond"/>
          <w:sz w:val="24"/>
          <w:szCs w:val="24"/>
        </w:rPr>
        <w:t xml:space="preserve">If we accept this view, during the heroic period which covers the Homeric epics, the concept of </w:t>
      </w:r>
      <w:proofErr w:type="spellStart"/>
      <w:r w:rsidR="00250F20" w:rsidRPr="00461D74">
        <w:rPr>
          <w:rFonts w:ascii="Garamond" w:hAnsi="Garamond"/>
          <w:i/>
          <w:iCs/>
          <w:sz w:val="24"/>
          <w:szCs w:val="24"/>
        </w:rPr>
        <w:t>agathós</w:t>
      </w:r>
      <w:proofErr w:type="spellEnd"/>
      <w:r w:rsidR="00250F20" w:rsidRPr="00461D74">
        <w:rPr>
          <w:rFonts w:ascii="Garamond" w:hAnsi="Garamond"/>
          <w:sz w:val="24"/>
          <w:szCs w:val="24"/>
        </w:rPr>
        <w:t xml:space="preserve"> (</w:t>
      </w:r>
      <w:proofErr w:type="spellStart"/>
      <w:r w:rsidR="00CF38EA" w:rsidRPr="00CF38EA">
        <w:rPr>
          <w:rFonts w:ascii="Times New Roman" w:hAnsi="Times New Roman" w:cs="Times New Roman"/>
        </w:rPr>
        <w:t>ἀγαθὸς</w:t>
      </w:r>
      <w:proofErr w:type="spellEnd"/>
      <w:r w:rsidR="00250F20" w:rsidRPr="00461D74">
        <w:rPr>
          <w:rFonts w:ascii="Garamond" w:hAnsi="Garamond"/>
          <w:sz w:val="24"/>
          <w:szCs w:val="24"/>
        </w:rPr>
        <w:t xml:space="preserve">) and </w:t>
      </w:r>
      <w:r w:rsidR="00250F20" w:rsidRPr="00461D74">
        <w:rPr>
          <w:rFonts w:ascii="Garamond" w:hAnsi="Garamond"/>
          <w:i/>
          <w:iCs/>
          <w:sz w:val="24"/>
          <w:szCs w:val="24"/>
        </w:rPr>
        <w:t>arête</w:t>
      </w:r>
      <w:r w:rsidR="00250F20" w:rsidRPr="00461D74">
        <w:rPr>
          <w:rFonts w:ascii="Garamond" w:hAnsi="Garamond"/>
          <w:sz w:val="24"/>
          <w:szCs w:val="24"/>
        </w:rPr>
        <w:t xml:space="preserve"> (</w:t>
      </w:r>
      <w:proofErr w:type="spellStart"/>
      <w:r w:rsidR="00CF38EA" w:rsidRPr="00CF38EA">
        <w:rPr>
          <w:rFonts w:ascii="Times New Roman" w:hAnsi="Times New Roman" w:cs="Times New Roman"/>
        </w:rPr>
        <w:t>ἀρετή</w:t>
      </w:r>
      <w:proofErr w:type="spellEnd"/>
      <w:r w:rsidR="00250F20" w:rsidRPr="00461D74">
        <w:rPr>
          <w:rFonts w:ascii="Garamond" w:hAnsi="Garamond"/>
          <w:sz w:val="24"/>
          <w:szCs w:val="24"/>
        </w:rPr>
        <w:t xml:space="preserve">) </w:t>
      </w:r>
      <w:r w:rsidR="008B2506" w:rsidRPr="00461D74">
        <w:rPr>
          <w:rFonts w:ascii="Garamond" w:hAnsi="Garamond"/>
          <w:sz w:val="24"/>
          <w:szCs w:val="24"/>
        </w:rPr>
        <w:t xml:space="preserve">remain </w:t>
      </w:r>
      <w:r w:rsidR="00250F20" w:rsidRPr="00461D74">
        <w:rPr>
          <w:rFonts w:ascii="Garamond" w:hAnsi="Garamond"/>
          <w:sz w:val="24"/>
          <w:szCs w:val="24"/>
        </w:rPr>
        <w:t>more or less indistinguishable.</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3E6DBC" w:rsidRPr="00461D74">
        <w:rPr>
          <w:rFonts w:ascii="Garamond" w:hAnsi="Garamond"/>
          <w:sz w:val="24"/>
          <w:szCs w:val="24"/>
        </w:rPr>
        <w:t>at this point</w:t>
      </w:r>
      <w:r w:rsidRPr="00461D74">
        <w:rPr>
          <w:rFonts w:ascii="Garamond" w:hAnsi="Garamond"/>
          <w:sz w:val="24"/>
          <w:szCs w:val="24"/>
        </w:rPr>
        <w:t xml:space="preserve"> </w:t>
      </w:r>
      <w:r w:rsidR="00CF05D1" w:rsidRPr="00461D74">
        <w:rPr>
          <w:rFonts w:ascii="Garamond" w:hAnsi="Garamond"/>
          <w:sz w:val="24"/>
          <w:szCs w:val="24"/>
        </w:rPr>
        <w:t>articulates</w:t>
      </w:r>
      <w:r w:rsidRPr="00461D74">
        <w:rPr>
          <w:rFonts w:ascii="Garamond" w:hAnsi="Garamond"/>
          <w:sz w:val="24"/>
          <w:szCs w:val="24"/>
        </w:rPr>
        <w:t xml:space="preserve"> a fourth hypothesis (H4): </w:t>
      </w:r>
      <w:r w:rsidR="00F515C6" w:rsidRPr="00461D74">
        <w:rPr>
          <w:rFonts w:ascii="Garamond" w:hAnsi="Garamond"/>
          <w:i/>
          <w:sz w:val="24"/>
          <w:szCs w:val="24"/>
        </w:rPr>
        <w:t>that social change in the intervening period from Heroic Society to 4</w:t>
      </w:r>
      <w:r w:rsidR="00F515C6" w:rsidRPr="00461D74">
        <w:rPr>
          <w:rFonts w:ascii="Garamond" w:hAnsi="Garamond"/>
          <w:i/>
          <w:sz w:val="24"/>
          <w:szCs w:val="24"/>
          <w:vertAlign w:val="superscript"/>
        </w:rPr>
        <w:t>th</w:t>
      </w:r>
      <w:r w:rsidR="00F515C6" w:rsidRPr="00461D74">
        <w:rPr>
          <w:rFonts w:ascii="Garamond" w:hAnsi="Garamond"/>
          <w:i/>
          <w:sz w:val="24"/>
          <w:szCs w:val="24"/>
        </w:rPr>
        <w:t>-5</w:t>
      </w:r>
      <w:r w:rsidR="00F515C6" w:rsidRPr="00461D74">
        <w:rPr>
          <w:rFonts w:ascii="Garamond" w:hAnsi="Garamond"/>
          <w:i/>
          <w:sz w:val="24"/>
          <w:szCs w:val="24"/>
          <w:vertAlign w:val="superscript"/>
        </w:rPr>
        <w:t>th</w:t>
      </w:r>
      <w:r w:rsidR="00F515C6" w:rsidRPr="00461D74">
        <w:rPr>
          <w:rFonts w:ascii="Garamond" w:hAnsi="Garamond"/>
          <w:i/>
          <w:sz w:val="24"/>
          <w:szCs w:val="24"/>
        </w:rPr>
        <w:t xml:space="preserve"> century BCE Athens generated the sort of conditions where the incompatibility between the goods of excellence and goods of winning more and more become acknowledged in conceptual terms.</w:t>
      </w:r>
      <w:r w:rsidRPr="00461D74">
        <w:rPr>
          <w:rFonts w:ascii="Garamond" w:hAnsi="Garamond"/>
          <w:sz w:val="24"/>
          <w:szCs w:val="24"/>
        </w:rPr>
        <w:t xml:space="preserve"> </w:t>
      </w:r>
      <w:r w:rsidR="00F86312" w:rsidRPr="00461D74">
        <w:rPr>
          <w:rFonts w:ascii="Garamond" w:hAnsi="Garamond"/>
          <w:sz w:val="24"/>
          <w:szCs w:val="24"/>
        </w:rPr>
        <w:t xml:space="preserve">Thus, it appears that a series of </w:t>
      </w:r>
      <w:r w:rsidR="003C2F5F">
        <w:rPr>
          <w:rFonts w:ascii="Garamond" w:hAnsi="Garamond"/>
          <w:sz w:val="24"/>
          <w:szCs w:val="24"/>
        </w:rPr>
        <w:t>historical</w:t>
      </w:r>
      <w:r w:rsidR="003C2F5F" w:rsidRPr="00461D74">
        <w:rPr>
          <w:rFonts w:ascii="Garamond" w:hAnsi="Garamond"/>
          <w:sz w:val="24"/>
          <w:szCs w:val="24"/>
        </w:rPr>
        <w:t xml:space="preserve"> </w:t>
      </w:r>
      <w:r w:rsidR="00F86312" w:rsidRPr="00461D74">
        <w:rPr>
          <w:rFonts w:ascii="Garamond" w:hAnsi="Garamond"/>
          <w:sz w:val="24"/>
          <w:szCs w:val="24"/>
        </w:rPr>
        <w:t xml:space="preserve">events and </w:t>
      </w:r>
      <w:r w:rsidR="003C2F5F">
        <w:rPr>
          <w:rFonts w:ascii="Garamond" w:hAnsi="Garamond"/>
          <w:sz w:val="24"/>
          <w:szCs w:val="24"/>
        </w:rPr>
        <w:t xml:space="preserve">social </w:t>
      </w:r>
      <w:r w:rsidR="00F86312" w:rsidRPr="00461D74">
        <w:rPr>
          <w:rFonts w:ascii="Garamond" w:hAnsi="Garamond"/>
          <w:sz w:val="24"/>
          <w:szCs w:val="24"/>
        </w:rPr>
        <w:t xml:space="preserve">transformations, which are conceptually captured by this hypothesis, </w:t>
      </w:r>
      <w:r w:rsidRPr="00461D74">
        <w:rPr>
          <w:rFonts w:ascii="Garamond" w:hAnsi="Garamond"/>
          <w:sz w:val="24"/>
          <w:szCs w:val="24"/>
        </w:rPr>
        <w:t xml:space="preserve">then </w:t>
      </w:r>
      <w:r w:rsidR="00F86312" w:rsidRPr="00461D74">
        <w:rPr>
          <w:rFonts w:ascii="Garamond" w:hAnsi="Garamond"/>
          <w:sz w:val="24"/>
          <w:szCs w:val="24"/>
        </w:rPr>
        <w:t>generates a number of</w:t>
      </w:r>
      <w:r w:rsidRPr="00461D74">
        <w:rPr>
          <w:rFonts w:ascii="Garamond" w:hAnsi="Garamond"/>
          <w:sz w:val="24"/>
          <w:szCs w:val="24"/>
        </w:rPr>
        <w:t xml:space="preserve"> debates between </w:t>
      </w:r>
      <w:r w:rsidR="004C5A3A" w:rsidRPr="00461D74">
        <w:rPr>
          <w:rFonts w:ascii="Garamond" w:hAnsi="Garamond"/>
          <w:sz w:val="24"/>
          <w:szCs w:val="24"/>
        </w:rPr>
        <w:t xml:space="preserve">various </w:t>
      </w:r>
      <w:r w:rsidRPr="00461D74">
        <w:rPr>
          <w:rFonts w:ascii="Garamond" w:hAnsi="Garamond"/>
          <w:sz w:val="24"/>
          <w:szCs w:val="24"/>
        </w:rPr>
        <w:t xml:space="preserve">parties </w:t>
      </w:r>
      <w:r w:rsidRPr="00461D74">
        <w:rPr>
          <w:rFonts w:ascii="Garamond" w:hAnsi="Garamond"/>
          <w:sz w:val="24"/>
          <w:szCs w:val="24"/>
        </w:rPr>
        <w:lastRenderedPageBreak/>
        <w:t xml:space="preserve">including Thucydides, </w:t>
      </w:r>
      <w:r w:rsidR="004C5A3A" w:rsidRPr="00461D74">
        <w:rPr>
          <w:rFonts w:ascii="Garamond" w:hAnsi="Garamond"/>
          <w:sz w:val="24"/>
          <w:szCs w:val="24"/>
        </w:rPr>
        <w:t xml:space="preserve">Sophists, </w:t>
      </w:r>
      <w:r w:rsidRPr="00461D74">
        <w:rPr>
          <w:rFonts w:ascii="Garamond" w:hAnsi="Garamond"/>
          <w:sz w:val="24"/>
          <w:szCs w:val="24"/>
        </w:rPr>
        <w:t>Socrates and other Socratic interlocutors.</w:t>
      </w:r>
      <w:r w:rsidRPr="00461D74">
        <w:rPr>
          <w:rStyle w:val="FootnoteReference"/>
          <w:rFonts w:ascii="Garamond" w:hAnsi="Garamond"/>
          <w:sz w:val="24"/>
          <w:szCs w:val="24"/>
        </w:rPr>
        <w:footnoteReference w:id="92"/>
      </w:r>
      <w:r w:rsidRPr="00461D74">
        <w:rPr>
          <w:rFonts w:ascii="Garamond" w:hAnsi="Garamond"/>
          <w:sz w:val="24"/>
          <w:szCs w:val="24"/>
        </w:rPr>
        <w:t xml:space="preserve"> MacIntyre’s secondary thesis is that </w:t>
      </w:r>
      <w:r w:rsidR="00DA10D3" w:rsidRPr="00461D74">
        <w:rPr>
          <w:rFonts w:ascii="Garamond" w:hAnsi="Garamond"/>
          <w:sz w:val="24"/>
          <w:szCs w:val="24"/>
        </w:rPr>
        <w:t xml:space="preserve">as </w:t>
      </w:r>
      <w:r w:rsidRPr="00461D74">
        <w:rPr>
          <w:rFonts w:ascii="Garamond" w:hAnsi="Garamond"/>
          <w:sz w:val="24"/>
          <w:szCs w:val="24"/>
        </w:rPr>
        <w:t>the conflict between goods of excellence and effectiveness became more and more explicit in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w:t>
      </w:r>
      <w:r w:rsidR="00DA10D3" w:rsidRPr="00461D74">
        <w:rPr>
          <w:rFonts w:ascii="Garamond" w:hAnsi="Garamond"/>
          <w:sz w:val="24"/>
          <w:szCs w:val="24"/>
        </w:rPr>
        <w:t xml:space="preserve">it gave rise to a number of radical disagreements; </w:t>
      </w:r>
      <w:r w:rsidRPr="00461D74">
        <w:rPr>
          <w:rFonts w:ascii="Garamond" w:hAnsi="Garamond"/>
          <w:sz w:val="24"/>
          <w:szCs w:val="24"/>
        </w:rPr>
        <w:t xml:space="preserve">and that this conflict should be understood as a radical disagreement </w:t>
      </w:r>
      <w:r w:rsidR="00DA10D3" w:rsidRPr="00461D74">
        <w:rPr>
          <w:rFonts w:ascii="Garamond" w:hAnsi="Garamond"/>
          <w:sz w:val="24"/>
          <w:szCs w:val="24"/>
        </w:rPr>
        <w:t xml:space="preserve">as to </w:t>
      </w:r>
      <w:r w:rsidRPr="00461D74">
        <w:rPr>
          <w:rFonts w:ascii="Garamond" w:hAnsi="Garamond"/>
          <w:sz w:val="24"/>
          <w:szCs w:val="24"/>
        </w:rPr>
        <w:t xml:space="preserve">which set of goods </w:t>
      </w:r>
      <w:r w:rsidR="0050141F" w:rsidRPr="00461D74">
        <w:rPr>
          <w:rFonts w:ascii="Garamond" w:hAnsi="Garamond"/>
          <w:sz w:val="24"/>
          <w:szCs w:val="24"/>
        </w:rPr>
        <w:t>–</w:t>
      </w:r>
      <w:r w:rsidRPr="00461D74">
        <w:rPr>
          <w:rFonts w:ascii="Garamond" w:hAnsi="Garamond"/>
          <w:sz w:val="24"/>
          <w:szCs w:val="24"/>
        </w:rPr>
        <w:t xml:space="preserve"> those of excellence or those of effectiveness (or efficiency) </w:t>
      </w:r>
      <w:r w:rsidR="0050141F" w:rsidRPr="00461D74">
        <w:rPr>
          <w:rFonts w:ascii="Garamond" w:hAnsi="Garamond"/>
          <w:sz w:val="24"/>
          <w:szCs w:val="24"/>
        </w:rPr>
        <w:t>–</w:t>
      </w:r>
      <w:r w:rsidRPr="00461D74">
        <w:rPr>
          <w:rFonts w:ascii="Garamond" w:hAnsi="Garamond"/>
          <w:sz w:val="24"/>
          <w:szCs w:val="24"/>
        </w:rPr>
        <w:t xml:space="preserve"> </w:t>
      </w:r>
      <w:r w:rsidR="00DA10D3" w:rsidRPr="00461D74">
        <w:rPr>
          <w:rFonts w:ascii="Garamond" w:hAnsi="Garamond"/>
          <w:sz w:val="24"/>
          <w:szCs w:val="24"/>
        </w:rPr>
        <w:t>are relevant to organising</w:t>
      </w:r>
      <w:r w:rsidRPr="00461D74">
        <w:rPr>
          <w:rFonts w:ascii="Garamond" w:hAnsi="Garamond"/>
          <w:sz w:val="24"/>
          <w:szCs w:val="24"/>
        </w:rPr>
        <w:t xml:space="preserve"> </w:t>
      </w:r>
      <w:r w:rsidR="00DA10D3" w:rsidRPr="00461D74">
        <w:rPr>
          <w:rFonts w:ascii="Garamond" w:hAnsi="Garamond"/>
          <w:sz w:val="24"/>
          <w:szCs w:val="24"/>
        </w:rPr>
        <w:t xml:space="preserve">and structuring life in </w:t>
      </w:r>
      <w:r w:rsidRPr="00461D74">
        <w:rPr>
          <w:rFonts w:ascii="Garamond" w:hAnsi="Garamond"/>
          <w:sz w:val="24"/>
          <w:szCs w:val="24"/>
        </w:rPr>
        <w:t>the polis.</w:t>
      </w:r>
      <w:r w:rsidRPr="00461D74">
        <w:rPr>
          <w:rStyle w:val="FootnoteReference"/>
          <w:rFonts w:ascii="Garamond" w:hAnsi="Garamond"/>
          <w:sz w:val="24"/>
          <w:szCs w:val="24"/>
        </w:rPr>
        <w:footnoteReference w:id="93"/>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On the </w:t>
      </w:r>
      <w:proofErr w:type="spellStart"/>
      <w:r w:rsidRPr="00461D74">
        <w:rPr>
          <w:rFonts w:ascii="Garamond" w:hAnsi="Garamond"/>
          <w:sz w:val="24"/>
          <w:szCs w:val="24"/>
        </w:rPr>
        <w:t>Periclean</w:t>
      </w:r>
      <w:proofErr w:type="spellEnd"/>
      <w:r w:rsidRPr="00461D74">
        <w:rPr>
          <w:rFonts w:ascii="Garamond" w:hAnsi="Garamond"/>
          <w:sz w:val="24"/>
          <w:szCs w:val="24"/>
        </w:rPr>
        <w:t xml:space="preserve"> view, the concepts of winning and excellence are treated as compatible and closely linked. On this view, </w:t>
      </w:r>
      <w:r w:rsidR="0097019E" w:rsidRPr="00461D74">
        <w:rPr>
          <w:rFonts w:ascii="Garamond" w:hAnsi="Garamond"/>
          <w:sz w:val="24"/>
          <w:szCs w:val="24"/>
        </w:rPr>
        <w:t>the</w:t>
      </w:r>
      <w:r w:rsidRPr="00461D74">
        <w:rPr>
          <w:rFonts w:ascii="Garamond" w:hAnsi="Garamond"/>
          <w:sz w:val="24"/>
          <w:szCs w:val="24"/>
        </w:rPr>
        <w:t xml:space="preserve"> diverse </w:t>
      </w:r>
      <w:r w:rsidR="0097019E" w:rsidRPr="00461D74">
        <w:rPr>
          <w:rFonts w:ascii="Garamond" w:hAnsi="Garamond"/>
          <w:sz w:val="24"/>
          <w:szCs w:val="24"/>
        </w:rPr>
        <w:t xml:space="preserve">set of </w:t>
      </w:r>
      <w:r w:rsidRPr="00461D74">
        <w:rPr>
          <w:rFonts w:ascii="Garamond" w:hAnsi="Garamond"/>
          <w:sz w:val="24"/>
          <w:szCs w:val="24"/>
        </w:rPr>
        <w:t xml:space="preserve">goods that Athenians </w:t>
      </w:r>
      <w:r w:rsidR="001C7CA2" w:rsidRPr="00461D74">
        <w:rPr>
          <w:rFonts w:ascii="Garamond" w:hAnsi="Garamond"/>
          <w:sz w:val="24"/>
          <w:szCs w:val="24"/>
        </w:rPr>
        <w:t xml:space="preserve">can potentially </w:t>
      </w:r>
      <w:r w:rsidRPr="00461D74">
        <w:rPr>
          <w:rFonts w:ascii="Garamond" w:hAnsi="Garamond"/>
          <w:sz w:val="24"/>
          <w:szCs w:val="24"/>
        </w:rPr>
        <w:t xml:space="preserve">pursue, can </w:t>
      </w:r>
      <w:r w:rsidR="0097019E" w:rsidRPr="00461D74">
        <w:rPr>
          <w:rFonts w:ascii="Garamond" w:hAnsi="Garamond"/>
          <w:sz w:val="24"/>
          <w:szCs w:val="24"/>
        </w:rPr>
        <w:t xml:space="preserve">be </w:t>
      </w:r>
      <w:r w:rsidRPr="00461D74">
        <w:rPr>
          <w:rFonts w:ascii="Garamond" w:hAnsi="Garamond"/>
          <w:sz w:val="24"/>
          <w:szCs w:val="24"/>
        </w:rPr>
        <w:t>pursue</w:t>
      </w:r>
      <w:r w:rsidR="0097019E" w:rsidRPr="00461D74">
        <w:rPr>
          <w:rFonts w:ascii="Garamond" w:hAnsi="Garamond"/>
          <w:sz w:val="24"/>
          <w:szCs w:val="24"/>
        </w:rPr>
        <w:t>d</w:t>
      </w:r>
      <w:r w:rsidRPr="00461D74">
        <w:rPr>
          <w:rFonts w:ascii="Garamond" w:hAnsi="Garamond"/>
          <w:sz w:val="24"/>
          <w:szCs w:val="24"/>
        </w:rPr>
        <w:t xml:space="preserve"> </w:t>
      </w:r>
      <w:r w:rsidR="0097019E" w:rsidRPr="00461D74">
        <w:rPr>
          <w:rFonts w:ascii="Garamond" w:hAnsi="Garamond"/>
          <w:sz w:val="24"/>
          <w:szCs w:val="24"/>
        </w:rPr>
        <w:t xml:space="preserve">by </w:t>
      </w:r>
      <w:r w:rsidR="001C7CA2" w:rsidRPr="00461D74">
        <w:rPr>
          <w:rFonts w:ascii="Garamond" w:hAnsi="Garamond"/>
          <w:sz w:val="24"/>
          <w:szCs w:val="24"/>
        </w:rPr>
        <w:t xml:space="preserve">them </w:t>
      </w:r>
      <w:r w:rsidRPr="00461D74">
        <w:rPr>
          <w:rFonts w:ascii="Garamond" w:hAnsi="Garamond"/>
          <w:sz w:val="24"/>
          <w:szCs w:val="24"/>
        </w:rPr>
        <w:t xml:space="preserve">in a kind of harmony. Moreover, </w:t>
      </w:r>
      <w:r w:rsidR="001C7CA2" w:rsidRPr="00461D74">
        <w:rPr>
          <w:rFonts w:ascii="Garamond" w:hAnsi="Garamond"/>
          <w:sz w:val="24"/>
          <w:szCs w:val="24"/>
        </w:rPr>
        <w:t xml:space="preserve">on this view, </w:t>
      </w:r>
      <w:r w:rsidRPr="00461D74">
        <w:rPr>
          <w:rFonts w:ascii="Garamond" w:hAnsi="Garamond"/>
          <w:sz w:val="24"/>
          <w:szCs w:val="24"/>
        </w:rPr>
        <w:t>the individual</w:t>
      </w:r>
      <w:r w:rsidR="001C7CA2" w:rsidRPr="00461D74">
        <w:rPr>
          <w:rFonts w:ascii="Garamond" w:hAnsi="Garamond"/>
          <w:sz w:val="24"/>
          <w:szCs w:val="24"/>
        </w:rPr>
        <w:t>,</w:t>
      </w:r>
      <w:r w:rsidRPr="00461D74">
        <w:rPr>
          <w:rFonts w:ascii="Garamond" w:hAnsi="Garamond"/>
          <w:sz w:val="24"/>
          <w:szCs w:val="24"/>
        </w:rPr>
        <w:t xml:space="preserve"> pursuing </w:t>
      </w:r>
      <w:r w:rsidR="00DB00EA" w:rsidRPr="00DB00EA">
        <w:rPr>
          <w:rFonts w:ascii="Garamond" w:hAnsi="Garamond"/>
          <w:i/>
          <w:sz w:val="24"/>
          <w:szCs w:val="24"/>
        </w:rPr>
        <w:t>his</w:t>
      </w:r>
      <w:r w:rsidRPr="00461D74">
        <w:rPr>
          <w:rFonts w:ascii="Garamond" w:hAnsi="Garamond"/>
          <w:sz w:val="24"/>
          <w:szCs w:val="24"/>
        </w:rPr>
        <w:t xml:space="preserve"> or </w:t>
      </w:r>
      <w:r w:rsidR="00DB00EA" w:rsidRPr="00DB00EA">
        <w:rPr>
          <w:rFonts w:ascii="Garamond" w:hAnsi="Garamond"/>
          <w:i/>
          <w:sz w:val="24"/>
          <w:szCs w:val="24"/>
        </w:rPr>
        <w:t>her</w:t>
      </w:r>
      <w:r w:rsidRPr="00461D74">
        <w:rPr>
          <w:rFonts w:ascii="Garamond" w:hAnsi="Garamond"/>
          <w:sz w:val="24"/>
          <w:szCs w:val="24"/>
        </w:rPr>
        <w:t xml:space="preserve"> good</w:t>
      </w:r>
      <w:r w:rsidR="001C7CA2" w:rsidRPr="00461D74">
        <w:rPr>
          <w:rFonts w:ascii="Garamond" w:hAnsi="Garamond"/>
          <w:sz w:val="24"/>
          <w:szCs w:val="24"/>
        </w:rPr>
        <w:t>,</w:t>
      </w:r>
      <w:r w:rsidRPr="00461D74">
        <w:rPr>
          <w:rFonts w:ascii="Garamond" w:hAnsi="Garamond"/>
          <w:sz w:val="24"/>
          <w:szCs w:val="24"/>
        </w:rPr>
        <w:t xml:space="preserve"> is </w:t>
      </w:r>
      <w:r w:rsidR="00857D89" w:rsidRPr="00461D74">
        <w:rPr>
          <w:rFonts w:ascii="Garamond" w:hAnsi="Garamond"/>
          <w:sz w:val="24"/>
          <w:szCs w:val="24"/>
        </w:rPr>
        <w:t xml:space="preserve">simultaneously </w:t>
      </w:r>
      <w:r w:rsidRPr="00461D74">
        <w:rPr>
          <w:rFonts w:ascii="Garamond" w:hAnsi="Garamond"/>
          <w:sz w:val="24"/>
          <w:szCs w:val="24"/>
        </w:rPr>
        <w:t xml:space="preserve">pursuing </w:t>
      </w:r>
      <w:r w:rsidR="00DB00EA" w:rsidRPr="00DB00EA">
        <w:rPr>
          <w:rFonts w:ascii="Garamond" w:hAnsi="Garamond"/>
          <w:i/>
          <w:sz w:val="24"/>
          <w:szCs w:val="24"/>
        </w:rPr>
        <w:t>the</w:t>
      </w:r>
      <w:r w:rsidRPr="00461D74">
        <w:rPr>
          <w:rFonts w:ascii="Garamond" w:hAnsi="Garamond"/>
          <w:sz w:val="24"/>
          <w:szCs w:val="24"/>
        </w:rPr>
        <w:t xml:space="preserve"> good of the Athenian polis. </w:t>
      </w:r>
      <w:r w:rsidR="001C7CA2" w:rsidRPr="00461D74">
        <w:rPr>
          <w:rFonts w:ascii="Garamond" w:hAnsi="Garamond"/>
          <w:sz w:val="24"/>
          <w:szCs w:val="24"/>
        </w:rPr>
        <w:t>Here</w:t>
      </w:r>
      <w:r w:rsidRPr="00461D74">
        <w:rPr>
          <w:rFonts w:ascii="Garamond" w:hAnsi="Garamond"/>
          <w:sz w:val="24"/>
          <w:szCs w:val="24"/>
        </w:rPr>
        <w:t xml:space="preserve">, </w:t>
      </w:r>
      <w:r w:rsidR="001C7CA2" w:rsidRPr="00461D74">
        <w:rPr>
          <w:rFonts w:ascii="Garamond" w:hAnsi="Garamond"/>
          <w:sz w:val="24"/>
          <w:szCs w:val="24"/>
        </w:rPr>
        <w:t xml:space="preserve">the </w:t>
      </w:r>
      <w:r w:rsidRPr="00461D74">
        <w:rPr>
          <w:rFonts w:ascii="Garamond" w:hAnsi="Garamond"/>
          <w:sz w:val="24"/>
          <w:szCs w:val="24"/>
        </w:rPr>
        <w:t xml:space="preserve">rules of justice, like those in the Homeric epics, are rules only for those within the group – in this case Athenians – and not </w:t>
      </w:r>
      <w:r w:rsidR="001C7CA2" w:rsidRPr="00461D74">
        <w:rPr>
          <w:rFonts w:ascii="Garamond" w:hAnsi="Garamond"/>
          <w:sz w:val="24"/>
          <w:szCs w:val="24"/>
        </w:rPr>
        <w:t xml:space="preserve">those who reside </w:t>
      </w:r>
      <w:r w:rsidRPr="00461D74">
        <w:rPr>
          <w:rFonts w:ascii="Garamond" w:hAnsi="Garamond"/>
          <w:sz w:val="24"/>
          <w:szCs w:val="24"/>
        </w:rPr>
        <w:t>outside</w:t>
      </w:r>
      <w:r w:rsidR="001C7CA2" w:rsidRPr="00461D74">
        <w:rPr>
          <w:rFonts w:ascii="Garamond" w:hAnsi="Garamond"/>
          <w:sz w:val="24"/>
          <w:szCs w:val="24"/>
        </w:rPr>
        <w:t xml:space="preserve"> of it</w:t>
      </w:r>
      <w:r w:rsidRPr="00461D74">
        <w:rPr>
          <w:rFonts w:ascii="Garamond" w:hAnsi="Garamond"/>
          <w:sz w:val="24"/>
          <w:szCs w:val="24"/>
        </w:rPr>
        <w:t>.</w:t>
      </w:r>
      <w:r w:rsidRPr="00461D74">
        <w:rPr>
          <w:rStyle w:val="FootnoteReference"/>
          <w:rFonts w:ascii="Garamond" w:hAnsi="Garamond"/>
          <w:sz w:val="24"/>
          <w:szCs w:val="24"/>
        </w:rPr>
        <w:footnoteReference w:id="94"/>
      </w:r>
      <w:r w:rsidRPr="00461D74">
        <w:rPr>
          <w:rFonts w:ascii="Garamond" w:hAnsi="Garamond"/>
          <w:sz w:val="24"/>
          <w:szCs w:val="24"/>
        </w:rPr>
        <w:t xml:space="preserve"> MacIntyre then reconstructs the various episodes in the history of the Athenian polis in which Athens is seen to be treating other city-states badly.</w:t>
      </w:r>
      <w:r w:rsidRPr="00461D74">
        <w:rPr>
          <w:rStyle w:val="FootnoteReference"/>
          <w:rFonts w:ascii="Garamond" w:hAnsi="Garamond"/>
          <w:sz w:val="24"/>
          <w:szCs w:val="24"/>
        </w:rPr>
        <w:footnoteReference w:id="95"/>
      </w:r>
      <w:r w:rsidRPr="00461D74">
        <w:rPr>
          <w:rFonts w:ascii="Garamond" w:hAnsi="Garamond"/>
          <w:sz w:val="24"/>
          <w:szCs w:val="24"/>
        </w:rPr>
        <w:t xml:space="preserve"> </w:t>
      </w:r>
      <w:r w:rsidR="001C7CA2" w:rsidRPr="00461D74">
        <w:rPr>
          <w:rFonts w:ascii="Garamond" w:hAnsi="Garamond"/>
          <w:sz w:val="24"/>
          <w:szCs w:val="24"/>
        </w:rPr>
        <w:t>Therefore</w:t>
      </w:r>
      <w:r w:rsidRPr="00461D74">
        <w:rPr>
          <w:rFonts w:ascii="Garamond" w:hAnsi="Garamond"/>
          <w:sz w:val="24"/>
          <w:szCs w:val="24"/>
        </w:rPr>
        <w:t xml:space="preserve">, if Athens is seen </w:t>
      </w:r>
      <w:r w:rsidR="001C7CA2" w:rsidRPr="00461D74">
        <w:rPr>
          <w:rFonts w:ascii="Garamond" w:hAnsi="Garamond"/>
          <w:sz w:val="24"/>
          <w:szCs w:val="24"/>
        </w:rPr>
        <w:t>as</w:t>
      </w:r>
      <w:r w:rsidRPr="00461D74">
        <w:rPr>
          <w:rFonts w:ascii="Garamond" w:hAnsi="Garamond"/>
          <w:sz w:val="24"/>
          <w:szCs w:val="24"/>
        </w:rPr>
        <w:t xml:space="preserve"> treating other Greek city-states unjustly, </w:t>
      </w:r>
      <w:proofErr w:type="spellStart"/>
      <w:r w:rsidRPr="00461D74">
        <w:rPr>
          <w:rFonts w:ascii="Garamond" w:hAnsi="Garamond"/>
          <w:sz w:val="24"/>
          <w:szCs w:val="24"/>
        </w:rPr>
        <w:t>Periclean</w:t>
      </w:r>
      <w:proofErr w:type="spellEnd"/>
      <w:r w:rsidRPr="00461D74">
        <w:rPr>
          <w:rFonts w:ascii="Garamond" w:hAnsi="Garamond"/>
          <w:sz w:val="24"/>
          <w:szCs w:val="24"/>
        </w:rPr>
        <w:t xml:space="preserve"> rhetoric </w:t>
      </w:r>
      <w:r w:rsidR="00857D89" w:rsidRPr="00461D74">
        <w:rPr>
          <w:rFonts w:ascii="Garamond" w:hAnsi="Garamond"/>
          <w:sz w:val="24"/>
          <w:szCs w:val="24"/>
        </w:rPr>
        <w:t xml:space="preserve">could not simply rely on a set of rational arguments, and </w:t>
      </w:r>
      <w:r w:rsidR="00C9766C">
        <w:rPr>
          <w:rFonts w:ascii="Garamond" w:hAnsi="Garamond"/>
          <w:sz w:val="24"/>
          <w:szCs w:val="24"/>
        </w:rPr>
        <w:t>instead</w:t>
      </w:r>
      <w:r w:rsidR="00857D89" w:rsidRPr="00461D74">
        <w:rPr>
          <w:rFonts w:ascii="Garamond" w:hAnsi="Garamond"/>
          <w:sz w:val="24"/>
          <w:szCs w:val="24"/>
        </w:rPr>
        <w:t xml:space="preserve"> rhetorical manipulation had to play some role</w:t>
      </w:r>
      <w:r w:rsidRPr="00461D74">
        <w:rPr>
          <w:rFonts w:ascii="Garamond" w:hAnsi="Garamond"/>
          <w:sz w:val="24"/>
          <w:szCs w:val="24"/>
        </w:rPr>
        <w:t xml:space="preserve">. </w:t>
      </w:r>
      <w:r w:rsidR="001C7CA2" w:rsidRPr="00461D74">
        <w:rPr>
          <w:rFonts w:ascii="Garamond" w:hAnsi="Garamond"/>
          <w:sz w:val="24"/>
          <w:szCs w:val="24"/>
        </w:rPr>
        <w:t xml:space="preserve">MacIntyre </w:t>
      </w:r>
      <w:r w:rsidR="00857D89" w:rsidRPr="00461D74">
        <w:rPr>
          <w:rFonts w:ascii="Garamond" w:hAnsi="Garamond"/>
          <w:sz w:val="24"/>
          <w:szCs w:val="24"/>
        </w:rPr>
        <w:t xml:space="preserve">also </w:t>
      </w:r>
      <w:r w:rsidR="001C7CA2" w:rsidRPr="00461D74">
        <w:rPr>
          <w:rFonts w:ascii="Garamond" w:hAnsi="Garamond"/>
          <w:sz w:val="24"/>
          <w:szCs w:val="24"/>
        </w:rPr>
        <w:t>suggests that the</w:t>
      </w:r>
      <w:r w:rsidRPr="00461D74">
        <w:rPr>
          <w:rFonts w:ascii="Garamond" w:hAnsi="Garamond"/>
          <w:sz w:val="24"/>
          <w:szCs w:val="24"/>
        </w:rPr>
        <w:t xml:space="preserve"> work </w:t>
      </w:r>
      <w:r w:rsidR="001C7CA2" w:rsidRPr="00461D74">
        <w:rPr>
          <w:rFonts w:ascii="Garamond" w:hAnsi="Garamond"/>
          <w:sz w:val="24"/>
          <w:szCs w:val="24"/>
        </w:rPr>
        <w:t xml:space="preserve">of Sophocles </w:t>
      </w:r>
      <w:r w:rsidRPr="00461D74">
        <w:rPr>
          <w:rFonts w:ascii="Garamond" w:hAnsi="Garamond"/>
          <w:sz w:val="24"/>
          <w:szCs w:val="24"/>
        </w:rPr>
        <w:t>raises the question</w:t>
      </w:r>
      <w:r w:rsidR="001C7CA2" w:rsidRPr="00461D74">
        <w:rPr>
          <w:rFonts w:ascii="Garamond" w:hAnsi="Garamond"/>
          <w:sz w:val="24"/>
          <w:szCs w:val="24"/>
        </w:rPr>
        <w:t xml:space="preserve"> as to </w:t>
      </w:r>
      <w:r w:rsidRPr="00461D74">
        <w:rPr>
          <w:rFonts w:ascii="Garamond" w:hAnsi="Garamond"/>
          <w:sz w:val="24"/>
          <w:szCs w:val="24"/>
        </w:rPr>
        <w:t xml:space="preserve">what justice is within a political community and what </w:t>
      </w:r>
      <w:r w:rsidR="001C7CA2" w:rsidRPr="00461D74">
        <w:rPr>
          <w:rFonts w:ascii="Garamond" w:hAnsi="Garamond"/>
          <w:sz w:val="24"/>
          <w:szCs w:val="24"/>
        </w:rPr>
        <w:t>justice might be</w:t>
      </w:r>
      <w:r w:rsidRPr="00461D74">
        <w:rPr>
          <w:rFonts w:ascii="Garamond" w:hAnsi="Garamond"/>
          <w:sz w:val="24"/>
          <w:szCs w:val="24"/>
        </w:rPr>
        <w:t xml:space="preserve"> to those outside the community</w:t>
      </w:r>
      <w:r w:rsidR="001C7CA2" w:rsidRPr="00461D74">
        <w:rPr>
          <w:rFonts w:ascii="Garamond" w:hAnsi="Garamond"/>
          <w:sz w:val="24"/>
          <w:szCs w:val="24"/>
        </w:rPr>
        <w:t>,</w:t>
      </w:r>
      <w:r w:rsidRPr="00461D74">
        <w:rPr>
          <w:rFonts w:ascii="Garamond" w:hAnsi="Garamond"/>
          <w:sz w:val="24"/>
          <w:szCs w:val="24"/>
        </w:rPr>
        <w:t xml:space="preserve"> and their relationship </w:t>
      </w:r>
      <w:r w:rsidR="001C7CA2" w:rsidRPr="00461D74">
        <w:rPr>
          <w:rFonts w:ascii="Garamond" w:hAnsi="Garamond"/>
          <w:sz w:val="24"/>
          <w:szCs w:val="24"/>
        </w:rPr>
        <w:t xml:space="preserve">as </w:t>
      </w:r>
      <w:r w:rsidRPr="00461D74">
        <w:rPr>
          <w:rFonts w:ascii="Garamond" w:hAnsi="Garamond"/>
          <w:sz w:val="24"/>
          <w:szCs w:val="24"/>
        </w:rPr>
        <w:t xml:space="preserve">to what </w:t>
      </w:r>
      <w:r w:rsidR="001C7CA2" w:rsidRPr="00461D74">
        <w:rPr>
          <w:rFonts w:ascii="Garamond" w:hAnsi="Garamond"/>
          <w:sz w:val="24"/>
          <w:szCs w:val="24"/>
        </w:rPr>
        <w:t xml:space="preserve">can be counted as </w:t>
      </w:r>
      <w:r w:rsidRPr="00461D74">
        <w:rPr>
          <w:rFonts w:ascii="Garamond" w:hAnsi="Garamond"/>
          <w:sz w:val="24"/>
          <w:szCs w:val="24"/>
        </w:rPr>
        <w:t>effective</w:t>
      </w:r>
      <w:r w:rsidR="001C7CA2" w:rsidRPr="00461D74">
        <w:rPr>
          <w:rFonts w:ascii="Garamond" w:hAnsi="Garamond"/>
          <w:sz w:val="24"/>
          <w:szCs w:val="24"/>
        </w:rPr>
        <w:t>,</w:t>
      </w:r>
      <w:r w:rsidRPr="00461D74">
        <w:rPr>
          <w:rFonts w:ascii="Garamond" w:hAnsi="Garamond"/>
          <w:sz w:val="24"/>
          <w:szCs w:val="24"/>
        </w:rPr>
        <w:t xml:space="preserve"> or expedient.</w:t>
      </w:r>
      <w:r w:rsidRPr="00461D74">
        <w:rPr>
          <w:rStyle w:val="FootnoteReference"/>
          <w:rFonts w:ascii="Garamond" w:hAnsi="Garamond"/>
          <w:sz w:val="24"/>
          <w:szCs w:val="24"/>
        </w:rPr>
        <w:footnoteReference w:id="96"/>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Thucydides then in reconstructing the history of Peloponnesian war </w:t>
      </w:r>
      <w:r w:rsidR="00981BA0" w:rsidRPr="00461D74">
        <w:rPr>
          <w:rFonts w:ascii="Garamond" w:hAnsi="Garamond"/>
          <w:sz w:val="24"/>
          <w:szCs w:val="24"/>
        </w:rPr>
        <w:t xml:space="preserve">offers </w:t>
      </w:r>
      <w:r w:rsidRPr="00461D74">
        <w:rPr>
          <w:rFonts w:ascii="Garamond" w:hAnsi="Garamond"/>
          <w:sz w:val="24"/>
          <w:szCs w:val="24"/>
        </w:rPr>
        <w:t xml:space="preserve">a formulation of a type of </w:t>
      </w:r>
      <w:proofErr w:type="spellStart"/>
      <w:r w:rsidRPr="00461D74">
        <w:rPr>
          <w:rFonts w:ascii="Garamond" w:hAnsi="Garamond"/>
          <w:sz w:val="24"/>
          <w:szCs w:val="24"/>
        </w:rPr>
        <w:t>Periclean</w:t>
      </w:r>
      <w:proofErr w:type="spellEnd"/>
      <w:r w:rsidRPr="00461D74">
        <w:rPr>
          <w:rFonts w:ascii="Garamond" w:hAnsi="Garamond"/>
          <w:sz w:val="24"/>
          <w:szCs w:val="24"/>
        </w:rPr>
        <w:t xml:space="preserve"> morality prevalent at the time. MacIntyre </w:t>
      </w:r>
      <w:r w:rsidR="00857D89" w:rsidRPr="00461D74">
        <w:rPr>
          <w:rFonts w:ascii="Garamond" w:hAnsi="Garamond"/>
          <w:sz w:val="24"/>
          <w:szCs w:val="24"/>
        </w:rPr>
        <w:t xml:space="preserve">articulates the </w:t>
      </w:r>
      <w:proofErr w:type="spellStart"/>
      <w:r w:rsidRPr="00461D74">
        <w:rPr>
          <w:rFonts w:ascii="Garamond" w:hAnsi="Garamond"/>
          <w:sz w:val="24"/>
          <w:szCs w:val="24"/>
        </w:rPr>
        <w:t>Thucydide</w:t>
      </w:r>
      <w:r w:rsidR="00857D89" w:rsidRPr="00461D74">
        <w:rPr>
          <w:rFonts w:ascii="Garamond" w:hAnsi="Garamond"/>
          <w:sz w:val="24"/>
          <w:szCs w:val="24"/>
        </w:rPr>
        <w:t>an</w:t>
      </w:r>
      <w:proofErr w:type="spellEnd"/>
      <w:r w:rsidRPr="00461D74">
        <w:rPr>
          <w:rFonts w:ascii="Garamond" w:hAnsi="Garamond"/>
          <w:sz w:val="24"/>
          <w:szCs w:val="24"/>
        </w:rPr>
        <w:t xml:space="preserve"> view in the following three claims: (</w:t>
      </w:r>
      <w:proofErr w:type="spellStart"/>
      <w:r w:rsidRPr="00461D74">
        <w:rPr>
          <w:rFonts w:ascii="Garamond" w:hAnsi="Garamond"/>
          <w:sz w:val="24"/>
          <w:szCs w:val="24"/>
        </w:rPr>
        <w:t>i</w:t>
      </w:r>
      <w:proofErr w:type="spellEnd"/>
      <w:r w:rsidRPr="00461D74">
        <w:rPr>
          <w:rFonts w:ascii="Garamond" w:hAnsi="Garamond"/>
          <w:sz w:val="24"/>
          <w:szCs w:val="24"/>
        </w:rPr>
        <w:t xml:space="preserve">) he distinguishes between </w:t>
      </w:r>
      <w:r w:rsidR="003519B2" w:rsidRPr="003519B2">
        <w:rPr>
          <w:rFonts w:ascii="Garamond" w:hAnsi="Garamond"/>
          <w:i/>
          <w:sz w:val="24"/>
          <w:szCs w:val="24"/>
        </w:rPr>
        <w:t xml:space="preserve">arête </w:t>
      </w:r>
      <w:r w:rsidR="00513184" w:rsidRPr="00461D74">
        <w:rPr>
          <w:rFonts w:ascii="Garamond" w:hAnsi="Garamond"/>
          <w:sz w:val="24"/>
          <w:szCs w:val="24"/>
        </w:rPr>
        <w:t>(</w:t>
      </w:r>
      <w:proofErr w:type="spellStart"/>
      <w:r w:rsidR="00CF38EA" w:rsidRPr="00CF38EA">
        <w:rPr>
          <w:rFonts w:ascii="Times New Roman" w:hAnsi="Times New Roman" w:cs="Times New Roman"/>
        </w:rPr>
        <w:t>ἀρετή</w:t>
      </w:r>
      <w:proofErr w:type="spellEnd"/>
      <w:r w:rsidR="00513184" w:rsidRPr="00461D74">
        <w:rPr>
          <w:rFonts w:ascii="Garamond" w:hAnsi="Garamond"/>
          <w:sz w:val="24"/>
          <w:szCs w:val="24"/>
        </w:rPr>
        <w:t>)</w:t>
      </w:r>
      <w:r w:rsidR="00246640" w:rsidRPr="00461D74">
        <w:rPr>
          <w:rStyle w:val="FootnoteReference"/>
          <w:rFonts w:ascii="Garamond" w:hAnsi="Garamond"/>
          <w:sz w:val="24"/>
          <w:szCs w:val="24"/>
        </w:rPr>
        <w:footnoteReference w:id="97"/>
      </w:r>
      <w:r w:rsidR="00513184" w:rsidRPr="00461D74">
        <w:rPr>
          <w:rFonts w:ascii="Garamond" w:hAnsi="Garamond"/>
          <w:sz w:val="24"/>
          <w:szCs w:val="24"/>
        </w:rPr>
        <w:t xml:space="preserve"> </w:t>
      </w:r>
      <w:r w:rsidRPr="00461D74">
        <w:rPr>
          <w:rFonts w:ascii="Garamond" w:hAnsi="Garamond"/>
          <w:sz w:val="24"/>
          <w:szCs w:val="24"/>
        </w:rPr>
        <w:t xml:space="preserve">and intelligence; (ii) the only type of justice is the justice that is upheld by the strong and maintains their interest; and (iii) the rhetorical mode of deliberation is the best way for human beings for answering practical questions. On the </w:t>
      </w:r>
      <w:proofErr w:type="spellStart"/>
      <w:r w:rsidRPr="00461D74">
        <w:rPr>
          <w:rFonts w:ascii="Garamond" w:hAnsi="Garamond"/>
          <w:sz w:val="24"/>
          <w:szCs w:val="24"/>
        </w:rPr>
        <w:t>Thucydidean</w:t>
      </w:r>
      <w:proofErr w:type="spellEnd"/>
      <w:r w:rsidRPr="00461D74">
        <w:rPr>
          <w:rFonts w:ascii="Garamond" w:hAnsi="Garamond"/>
          <w:sz w:val="24"/>
          <w:szCs w:val="24"/>
        </w:rPr>
        <w:t xml:space="preserve"> view, the goods of effectiveness </w:t>
      </w:r>
      <w:r w:rsidR="00857D89" w:rsidRPr="00461D74">
        <w:rPr>
          <w:rFonts w:ascii="Garamond" w:hAnsi="Garamond"/>
          <w:sz w:val="24"/>
          <w:szCs w:val="24"/>
        </w:rPr>
        <w:t>possess a priority in their importance over</w:t>
      </w:r>
      <w:r w:rsidRPr="00461D74">
        <w:rPr>
          <w:rFonts w:ascii="Garamond" w:hAnsi="Garamond"/>
          <w:sz w:val="24"/>
          <w:szCs w:val="24"/>
        </w:rPr>
        <w:t xml:space="preserve"> the goods of excellence.</w:t>
      </w:r>
      <w:r w:rsidRPr="00461D74">
        <w:rPr>
          <w:rStyle w:val="FootnoteReference"/>
          <w:rFonts w:ascii="Garamond" w:hAnsi="Garamond"/>
          <w:sz w:val="24"/>
          <w:szCs w:val="24"/>
        </w:rPr>
        <w:footnoteReference w:id="98"/>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For Plato and Socrates, however, the </w:t>
      </w:r>
      <w:proofErr w:type="spellStart"/>
      <w:r w:rsidRPr="00461D74">
        <w:rPr>
          <w:rFonts w:ascii="Garamond" w:hAnsi="Garamond"/>
          <w:sz w:val="24"/>
          <w:szCs w:val="24"/>
        </w:rPr>
        <w:t>Thucydidean</w:t>
      </w:r>
      <w:proofErr w:type="spellEnd"/>
      <w:r w:rsidRPr="00461D74">
        <w:rPr>
          <w:rFonts w:ascii="Garamond" w:hAnsi="Garamond"/>
          <w:sz w:val="24"/>
          <w:szCs w:val="24"/>
        </w:rPr>
        <w:t xml:space="preserve"> view not only fails in describing justice in terms of the goods of excellence, it also fails as an account of the goods of effectiveness. Why? Because </w:t>
      </w:r>
      <w:r w:rsidR="005540CC" w:rsidRPr="00461D74">
        <w:rPr>
          <w:rFonts w:ascii="Garamond" w:hAnsi="Garamond"/>
          <w:sz w:val="24"/>
          <w:szCs w:val="24"/>
        </w:rPr>
        <w:t>the</w:t>
      </w:r>
      <w:r w:rsidRPr="00461D74">
        <w:rPr>
          <w:rFonts w:ascii="Garamond" w:hAnsi="Garamond"/>
          <w:sz w:val="24"/>
          <w:szCs w:val="24"/>
        </w:rPr>
        <w:t xml:space="preserve"> </w:t>
      </w:r>
      <w:proofErr w:type="spellStart"/>
      <w:r w:rsidRPr="00461D74">
        <w:rPr>
          <w:rFonts w:ascii="Garamond" w:hAnsi="Garamond"/>
          <w:sz w:val="24"/>
          <w:szCs w:val="24"/>
        </w:rPr>
        <w:t>Thucydide</w:t>
      </w:r>
      <w:r w:rsidR="005540CC" w:rsidRPr="00461D74">
        <w:rPr>
          <w:rFonts w:ascii="Garamond" w:hAnsi="Garamond"/>
          <w:sz w:val="24"/>
          <w:szCs w:val="24"/>
        </w:rPr>
        <w:t>an</w:t>
      </w:r>
      <w:proofErr w:type="spellEnd"/>
      <w:r w:rsidR="005540CC" w:rsidRPr="00461D74">
        <w:rPr>
          <w:rFonts w:ascii="Garamond" w:hAnsi="Garamond"/>
          <w:sz w:val="24"/>
          <w:szCs w:val="24"/>
        </w:rPr>
        <w:t xml:space="preserve"> (</w:t>
      </w:r>
      <w:r w:rsidRPr="00461D74">
        <w:rPr>
          <w:rFonts w:ascii="Garamond" w:hAnsi="Garamond"/>
          <w:sz w:val="24"/>
          <w:szCs w:val="24"/>
        </w:rPr>
        <w:t xml:space="preserve">or </w:t>
      </w:r>
      <w:proofErr w:type="spellStart"/>
      <w:r w:rsidRPr="00461D74">
        <w:rPr>
          <w:rFonts w:ascii="Garamond" w:hAnsi="Garamond"/>
          <w:sz w:val="24"/>
          <w:szCs w:val="24"/>
        </w:rPr>
        <w:t>Pericle</w:t>
      </w:r>
      <w:r w:rsidR="005540CC" w:rsidRPr="00461D74">
        <w:rPr>
          <w:rFonts w:ascii="Garamond" w:hAnsi="Garamond"/>
          <w:sz w:val="24"/>
          <w:szCs w:val="24"/>
        </w:rPr>
        <w:t>an</w:t>
      </w:r>
      <w:proofErr w:type="spellEnd"/>
      <w:r w:rsidR="005540CC" w:rsidRPr="00461D74">
        <w:rPr>
          <w:rFonts w:ascii="Garamond" w:hAnsi="Garamond"/>
          <w:sz w:val="24"/>
          <w:szCs w:val="24"/>
        </w:rPr>
        <w:t>)</w:t>
      </w:r>
      <w:r w:rsidRPr="00461D74">
        <w:rPr>
          <w:rFonts w:ascii="Garamond" w:hAnsi="Garamond"/>
          <w:sz w:val="24"/>
          <w:szCs w:val="24"/>
        </w:rPr>
        <w:t xml:space="preserve"> </w:t>
      </w:r>
      <w:r w:rsidR="005540CC" w:rsidRPr="00461D74">
        <w:rPr>
          <w:rFonts w:ascii="Garamond" w:hAnsi="Garamond"/>
          <w:sz w:val="24"/>
          <w:szCs w:val="24"/>
        </w:rPr>
        <w:t xml:space="preserve">view </w:t>
      </w:r>
      <w:r w:rsidRPr="00461D74">
        <w:rPr>
          <w:rFonts w:ascii="Garamond" w:hAnsi="Garamond"/>
          <w:sz w:val="24"/>
          <w:szCs w:val="24"/>
        </w:rPr>
        <w:t xml:space="preserve">cannot adequately explain justice in terms of </w:t>
      </w:r>
      <w:r w:rsidR="005540CC" w:rsidRPr="00461D74">
        <w:rPr>
          <w:rFonts w:ascii="Garamond" w:hAnsi="Garamond"/>
          <w:sz w:val="24"/>
          <w:szCs w:val="24"/>
        </w:rPr>
        <w:t xml:space="preserve">the </w:t>
      </w:r>
      <w:r w:rsidRPr="00461D74">
        <w:rPr>
          <w:rFonts w:ascii="Garamond" w:hAnsi="Garamond"/>
          <w:sz w:val="24"/>
          <w:szCs w:val="24"/>
        </w:rPr>
        <w:t>goods of effectiveness</w:t>
      </w:r>
      <w:r w:rsidR="005540CC" w:rsidRPr="00461D74">
        <w:rPr>
          <w:rFonts w:ascii="Garamond" w:hAnsi="Garamond"/>
          <w:sz w:val="24"/>
          <w:szCs w:val="24"/>
        </w:rPr>
        <w:t>,</w:t>
      </w:r>
      <w:r w:rsidRPr="00461D74">
        <w:rPr>
          <w:rFonts w:ascii="Garamond" w:hAnsi="Garamond"/>
          <w:sz w:val="24"/>
          <w:szCs w:val="24"/>
        </w:rPr>
        <w:t xml:space="preserve"> </w:t>
      </w:r>
      <w:r w:rsidR="005540CC" w:rsidRPr="00461D74">
        <w:rPr>
          <w:rFonts w:ascii="Garamond" w:hAnsi="Garamond"/>
          <w:sz w:val="24"/>
          <w:szCs w:val="24"/>
        </w:rPr>
        <w:t>n</w:t>
      </w:r>
      <w:r w:rsidRPr="00461D74">
        <w:rPr>
          <w:rFonts w:ascii="Garamond" w:hAnsi="Garamond"/>
          <w:sz w:val="24"/>
          <w:szCs w:val="24"/>
        </w:rPr>
        <w:t xml:space="preserve">or </w:t>
      </w:r>
      <w:r w:rsidR="00543D85" w:rsidRPr="00461D74">
        <w:rPr>
          <w:rFonts w:ascii="Garamond" w:hAnsi="Garamond"/>
          <w:sz w:val="24"/>
          <w:szCs w:val="24"/>
        </w:rPr>
        <w:t xml:space="preserve">can it explain it in terms of </w:t>
      </w:r>
      <w:r w:rsidR="005540CC" w:rsidRPr="00461D74">
        <w:rPr>
          <w:rFonts w:ascii="Garamond" w:hAnsi="Garamond"/>
          <w:sz w:val="24"/>
          <w:szCs w:val="24"/>
        </w:rPr>
        <w:t xml:space="preserve">the </w:t>
      </w:r>
      <w:r w:rsidRPr="00461D74">
        <w:rPr>
          <w:rFonts w:ascii="Garamond" w:hAnsi="Garamond"/>
          <w:sz w:val="24"/>
          <w:szCs w:val="24"/>
        </w:rPr>
        <w:t>goods of excellence</w:t>
      </w:r>
      <w:r w:rsidR="005540CC" w:rsidRPr="00461D74">
        <w:rPr>
          <w:rFonts w:ascii="Garamond" w:hAnsi="Garamond"/>
          <w:sz w:val="24"/>
          <w:szCs w:val="24"/>
        </w:rPr>
        <w:t>,</w:t>
      </w:r>
      <w:r w:rsidRPr="00461D74">
        <w:rPr>
          <w:rFonts w:ascii="Garamond" w:hAnsi="Garamond"/>
          <w:sz w:val="24"/>
          <w:szCs w:val="24"/>
        </w:rPr>
        <w:t xml:space="preserve"> without resorting to manipulative forms of argument.</w:t>
      </w:r>
      <w:r w:rsidRPr="00461D74">
        <w:rPr>
          <w:rStyle w:val="FootnoteReference"/>
          <w:rFonts w:ascii="Garamond" w:hAnsi="Garamond"/>
          <w:sz w:val="24"/>
          <w:szCs w:val="24"/>
        </w:rPr>
        <w:footnoteReference w:id="99"/>
      </w:r>
      <w:r w:rsidRPr="00461D74">
        <w:rPr>
          <w:rFonts w:ascii="Garamond" w:hAnsi="Garamond"/>
          <w:sz w:val="24"/>
          <w:szCs w:val="24"/>
        </w:rPr>
        <w:t xml:space="preserve"> Thus MacIntyre frames the conflict between rival views that emerges in the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Athens, as a radical disagreement between Socrates and Plato on the one hand, and those views advanced by Thucydides and the Sophists.</w:t>
      </w:r>
      <w:r w:rsidRPr="00461D74">
        <w:rPr>
          <w:rStyle w:val="FootnoteReference"/>
          <w:rFonts w:ascii="Garamond" w:hAnsi="Garamond"/>
          <w:sz w:val="24"/>
          <w:szCs w:val="24"/>
        </w:rPr>
        <w:footnoteReference w:id="100"/>
      </w:r>
      <w:r w:rsidRPr="00461D74">
        <w:rPr>
          <w:rFonts w:ascii="Garamond" w:hAnsi="Garamond"/>
          <w:sz w:val="24"/>
          <w:szCs w:val="24"/>
        </w:rPr>
        <w:t xml:space="preserve"> </w:t>
      </w:r>
      <w:r w:rsidR="005540CC" w:rsidRPr="00461D74">
        <w:rPr>
          <w:rFonts w:ascii="Garamond" w:hAnsi="Garamond"/>
          <w:sz w:val="24"/>
          <w:szCs w:val="24"/>
        </w:rPr>
        <w:t>N</w:t>
      </w:r>
      <w:r w:rsidRPr="00461D74">
        <w:rPr>
          <w:rFonts w:ascii="Garamond" w:hAnsi="Garamond"/>
          <w:sz w:val="24"/>
          <w:szCs w:val="24"/>
        </w:rPr>
        <w:t xml:space="preserve">eedless to say that on </w:t>
      </w:r>
      <w:r w:rsidR="005540CC" w:rsidRPr="00461D74">
        <w:rPr>
          <w:rFonts w:ascii="Garamond" w:hAnsi="Garamond"/>
          <w:sz w:val="24"/>
          <w:szCs w:val="24"/>
        </w:rPr>
        <w:t xml:space="preserve">MacIntyre’s </w:t>
      </w:r>
      <w:r w:rsidRPr="00461D74">
        <w:rPr>
          <w:rFonts w:ascii="Garamond" w:hAnsi="Garamond"/>
          <w:sz w:val="24"/>
          <w:szCs w:val="24"/>
        </w:rPr>
        <w:t>view, Plato offers the first systematic account in defence of the goods of excellence.</w:t>
      </w:r>
      <w:r w:rsidRPr="00461D74">
        <w:rPr>
          <w:rStyle w:val="FootnoteReference"/>
          <w:rFonts w:ascii="Garamond" w:hAnsi="Garamond"/>
          <w:sz w:val="24"/>
          <w:szCs w:val="24"/>
        </w:rPr>
        <w:footnoteReference w:id="101"/>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claims that Plato’s </w:t>
      </w:r>
      <w:r w:rsidRPr="00461D74">
        <w:rPr>
          <w:rFonts w:ascii="Garamond" w:hAnsi="Garamond"/>
          <w:i/>
          <w:sz w:val="24"/>
          <w:szCs w:val="24"/>
        </w:rPr>
        <w:t>Republic</w:t>
      </w:r>
      <w:r w:rsidRPr="00461D74">
        <w:rPr>
          <w:rFonts w:ascii="Garamond" w:hAnsi="Garamond"/>
          <w:sz w:val="24"/>
          <w:szCs w:val="24"/>
        </w:rPr>
        <w:t xml:space="preserve"> gives clear philosophical formulation to the conflict between </w:t>
      </w:r>
      <w:r w:rsidRPr="00461D74">
        <w:rPr>
          <w:rFonts w:ascii="Garamond" w:hAnsi="Garamond"/>
          <w:i/>
          <w:iCs/>
          <w:sz w:val="24"/>
          <w:szCs w:val="24"/>
        </w:rPr>
        <w:t>goods of excellence</w:t>
      </w:r>
      <w:r w:rsidRPr="00461D74">
        <w:rPr>
          <w:rFonts w:ascii="Garamond" w:hAnsi="Garamond"/>
          <w:sz w:val="24"/>
          <w:szCs w:val="24"/>
        </w:rPr>
        <w:t xml:space="preserve"> and </w:t>
      </w:r>
      <w:r w:rsidRPr="00461D74">
        <w:rPr>
          <w:rFonts w:ascii="Garamond" w:hAnsi="Garamond"/>
          <w:i/>
          <w:iCs/>
          <w:sz w:val="24"/>
          <w:szCs w:val="24"/>
        </w:rPr>
        <w:t>goods of effectiveness</w:t>
      </w:r>
      <w:r w:rsidRPr="00461D74">
        <w:rPr>
          <w:rFonts w:ascii="Garamond" w:hAnsi="Garamond"/>
          <w:sz w:val="24"/>
          <w:szCs w:val="24"/>
        </w:rPr>
        <w:t xml:space="preserve">. </w:t>
      </w:r>
      <w:r w:rsidR="00543D85" w:rsidRPr="00461D74">
        <w:rPr>
          <w:rFonts w:ascii="Garamond" w:hAnsi="Garamond"/>
          <w:sz w:val="24"/>
          <w:szCs w:val="24"/>
        </w:rPr>
        <w:t>Therefore</w:t>
      </w:r>
      <w:r w:rsidR="00513716" w:rsidRPr="00461D74">
        <w:rPr>
          <w:rFonts w:ascii="Garamond" w:hAnsi="Garamond"/>
          <w:sz w:val="24"/>
          <w:szCs w:val="24"/>
        </w:rPr>
        <w:t xml:space="preserve">, </w:t>
      </w:r>
      <w:r w:rsidRPr="00461D74">
        <w:rPr>
          <w:rFonts w:ascii="Garamond" w:hAnsi="Garamond"/>
          <w:sz w:val="24"/>
          <w:szCs w:val="24"/>
        </w:rPr>
        <w:t xml:space="preserve">Plato’s account </w:t>
      </w:r>
      <w:r w:rsidR="00543D85" w:rsidRPr="00461D74">
        <w:rPr>
          <w:rFonts w:ascii="Garamond" w:hAnsi="Garamond"/>
          <w:sz w:val="24"/>
          <w:szCs w:val="24"/>
        </w:rPr>
        <w:t xml:space="preserve">essentially </w:t>
      </w:r>
      <w:r w:rsidRPr="00461D74">
        <w:rPr>
          <w:rFonts w:ascii="Garamond" w:hAnsi="Garamond"/>
          <w:sz w:val="24"/>
          <w:szCs w:val="24"/>
        </w:rPr>
        <w:t xml:space="preserve">presents us with a dilemma: </w:t>
      </w:r>
      <w:r w:rsidR="00AA2FD0" w:rsidRPr="00461D74">
        <w:rPr>
          <w:rFonts w:ascii="Garamond" w:hAnsi="Garamond"/>
          <w:i/>
          <w:sz w:val="24"/>
          <w:szCs w:val="24"/>
        </w:rPr>
        <w:t xml:space="preserve">Either </w:t>
      </w:r>
      <w:r w:rsidR="00543D85" w:rsidRPr="00461D74">
        <w:rPr>
          <w:rFonts w:ascii="Garamond" w:hAnsi="Garamond"/>
          <w:i/>
          <w:sz w:val="24"/>
          <w:szCs w:val="24"/>
        </w:rPr>
        <w:t xml:space="preserve">it is the case that </w:t>
      </w:r>
      <w:r w:rsidRPr="00461D74">
        <w:rPr>
          <w:rFonts w:ascii="Garamond" w:hAnsi="Garamond"/>
          <w:i/>
          <w:sz w:val="24"/>
          <w:szCs w:val="24"/>
        </w:rPr>
        <w:t xml:space="preserve">the life of a human being </w:t>
      </w:r>
      <w:r w:rsidR="00543D85" w:rsidRPr="00461D74">
        <w:rPr>
          <w:rFonts w:ascii="Garamond" w:hAnsi="Garamond"/>
          <w:i/>
          <w:sz w:val="24"/>
          <w:szCs w:val="24"/>
        </w:rPr>
        <w:t xml:space="preserve">possesses </w:t>
      </w:r>
      <w:r w:rsidRPr="00461D74">
        <w:rPr>
          <w:rFonts w:ascii="Garamond" w:hAnsi="Garamond"/>
          <w:i/>
          <w:sz w:val="24"/>
          <w:szCs w:val="24"/>
        </w:rPr>
        <w:t>a</w:t>
      </w:r>
      <w:r w:rsidR="0052031D" w:rsidRPr="00461D74">
        <w:rPr>
          <w:rFonts w:ascii="Garamond" w:hAnsi="Garamond"/>
          <w:i/>
          <w:sz w:val="24"/>
          <w:szCs w:val="24"/>
        </w:rPr>
        <w:t xml:space="preserve">n ethical </w:t>
      </w:r>
      <w:proofErr w:type="spellStart"/>
      <w:r w:rsidR="00AA2FD0" w:rsidRPr="00461D74">
        <w:rPr>
          <w:rFonts w:ascii="Garamond" w:hAnsi="Garamond"/>
          <w:i/>
          <w:sz w:val="24"/>
          <w:szCs w:val="24"/>
        </w:rPr>
        <w:t>a</w:t>
      </w:r>
      <w:r w:rsidRPr="00461D74">
        <w:rPr>
          <w:rFonts w:ascii="Garamond" w:hAnsi="Garamond"/>
          <w:i/>
          <w:sz w:val="24"/>
          <w:szCs w:val="24"/>
        </w:rPr>
        <w:t>rch</w:t>
      </w:r>
      <w:r w:rsidR="001433ED" w:rsidRPr="00461D74">
        <w:rPr>
          <w:rFonts w:ascii="Garamond" w:hAnsi="Garamond"/>
          <w:bCs/>
          <w:i/>
          <w:sz w:val="24"/>
          <w:szCs w:val="24"/>
        </w:rPr>
        <w:t>ē</w:t>
      </w:r>
      <w:proofErr w:type="spellEnd"/>
      <w:r w:rsidR="001433ED" w:rsidRPr="00461D74">
        <w:rPr>
          <w:rFonts w:ascii="Garamond" w:hAnsi="Garamond"/>
          <w:i/>
          <w:sz w:val="24"/>
          <w:szCs w:val="24"/>
        </w:rPr>
        <w:t xml:space="preserve"> </w:t>
      </w:r>
      <w:r w:rsidR="001433ED" w:rsidRPr="00CC63E5">
        <w:rPr>
          <w:rFonts w:ascii="Garamond" w:hAnsi="Garamond"/>
          <w:i/>
          <w:sz w:val="24"/>
          <w:szCs w:val="24"/>
        </w:rPr>
        <w:t>(</w:t>
      </w:r>
      <w:proofErr w:type="spellStart"/>
      <w:r w:rsidR="001433ED" w:rsidRPr="00CC63E5">
        <w:rPr>
          <w:rFonts w:ascii="Times New Roman" w:hAnsi="Times New Roman" w:cs="Times New Roman"/>
          <w:i/>
        </w:rPr>
        <w:t>ἀρχή</w:t>
      </w:r>
      <w:proofErr w:type="spellEnd"/>
      <w:r w:rsidR="001433ED" w:rsidRPr="00CC63E5">
        <w:rPr>
          <w:rFonts w:ascii="Garamond" w:hAnsi="Garamond"/>
          <w:i/>
          <w:sz w:val="24"/>
          <w:szCs w:val="24"/>
        </w:rPr>
        <w:t>)</w:t>
      </w:r>
      <w:r w:rsidR="00AA2FD0" w:rsidRPr="00CC63E5">
        <w:rPr>
          <w:rFonts w:ascii="Garamond" w:hAnsi="Garamond"/>
          <w:i/>
          <w:sz w:val="24"/>
          <w:szCs w:val="24"/>
        </w:rPr>
        <w:t>,</w:t>
      </w:r>
      <w:r w:rsidR="001433ED" w:rsidRPr="00CC63E5">
        <w:rPr>
          <w:rStyle w:val="FootnoteReference"/>
          <w:rFonts w:ascii="Garamond" w:hAnsi="Garamond"/>
          <w:sz w:val="24"/>
          <w:szCs w:val="24"/>
        </w:rPr>
        <w:footnoteReference w:id="102"/>
      </w:r>
      <w:r w:rsidRPr="00461D74">
        <w:rPr>
          <w:rFonts w:ascii="Garamond" w:hAnsi="Garamond"/>
          <w:i/>
          <w:sz w:val="24"/>
          <w:szCs w:val="24"/>
        </w:rPr>
        <w:t xml:space="preserve"> or </w:t>
      </w:r>
      <w:r w:rsidR="00543D85" w:rsidRPr="00461D74">
        <w:rPr>
          <w:rFonts w:ascii="Garamond" w:hAnsi="Garamond"/>
          <w:i/>
          <w:sz w:val="24"/>
          <w:szCs w:val="24"/>
        </w:rPr>
        <w:t xml:space="preserve">it turns out that </w:t>
      </w:r>
      <w:r w:rsidRPr="00461D74">
        <w:rPr>
          <w:rFonts w:ascii="Garamond" w:hAnsi="Garamond"/>
          <w:i/>
          <w:sz w:val="24"/>
          <w:szCs w:val="24"/>
        </w:rPr>
        <w:t xml:space="preserve">the </w:t>
      </w:r>
      <w:r w:rsidR="0052031D" w:rsidRPr="00461D74">
        <w:rPr>
          <w:rFonts w:ascii="Garamond" w:hAnsi="Garamond"/>
          <w:i/>
          <w:sz w:val="24"/>
          <w:szCs w:val="24"/>
        </w:rPr>
        <w:t xml:space="preserve">social </w:t>
      </w:r>
      <w:r w:rsidRPr="00461D74">
        <w:rPr>
          <w:rFonts w:ascii="Garamond" w:hAnsi="Garamond"/>
          <w:i/>
          <w:sz w:val="24"/>
          <w:szCs w:val="24"/>
        </w:rPr>
        <w:t xml:space="preserve">thesis </w:t>
      </w:r>
      <w:r w:rsidR="00543D85" w:rsidRPr="00461D74">
        <w:rPr>
          <w:rFonts w:ascii="Garamond" w:hAnsi="Garamond"/>
          <w:i/>
          <w:sz w:val="24"/>
          <w:szCs w:val="24"/>
        </w:rPr>
        <w:t xml:space="preserve">advanced by </w:t>
      </w:r>
      <w:r w:rsidRPr="00461D74">
        <w:rPr>
          <w:rFonts w:ascii="Garamond" w:hAnsi="Garamond"/>
          <w:i/>
          <w:sz w:val="24"/>
          <w:szCs w:val="24"/>
        </w:rPr>
        <w:lastRenderedPageBreak/>
        <w:t xml:space="preserve">Thucydides and the </w:t>
      </w:r>
      <w:r w:rsidR="00543D85" w:rsidRPr="00461D74">
        <w:rPr>
          <w:rFonts w:ascii="Garamond" w:hAnsi="Garamond"/>
          <w:i/>
          <w:sz w:val="24"/>
          <w:szCs w:val="24"/>
        </w:rPr>
        <w:t xml:space="preserve">various </w:t>
      </w:r>
      <w:r w:rsidRPr="00461D74">
        <w:rPr>
          <w:rFonts w:ascii="Garamond" w:hAnsi="Garamond"/>
          <w:i/>
          <w:sz w:val="24"/>
          <w:szCs w:val="24"/>
        </w:rPr>
        <w:t xml:space="preserve">Sophists </w:t>
      </w:r>
      <w:r w:rsidR="00543D85" w:rsidRPr="00461D74">
        <w:rPr>
          <w:rFonts w:ascii="Garamond" w:hAnsi="Garamond"/>
          <w:i/>
          <w:sz w:val="24"/>
          <w:szCs w:val="24"/>
        </w:rPr>
        <w:t>is</w:t>
      </w:r>
      <w:r w:rsidR="0052031D" w:rsidRPr="00461D74">
        <w:rPr>
          <w:rFonts w:ascii="Garamond" w:hAnsi="Garamond"/>
          <w:i/>
          <w:sz w:val="24"/>
          <w:szCs w:val="24"/>
        </w:rPr>
        <w:t>, however unfortunate, more or less</w:t>
      </w:r>
      <w:r w:rsidR="00AA2FD0" w:rsidRPr="00461D74">
        <w:rPr>
          <w:rFonts w:ascii="Garamond" w:hAnsi="Garamond"/>
          <w:i/>
          <w:sz w:val="24"/>
          <w:szCs w:val="24"/>
        </w:rPr>
        <w:t xml:space="preserve"> </w:t>
      </w:r>
      <w:r w:rsidRPr="00461D74">
        <w:rPr>
          <w:rFonts w:ascii="Garamond" w:hAnsi="Garamond"/>
          <w:i/>
          <w:sz w:val="24"/>
          <w:szCs w:val="24"/>
        </w:rPr>
        <w:t>confirmed</w:t>
      </w:r>
      <w:r w:rsidRPr="00461D74">
        <w:rPr>
          <w:rFonts w:ascii="Garamond" w:hAnsi="Garamond"/>
          <w:sz w:val="24"/>
          <w:szCs w:val="24"/>
        </w:rPr>
        <w:t>.</w:t>
      </w:r>
      <w:r w:rsidRPr="00461D74">
        <w:rPr>
          <w:rStyle w:val="FootnoteReference"/>
          <w:rFonts w:ascii="Garamond" w:hAnsi="Garamond"/>
          <w:sz w:val="24"/>
          <w:szCs w:val="24"/>
        </w:rPr>
        <w:footnoteReference w:id="103"/>
      </w:r>
      <w:r w:rsidRPr="00461D74">
        <w:rPr>
          <w:rFonts w:ascii="Garamond" w:hAnsi="Garamond"/>
          <w:sz w:val="24"/>
          <w:szCs w:val="24"/>
        </w:rPr>
        <w:t xml:space="preserve"> But if that turns out to be the case</w:t>
      </w:r>
      <w:r w:rsidR="00AA2FD0" w:rsidRPr="00461D74">
        <w:rPr>
          <w:rFonts w:ascii="Garamond" w:hAnsi="Garamond"/>
          <w:sz w:val="24"/>
          <w:szCs w:val="24"/>
        </w:rPr>
        <w:t>,</w:t>
      </w:r>
      <w:r w:rsidRPr="00461D74">
        <w:rPr>
          <w:rFonts w:ascii="Garamond" w:hAnsi="Garamond"/>
          <w:sz w:val="24"/>
          <w:szCs w:val="24"/>
        </w:rPr>
        <w:t xml:space="preserve"> then there </w:t>
      </w:r>
      <w:r w:rsidR="00513716" w:rsidRPr="00461D74">
        <w:rPr>
          <w:rFonts w:ascii="Garamond" w:hAnsi="Garamond"/>
          <w:sz w:val="24"/>
          <w:szCs w:val="24"/>
        </w:rPr>
        <w:t xml:space="preserve">could </w:t>
      </w:r>
      <w:r w:rsidRPr="00461D74">
        <w:rPr>
          <w:rFonts w:ascii="Garamond" w:hAnsi="Garamond"/>
          <w:sz w:val="24"/>
          <w:szCs w:val="24"/>
        </w:rPr>
        <w:t>be no independent standard of justice or truth to which appeal</w:t>
      </w:r>
      <w:r w:rsidR="00AA2FD0" w:rsidRPr="00461D74">
        <w:rPr>
          <w:rFonts w:ascii="Garamond" w:hAnsi="Garamond"/>
          <w:sz w:val="24"/>
          <w:szCs w:val="24"/>
        </w:rPr>
        <w:t>s</w:t>
      </w:r>
      <w:r w:rsidRPr="00461D74">
        <w:rPr>
          <w:rFonts w:ascii="Garamond" w:hAnsi="Garamond"/>
          <w:sz w:val="24"/>
          <w:szCs w:val="24"/>
        </w:rPr>
        <w:t xml:space="preserve"> can be made</w:t>
      </w:r>
      <w:r w:rsidR="00362A04" w:rsidRPr="00461D74">
        <w:rPr>
          <w:rFonts w:ascii="Garamond" w:hAnsi="Garamond"/>
          <w:sz w:val="24"/>
          <w:szCs w:val="24"/>
        </w:rPr>
        <w:t>, nor could any such appeal be invoked</w:t>
      </w:r>
      <w:r w:rsidR="00543D85" w:rsidRPr="00461D74">
        <w:rPr>
          <w:rFonts w:ascii="Garamond" w:hAnsi="Garamond"/>
          <w:sz w:val="24"/>
          <w:szCs w:val="24"/>
        </w:rPr>
        <w:t xml:space="preserve"> </w:t>
      </w:r>
      <w:r w:rsidRPr="00461D74">
        <w:rPr>
          <w:rFonts w:ascii="Garamond" w:hAnsi="Garamond"/>
          <w:sz w:val="24"/>
          <w:szCs w:val="24"/>
        </w:rPr>
        <w:t xml:space="preserve">against </w:t>
      </w:r>
      <w:r w:rsidR="0052031D" w:rsidRPr="00461D74">
        <w:rPr>
          <w:rFonts w:ascii="Garamond" w:hAnsi="Garamond"/>
          <w:sz w:val="24"/>
          <w:szCs w:val="24"/>
        </w:rPr>
        <w:t>a</w:t>
      </w:r>
      <w:r w:rsidR="00AA2FD0" w:rsidRPr="00461D74">
        <w:rPr>
          <w:rFonts w:ascii="Garamond" w:hAnsi="Garamond"/>
          <w:sz w:val="24"/>
          <w:szCs w:val="24"/>
        </w:rPr>
        <w:t xml:space="preserve"> </w:t>
      </w:r>
      <w:r w:rsidRPr="00461D74">
        <w:rPr>
          <w:rFonts w:ascii="Garamond" w:hAnsi="Garamond"/>
          <w:sz w:val="24"/>
          <w:szCs w:val="24"/>
        </w:rPr>
        <w:t xml:space="preserve">particular standard that </w:t>
      </w:r>
      <w:r w:rsidR="00513716" w:rsidRPr="00461D74">
        <w:rPr>
          <w:rFonts w:ascii="Garamond" w:hAnsi="Garamond"/>
          <w:sz w:val="24"/>
          <w:szCs w:val="24"/>
        </w:rPr>
        <w:t>may</w:t>
      </w:r>
      <w:r w:rsidR="009D3038" w:rsidRPr="00461D74">
        <w:rPr>
          <w:rFonts w:ascii="Garamond" w:hAnsi="Garamond"/>
          <w:sz w:val="24"/>
          <w:szCs w:val="24"/>
        </w:rPr>
        <w:t xml:space="preserve"> </w:t>
      </w:r>
      <w:r w:rsidR="00362A04" w:rsidRPr="00461D74">
        <w:rPr>
          <w:rFonts w:ascii="Garamond" w:hAnsi="Garamond"/>
          <w:sz w:val="24"/>
          <w:szCs w:val="24"/>
        </w:rPr>
        <w:t xml:space="preserve">(wrongly) </w:t>
      </w:r>
      <w:r w:rsidR="00513716" w:rsidRPr="00461D74">
        <w:rPr>
          <w:rFonts w:ascii="Garamond" w:hAnsi="Garamond"/>
          <w:sz w:val="24"/>
          <w:szCs w:val="24"/>
        </w:rPr>
        <w:t xml:space="preserve">be </w:t>
      </w:r>
      <w:r w:rsidRPr="00461D74">
        <w:rPr>
          <w:rFonts w:ascii="Garamond" w:hAnsi="Garamond"/>
          <w:sz w:val="24"/>
          <w:szCs w:val="24"/>
        </w:rPr>
        <w:t xml:space="preserve">held </w:t>
      </w:r>
      <w:r w:rsidR="00513716" w:rsidRPr="00461D74">
        <w:rPr>
          <w:rFonts w:ascii="Garamond" w:hAnsi="Garamond"/>
          <w:sz w:val="24"/>
          <w:szCs w:val="24"/>
        </w:rPr>
        <w:t>as</w:t>
      </w:r>
      <w:r w:rsidRPr="00461D74">
        <w:rPr>
          <w:rFonts w:ascii="Garamond" w:hAnsi="Garamond"/>
          <w:sz w:val="24"/>
          <w:szCs w:val="24"/>
        </w:rPr>
        <w:t xml:space="preserve"> correct by some group.</w:t>
      </w:r>
      <w:r w:rsidRPr="00461D74">
        <w:rPr>
          <w:rStyle w:val="FootnoteReference"/>
          <w:rFonts w:ascii="Garamond" w:hAnsi="Garamond"/>
          <w:sz w:val="24"/>
          <w:szCs w:val="24"/>
        </w:rPr>
        <w:footnoteReference w:id="104"/>
      </w:r>
      <w:r w:rsidRPr="00461D74">
        <w:rPr>
          <w:rFonts w:ascii="Garamond" w:hAnsi="Garamond"/>
          <w:sz w:val="24"/>
          <w:szCs w:val="24"/>
        </w:rPr>
        <w:t xml:space="preserve"> For MacIntyre, the problem in Plato’s account is that the nature of the relationship between justice, and how inquiry could proceed if justice is the </w:t>
      </w:r>
      <w:proofErr w:type="spellStart"/>
      <w:r w:rsidRPr="00461D74">
        <w:rPr>
          <w:rFonts w:ascii="Garamond" w:hAnsi="Garamond"/>
          <w:sz w:val="24"/>
          <w:szCs w:val="24"/>
        </w:rPr>
        <w:t>telos</w:t>
      </w:r>
      <w:proofErr w:type="spellEnd"/>
      <w:r w:rsidRPr="00461D74">
        <w:rPr>
          <w:rFonts w:ascii="Garamond" w:hAnsi="Garamond"/>
          <w:sz w:val="24"/>
          <w:szCs w:val="24"/>
        </w:rPr>
        <w:t xml:space="preserve"> of human beings, is never clearly stated.</w:t>
      </w:r>
      <w:r w:rsidRPr="00461D74">
        <w:rPr>
          <w:rStyle w:val="FootnoteReference"/>
          <w:rFonts w:ascii="Garamond" w:hAnsi="Garamond"/>
          <w:sz w:val="24"/>
          <w:szCs w:val="24"/>
        </w:rPr>
        <w:footnoteReference w:id="105"/>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Part of the problem here is that Plato’s explication in his theory of Forms, defines justice and </w:t>
      </w:r>
      <w:r w:rsidR="00F152B3" w:rsidRPr="00461D74">
        <w:rPr>
          <w:rFonts w:ascii="Garamond" w:hAnsi="Garamond"/>
          <w:i/>
          <w:sz w:val="24"/>
          <w:szCs w:val="24"/>
        </w:rPr>
        <w:t>arête</w:t>
      </w:r>
      <w:r w:rsidRPr="00461D74">
        <w:rPr>
          <w:rFonts w:ascii="Garamond" w:hAnsi="Garamond"/>
          <w:sz w:val="24"/>
          <w:szCs w:val="24"/>
        </w:rPr>
        <w:t xml:space="preserve"> </w:t>
      </w:r>
      <w:r w:rsidR="00513184" w:rsidRPr="00461D74">
        <w:rPr>
          <w:rFonts w:ascii="Garamond" w:hAnsi="Garamond"/>
          <w:sz w:val="24"/>
          <w:szCs w:val="24"/>
        </w:rPr>
        <w:t>(</w:t>
      </w:r>
      <w:proofErr w:type="spellStart"/>
      <w:r w:rsidR="00CF38EA" w:rsidRPr="00CF38EA">
        <w:rPr>
          <w:rFonts w:ascii="Times New Roman" w:hAnsi="Times New Roman" w:cs="Times New Roman"/>
        </w:rPr>
        <w:t>ἀρετή</w:t>
      </w:r>
      <w:proofErr w:type="spellEnd"/>
      <w:r w:rsidR="00513184" w:rsidRPr="00461D74">
        <w:rPr>
          <w:rFonts w:ascii="Garamond" w:hAnsi="Garamond"/>
          <w:sz w:val="24"/>
          <w:szCs w:val="24"/>
        </w:rPr>
        <w:t>)</w:t>
      </w:r>
      <w:r w:rsidR="00246640" w:rsidRPr="00461D74">
        <w:rPr>
          <w:rStyle w:val="FootnoteReference"/>
          <w:rFonts w:ascii="Garamond" w:hAnsi="Garamond"/>
          <w:sz w:val="24"/>
          <w:szCs w:val="24"/>
        </w:rPr>
        <w:footnoteReference w:id="106"/>
      </w:r>
      <w:r w:rsidR="00513184" w:rsidRPr="00461D74">
        <w:rPr>
          <w:rFonts w:ascii="Garamond" w:hAnsi="Garamond"/>
          <w:sz w:val="24"/>
          <w:szCs w:val="24"/>
        </w:rPr>
        <w:t xml:space="preserve"> </w:t>
      </w:r>
      <w:r w:rsidRPr="00461D74">
        <w:rPr>
          <w:rFonts w:ascii="Garamond" w:hAnsi="Garamond"/>
          <w:sz w:val="24"/>
          <w:szCs w:val="24"/>
        </w:rPr>
        <w:t xml:space="preserve">as independent </w:t>
      </w:r>
      <w:r w:rsidR="00D7776F" w:rsidRPr="00461D74">
        <w:rPr>
          <w:rFonts w:ascii="Garamond" w:hAnsi="Garamond"/>
          <w:sz w:val="24"/>
          <w:szCs w:val="24"/>
        </w:rPr>
        <w:t xml:space="preserve">from, </w:t>
      </w:r>
      <w:r w:rsidRPr="00461D74">
        <w:rPr>
          <w:rFonts w:ascii="Garamond" w:hAnsi="Garamond"/>
          <w:sz w:val="24"/>
          <w:szCs w:val="24"/>
        </w:rPr>
        <w:t>and prior to</w:t>
      </w:r>
      <w:r w:rsidR="00D7776F" w:rsidRPr="00461D74">
        <w:rPr>
          <w:rFonts w:ascii="Garamond" w:hAnsi="Garamond"/>
          <w:sz w:val="24"/>
          <w:szCs w:val="24"/>
        </w:rPr>
        <w:t>,</w:t>
      </w:r>
      <w:r w:rsidRPr="00461D74">
        <w:rPr>
          <w:rFonts w:ascii="Garamond" w:hAnsi="Garamond"/>
          <w:sz w:val="24"/>
          <w:szCs w:val="24"/>
        </w:rPr>
        <w:t xml:space="preserve"> the good </w:t>
      </w:r>
      <w:r w:rsidR="00D7776F" w:rsidRPr="00461D74">
        <w:rPr>
          <w:rFonts w:ascii="Garamond" w:hAnsi="Garamond"/>
          <w:sz w:val="24"/>
          <w:szCs w:val="24"/>
        </w:rPr>
        <w:t xml:space="preserve">that is </w:t>
      </w:r>
      <w:r w:rsidRPr="00461D74">
        <w:rPr>
          <w:rFonts w:ascii="Garamond" w:hAnsi="Garamond"/>
          <w:sz w:val="24"/>
          <w:szCs w:val="24"/>
        </w:rPr>
        <w:t>realisable by individuals in the</w:t>
      </w:r>
      <w:r w:rsidR="00D7776F" w:rsidRPr="00461D74">
        <w:rPr>
          <w:rFonts w:ascii="Garamond" w:hAnsi="Garamond"/>
          <w:sz w:val="24"/>
          <w:szCs w:val="24"/>
        </w:rPr>
        <w:t>ir</w:t>
      </w:r>
      <w:r w:rsidRPr="00461D74">
        <w:rPr>
          <w:rFonts w:ascii="Garamond" w:hAnsi="Garamond"/>
          <w:sz w:val="24"/>
          <w:szCs w:val="24"/>
        </w:rPr>
        <w:t xml:space="preserve"> social context. At this point in the story Aristotle enters the picture. Aristotle’s </w:t>
      </w:r>
      <w:r w:rsidR="00BE4D41" w:rsidRPr="00461D74">
        <w:rPr>
          <w:rFonts w:ascii="Garamond" w:hAnsi="Garamond"/>
          <w:sz w:val="24"/>
          <w:szCs w:val="24"/>
        </w:rPr>
        <w:t xml:space="preserve">ethical </w:t>
      </w:r>
      <w:r w:rsidRPr="00461D74">
        <w:rPr>
          <w:rFonts w:ascii="Garamond" w:hAnsi="Garamond"/>
          <w:sz w:val="24"/>
          <w:szCs w:val="24"/>
        </w:rPr>
        <w:t xml:space="preserve">inquiry, on MacIntyre’s view, </w:t>
      </w:r>
      <w:r w:rsidR="00C96BBC" w:rsidRPr="00461D74">
        <w:rPr>
          <w:rFonts w:ascii="Garamond" w:hAnsi="Garamond"/>
          <w:sz w:val="24"/>
          <w:szCs w:val="24"/>
        </w:rPr>
        <w:t>tasks itself with</w:t>
      </w:r>
      <w:r w:rsidR="00BE4D41" w:rsidRPr="00461D74">
        <w:rPr>
          <w:rFonts w:ascii="Garamond" w:hAnsi="Garamond"/>
          <w:sz w:val="24"/>
          <w:szCs w:val="24"/>
        </w:rPr>
        <w:t xml:space="preserve"> articulating the kind of human life within which a diverse set of goods can be integrated; moreover, the concrete social framework that integrates various goods within the life of an individual is the </w:t>
      </w:r>
      <w:r w:rsidR="00DC59A9" w:rsidRPr="00461D74">
        <w:rPr>
          <w:rFonts w:ascii="Garamond" w:hAnsi="Garamond"/>
          <w:sz w:val="24"/>
          <w:szCs w:val="24"/>
        </w:rPr>
        <w:t xml:space="preserve">institution of the </w:t>
      </w:r>
      <w:r w:rsidR="00BE4D41" w:rsidRPr="00461D74">
        <w:rPr>
          <w:rFonts w:ascii="Garamond" w:hAnsi="Garamond"/>
          <w:sz w:val="24"/>
          <w:szCs w:val="24"/>
        </w:rPr>
        <w:t xml:space="preserve">polis. </w:t>
      </w:r>
      <w:r w:rsidRPr="00461D74">
        <w:rPr>
          <w:rFonts w:ascii="Garamond" w:hAnsi="Garamond"/>
          <w:sz w:val="24"/>
          <w:szCs w:val="24"/>
        </w:rPr>
        <w:t xml:space="preserve">Thus, Aristotle’s account of the good and </w:t>
      </w:r>
      <w:r w:rsidR="00BE4D41" w:rsidRPr="00461D74">
        <w:rPr>
          <w:rFonts w:ascii="Garamond" w:hAnsi="Garamond"/>
          <w:sz w:val="24"/>
          <w:szCs w:val="24"/>
        </w:rPr>
        <w:t xml:space="preserve">the </w:t>
      </w:r>
      <w:r w:rsidRPr="00461D74">
        <w:rPr>
          <w:rFonts w:ascii="Garamond" w:hAnsi="Garamond"/>
          <w:sz w:val="24"/>
          <w:szCs w:val="24"/>
        </w:rPr>
        <w:t xml:space="preserve">best </w:t>
      </w:r>
      <w:r w:rsidR="00DB00EA" w:rsidRPr="00DB00EA">
        <w:rPr>
          <w:rFonts w:ascii="Garamond" w:hAnsi="Garamond"/>
          <w:i/>
          <w:sz w:val="24"/>
          <w:szCs w:val="24"/>
        </w:rPr>
        <w:t>is</w:t>
      </w:r>
      <w:r w:rsidRPr="00461D74">
        <w:rPr>
          <w:rFonts w:ascii="Garamond" w:hAnsi="Garamond"/>
          <w:sz w:val="24"/>
          <w:szCs w:val="24"/>
        </w:rPr>
        <w:t xml:space="preserve"> </w:t>
      </w:r>
      <w:r w:rsidR="00BE4D41" w:rsidRPr="00461D74">
        <w:rPr>
          <w:rFonts w:ascii="Garamond" w:hAnsi="Garamond"/>
          <w:sz w:val="24"/>
          <w:szCs w:val="24"/>
        </w:rPr>
        <w:t xml:space="preserve">an </w:t>
      </w:r>
      <w:r w:rsidRPr="00461D74">
        <w:rPr>
          <w:rFonts w:ascii="Garamond" w:hAnsi="Garamond"/>
          <w:sz w:val="24"/>
          <w:szCs w:val="24"/>
        </w:rPr>
        <w:t xml:space="preserve">account of the good and </w:t>
      </w:r>
      <w:r w:rsidR="00BE4D41" w:rsidRPr="00461D74">
        <w:rPr>
          <w:rFonts w:ascii="Garamond" w:hAnsi="Garamond"/>
          <w:sz w:val="24"/>
          <w:szCs w:val="24"/>
        </w:rPr>
        <w:t xml:space="preserve">the </w:t>
      </w:r>
      <w:r w:rsidRPr="00461D74">
        <w:rPr>
          <w:rFonts w:ascii="Garamond" w:hAnsi="Garamond"/>
          <w:sz w:val="24"/>
          <w:szCs w:val="24"/>
        </w:rPr>
        <w:t>best</w:t>
      </w:r>
      <w:r w:rsidR="00BE4D41" w:rsidRPr="00461D74">
        <w:rPr>
          <w:rFonts w:ascii="Garamond" w:hAnsi="Garamond"/>
          <w:sz w:val="24"/>
          <w:szCs w:val="24"/>
        </w:rPr>
        <w:t xml:space="preserve"> life for human beings, </w:t>
      </w:r>
      <w:r w:rsidRPr="00461D74">
        <w:rPr>
          <w:rFonts w:ascii="Garamond" w:hAnsi="Garamond"/>
          <w:sz w:val="24"/>
          <w:szCs w:val="24"/>
        </w:rPr>
        <w:t xml:space="preserve">realizable in the </w:t>
      </w:r>
      <w:r w:rsidR="00BE4D41" w:rsidRPr="00461D74">
        <w:rPr>
          <w:rFonts w:ascii="Garamond" w:hAnsi="Garamond"/>
          <w:sz w:val="24"/>
          <w:szCs w:val="24"/>
        </w:rPr>
        <w:t xml:space="preserve">context of the </w:t>
      </w:r>
      <w:r w:rsidRPr="00461D74">
        <w:rPr>
          <w:rFonts w:ascii="Garamond" w:hAnsi="Garamond"/>
          <w:sz w:val="24"/>
          <w:szCs w:val="24"/>
        </w:rPr>
        <w:t>polis.</w:t>
      </w:r>
      <w:r w:rsidRPr="00461D74">
        <w:rPr>
          <w:rStyle w:val="FootnoteReference"/>
          <w:rFonts w:ascii="Garamond" w:hAnsi="Garamond"/>
          <w:sz w:val="24"/>
          <w:szCs w:val="24"/>
        </w:rPr>
        <w:footnoteReference w:id="107"/>
      </w:r>
      <w:r w:rsidRPr="00461D74">
        <w:rPr>
          <w:rFonts w:ascii="Garamond" w:hAnsi="Garamond"/>
          <w:sz w:val="24"/>
          <w:szCs w:val="24"/>
        </w:rPr>
        <w:t xml:space="preserve"> </w:t>
      </w:r>
      <w:r w:rsidR="00F548D6" w:rsidRPr="00461D74">
        <w:rPr>
          <w:rFonts w:ascii="Garamond" w:hAnsi="Garamond"/>
          <w:sz w:val="24"/>
          <w:szCs w:val="24"/>
        </w:rPr>
        <w:t>Now, v</w:t>
      </w:r>
      <w:r w:rsidRPr="00461D74">
        <w:rPr>
          <w:rFonts w:ascii="Garamond" w:hAnsi="Garamond"/>
          <w:sz w:val="24"/>
          <w:szCs w:val="24"/>
        </w:rPr>
        <w:t xml:space="preserve">irtues and their ordering </w:t>
      </w:r>
      <w:r w:rsidR="00F548D6" w:rsidRPr="00461D74">
        <w:rPr>
          <w:rFonts w:ascii="Garamond" w:hAnsi="Garamond"/>
          <w:sz w:val="24"/>
          <w:szCs w:val="24"/>
        </w:rPr>
        <w:t>in the Aristotelian context necessitate</w:t>
      </w:r>
      <w:r w:rsidRPr="00461D74">
        <w:rPr>
          <w:rFonts w:ascii="Garamond" w:hAnsi="Garamond"/>
          <w:sz w:val="24"/>
          <w:szCs w:val="24"/>
        </w:rPr>
        <w:t xml:space="preserve"> a concrete institutionalized polis since norms of justice are dependent on </w:t>
      </w:r>
      <w:r w:rsidR="00F548D6" w:rsidRPr="00461D74">
        <w:rPr>
          <w:rFonts w:ascii="Garamond" w:hAnsi="Garamond"/>
          <w:sz w:val="24"/>
          <w:szCs w:val="24"/>
        </w:rPr>
        <w:t>the social practices available within a</w:t>
      </w:r>
      <w:r w:rsidRPr="00461D74">
        <w:rPr>
          <w:rFonts w:ascii="Garamond" w:hAnsi="Garamond"/>
          <w:sz w:val="24"/>
          <w:szCs w:val="24"/>
        </w:rPr>
        <w:t xml:space="preserve"> particular polis</w:t>
      </w:r>
      <w:r w:rsidR="00F548D6" w:rsidRPr="00461D74">
        <w:rPr>
          <w:rFonts w:ascii="Garamond" w:hAnsi="Garamond"/>
          <w:sz w:val="24"/>
          <w:szCs w:val="24"/>
        </w:rPr>
        <w:t xml:space="preserve">. The major implication of MacIntyre’s argument is that </w:t>
      </w:r>
      <w:r w:rsidR="0052031D" w:rsidRPr="00461D74">
        <w:rPr>
          <w:rFonts w:ascii="Garamond" w:hAnsi="Garamond"/>
          <w:sz w:val="24"/>
          <w:szCs w:val="24"/>
        </w:rPr>
        <w:t xml:space="preserve">the </w:t>
      </w:r>
      <w:r w:rsidR="00F548D6" w:rsidRPr="00461D74">
        <w:rPr>
          <w:rFonts w:ascii="Garamond" w:hAnsi="Garamond"/>
          <w:sz w:val="24"/>
          <w:szCs w:val="24"/>
        </w:rPr>
        <w:t xml:space="preserve">Greek </w:t>
      </w:r>
      <w:r w:rsidRPr="00461D74">
        <w:rPr>
          <w:rFonts w:ascii="Garamond" w:hAnsi="Garamond"/>
          <w:sz w:val="24"/>
          <w:szCs w:val="24"/>
        </w:rPr>
        <w:t xml:space="preserve">polis provides </w:t>
      </w:r>
      <w:r w:rsidR="00CF3671" w:rsidRPr="00461D74">
        <w:rPr>
          <w:rFonts w:ascii="Garamond" w:hAnsi="Garamond"/>
          <w:sz w:val="24"/>
          <w:szCs w:val="24"/>
        </w:rPr>
        <w:t>Aristotle</w:t>
      </w:r>
      <w:r w:rsidR="0052031D" w:rsidRPr="00461D74">
        <w:rPr>
          <w:rFonts w:ascii="Garamond" w:hAnsi="Garamond"/>
          <w:sz w:val="24"/>
          <w:szCs w:val="24"/>
        </w:rPr>
        <w:t xml:space="preserve"> with </w:t>
      </w:r>
      <w:r w:rsidRPr="00461D74">
        <w:rPr>
          <w:rFonts w:ascii="Garamond" w:hAnsi="Garamond"/>
          <w:sz w:val="24"/>
          <w:szCs w:val="24"/>
        </w:rPr>
        <w:t xml:space="preserve">the social context in which the ordering of the goods </w:t>
      </w:r>
      <w:r w:rsidR="00F548D6" w:rsidRPr="00461D74">
        <w:rPr>
          <w:rFonts w:ascii="Garamond" w:hAnsi="Garamond"/>
          <w:sz w:val="24"/>
          <w:szCs w:val="24"/>
        </w:rPr>
        <w:t xml:space="preserve">generated </w:t>
      </w:r>
      <w:r w:rsidRPr="00461D74">
        <w:rPr>
          <w:rFonts w:ascii="Garamond" w:hAnsi="Garamond"/>
          <w:sz w:val="24"/>
          <w:szCs w:val="24"/>
        </w:rPr>
        <w:t xml:space="preserve">in </w:t>
      </w:r>
      <w:r w:rsidR="00F548D6" w:rsidRPr="00461D74">
        <w:rPr>
          <w:rFonts w:ascii="Garamond" w:hAnsi="Garamond"/>
          <w:sz w:val="24"/>
          <w:szCs w:val="24"/>
        </w:rPr>
        <w:t>the course of the life of an individual</w:t>
      </w:r>
      <w:r w:rsidR="00647579">
        <w:rPr>
          <w:rFonts w:ascii="Garamond" w:hAnsi="Garamond"/>
          <w:sz w:val="24"/>
          <w:szCs w:val="24"/>
        </w:rPr>
        <w:t>,</w:t>
      </w:r>
      <w:r w:rsidR="00F548D6" w:rsidRPr="00461D74">
        <w:rPr>
          <w:rFonts w:ascii="Garamond" w:hAnsi="Garamond"/>
          <w:sz w:val="24"/>
          <w:szCs w:val="24"/>
        </w:rPr>
        <w:t xml:space="preserve"> who resides in a polis, is made </w:t>
      </w:r>
      <w:r w:rsidRPr="00461D74">
        <w:rPr>
          <w:rFonts w:ascii="Garamond" w:hAnsi="Garamond"/>
          <w:sz w:val="24"/>
          <w:szCs w:val="24"/>
        </w:rPr>
        <w:t>possible.</w:t>
      </w:r>
      <w:r w:rsidRPr="00461D74">
        <w:rPr>
          <w:rStyle w:val="FootnoteReference"/>
          <w:rFonts w:ascii="Garamond" w:hAnsi="Garamond"/>
          <w:sz w:val="24"/>
          <w:szCs w:val="24"/>
        </w:rPr>
        <w:footnoteReference w:id="108"/>
      </w:r>
    </w:p>
    <w:p w:rsidR="00016049" w:rsidRPr="00461D74" w:rsidRDefault="0052031D" w:rsidP="00164E4D">
      <w:pPr>
        <w:spacing w:line="360" w:lineRule="auto"/>
        <w:ind w:firstLine="720"/>
        <w:jc w:val="both"/>
        <w:rPr>
          <w:rFonts w:ascii="Garamond" w:hAnsi="Garamond"/>
          <w:sz w:val="24"/>
          <w:szCs w:val="24"/>
        </w:rPr>
      </w:pPr>
      <w:r w:rsidRPr="00461D74">
        <w:rPr>
          <w:rFonts w:ascii="Garamond" w:hAnsi="Garamond"/>
          <w:sz w:val="24"/>
          <w:szCs w:val="24"/>
        </w:rPr>
        <w:t>Still</w:t>
      </w:r>
      <w:r w:rsidR="00016049" w:rsidRPr="00461D74">
        <w:rPr>
          <w:rFonts w:ascii="Garamond" w:hAnsi="Garamond"/>
          <w:sz w:val="24"/>
          <w:szCs w:val="24"/>
        </w:rPr>
        <w:t xml:space="preserve">, </w:t>
      </w:r>
      <w:r w:rsidR="00CF3671" w:rsidRPr="00461D74">
        <w:rPr>
          <w:rFonts w:ascii="Garamond" w:hAnsi="Garamond"/>
          <w:sz w:val="24"/>
          <w:szCs w:val="24"/>
        </w:rPr>
        <w:t xml:space="preserve">for </w:t>
      </w:r>
      <w:r w:rsidR="00016049" w:rsidRPr="00461D74">
        <w:rPr>
          <w:rFonts w:ascii="Garamond" w:hAnsi="Garamond"/>
          <w:sz w:val="24"/>
          <w:szCs w:val="24"/>
        </w:rPr>
        <w:t>MacIntyre’s</w:t>
      </w:r>
      <w:r w:rsidR="00CF3671" w:rsidRPr="00461D74">
        <w:rPr>
          <w:rFonts w:ascii="Garamond" w:hAnsi="Garamond"/>
          <w:sz w:val="24"/>
          <w:szCs w:val="24"/>
        </w:rPr>
        <w:t>, this</w:t>
      </w:r>
      <w:r w:rsidR="00016049" w:rsidRPr="00461D74">
        <w:rPr>
          <w:rFonts w:ascii="Garamond" w:hAnsi="Garamond"/>
          <w:sz w:val="24"/>
          <w:szCs w:val="24"/>
        </w:rPr>
        <w:t xml:space="preserve"> view</w:t>
      </w:r>
      <w:r w:rsidR="00CF3671" w:rsidRPr="00461D74">
        <w:rPr>
          <w:rFonts w:ascii="Garamond" w:hAnsi="Garamond"/>
          <w:sz w:val="24"/>
          <w:szCs w:val="24"/>
        </w:rPr>
        <w:t xml:space="preserve"> </w:t>
      </w:r>
      <w:r w:rsidR="00016049" w:rsidRPr="00461D74">
        <w:rPr>
          <w:rFonts w:ascii="Garamond" w:hAnsi="Garamond"/>
          <w:sz w:val="24"/>
          <w:szCs w:val="24"/>
        </w:rPr>
        <w:t xml:space="preserve">doesn’t collapse into a type of relativism where the norms of justice are what they are because they are found in some </w:t>
      </w:r>
      <w:r w:rsidR="00016049" w:rsidRPr="00461D74">
        <w:rPr>
          <w:rFonts w:ascii="Garamond" w:hAnsi="Garamond"/>
          <w:sz w:val="24"/>
          <w:szCs w:val="24"/>
        </w:rPr>
        <w:lastRenderedPageBreak/>
        <w:t>particular polis</w:t>
      </w:r>
      <w:r w:rsidR="00C9766C">
        <w:rPr>
          <w:rFonts w:ascii="Garamond" w:hAnsi="Garamond"/>
          <w:sz w:val="24"/>
          <w:szCs w:val="24"/>
        </w:rPr>
        <w:t xml:space="preserve"> or other</w:t>
      </w:r>
      <w:r w:rsidR="00016049" w:rsidRPr="00461D74">
        <w:rPr>
          <w:rFonts w:ascii="Garamond" w:hAnsi="Garamond"/>
          <w:sz w:val="24"/>
          <w:szCs w:val="24"/>
        </w:rPr>
        <w:t xml:space="preserve">. First, the polis is aiming at the best possible life for its citizens, and </w:t>
      </w:r>
      <w:r w:rsidR="00BB6933" w:rsidRPr="00461D74">
        <w:rPr>
          <w:rFonts w:ascii="Garamond" w:hAnsi="Garamond"/>
          <w:sz w:val="24"/>
          <w:szCs w:val="24"/>
        </w:rPr>
        <w:t xml:space="preserve">the </w:t>
      </w:r>
      <w:r w:rsidR="00016049" w:rsidRPr="00461D74">
        <w:rPr>
          <w:rFonts w:ascii="Garamond" w:hAnsi="Garamond"/>
          <w:sz w:val="24"/>
          <w:szCs w:val="24"/>
        </w:rPr>
        <w:t xml:space="preserve">best realisable life is defined in terms of an account of human nature and its specific </w:t>
      </w:r>
      <w:proofErr w:type="spellStart"/>
      <w:r w:rsidR="00016049" w:rsidRPr="00461D74">
        <w:rPr>
          <w:rFonts w:ascii="Garamond" w:hAnsi="Garamond"/>
          <w:sz w:val="24"/>
          <w:szCs w:val="24"/>
        </w:rPr>
        <w:t>telos</w:t>
      </w:r>
      <w:proofErr w:type="spellEnd"/>
      <w:r w:rsidR="00BB6933" w:rsidRPr="00461D74">
        <w:rPr>
          <w:rFonts w:ascii="Garamond" w:hAnsi="Garamond"/>
          <w:sz w:val="24"/>
          <w:szCs w:val="24"/>
        </w:rPr>
        <w:t xml:space="preserve">; therefore, the best life is </w:t>
      </w:r>
      <w:r w:rsidR="00016049" w:rsidRPr="00461D74">
        <w:rPr>
          <w:rFonts w:ascii="Garamond" w:hAnsi="Garamond"/>
          <w:sz w:val="24"/>
          <w:szCs w:val="24"/>
        </w:rPr>
        <w:t xml:space="preserve">defined in functional terms. Second, the inhabitants of the polis </w:t>
      </w:r>
      <w:r w:rsidR="00BB6933" w:rsidRPr="00461D74">
        <w:rPr>
          <w:rFonts w:ascii="Garamond" w:hAnsi="Garamond"/>
          <w:sz w:val="24"/>
          <w:szCs w:val="24"/>
        </w:rPr>
        <w:t xml:space="preserve">possess </w:t>
      </w:r>
      <w:r w:rsidR="00016049" w:rsidRPr="00461D74">
        <w:rPr>
          <w:rFonts w:ascii="Garamond" w:hAnsi="Garamond"/>
          <w:sz w:val="24"/>
          <w:szCs w:val="24"/>
        </w:rPr>
        <w:t xml:space="preserve">the rational resources to evaluate their particular polis, and consider whether their polis is or isn’t contributing to </w:t>
      </w:r>
      <w:r w:rsidR="00BB6933" w:rsidRPr="00461D74">
        <w:rPr>
          <w:rFonts w:ascii="Garamond" w:hAnsi="Garamond"/>
          <w:sz w:val="24"/>
          <w:szCs w:val="24"/>
        </w:rPr>
        <w:t xml:space="preserve">or otherwise </w:t>
      </w:r>
      <w:r w:rsidR="00016049" w:rsidRPr="00461D74">
        <w:rPr>
          <w:rFonts w:ascii="Garamond" w:hAnsi="Garamond"/>
          <w:sz w:val="24"/>
          <w:szCs w:val="24"/>
        </w:rPr>
        <w:t>advancing this objective.</w:t>
      </w:r>
      <w:r w:rsidR="00016049" w:rsidRPr="00461D74">
        <w:rPr>
          <w:rStyle w:val="FootnoteReference"/>
          <w:rFonts w:ascii="Garamond" w:hAnsi="Garamond"/>
          <w:sz w:val="24"/>
          <w:szCs w:val="24"/>
        </w:rPr>
        <w:footnoteReference w:id="109"/>
      </w:r>
      <w:r w:rsidR="00016049" w:rsidRPr="00461D74">
        <w:rPr>
          <w:rFonts w:ascii="Garamond" w:hAnsi="Garamond"/>
          <w:sz w:val="24"/>
          <w:szCs w:val="24"/>
        </w:rPr>
        <w:t xml:space="preserve"> In this sense the Aristotelian account, by building on Plato’s account and correcting its deficiencies, surpasses its predecessor’s </w:t>
      </w:r>
      <w:r w:rsidR="0079214B" w:rsidRPr="00461D74">
        <w:rPr>
          <w:rFonts w:ascii="Garamond" w:hAnsi="Garamond"/>
          <w:sz w:val="24"/>
          <w:szCs w:val="24"/>
        </w:rPr>
        <w:t xml:space="preserve">earlier </w:t>
      </w:r>
      <w:r w:rsidR="00016049" w:rsidRPr="00461D74">
        <w:rPr>
          <w:rFonts w:ascii="Garamond" w:hAnsi="Garamond"/>
          <w:sz w:val="24"/>
          <w:szCs w:val="24"/>
        </w:rPr>
        <w:t>formulation.</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On the historical reconstruction that MacIntyre suggests, </w:t>
      </w:r>
      <w:r w:rsidR="00A2471A" w:rsidRPr="00461D74">
        <w:rPr>
          <w:rFonts w:ascii="Garamond" w:hAnsi="Garamond"/>
          <w:sz w:val="24"/>
          <w:szCs w:val="24"/>
        </w:rPr>
        <w:t xml:space="preserve">therefore, </w:t>
      </w:r>
      <w:r w:rsidRPr="00461D74">
        <w:rPr>
          <w:rFonts w:ascii="Garamond" w:hAnsi="Garamond"/>
          <w:sz w:val="24"/>
          <w:szCs w:val="24"/>
        </w:rPr>
        <w:t xml:space="preserve">Aristotle’s </w:t>
      </w:r>
      <w:r w:rsidRPr="00461D74">
        <w:rPr>
          <w:rFonts w:ascii="Garamond" w:hAnsi="Garamond"/>
          <w:i/>
          <w:sz w:val="24"/>
          <w:szCs w:val="24"/>
        </w:rPr>
        <w:t>Ethics</w:t>
      </w:r>
      <w:r w:rsidRPr="00461D74">
        <w:rPr>
          <w:rFonts w:ascii="Garamond" w:hAnsi="Garamond"/>
          <w:sz w:val="24"/>
          <w:szCs w:val="24"/>
        </w:rPr>
        <w:t xml:space="preserve"> offered the first coherent framework where the limitations and achievements of earlier accounts – those of Thucydides and the Sophists – could be identified and evaluated, thereby transcending </w:t>
      </w:r>
      <w:r w:rsidR="0079214B" w:rsidRPr="00461D74">
        <w:rPr>
          <w:rFonts w:ascii="Garamond" w:hAnsi="Garamond"/>
          <w:sz w:val="24"/>
          <w:szCs w:val="24"/>
        </w:rPr>
        <w:t xml:space="preserve">those </w:t>
      </w:r>
      <w:r w:rsidRPr="00461D74">
        <w:rPr>
          <w:rFonts w:ascii="Garamond" w:hAnsi="Garamond"/>
          <w:sz w:val="24"/>
          <w:szCs w:val="24"/>
        </w:rPr>
        <w:t>earlier accounts.</w:t>
      </w:r>
      <w:r w:rsidRPr="00461D74">
        <w:rPr>
          <w:rStyle w:val="FootnoteReference"/>
          <w:rFonts w:ascii="Garamond" w:hAnsi="Garamond"/>
          <w:sz w:val="24"/>
          <w:szCs w:val="24"/>
        </w:rPr>
        <w:footnoteReference w:id="110"/>
      </w:r>
      <w:r w:rsidRPr="00461D74">
        <w:rPr>
          <w:rFonts w:ascii="Garamond" w:hAnsi="Garamond"/>
          <w:sz w:val="24"/>
          <w:szCs w:val="24"/>
        </w:rPr>
        <w:t xml:space="preserve"> The Aristotelian challenge to Thucydides is that we can’t be properly rational if we need to resort to manipulative and rhetorical modes of deliberation; and, to possess the right sort of rationality one has to be virtuous.</w:t>
      </w:r>
      <w:r w:rsidRPr="00461D74">
        <w:rPr>
          <w:rStyle w:val="FootnoteReference"/>
          <w:rFonts w:ascii="Garamond" w:hAnsi="Garamond"/>
          <w:sz w:val="24"/>
          <w:szCs w:val="24"/>
        </w:rPr>
        <w:footnoteReference w:id="111"/>
      </w:r>
      <w:r w:rsidRPr="00461D74">
        <w:rPr>
          <w:rFonts w:ascii="Garamond" w:hAnsi="Garamond"/>
          <w:sz w:val="24"/>
          <w:szCs w:val="24"/>
        </w:rPr>
        <w:t xml:space="preserve"> Why? Manipulative modes of deliberation, because they fail to aim at the truth, fail to advance our knowledge of the good. Thus, on the Aristotelian </w:t>
      </w:r>
      <w:r w:rsidR="00CF3671" w:rsidRPr="00461D74">
        <w:rPr>
          <w:rFonts w:ascii="Garamond" w:hAnsi="Garamond"/>
          <w:sz w:val="24"/>
          <w:szCs w:val="24"/>
        </w:rPr>
        <w:t>(</w:t>
      </w:r>
      <w:r w:rsidRPr="00461D74">
        <w:rPr>
          <w:rFonts w:ascii="Garamond" w:hAnsi="Garamond"/>
          <w:sz w:val="24"/>
          <w:szCs w:val="24"/>
        </w:rPr>
        <w:t xml:space="preserve">and </w:t>
      </w:r>
      <w:r w:rsidR="00CF3671" w:rsidRPr="00461D74">
        <w:rPr>
          <w:rFonts w:ascii="Garamond" w:hAnsi="Garamond"/>
          <w:sz w:val="24"/>
          <w:szCs w:val="24"/>
        </w:rPr>
        <w:t xml:space="preserve">the </w:t>
      </w:r>
      <w:r w:rsidRPr="00461D74">
        <w:rPr>
          <w:rFonts w:ascii="Garamond" w:hAnsi="Garamond"/>
          <w:sz w:val="24"/>
          <w:szCs w:val="24"/>
        </w:rPr>
        <w:t>Platonic</w:t>
      </w:r>
      <w:r w:rsidR="00CF3671" w:rsidRPr="00461D74">
        <w:rPr>
          <w:rFonts w:ascii="Garamond" w:hAnsi="Garamond"/>
          <w:sz w:val="24"/>
          <w:szCs w:val="24"/>
        </w:rPr>
        <w:t>)</w:t>
      </w:r>
      <w:r w:rsidRPr="00461D74">
        <w:rPr>
          <w:rFonts w:ascii="Garamond" w:hAnsi="Garamond"/>
          <w:sz w:val="24"/>
          <w:szCs w:val="24"/>
        </w:rPr>
        <w:t xml:space="preserve"> view, if we don’t pursue the good (excellence), it is because we are ignorant about the nature of the good, perhaps on the account of an unsatisfactory (or otherwise defective) moral education. </w:t>
      </w:r>
    </w:p>
    <w:p w:rsidR="00973D20" w:rsidRPr="00461D74" w:rsidRDefault="00973D20" w:rsidP="00164E4D">
      <w:pPr>
        <w:spacing w:line="360" w:lineRule="auto"/>
        <w:ind w:firstLine="720"/>
        <w:jc w:val="both"/>
        <w:rPr>
          <w:rFonts w:ascii="Garamond" w:hAnsi="Garamond"/>
          <w:sz w:val="24"/>
          <w:szCs w:val="24"/>
        </w:rPr>
      </w:pPr>
      <w:r w:rsidRPr="00461D74">
        <w:rPr>
          <w:rFonts w:ascii="Garamond" w:hAnsi="Garamond"/>
          <w:sz w:val="24"/>
          <w:szCs w:val="24"/>
        </w:rPr>
        <w:t>Nevertheless</w:t>
      </w:r>
      <w:r w:rsidR="00016049" w:rsidRPr="00461D74">
        <w:rPr>
          <w:rFonts w:ascii="Garamond" w:hAnsi="Garamond"/>
          <w:sz w:val="24"/>
          <w:szCs w:val="24"/>
        </w:rPr>
        <w:t xml:space="preserve">, </w:t>
      </w:r>
      <w:r w:rsidRPr="00461D74">
        <w:rPr>
          <w:rFonts w:ascii="Garamond" w:hAnsi="Garamond"/>
          <w:sz w:val="24"/>
          <w:szCs w:val="24"/>
        </w:rPr>
        <w:t xml:space="preserve">before moving on, I would like to point out that </w:t>
      </w:r>
      <w:r w:rsidR="00016049" w:rsidRPr="00461D74">
        <w:rPr>
          <w:rFonts w:ascii="Garamond" w:hAnsi="Garamond"/>
          <w:sz w:val="24"/>
          <w:szCs w:val="24"/>
        </w:rPr>
        <w:t>th</w:t>
      </w:r>
      <w:r w:rsidRPr="00461D74">
        <w:rPr>
          <w:rFonts w:ascii="Garamond" w:hAnsi="Garamond"/>
          <w:sz w:val="24"/>
          <w:szCs w:val="24"/>
        </w:rPr>
        <w:t>is</w:t>
      </w:r>
      <w:r w:rsidR="00016049" w:rsidRPr="00461D74">
        <w:rPr>
          <w:rFonts w:ascii="Garamond" w:hAnsi="Garamond"/>
          <w:sz w:val="24"/>
          <w:szCs w:val="24"/>
        </w:rPr>
        <w:t xml:space="preserve"> problem isn’t entirely resolved, because it seems possible </w:t>
      </w:r>
      <w:r w:rsidR="00C9766C">
        <w:rPr>
          <w:rFonts w:ascii="Garamond" w:hAnsi="Garamond"/>
          <w:sz w:val="24"/>
          <w:szCs w:val="24"/>
        </w:rPr>
        <w:t xml:space="preserve">that </w:t>
      </w:r>
      <w:r w:rsidR="00016049" w:rsidRPr="00461D74">
        <w:rPr>
          <w:rFonts w:ascii="Garamond" w:hAnsi="Garamond"/>
          <w:sz w:val="24"/>
          <w:szCs w:val="24"/>
        </w:rPr>
        <w:t xml:space="preserve">highly intelligent educated people have different conception of </w:t>
      </w:r>
      <w:r w:rsidRPr="00461D74">
        <w:rPr>
          <w:rFonts w:ascii="Garamond" w:hAnsi="Garamond"/>
          <w:sz w:val="24"/>
          <w:szCs w:val="24"/>
        </w:rPr>
        <w:t xml:space="preserve">what </w:t>
      </w:r>
      <w:r w:rsidR="00016049" w:rsidRPr="00461D74">
        <w:rPr>
          <w:rFonts w:ascii="Garamond" w:hAnsi="Garamond"/>
          <w:sz w:val="24"/>
          <w:szCs w:val="24"/>
        </w:rPr>
        <w:t>the good</w:t>
      </w:r>
      <w:r w:rsidRPr="00461D74">
        <w:rPr>
          <w:rFonts w:ascii="Garamond" w:hAnsi="Garamond"/>
          <w:sz w:val="24"/>
          <w:szCs w:val="24"/>
        </w:rPr>
        <w:t xml:space="preserve"> is, and what it requires</w:t>
      </w:r>
      <w:r w:rsidR="00016049" w:rsidRPr="00461D74">
        <w:rPr>
          <w:rFonts w:ascii="Garamond" w:hAnsi="Garamond"/>
          <w:sz w:val="24"/>
          <w:szCs w:val="24"/>
        </w:rPr>
        <w:t xml:space="preserve">. More importantly, because of </w:t>
      </w:r>
      <w:r w:rsidRPr="00461D74">
        <w:rPr>
          <w:rFonts w:ascii="Garamond" w:hAnsi="Garamond"/>
          <w:sz w:val="24"/>
          <w:szCs w:val="24"/>
        </w:rPr>
        <w:t>a series of social-</w:t>
      </w:r>
      <w:r w:rsidR="00016049" w:rsidRPr="00461D74">
        <w:rPr>
          <w:rFonts w:ascii="Garamond" w:hAnsi="Garamond"/>
          <w:sz w:val="24"/>
          <w:szCs w:val="24"/>
        </w:rPr>
        <w:t xml:space="preserve">historical </w:t>
      </w:r>
      <w:r w:rsidRPr="00461D74">
        <w:rPr>
          <w:rFonts w:ascii="Garamond" w:hAnsi="Garamond"/>
          <w:sz w:val="24"/>
          <w:szCs w:val="24"/>
        </w:rPr>
        <w:t xml:space="preserve">transformations that began </w:t>
      </w:r>
      <w:r w:rsidR="00016049" w:rsidRPr="00461D74">
        <w:rPr>
          <w:rFonts w:ascii="Garamond" w:hAnsi="Garamond"/>
          <w:sz w:val="24"/>
          <w:szCs w:val="24"/>
        </w:rPr>
        <w:t>in the latter part of the 4</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BCE and </w:t>
      </w:r>
      <w:r w:rsidRPr="00461D74">
        <w:rPr>
          <w:rFonts w:ascii="Garamond" w:hAnsi="Garamond"/>
          <w:sz w:val="24"/>
          <w:szCs w:val="24"/>
        </w:rPr>
        <w:t xml:space="preserve">gained further momentum </w:t>
      </w:r>
      <w:r w:rsidRPr="00461D74">
        <w:rPr>
          <w:rFonts w:ascii="Garamond" w:hAnsi="Garamond"/>
          <w:sz w:val="24"/>
          <w:szCs w:val="24"/>
        </w:rPr>
        <w:lastRenderedPageBreak/>
        <w:t xml:space="preserve">soon thereafter – namely, </w:t>
      </w:r>
      <w:r w:rsidR="00016049" w:rsidRPr="00461D74">
        <w:rPr>
          <w:rFonts w:ascii="Garamond" w:hAnsi="Garamond"/>
          <w:sz w:val="24"/>
          <w:szCs w:val="24"/>
        </w:rPr>
        <w:t xml:space="preserve">the emergence of empires </w:t>
      </w:r>
      <w:r w:rsidRPr="00461D74">
        <w:rPr>
          <w:rFonts w:ascii="Garamond" w:hAnsi="Garamond"/>
          <w:sz w:val="24"/>
          <w:szCs w:val="24"/>
        </w:rPr>
        <w:t xml:space="preserve">– the institution of the polis is ultimately eclipsed; therefore, the primacy of the polis as an organising institution in which the various goods are ordered, is placed under further question and </w:t>
      </w:r>
      <w:r w:rsidR="00016049" w:rsidRPr="00461D74">
        <w:rPr>
          <w:rFonts w:ascii="Garamond" w:hAnsi="Garamond"/>
          <w:sz w:val="24"/>
          <w:szCs w:val="24"/>
        </w:rPr>
        <w:t xml:space="preserve">this problem </w:t>
      </w:r>
      <w:r w:rsidRPr="00461D74">
        <w:rPr>
          <w:rFonts w:ascii="Garamond" w:hAnsi="Garamond"/>
          <w:sz w:val="24"/>
          <w:szCs w:val="24"/>
        </w:rPr>
        <w:t xml:space="preserve">is rendered </w:t>
      </w:r>
      <w:r w:rsidR="00016049" w:rsidRPr="00461D74">
        <w:rPr>
          <w:rFonts w:ascii="Garamond" w:hAnsi="Garamond"/>
          <w:sz w:val="24"/>
          <w:szCs w:val="24"/>
        </w:rPr>
        <w:t xml:space="preserve">more acute. </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It is at this point in the narrative history of tradition</w:t>
      </w:r>
      <w:r w:rsidR="00FD4C95" w:rsidRPr="00461D74">
        <w:rPr>
          <w:rFonts w:ascii="Garamond" w:hAnsi="Garamond"/>
          <w:sz w:val="24"/>
          <w:szCs w:val="24"/>
        </w:rPr>
        <w:t>s</w:t>
      </w:r>
      <w:r w:rsidRPr="00461D74">
        <w:rPr>
          <w:rFonts w:ascii="Garamond" w:hAnsi="Garamond"/>
          <w:sz w:val="24"/>
          <w:szCs w:val="24"/>
        </w:rPr>
        <w:t xml:space="preserve"> directed towards the goods of excellence that Augustine enters the story in </w:t>
      </w:r>
      <w:r w:rsidRPr="00461D74">
        <w:rPr>
          <w:rFonts w:ascii="Garamond" w:hAnsi="Garamond"/>
          <w:i/>
          <w:sz w:val="24"/>
          <w:szCs w:val="24"/>
        </w:rPr>
        <w:t>Whose Justice</w:t>
      </w:r>
      <w:r w:rsidRPr="00461D74">
        <w:rPr>
          <w:rFonts w:ascii="Garamond" w:hAnsi="Garamond"/>
          <w:sz w:val="24"/>
          <w:szCs w:val="24"/>
        </w:rPr>
        <w:t xml:space="preserve">. The </w:t>
      </w:r>
      <w:r w:rsidR="00CF3671" w:rsidRPr="00461D74">
        <w:rPr>
          <w:rFonts w:ascii="Garamond" w:hAnsi="Garamond"/>
          <w:sz w:val="24"/>
          <w:szCs w:val="24"/>
        </w:rPr>
        <w:t xml:space="preserve">aim </w:t>
      </w:r>
      <w:r w:rsidRPr="00461D74">
        <w:rPr>
          <w:rFonts w:ascii="Garamond" w:hAnsi="Garamond"/>
          <w:sz w:val="24"/>
          <w:szCs w:val="24"/>
        </w:rPr>
        <w:t xml:space="preserve">of the Augustinian account </w:t>
      </w:r>
      <w:r w:rsidR="00CF3671" w:rsidRPr="00461D74">
        <w:rPr>
          <w:rFonts w:ascii="Garamond" w:hAnsi="Garamond"/>
          <w:sz w:val="24"/>
          <w:szCs w:val="24"/>
        </w:rPr>
        <w:t xml:space="preserve">in MacIntyre’s narrative </w:t>
      </w:r>
      <w:r w:rsidRPr="00461D74">
        <w:rPr>
          <w:rFonts w:ascii="Garamond" w:hAnsi="Garamond"/>
          <w:sz w:val="24"/>
          <w:szCs w:val="24"/>
        </w:rPr>
        <w:t xml:space="preserve">is </w:t>
      </w:r>
      <w:r w:rsidR="00CF3671" w:rsidRPr="00461D74">
        <w:rPr>
          <w:rFonts w:ascii="Garamond" w:hAnsi="Garamond"/>
          <w:sz w:val="24"/>
          <w:szCs w:val="24"/>
        </w:rPr>
        <w:t xml:space="preserve">then </w:t>
      </w:r>
      <w:r w:rsidRPr="00461D74">
        <w:rPr>
          <w:rFonts w:ascii="Garamond" w:hAnsi="Garamond"/>
          <w:sz w:val="24"/>
          <w:szCs w:val="24"/>
        </w:rPr>
        <w:t xml:space="preserve">to offer the type of resources that would still later, under Aquinas, offer a resolution to this </w:t>
      </w:r>
      <w:r w:rsidR="00CF3671" w:rsidRPr="00461D74">
        <w:rPr>
          <w:rFonts w:ascii="Garamond" w:hAnsi="Garamond"/>
          <w:sz w:val="24"/>
          <w:szCs w:val="24"/>
        </w:rPr>
        <w:t xml:space="preserve">particular </w:t>
      </w:r>
      <w:r w:rsidRPr="00461D74">
        <w:rPr>
          <w:rFonts w:ascii="Garamond" w:hAnsi="Garamond"/>
          <w:sz w:val="24"/>
          <w:szCs w:val="24"/>
        </w:rPr>
        <w:t>problem.</w:t>
      </w:r>
    </w:p>
    <w:p w:rsidR="00016049" w:rsidRPr="00461D74" w:rsidRDefault="00016049" w:rsidP="00164E4D">
      <w:pPr>
        <w:spacing w:line="360" w:lineRule="auto"/>
        <w:jc w:val="both"/>
        <w:rPr>
          <w:rFonts w:ascii="Garamond" w:hAnsi="Garamond"/>
          <w:sz w:val="24"/>
          <w:szCs w:val="24"/>
        </w:rPr>
      </w:pPr>
    </w:p>
    <w:p w:rsidR="00016049" w:rsidRPr="00461D74" w:rsidRDefault="00195ABA" w:rsidP="00164E4D">
      <w:pPr>
        <w:pStyle w:val="Heading2"/>
        <w:spacing w:line="360" w:lineRule="auto"/>
        <w:jc w:val="both"/>
        <w:rPr>
          <w:rFonts w:cstheme="majorHAnsi"/>
        </w:rPr>
      </w:pPr>
      <w:bookmarkStart w:id="11" w:name="_Toc528077793"/>
      <w:r w:rsidRPr="00461D74">
        <w:rPr>
          <w:rFonts w:cstheme="majorHAnsi"/>
        </w:rPr>
        <w:t xml:space="preserve">5. </w:t>
      </w:r>
      <w:r w:rsidR="00944DE9" w:rsidRPr="00461D74">
        <w:rPr>
          <w:rFonts w:cstheme="majorHAnsi"/>
        </w:rPr>
        <w:t>Aquinas’ Synthesis of Aristotle and Augustine</w:t>
      </w:r>
      <w:bookmarkEnd w:id="11"/>
    </w:p>
    <w:p w:rsidR="00EC6689" w:rsidRPr="00461D74" w:rsidRDefault="00EC6689" w:rsidP="00164E4D">
      <w:pPr>
        <w:spacing w:line="360" w:lineRule="auto"/>
        <w:jc w:val="both"/>
        <w:rPr>
          <w:rFonts w:ascii="Garamond" w:hAnsi="Garamond"/>
          <w:sz w:val="24"/>
          <w:szCs w:val="24"/>
        </w:rPr>
      </w:pPr>
    </w:p>
    <w:p w:rsidR="00016049" w:rsidRPr="00461D74" w:rsidRDefault="00016049" w:rsidP="00164E4D">
      <w:pPr>
        <w:spacing w:line="360" w:lineRule="auto"/>
        <w:jc w:val="both"/>
        <w:rPr>
          <w:rFonts w:ascii="Garamond" w:hAnsi="Garamond"/>
          <w:sz w:val="24"/>
          <w:szCs w:val="24"/>
        </w:rPr>
      </w:pPr>
      <w:r w:rsidRPr="00461D74">
        <w:rPr>
          <w:rFonts w:ascii="Garamond" w:hAnsi="Garamond"/>
          <w:sz w:val="24"/>
          <w:szCs w:val="24"/>
        </w:rPr>
        <w:t>MacIntyre</w:t>
      </w:r>
      <w:r w:rsidR="00B0030D" w:rsidRPr="00461D74">
        <w:rPr>
          <w:rFonts w:ascii="Garamond" w:hAnsi="Garamond"/>
          <w:sz w:val="24"/>
          <w:szCs w:val="24"/>
        </w:rPr>
        <w:t xml:space="preserve">, in </w:t>
      </w:r>
      <w:r w:rsidR="00E3294B" w:rsidRPr="00461D74">
        <w:rPr>
          <w:rFonts w:ascii="Garamond" w:hAnsi="Garamond"/>
          <w:i/>
          <w:sz w:val="24"/>
          <w:szCs w:val="24"/>
        </w:rPr>
        <w:t>Whose Justice</w:t>
      </w:r>
      <w:r w:rsidR="00B0030D" w:rsidRPr="00461D74">
        <w:rPr>
          <w:rFonts w:ascii="Garamond" w:hAnsi="Garamond"/>
          <w:sz w:val="24"/>
          <w:szCs w:val="24"/>
        </w:rPr>
        <w:t>,</w:t>
      </w:r>
      <w:r w:rsidRPr="00461D74">
        <w:rPr>
          <w:rFonts w:ascii="Garamond" w:hAnsi="Garamond"/>
          <w:sz w:val="24"/>
          <w:szCs w:val="24"/>
        </w:rPr>
        <w:t xml:space="preserve"> </w:t>
      </w:r>
      <w:r w:rsidR="00B0030D" w:rsidRPr="00461D74">
        <w:rPr>
          <w:rFonts w:ascii="Garamond" w:hAnsi="Garamond"/>
          <w:sz w:val="24"/>
          <w:szCs w:val="24"/>
        </w:rPr>
        <w:t>shows</w:t>
      </w:r>
      <w:r w:rsidRPr="00461D74">
        <w:rPr>
          <w:rFonts w:ascii="Garamond" w:hAnsi="Garamond"/>
          <w:sz w:val="24"/>
          <w:szCs w:val="24"/>
        </w:rPr>
        <w:t xml:space="preserve"> how the loss of the polis and the emergence of empire – first the Macedonian </w:t>
      </w:r>
      <w:r w:rsidR="004C489F" w:rsidRPr="00461D74">
        <w:rPr>
          <w:rFonts w:ascii="Garamond" w:hAnsi="Garamond"/>
          <w:sz w:val="24"/>
          <w:szCs w:val="24"/>
        </w:rPr>
        <w:t>E</w:t>
      </w:r>
      <w:r w:rsidRPr="00461D74">
        <w:rPr>
          <w:rFonts w:ascii="Garamond" w:hAnsi="Garamond"/>
          <w:sz w:val="24"/>
          <w:szCs w:val="24"/>
        </w:rPr>
        <w:t xml:space="preserve">mpire under Alexander, and later the Roman </w:t>
      </w:r>
      <w:r w:rsidR="004C489F" w:rsidRPr="00461D74">
        <w:rPr>
          <w:rFonts w:ascii="Garamond" w:hAnsi="Garamond"/>
          <w:sz w:val="24"/>
          <w:szCs w:val="24"/>
        </w:rPr>
        <w:t>E</w:t>
      </w:r>
      <w:r w:rsidRPr="00461D74">
        <w:rPr>
          <w:rFonts w:ascii="Garamond" w:hAnsi="Garamond"/>
          <w:sz w:val="24"/>
          <w:szCs w:val="24"/>
        </w:rPr>
        <w:t xml:space="preserve">mpire – </w:t>
      </w:r>
      <w:r w:rsidR="004C489F" w:rsidRPr="00461D74">
        <w:rPr>
          <w:rFonts w:ascii="Garamond" w:hAnsi="Garamond"/>
          <w:sz w:val="24"/>
          <w:szCs w:val="24"/>
        </w:rPr>
        <w:t xml:space="preserve">poses </w:t>
      </w:r>
      <w:r w:rsidRPr="00461D74">
        <w:rPr>
          <w:rFonts w:ascii="Garamond" w:hAnsi="Garamond"/>
          <w:sz w:val="24"/>
          <w:szCs w:val="24"/>
        </w:rPr>
        <w:t xml:space="preserve">a problem for the Aristotelian account. </w:t>
      </w:r>
      <w:r w:rsidR="004C489F" w:rsidRPr="00461D74">
        <w:rPr>
          <w:rFonts w:ascii="Garamond" w:hAnsi="Garamond"/>
          <w:sz w:val="24"/>
          <w:szCs w:val="24"/>
        </w:rPr>
        <w:t>Now, the social transformations that begins with the emergence of empires presents a problem for that account since</w:t>
      </w:r>
      <w:r w:rsidRPr="00461D74">
        <w:rPr>
          <w:rFonts w:ascii="Garamond" w:hAnsi="Garamond"/>
          <w:sz w:val="24"/>
          <w:szCs w:val="24"/>
        </w:rPr>
        <w:t xml:space="preserve"> the relationship between justice and virtues that engender the flourishing of human beings within the context of the polis is rendered unclear. Without the institutional form of the polis</w:t>
      </w:r>
      <w:r w:rsidR="004C489F" w:rsidRPr="00461D74">
        <w:rPr>
          <w:rFonts w:ascii="Garamond" w:hAnsi="Garamond"/>
          <w:sz w:val="24"/>
          <w:szCs w:val="24"/>
        </w:rPr>
        <w:t xml:space="preserve"> playing its part as the principal organising force, </w:t>
      </w:r>
      <w:r w:rsidRPr="00461D74">
        <w:rPr>
          <w:rFonts w:ascii="Garamond" w:hAnsi="Garamond"/>
          <w:sz w:val="24"/>
          <w:szCs w:val="24"/>
        </w:rPr>
        <w:t xml:space="preserve">it is no longer clear </w:t>
      </w:r>
      <w:r w:rsidR="00A61252">
        <w:rPr>
          <w:rFonts w:ascii="Garamond" w:hAnsi="Garamond"/>
          <w:sz w:val="24"/>
          <w:szCs w:val="24"/>
        </w:rPr>
        <w:t>how</w:t>
      </w:r>
      <w:r w:rsidR="00A61252" w:rsidRPr="00461D74">
        <w:rPr>
          <w:rFonts w:ascii="Garamond" w:hAnsi="Garamond"/>
          <w:sz w:val="24"/>
          <w:szCs w:val="24"/>
        </w:rPr>
        <w:t xml:space="preserve"> </w:t>
      </w:r>
      <w:r w:rsidRPr="00461D74">
        <w:rPr>
          <w:rFonts w:ascii="Garamond" w:hAnsi="Garamond"/>
          <w:sz w:val="24"/>
          <w:szCs w:val="24"/>
        </w:rPr>
        <w:t xml:space="preserve">we </w:t>
      </w:r>
      <w:r w:rsidR="00A61252">
        <w:rPr>
          <w:rFonts w:ascii="Garamond" w:hAnsi="Garamond"/>
          <w:sz w:val="24"/>
          <w:szCs w:val="24"/>
        </w:rPr>
        <w:t>ought to</w:t>
      </w:r>
      <w:r w:rsidR="00A61252" w:rsidRPr="00461D74">
        <w:rPr>
          <w:rFonts w:ascii="Garamond" w:hAnsi="Garamond"/>
          <w:sz w:val="24"/>
          <w:szCs w:val="24"/>
        </w:rPr>
        <w:t xml:space="preserve"> </w:t>
      </w:r>
      <w:r w:rsidR="00A61252">
        <w:rPr>
          <w:rFonts w:ascii="Garamond" w:hAnsi="Garamond"/>
          <w:sz w:val="24"/>
          <w:szCs w:val="24"/>
        </w:rPr>
        <w:t xml:space="preserve">go about </w:t>
      </w:r>
      <w:r w:rsidRPr="00461D74">
        <w:rPr>
          <w:rFonts w:ascii="Garamond" w:hAnsi="Garamond"/>
          <w:sz w:val="24"/>
          <w:szCs w:val="24"/>
        </w:rPr>
        <w:t>integrat</w:t>
      </w:r>
      <w:r w:rsidR="00A61252">
        <w:rPr>
          <w:rFonts w:ascii="Garamond" w:hAnsi="Garamond"/>
          <w:sz w:val="24"/>
          <w:szCs w:val="24"/>
        </w:rPr>
        <w:t>ing</w:t>
      </w:r>
      <w:r w:rsidRPr="00461D74">
        <w:rPr>
          <w:rFonts w:ascii="Garamond" w:hAnsi="Garamond"/>
          <w:sz w:val="24"/>
          <w:szCs w:val="24"/>
        </w:rPr>
        <w:t xml:space="preserve"> the various goods under a single unified hierarchy. Put differently, we are no longer just concerned with the nature of the good life in the context of the polis</w:t>
      </w:r>
      <w:r w:rsidR="004C489F" w:rsidRPr="00461D74">
        <w:rPr>
          <w:rFonts w:ascii="Garamond" w:hAnsi="Garamond"/>
          <w:sz w:val="24"/>
          <w:szCs w:val="24"/>
        </w:rPr>
        <w:t>;</w:t>
      </w:r>
      <w:r w:rsidRPr="00461D74">
        <w:rPr>
          <w:rFonts w:ascii="Garamond" w:hAnsi="Garamond"/>
          <w:sz w:val="24"/>
          <w:szCs w:val="24"/>
        </w:rPr>
        <w:t xml:space="preserve"> </w:t>
      </w:r>
      <w:r w:rsidR="004C489F" w:rsidRPr="00461D74">
        <w:rPr>
          <w:rFonts w:ascii="Garamond" w:hAnsi="Garamond"/>
          <w:sz w:val="24"/>
          <w:szCs w:val="24"/>
        </w:rPr>
        <w:t xml:space="preserve">rather we must consider the good life in the much larger context of the empire which can potentially encompass the relationship between </w:t>
      </w:r>
      <w:r w:rsidRPr="00461D74">
        <w:rPr>
          <w:rFonts w:ascii="Garamond" w:hAnsi="Garamond"/>
          <w:sz w:val="24"/>
          <w:szCs w:val="24"/>
        </w:rPr>
        <w:t>all human beings as such.</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B0030D" w:rsidRPr="00461D74">
        <w:rPr>
          <w:rFonts w:ascii="Garamond" w:hAnsi="Garamond"/>
          <w:sz w:val="24"/>
          <w:szCs w:val="24"/>
        </w:rPr>
        <w:t xml:space="preserve">goes on to argue </w:t>
      </w:r>
      <w:r w:rsidRPr="00461D74">
        <w:rPr>
          <w:rFonts w:ascii="Garamond" w:hAnsi="Garamond"/>
          <w:sz w:val="24"/>
          <w:szCs w:val="24"/>
        </w:rPr>
        <w:t>that the Stoic</w:t>
      </w:r>
      <w:r w:rsidR="00B0030D" w:rsidRPr="00461D74">
        <w:rPr>
          <w:rFonts w:ascii="Garamond" w:hAnsi="Garamond"/>
          <w:sz w:val="24"/>
          <w:szCs w:val="24"/>
        </w:rPr>
        <w:t xml:space="preserve"> philosophers </w:t>
      </w:r>
      <w:r w:rsidRPr="00461D74">
        <w:rPr>
          <w:rFonts w:ascii="Garamond" w:hAnsi="Garamond"/>
          <w:sz w:val="24"/>
          <w:szCs w:val="24"/>
        </w:rPr>
        <w:t xml:space="preserve">were the first thinkers to </w:t>
      </w:r>
      <w:r w:rsidR="00B0030D" w:rsidRPr="00461D74">
        <w:rPr>
          <w:rFonts w:ascii="Garamond" w:hAnsi="Garamond"/>
          <w:sz w:val="24"/>
          <w:szCs w:val="24"/>
        </w:rPr>
        <w:t>become aware of this problem</w:t>
      </w:r>
      <w:r w:rsidR="00B0697B" w:rsidRPr="00461D74">
        <w:rPr>
          <w:rFonts w:ascii="Garamond" w:hAnsi="Garamond"/>
          <w:sz w:val="24"/>
          <w:szCs w:val="24"/>
        </w:rPr>
        <w:t>,</w:t>
      </w:r>
      <w:r w:rsidR="00B0030D" w:rsidRPr="00461D74">
        <w:rPr>
          <w:rFonts w:ascii="Garamond" w:hAnsi="Garamond"/>
          <w:sz w:val="24"/>
          <w:szCs w:val="24"/>
        </w:rPr>
        <w:t xml:space="preserve"> and </w:t>
      </w:r>
      <w:r w:rsidR="00B0697B" w:rsidRPr="00461D74">
        <w:rPr>
          <w:rFonts w:ascii="Garamond" w:hAnsi="Garamond"/>
          <w:sz w:val="24"/>
          <w:szCs w:val="24"/>
        </w:rPr>
        <w:t xml:space="preserve">it is they who </w:t>
      </w:r>
      <w:r w:rsidR="00B0030D" w:rsidRPr="00461D74">
        <w:rPr>
          <w:rFonts w:ascii="Garamond" w:hAnsi="Garamond"/>
          <w:sz w:val="24"/>
          <w:szCs w:val="24"/>
        </w:rPr>
        <w:t xml:space="preserve">come to </w:t>
      </w:r>
      <w:r w:rsidRPr="00461D74">
        <w:rPr>
          <w:rFonts w:ascii="Garamond" w:hAnsi="Garamond"/>
          <w:sz w:val="24"/>
          <w:szCs w:val="24"/>
        </w:rPr>
        <w:t>see the scope of justice as universal to humanity as such</w:t>
      </w:r>
      <w:r w:rsidR="00B0697B" w:rsidRPr="00461D74">
        <w:rPr>
          <w:rFonts w:ascii="Garamond" w:hAnsi="Garamond"/>
          <w:sz w:val="24"/>
          <w:szCs w:val="24"/>
        </w:rPr>
        <w:t xml:space="preserve">, in which </w:t>
      </w:r>
      <w:r w:rsidRPr="00461D74">
        <w:rPr>
          <w:rFonts w:ascii="Garamond" w:hAnsi="Garamond"/>
          <w:sz w:val="24"/>
          <w:szCs w:val="24"/>
        </w:rPr>
        <w:t xml:space="preserve">all </w:t>
      </w:r>
      <w:r w:rsidR="00B0697B" w:rsidRPr="00461D74">
        <w:rPr>
          <w:rFonts w:ascii="Garamond" w:hAnsi="Garamond"/>
          <w:sz w:val="24"/>
          <w:szCs w:val="24"/>
        </w:rPr>
        <w:t xml:space="preserve">of </w:t>
      </w:r>
      <w:r w:rsidRPr="00461D74">
        <w:rPr>
          <w:rFonts w:ascii="Garamond" w:hAnsi="Garamond"/>
          <w:sz w:val="24"/>
          <w:szCs w:val="24"/>
        </w:rPr>
        <w:t xml:space="preserve">humanity </w:t>
      </w:r>
      <w:r w:rsidR="00B0697B" w:rsidRPr="00461D74">
        <w:rPr>
          <w:rFonts w:ascii="Garamond" w:hAnsi="Garamond"/>
          <w:sz w:val="24"/>
          <w:szCs w:val="24"/>
        </w:rPr>
        <w:t xml:space="preserve">are </w:t>
      </w:r>
      <w:r w:rsidR="003F054B">
        <w:rPr>
          <w:rFonts w:ascii="Garamond" w:hAnsi="Garamond"/>
          <w:sz w:val="24"/>
          <w:szCs w:val="24"/>
        </w:rPr>
        <w:lastRenderedPageBreak/>
        <w:t>viewed</w:t>
      </w:r>
      <w:r w:rsidR="00B0697B" w:rsidRPr="00461D74">
        <w:rPr>
          <w:rFonts w:ascii="Garamond" w:hAnsi="Garamond"/>
          <w:sz w:val="24"/>
          <w:szCs w:val="24"/>
        </w:rPr>
        <w:t xml:space="preserve"> </w:t>
      </w:r>
      <w:r w:rsidRPr="00461D74">
        <w:rPr>
          <w:rFonts w:ascii="Garamond" w:hAnsi="Garamond"/>
          <w:sz w:val="24"/>
          <w:szCs w:val="24"/>
        </w:rPr>
        <w:t>as members of the same community</w:t>
      </w:r>
      <w:r w:rsidR="00B0697B" w:rsidRPr="00461D74">
        <w:rPr>
          <w:rFonts w:ascii="Garamond" w:hAnsi="Garamond"/>
          <w:sz w:val="24"/>
          <w:szCs w:val="24"/>
        </w:rPr>
        <w:t>,</w:t>
      </w:r>
      <w:r w:rsidRPr="00461D74">
        <w:rPr>
          <w:rFonts w:ascii="Garamond" w:hAnsi="Garamond"/>
          <w:sz w:val="24"/>
          <w:szCs w:val="24"/>
        </w:rPr>
        <w:t xml:space="preserve"> and </w:t>
      </w:r>
      <w:r w:rsidR="00B0697B" w:rsidRPr="00461D74">
        <w:rPr>
          <w:rFonts w:ascii="Garamond" w:hAnsi="Garamond"/>
          <w:sz w:val="24"/>
          <w:szCs w:val="24"/>
        </w:rPr>
        <w:t xml:space="preserve">are </w:t>
      </w:r>
      <w:r w:rsidRPr="00461D74">
        <w:rPr>
          <w:rFonts w:ascii="Garamond" w:hAnsi="Garamond"/>
          <w:sz w:val="24"/>
          <w:szCs w:val="24"/>
        </w:rPr>
        <w:t>subject to the same law.</w:t>
      </w:r>
      <w:r w:rsidRPr="00461D74">
        <w:rPr>
          <w:rStyle w:val="FootnoteReference"/>
          <w:rFonts w:ascii="Garamond" w:hAnsi="Garamond"/>
          <w:sz w:val="24"/>
          <w:szCs w:val="24"/>
        </w:rPr>
        <w:footnoteReference w:id="112"/>
      </w:r>
      <w:r w:rsidRPr="00461D74">
        <w:rPr>
          <w:rFonts w:ascii="Garamond" w:hAnsi="Garamond"/>
          <w:sz w:val="24"/>
          <w:szCs w:val="24"/>
        </w:rPr>
        <w:t xml:space="preserve"> </w:t>
      </w:r>
      <w:r w:rsidR="00B0030D" w:rsidRPr="00461D74">
        <w:rPr>
          <w:rFonts w:ascii="Garamond" w:hAnsi="Garamond"/>
          <w:sz w:val="24"/>
          <w:szCs w:val="24"/>
        </w:rPr>
        <w:t xml:space="preserve">Nonetheless, MacIntyre argues that </w:t>
      </w:r>
      <w:r w:rsidRPr="00461D74">
        <w:rPr>
          <w:rFonts w:ascii="Garamond" w:hAnsi="Garamond"/>
          <w:sz w:val="24"/>
          <w:szCs w:val="24"/>
        </w:rPr>
        <w:t>the Stoics lacked the resources to evaluate such an account of justice</w:t>
      </w:r>
      <w:r w:rsidR="00B0697B" w:rsidRPr="00461D74">
        <w:rPr>
          <w:rFonts w:ascii="Garamond" w:hAnsi="Garamond"/>
          <w:sz w:val="24"/>
          <w:szCs w:val="24"/>
        </w:rPr>
        <w:t>, for</w:t>
      </w:r>
      <w:r w:rsidRPr="00461D74">
        <w:rPr>
          <w:rFonts w:ascii="Garamond" w:hAnsi="Garamond"/>
          <w:sz w:val="24"/>
          <w:szCs w:val="24"/>
        </w:rPr>
        <w:t xml:space="preserve"> what the Stoics thought of justice for human beings as such, was only the justice afforded by Roman law. MacIntyre then suggest</w:t>
      </w:r>
      <w:r w:rsidR="00B0030D" w:rsidRPr="00461D74">
        <w:rPr>
          <w:rFonts w:ascii="Garamond" w:hAnsi="Garamond"/>
          <w:sz w:val="24"/>
          <w:szCs w:val="24"/>
        </w:rPr>
        <w:t>s</w:t>
      </w:r>
      <w:r w:rsidRPr="00461D74">
        <w:rPr>
          <w:rFonts w:ascii="Garamond" w:hAnsi="Garamond"/>
          <w:sz w:val="24"/>
          <w:szCs w:val="24"/>
        </w:rPr>
        <w:t xml:space="preserve"> that </w:t>
      </w:r>
      <w:r w:rsidR="00B0030D" w:rsidRPr="00461D74">
        <w:rPr>
          <w:rFonts w:ascii="Garamond" w:hAnsi="Garamond"/>
          <w:sz w:val="24"/>
          <w:szCs w:val="24"/>
        </w:rPr>
        <w:t xml:space="preserve">the resources </w:t>
      </w:r>
      <w:r w:rsidR="00E125DE" w:rsidRPr="00461D74">
        <w:rPr>
          <w:rFonts w:ascii="Garamond" w:hAnsi="Garamond"/>
          <w:sz w:val="24"/>
          <w:szCs w:val="24"/>
        </w:rPr>
        <w:t xml:space="preserve">necessary for this task </w:t>
      </w:r>
      <w:r w:rsidR="00B0030D" w:rsidRPr="00461D74">
        <w:rPr>
          <w:rFonts w:ascii="Garamond" w:hAnsi="Garamond"/>
          <w:sz w:val="24"/>
          <w:szCs w:val="24"/>
        </w:rPr>
        <w:t>actually reside</w:t>
      </w:r>
      <w:r w:rsidR="00E125DE" w:rsidRPr="00461D74">
        <w:rPr>
          <w:rFonts w:ascii="Garamond" w:hAnsi="Garamond"/>
          <w:sz w:val="24"/>
          <w:szCs w:val="24"/>
        </w:rPr>
        <w:t>s</w:t>
      </w:r>
      <w:r w:rsidR="00B0030D" w:rsidRPr="00461D74">
        <w:rPr>
          <w:rFonts w:ascii="Garamond" w:hAnsi="Garamond"/>
          <w:sz w:val="24"/>
          <w:szCs w:val="24"/>
        </w:rPr>
        <w:t xml:space="preserve"> in</w:t>
      </w:r>
      <w:r w:rsidRPr="00461D74">
        <w:rPr>
          <w:rFonts w:ascii="Garamond" w:hAnsi="Garamond"/>
          <w:sz w:val="24"/>
          <w:szCs w:val="24"/>
        </w:rPr>
        <w:t xml:space="preserve"> another tradition – the tradition that originate</w:t>
      </w:r>
      <w:r w:rsidR="00E125DE" w:rsidRPr="00461D74">
        <w:rPr>
          <w:rFonts w:ascii="Garamond" w:hAnsi="Garamond"/>
          <w:sz w:val="24"/>
          <w:szCs w:val="24"/>
        </w:rPr>
        <w:t>s</w:t>
      </w:r>
      <w:r w:rsidRPr="00461D74">
        <w:rPr>
          <w:rFonts w:ascii="Garamond" w:hAnsi="Garamond"/>
          <w:sz w:val="24"/>
          <w:szCs w:val="24"/>
        </w:rPr>
        <w:t xml:space="preserve"> in Judaic law and the Hebrew bible. So what kind of resources </w:t>
      </w:r>
      <w:r w:rsidR="00B0030D" w:rsidRPr="00461D74">
        <w:rPr>
          <w:rFonts w:ascii="Garamond" w:hAnsi="Garamond"/>
          <w:sz w:val="24"/>
          <w:szCs w:val="24"/>
        </w:rPr>
        <w:t>does</w:t>
      </w:r>
      <w:r w:rsidRPr="00461D74">
        <w:rPr>
          <w:rFonts w:ascii="Garamond" w:hAnsi="Garamond"/>
          <w:sz w:val="24"/>
          <w:szCs w:val="24"/>
        </w:rPr>
        <w:t xml:space="preserve"> the bible offer us? Here, </w:t>
      </w:r>
      <w:r w:rsidR="00B0030D" w:rsidRPr="00461D74">
        <w:rPr>
          <w:rFonts w:ascii="Garamond" w:hAnsi="Garamond"/>
          <w:sz w:val="24"/>
          <w:szCs w:val="24"/>
        </w:rPr>
        <w:t xml:space="preserve">MacIntyre cites </w:t>
      </w:r>
      <w:r w:rsidRPr="00461D74">
        <w:rPr>
          <w:rFonts w:ascii="Garamond" w:hAnsi="Garamond"/>
          <w:sz w:val="24"/>
          <w:szCs w:val="24"/>
        </w:rPr>
        <w:t xml:space="preserve">the </w:t>
      </w:r>
      <w:proofErr w:type="spellStart"/>
      <w:r w:rsidRPr="00461D74">
        <w:rPr>
          <w:rFonts w:ascii="Garamond" w:hAnsi="Garamond"/>
          <w:sz w:val="24"/>
          <w:szCs w:val="24"/>
        </w:rPr>
        <w:t>exceptionless</w:t>
      </w:r>
      <w:proofErr w:type="spellEnd"/>
      <w:r w:rsidRPr="00461D74">
        <w:rPr>
          <w:rFonts w:ascii="Garamond" w:hAnsi="Garamond"/>
          <w:sz w:val="24"/>
          <w:szCs w:val="24"/>
        </w:rPr>
        <w:t xml:space="preserve"> precepts of the Ten Commandments</w:t>
      </w:r>
      <w:r w:rsidR="009D3038" w:rsidRPr="00461D74">
        <w:rPr>
          <w:rFonts w:ascii="Garamond" w:hAnsi="Garamond"/>
          <w:sz w:val="24"/>
          <w:szCs w:val="24"/>
        </w:rPr>
        <w:t>,</w:t>
      </w:r>
      <w:r w:rsidRPr="00461D74">
        <w:rPr>
          <w:rFonts w:ascii="Garamond" w:hAnsi="Garamond"/>
          <w:sz w:val="24"/>
          <w:szCs w:val="24"/>
        </w:rPr>
        <w:t xml:space="preserve"> forbidding and enjoining certain actions regardless of context</w:t>
      </w:r>
      <w:r w:rsidR="009D3038" w:rsidRPr="00461D74">
        <w:rPr>
          <w:rFonts w:ascii="Garamond" w:hAnsi="Garamond"/>
          <w:sz w:val="24"/>
          <w:szCs w:val="24"/>
        </w:rPr>
        <w:t>,</w:t>
      </w:r>
      <w:r w:rsidRPr="00461D74">
        <w:rPr>
          <w:rFonts w:ascii="Garamond" w:hAnsi="Garamond"/>
          <w:sz w:val="24"/>
          <w:szCs w:val="24"/>
        </w:rPr>
        <w:t xml:space="preserve"> a</w:t>
      </w:r>
      <w:r w:rsidR="009D3038" w:rsidRPr="00461D74">
        <w:rPr>
          <w:rFonts w:ascii="Garamond" w:hAnsi="Garamond"/>
          <w:sz w:val="24"/>
          <w:szCs w:val="24"/>
        </w:rPr>
        <w:t>s</w:t>
      </w:r>
      <w:r w:rsidRPr="00461D74">
        <w:rPr>
          <w:rFonts w:ascii="Garamond" w:hAnsi="Garamond"/>
          <w:sz w:val="24"/>
          <w:szCs w:val="24"/>
        </w:rPr>
        <w:t xml:space="preserve"> an example of universal laws. The </w:t>
      </w:r>
      <w:proofErr w:type="spellStart"/>
      <w:r w:rsidR="00E125DE" w:rsidRPr="00461D74">
        <w:rPr>
          <w:rFonts w:ascii="Garamond" w:hAnsi="Garamond"/>
          <w:sz w:val="24"/>
          <w:szCs w:val="24"/>
        </w:rPr>
        <w:t>Tanakh</w:t>
      </w:r>
      <w:proofErr w:type="spellEnd"/>
      <w:r w:rsidR="00E125DE" w:rsidRPr="00461D74">
        <w:rPr>
          <w:rFonts w:ascii="Garamond" w:hAnsi="Garamond"/>
          <w:sz w:val="24"/>
          <w:szCs w:val="24"/>
        </w:rPr>
        <w:t xml:space="preserve"> (</w:t>
      </w:r>
      <w:proofErr w:type="spellStart"/>
      <w:r w:rsidR="00E125DE" w:rsidRPr="00461D74">
        <w:rPr>
          <w:sz w:val="24"/>
          <w:szCs w:val="24"/>
        </w:rPr>
        <w:t>תנ״ך</w:t>
      </w:r>
      <w:proofErr w:type="spellEnd"/>
      <w:r w:rsidR="00E125DE" w:rsidRPr="00461D74">
        <w:rPr>
          <w:rFonts w:ascii="Garamond" w:hAnsi="Garamond"/>
          <w:sz w:val="24"/>
          <w:szCs w:val="24"/>
        </w:rPr>
        <w:t>)</w:t>
      </w:r>
      <w:r w:rsidR="00E125DE" w:rsidRPr="00461D74">
        <w:rPr>
          <w:rStyle w:val="FootnoteReference"/>
          <w:rFonts w:ascii="Garamond" w:hAnsi="Garamond"/>
          <w:sz w:val="24"/>
          <w:szCs w:val="24"/>
        </w:rPr>
        <w:footnoteReference w:id="113"/>
      </w:r>
      <w:r w:rsidR="00E125DE" w:rsidRPr="00461D74">
        <w:rPr>
          <w:rFonts w:ascii="Garamond" w:hAnsi="Garamond"/>
          <w:sz w:val="24"/>
          <w:szCs w:val="24"/>
        </w:rPr>
        <w:t xml:space="preserve"> – or the Old Testament – </w:t>
      </w:r>
      <w:r w:rsidR="00B0030D" w:rsidRPr="00461D74">
        <w:rPr>
          <w:rFonts w:ascii="Garamond" w:hAnsi="Garamond"/>
          <w:sz w:val="24"/>
          <w:szCs w:val="24"/>
        </w:rPr>
        <w:t>then</w:t>
      </w:r>
      <w:r w:rsidR="00F92858" w:rsidRPr="00461D74">
        <w:rPr>
          <w:rFonts w:ascii="Garamond" w:hAnsi="Garamond"/>
          <w:sz w:val="24"/>
          <w:szCs w:val="24"/>
        </w:rPr>
        <w:t>,</w:t>
      </w:r>
      <w:r w:rsidR="00B0030D" w:rsidRPr="00461D74">
        <w:rPr>
          <w:rFonts w:ascii="Garamond" w:hAnsi="Garamond"/>
          <w:sz w:val="24"/>
          <w:szCs w:val="24"/>
        </w:rPr>
        <w:t xml:space="preserve"> on this view,</w:t>
      </w:r>
      <w:r w:rsidRPr="00461D74">
        <w:rPr>
          <w:rFonts w:ascii="Garamond" w:hAnsi="Garamond"/>
          <w:sz w:val="24"/>
          <w:szCs w:val="24"/>
        </w:rPr>
        <w:t xml:space="preserve"> offer</w:t>
      </w:r>
      <w:r w:rsidR="00B0030D" w:rsidRPr="00461D74">
        <w:rPr>
          <w:rFonts w:ascii="Garamond" w:hAnsi="Garamond"/>
          <w:sz w:val="24"/>
          <w:szCs w:val="24"/>
        </w:rPr>
        <w:t>s</w:t>
      </w:r>
      <w:r w:rsidRPr="00461D74">
        <w:rPr>
          <w:rFonts w:ascii="Garamond" w:hAnsi="Garamond"/>
          <w:sz w:val="24"/>
          <w:szCs w:val="24"/>
        </w:rPr>
        <w:t xml:space="preserve"> the </w:t>
      </w:r>
      <w:r w:rsidR="00D42A5C" w:rsidRPr="00461D74">
        <w:rPr>
          <w:rFonts w:ascii="Garamond" w:hAnsi="Garamond"/>
          <w:sz w:val="24"/>
          <w:szCs w:val="24"/>
        </w:rPr>
        <w:t xml:space="preserve">kinds </w:t>
      </w:r>
      <w:r w:rsidRPr="00461D74">
        <w:rPr>
          <w:rFonts w:ascii="Garamond" w:hAnsi="Garamond"/>
          <w:sz w:val="24"/>
          <w:szCs w:val="24"/>
        </w:rPr>
        <w:t xml:space="preserve">of resources to evaluate </w:t>
      </w:r>
      <w:r w:rsidR="00F92858" w:rsidRPr="00461D74">
        <w:rPr>
          <w:rFonts w:ascii="Garamond" w:hAnsi="Garamond"/>
          <w:sz w:val="24"/>
          <w:szCs w:val="24"/>
        </w:rPr>
        <w:t xml:space="preserve">an </w:t>
      </w:r>
      <w:r w:rsidRPr="00461D74">
        <w:rPr>
          <w:rFonts w:ascii="Garamond" w:hAnsi="Garamond"/>
          <w:sz w:val="24"/>
          <w:szCs w:val="24"/>
        </w:rPr>
        <w:t xml:space="preserve">account of justice that </w:t>
      </w:r>
      <w:r w:rsidR="00F92858" w:rsidRPr="00461D74">
        <w:rPr>
          <w:rFonts w:ascii="Garamond" w:hAnsi="Garamond"/>
          <w:sz w:val="24"/>
          <w:szCs w:val="24"/>
        </w:rPr>
        <w:t xml:space="preserve">is </w:t>
      </w:r>
      <w:r w:rsidRPr="00461D74">
        <w:rPr>
          <w:rFonts w:ascii="Garamond" w:hAnsi="Garamond"/>
          <w:sz w:val="24"/>
          <w:szCs w:val="24"/>
        </w:rPr>
        <w:t>extended to humanity as such.</w:t>
      </w:r>
      <w:r w:rsidRPr="00461D74">
        <w:rPr>
          <w:rStyle w:val="FootnoteReference"/>
          <w:rFonts w:ascii="Garamond" w:hAnsi="Garamond"/>
          <w:sz w:val="24"/>
          <w:szCs w:val="24"/>
        </w:rPr>
        <w:footnoteReference w:id="114"/>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Nevertheless, the </w:t>
      </w:r>
      <w:proofErr w:type="spellStart"/>
      <w:r w:rsidRPr="00461D74">
        <w:rPr>
          <w:rFonts w:ascii="Garamond" w:hAnsi="Garamond"/>
          <w:sz w:val="24"/>
          <w:szCs w:val="24"/>
        </w:rPr>
        <w:t>exceptionless</w:t>
      </w:r>
      <w:proofErr w:type="spellEnd"/>
      <w:r w:rsidRPr="00461D74">
        <w:rPr>
          <w:rFonts w:ascii="Garamond" w:hAnsi="Garamond"/>
          <w:sz w:val="24"/>
          <w:szCs w:val="24"/>
        </w:rPr>
        <w:t xml:space="preserve"> character of the Ten Commandments does not directly answer a question that we broached earlier: How do highly intelligent and educated people come to </w:t>
      </w:r>
      <w:r w:rsidR="00EB7F0F" w:rsidRPr="00461D74">
        <w:rPr>
          <w:rFonts w:ascii="Garamond" w:hAnsi="Garamond"/>
          <w:sz w:val="24"/>
          <w:szCs w:val="24"/>
        </w:rPr>
        <w:t xml:space="preserve">hold </w:t>
      </w:r>
      <w:r w:rsidRPr="00461D74">
        <w:rPr>
          <w:rFonts w:ascii="Garamond" w:hAnsi="Garamond"/>
          <w:sz w:val="24"/>
          <w:szCs w:val="24"/>
        </w:rPr>
        <w:t>rival and incompatible views? It would appear implausible that they are just simply ignorant about the nature of the good, or that they lack the requisite education. At this point, MacIntyre suggests that Augustinian psychology provides specific resources to address this problem.</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Augustine is in an important sense concerned with the psychology of the individual. That is, how do individuals come to act in ways that undermine the good even though they have knowledge of the good? Augustine formulates the Christian concept of the will – ‘</w:t>
      </w:r>
      <w:proofErr w:type="spellStart"/>
      <w:r w:rsidRPr="00461D74">
        <w:rPr>
          <w:rFonts w:ascii="Garamond" w:hAnsi="Garamond"/>
          <w:i/>
          <w:iCs/>
          <w:sz w:val="24"/>
          <w:szCs w:val="24"/>
        </w:rPr>
        <w:t>voluntas</w:t>
      </w:r>
      <w:proofErr w:type="spellEnd"/>
      <w:r w:rsidRPr="00461D74">
        <w:rPr>
          <w:rFonts w:ascii="Garamond" w:hAnsi="Garamond"/>
          <w:sz w:val="24"/>
          <w:szCs w:val="24"/>
        </w:rPr>
        <w:t xml:space="preserve">’ – from the biblical account in the Genesis story </w:t>
      </w:r>
      <w:r w:rsidR="000B4F52" w:rsidRPr="00461D74">
        <w:rPr>
          <w:rFonts w:ascii="Garamond" w:hAnsi="Garamond"/>
          <w:sz w:val="24"/>
          <w:szCs w:val="24"/>
        </w:rPr>
        <w:t xml:space="preserve">where the bible depicts </w:t>
      </w:r>
      <w:r w:rsidRPr="00461D74">
        <w:rPr>
          <w:rFonts w:ascii="Garamond" w:hAnsi="Garamond"/>
          <w:sz w:val="24"/>
          <w:szCs w:val="24"/>
        </w:rPr>
        <w:t xml:space="preserve">the fall of humankind, and the role </w:t>
      </w:r>
      <w:r w:rsidR="000B4F52" w:rsidRPr="00461D74">
        <w:rPr>
          <w:rFonts w:ascii="Garamond" w:hAnsi="Garamond"/>
          <w:sz w:val="24"/>
          <w:szCs w:val="24"/>
        </w:rPr>
        <w:t xml:space="preserve">that </w:t>
      </w:r>
      <w:r w:rsidRPr="00461D74">
        <w:rPr>
          <w:rFonts w:ascii="Garamond" w:hAnsi="Garamond"/>
          <w:sz w:val="24"/>
          <w:szCs w:val="24"/>
        </w:rPr>
        <w:t>sin</w:t>
      </w:r>
      <w:r w:rsidR="000B4F52" w:rsidRPr="00461D74">
        <w:rPr>
          <w:rFonts w:ascii="Garamond" w:hAnsi="Garamond"/>
          <w:sz w:val="24"/>
          <w:szCs w:val="24"/>
        </w:rPr>
        <w:t xml:space="preserve"> plays in that story</w:t>
      </w:r>
      <w:r w:rsidRPr="00461D74">
        <w:rPr>
          <w:rFonts w:ascii="Garamond" w:hAnsi="Garamond"/>
          <w:sz w:val="24"/>
          <w:szCs w:val="24"/>
        </w:rPr>
        <w:t xml:space="preserve">; </w:t>
      </w:r>
      <w:r w:rsidR="000B4F52" w:rsidRPr="00461D74">
        <w:rPr>
          <w:rFonts w:ascii="Garamond" w:hAnsi="Garamond"/>
          <w:sz w:val="24"/>
          <w:szCs w:val="24"/>
        </w:rPr>
        <w:t xml:space="preserve">moreover, </w:t>
      </w:r>
      <w:r w:rsidRPr="00461D74">
        <w:rPr>
          <w:rFonts w:ascii="Garamond" w:hAnsi="Garamond"/>
          <w:sz w:val="24"/>
          <w:szCs w:val="24"/>
        </w:rPr>
        <w:t>this new concept of the will emerges from Augustine’s moral experience.</w:t>
      </w:r>
      <w:r w:rsidRPr="00461D74">
        <w:rPr>
          <w:rStyle w:val="FootnoteReference"/>
          <w:rFonts w:ascii="Garamond" w:hAnsi="Garamond"/>
          <w:sz w:val="24"/>
          <w:szCs w:val="24"/>
        </w:rPr>
        <w:footnoteReference w:id="115"/>
      </w:r>
      <w:r w:rsidRPr="00461D74">
        <w:rPr>
          <w:rFonts w:ascii="Garamond" w:hAnsi="Garamond"/>
          <w:sz w:val="24"/>
          <w:szCs w:val="24"/>
        </w:rPr>
        <w:t xml:space="preserve"> Augustine’s concept of the will is necessary for directing and ordering human desires.</w:t>
      </w:r>
      <w:r w:rsidRPr="00461D74" w:rsidDel="0055280F">
        <w:rPr>
          <w:rFonts w:ascii="Garamond" w:hAnsi="Garamond"/>
          <w:sz w:val="24"/>
          <w:szCs w:val="24"/>
        </w:rPr>
        <w:t xml:space="preserve"> </w:t>
      </w:r>
      <w:r w:rsidRPr="00461D74">
        <w:rPr>
          <w:rFonts w:ascii="Garamond" w:hAnsi="Garamond"/>
          <w:sz w:val="24"/>
          <w:szCs w:val="24"/>
        </w:rPr>
        <w:t xml:space="preserve">The state of human desires, in whatever condition they </w:t>
      </w:r>
      <w:r w:rsidRPr="00461D74">
        <w:rPr>
          <w:rFonts w:ascii="Garamond" w:hAnsi="Garamond"/>
          <w:sz w:val="24"/>
          <w:szCs w:val="24"/>
        </w:rPr>
        <w:lastRenderedPageBreak/>
        <w:t xml:space="preserve">happen to be, then depends on whether we succeed or fail in directing the will in the appropriate ways; thus, human desires </w:t>
      </w:r>
      <w:r w:rsidR="000B4F52" w:rsidRPr="00461D74">
        <w:rPr>
          <w:rFonts w:ascii="Garamond" w:hAnsi="Garamond"/>
          <w:sz w:val="24"/>
          <w:szCs w:val="24"/>
        </w:rPr>
        <w:t>are understood to be, in an important sense,</w:t>
      </w:r>
      <w:r w:rsidRPr="00461D74">
        <w:rPr>
          <w:rFonts w:ascii="Garamond" w:hAnsi="Garamond"/>
          <w:sz w:val="24"/>
          <w:szCs w:val="24"/>
        </w:rPr>
        <w:t xml:space="preserve"> voluntary.</w:t>
      </w:r>
      <w:r w:rsidRPr="00461D74">
        <w:rPr>
          <w:rStyle w:val="FootnoteReference"/>
          <w:rFonts w:ascii="Garamond" w:hAnsi="Garamond"/>
          <w:sz w:val="24"/>
          <w:szCs w:val="24"/>
        </w:rPr>
        <w:footnoteReference w:id="116"/>
      </w:r>
    </w:p>
    <w:p w:rsidR="009E47B0"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The contrast between Plato and Aristotle on the one hand, and Augustine on the other, is quite stark. In the tradition </w:t>
      </w:r>
      <w:r w:rsidR="00D31753" w:rsidRPr="00461D74">
        <w:rPr>
          <w:rFonts w:ascii="Garamond" w:hAnsi="Garamond"/>
          <w:sz w:val="24"/>
          <w:szCs w:val="24"/>
        </w:rPr>
        <w:t xml:space="preserve">in </w:t>
      </w:r>
      <w:r w:rsidRPr="00461D74">
        <w:rPr>
          <w:rFonts w:ascii="Garamond" w:hAnsi="Garamond"/>
          <w:sz w:val="24"/>
          <w:szCs w:val="24"/>
        </w:rPr>
        <w:t>which Aristotle</w:t>
      </w:r>
      <w:r w:rsidR="00D31753" w:rsidRPr="00461D74">
        <w:rPr>
          <w:rFonts w:ascii="Garamond" w:hAnsi="Garamond"/>
          <w:sz w:val="24"/>
          <w:szCs w:val="24"/>
        </w:rPr>
        <w:t xml:space="preserve">’s </w:t>
      </w:r>
      <w:r w:rsidR="00DB00EA" w:rsidRPr="00DB00EA">
        <w:rPr>
          <w:rFonts w:ascii="Garamond" w:hAnsi="Garamond"/>
          <w:i/>
          <w:sz w:val="24"/>
          <w:szCs w:val="24"/>
        </w:rPr>
        <w:t>Ethics</w:t>
      </w:r>
      <w:r w:rsidRPr="00461D74">
        <w:rPr>
          <w:rFonts w:ascii="Garamond" w:hAnsi="Garamond"/>
          <w:sz w:val="24"/>
          <w:szCs w:val="24"/>
        </w:rPr>
        <w:t xml:space="preserve"> </w:t>
      </w:r>
      <w:r w:rsidR="00D31753" w:rsidRPr="00461D74">
        <w:rPr>
          <w:rFonts w:ascii="Garamond" w:hAnsi="Garamond"/>
          <w:sz w:val="24"/>
          <w:szCs w:val="24"/>
        </w:rPr>
        <w:t xml:space="preserve">stands as </w:t>
      </w:r>
      <w:r w:rsidR="00193BC0" w:rsidRPr="00461D74">
        <w:rPr>
          <w:rFonts w:ascii="Garamond" w:hAnsi="Garamond"/>
          <w:sz w:val="24"/>
          <w:szCs w:val="24"/>
        </w:rPr>
        <w:t xml:space="preserve">its </w:t>
      </w:r>
      <w:r w:rsidRPr="00461D74">
        <w:rPr>
          <w:rFonts w:ascii="Garamond" w:hAnsi="Garamond"/>
          <w:sz w:val="24"/>
          <w:szCs w:val="24"/>
        </w:rPr>
        <w:t xml:space="preserve">most systematic </w:t>
      </w:r>
      <w:r w:rsidR="003F054B">
        <w:rPr>
          <w:rFonts w:ascii="Garamond" w:hAnsi="Garamond"/>
          <w:sz w:val="24"/>
          <w:szCs w:val="24"/>
        </w:rPr>
        <w:t>contributor</w:t>
      </w:r>
      <w:r w:rsidRPr="00461D74">
        <w:rPr>
          <w:rFonts w:ascii="Garamond" w:hAnsi="Garamond"/>
          <w:sz w:val="24"/>
          <w:szCs w:val="24"/>
        </w:rPr>
        <w:t xml:space="preserve">, the failure of the individual to direct her actions towards the good, is </w:t>
      </w:r>
      <w:r w:rsidR="00193BC0" w:rsidRPr="00461D74">
        <w:rPr>
          <w:rFonts w:ascii="Garamond" w:hAnsi="Garamond"/>
          <w:sz w:val="24"/>
          <w:szCs w:val="24"/>
        </w:rPr>
        <w:t xml:space="preserve">on the account of </w:t>
      </w:r>
      <w:r w:rsidRPr="00461D74">
        <w:rPr>
          <w:rFonts w:ascii="Garamond" w:hAnsi="Garamond"/>
          <w:sz w:val="24"/>
          <w:szCs w:val="24"/>
        </w:rPr>
        <w:t xml:space="preserve">an imperfection </w:t>
      </w:r>
      <w:r w:rsidR="00193BC0" w:rsidRPr="00461D74">
        <w:rPr>
          <w:rFonts w:ascii="Garamond" w:hAnsi="Garamond"/>
          <w:sz w:val="24"/>
          <w:szCs w:val="24"/>
        </w:rPr>
        <w:t>in</w:t>
      </w:r>
      <w:r w:rsidRPr="00461D74">
        <w:rPr>
          <w:rFonts w:ascii="Garamond" w:hAnsi="Garamond"/>
          <w:sz w:val="24"/>
          <w:szCs w:val="24"/>
        </w:rPr>
        <w:t xml:space="preserve"> the person’s knowledge of what is the good, or some imperfections in educating the passions. On the other hand for Augustine: “it is possible for someone to know unqualifiedly what it is best to do in a particular situation and for there to be no defect in the passions as such, except that they are misdirected by the will.”</w:t>
      </w:r>
      <w:r w:rsidRPr="00461D74">
        <w:rPr>
          <w:rStyle w:val="FootnoteReference"/>
          <w:rFonts w:ascii="Garamond" w:hAnsi="Garamond"/>
          <w:sz w:val="24"/>
          <w:szCs w:val="24"/>
        </w:rPr>
        <w:footnoteReference w:id="117"/>
      </w:r>
      <w:r w:rsidRPr="00461D74">
        <w:rPr>
          <w:rFonts w:ascii="Garamond" w:hAnsi="Garamond"/>
          <w:sz w:val="24"/>
          <w:szCs w:val="24"/>
        </w:rPr>
        <w:t xml:space="preserve"> On the Aristotelian view reasons can motivate us independently, </w:t>
      </w:r>
      <w:r w:rsidR="00193BC0" w:rsidRPr="00461D74">
        <w:rPr>
          <w:rFonts w:ascii="Garamond" w:hAnsi="Garamond"/>
          <w:sz w:val="24"/>
          <w:szCs w:val="24"/>
        </w:rPr>
        <w:t xml:space="preserve">yet </w:t>
      </w:r>
      <w:r w:rsidRPr="00461D74">
        <w:rPr>
          <w:rFonts w:ascii="Garamond" w:hAnsi="Garamond"/>
          <w:sz w:val="24"/>
          <w:szCs w:val="24"/>
        </w:rPr>
        <w:t>for Augustine</w:t>
      </w:r>
      <w:r w:rsidR="00193BC0" w:rsidRPr="00461D74">
        <w:rPr>
          <w:rFonts w:ascii="Garamond" w:hAnsi="Garamond"/>
          <w:sz w:val="24"/>
          <w:szCs w:val="24"/>
        </w:rPr>
        <w:t>,</w:t>
      </w:r>
      <w:r w:rsidRPr="00461D74">
        <w:rPr>
          <w:rFonts w:ascii="Garamond" w:hAnsi="Garamond"/>
          <w:sz w:val="24"/>
          <w:szCs w:val="24"/>
        </w:rPr>
        <w:t xml:space="preserve"> </w:t>
      </w:r>
      <w:r w:rsidR="00193BC0" w:rsidRPr="00461D74">
        <w:rPr>
          <w:rFonts w:ascii="Garamond" w:hAnsi="Garamond"/>
          <w:sz w:val="24"/>
          <w:szCs w:val="24"/>
        </w:rPr>
        <w:t xml:space="preserve">reason alone remains inadequate and </w:t>
      </w:r>
      <w:r w:rsidRPr="00461D74">
        <w:rPr>
          <w:rFonts w:ascii="Garamond" w:hAnsi="Garamond"/>
          <w:sz w:val="24"/>
          <w:szCs w:val="24"/>
        </w:rPr>
        <w:t xml:space="preserve">the proper direction of the will rests on its alignment with those </w:t>
      </w:r>
      <w:proofErr w:type="spellStart"/>
      <w:r w:rsidRPr="00461D74">
        <w:rPr>
          <w:rFonts w:ascii="Garamond" w:hAnsi="Garamond"/>
          <w:sz w:val="24"/>
          <w:szCs w:val="24"/>
        </w:rPr>
        <w:t>exceptionless</w:t>
      </w:r>
      <w:proofErr w:type="spellEnd"/>
      <w:r w:rsidRPr="00461D74">
        <w:rPr>
          <w:rFonts w:ascii="Garamond" w:hAnsi="Garamond"/>
          <w:sz w:val="24"/>
          <w:szCs w:val="24"/>
        </w:rPr>
        <w:t xml:space="preserve"> precepts of God’s law – thus, the will </w:t>
      </w:r>
      <w:r w:rsidR="00193BC0" w:rsidRPr="00461D74">
        <w:rPr>
          <w:rFonts w:ascii="Garamond" w:hAnsi="Garamond"/>
          <w:sz w:val="24"/>
          <w:szCs w:val="24"/>
        </w:rPr>
        <w:t>remains a prerequisite for the proper motivation of reason (or</w:t>
      </w:r>
      <w:r w:rsidRPr="00461D74">
        <w:rPr>
          <w:rFonts w:ascii="Garamond" w:hAnsi="Garamond"/>
          <w:sz w:val="24"/>
          <w:szCs w:val="24"/>
        </w:rPr>
        <w:t xml:space="preserve"> intellect</w:t>
      </w:r>
      <w:r w:rsidR="00193BC0" w:rsidRPr="00461D74">
        <w:rPr>
          <w:rFonts w:ascii="Garamond" w:hAnsi="Garamond"/>
          <w:sz w:val="24"/>
          <w:szCs w:val="24"/>
        </w:rPr>
        <w:t>)</w:t>
      </w:r>
      <w:r w:rsidRPr="00461D74">
        <w:rPr>
          <w:rFonts w:ascii="Garamond" w:hAnsi="Garamond"/>
          <w:sz w:val="24"/>
          <w:szCs w:val="24"/>
        </w:rPr>
        <w:t>.</w:t>
      </w:r>
      <w:r w:rsidRPr="00461D74">
        <w:rPr>
          <w:rStyle w:val="FootnoteReference"/>
          <w:rFonts w:ascii="Garamond" w:hAnsi="Garamond"/>
          <w:sz w:val="24"/>
          <w:szCs w:val="24"/>
        </w:rPr>
        <w:footnoteReference w:id="118"/>
      </w:r>
      <w:r w:rsidR="00F92858" w:rsidRPr="00461D74">
        <w:rPr>
          <w:rFonts w:ascii="Garamond" w:hAnsi="Garamond"/>
          <w:sz w:val="24"/>
          <w:szCs w:val="24"/>
        </w:rPr>
        <w:t xml:space="preserve"> </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Augustine’s psychology offers a new account </w:t>
      </w:r>
      <w:r w:rsidR="009E47B0" w:rsidRPr="00461D74">
        <w:rPr>
          <w:rFonts w:ascii="Garamond" w:hAnsi="Garamond"/>
          <w:sz w:val="24"/>
          <w:szCs w:val="24"/>
        </w:rPr>
        <w:t xml:space="preserve">as to </w:t>
      </w:r>
      <w:r w:rsidRPr="00461D74">
        <w:rPr>
          <w:rFonts w:ascii="Garamond" w:hAnsi="Garamond"/>
          <w:sz w:val="24"/>
          <w:szCs w:val="24"/>
        </w:rPr>
        <w:t>the nature of justice and the origin of human action.</w:t>
      </w:r>
      <w:r w:rsidRPr="00461D74">
        <w:rPr>
          <w:rStyle w:val="FootnoteReference"/>
          <w:rFonts w:ascii="Garamond" w:hAnsi="Garamond"/>
          <w:sz w:val="24"/>
          <w:szCs w:val="24"/>
        </w:rPr>
        <w:footnoteReference w:id="119"/>
      </w:r>
      <w:r w:rsidRPr="00461D74">
        <w:rPr>
          <w:rFonts w:ascii="Garamond" w:hAnsi="Garamond"/>
          <w:sz w:val="24"/>
          <w:szCs w:val="24"/>
        </w:rPr>
        <w:t xml:space="preserve"> The problem of the Stoics, who didn’t possess the resources to make sense of justice and the good for all human beings as such, is resolved </w:t>
      </w:r>
      <w:r w:rsidR="00E4414A" w:rsidRPr="00461D74">
        <w:rPr>
          <w:rFonts w:ascii="Garamond" w:hAnsi="Garamond"/>
          <w:sz w:val="24"/>
          <w:szCs w:val="24"/>
        </w:rPr>
        <w:t xml:space="preserve">owing to </w:t>
      </w:r>
      <w:r w:rsidRPr="00461D74">
        <w:rPr>
          <w:rFonts w:ascii="Garamond" w:hAnsi="Garamond"/>
          <w:sz w:val="24"/>
          <w:szCs w:val="24"/>
        </w:rPr>
        <w:t xml:space="preserve">the divine law </w:t>
      </w:r>
      <w:r w:rsidR="00E4414A" w:rsidRPr="00461D74">
        <w:rPr>
          <w:rFonts w:ascii="Garamond" w:hAnsi="Garamond"/>
          <w:sz w:val="24"/>
          <w:szCs w:val="24"/>
        </w:rPr>
        <w:t xml:space="preserve">that is afforded </w:t>
      </w:r>
      <w:r w:rsidRPr="00461D74">
        <w:rPr>
          <w:rFonts w:ascii="Garamond" w:hAnsi="Garamond"/>
          <w:sz w:val="24"/>
          <w:szCs w:val="24"/>
        </w:rPr>
        <w:t>to us by Moses. It is here that “equality before and under divine law belongs to human beings qua human beings, an equality which derives from membership in the universal, divinely ordained community.”</w:t>
      </w:r>
      <w:r w:rsidRPr="00461D74">
        <w:rPr>
          <w:rStyle w:val="FootnoteReference"/>
          <w:rFonts w:ascii="Garamond" w:hAnsi="Garamond"/>
          <w:sz w:val="24"/>
          <w:szCs w:val="24"/>
        </w:rPr>
        <w:footnoteReference w:id="120"/>
      </w:r>
      <w:r w:rsidRPr="00461D74">
        <w:rPr>
          <w:rFonts w:ascii="Garamond" w:hAnsi="Garamond"/>
          <w:sz w:val="24"/>
          <w:szCs w:val="24"/>
        </w:rPr>
        <w:t xml:space="preserve"> Thus God is the most central requirement for Augustine to properly generate the </w:t>
      </w:r>
      <w:proofErr w:type="spellStart"/>
      <w:r w:rsidRPr="00461D74">
        <w:rPr>
          <w:rFonts w:ascii="Garamond" w:hAnsi="Garamond"/>
          <w:sz w:val="24"/>
          <w:szCs w:val="24"/>
        </w:rPr>
        <w:t>telos</w:t>
      </w:r>
      <w:proofErr w:type="spellEnd"/>
      <w:r w:rsidRPr="00461D74">
        <w:rPr>
          <w:rFonts w:ascii="Garamond" w:hAnsi="Garamond"/>
          <w:sz w:val="24"/>
          <w:szCs w:val="24"/>
        </w:rPr>
        <w:t xml:space="preserve"> of human beings; </w:t>
      </w:r>
      <w:r w:rsidR="00E4414A" w:rsidRPr="00461D74">
        <w:rPr>
          <w:rFonts w:ascii="Garamond" w:hAnsi="Garamond"/>
          <w:sz w:val="24"/>
          <w:szCs w:val="24"/>
        </w:rPr>
        <w:t>nevertheless</w:t>
      </w:r>
      <w:r w:rsidRPr="00461D74">
        <w:rPr>
          <w:rFonts w:ascii="Garamond" w:hAnsi="Garamond"/>
          <w:sz w:val="24"/>
          <w:szCs w:val="24"/>
        </w:rPr>
        <w:t xml:space="preserve">, under Aristotle there is no human </w:t>
      </w:r>
      <w:proofErr w:type="spellStart"/>
      <w:r w:rsidRPr="00461D74">
        <w:rPr>
          <w:rFonts w:ascii="Garamond" w:hAnsi="Garamond"/>
          <w:sz w:val="24"/>
          <w:szCs w:val="24"/>
        </w:rPr>
        <w:t>telos</w:t>
      </w:r>
      <w:proofErr w:type="spellEnd"/>
      <w:r w:rsidRPr="00461D74">
        <w:rPr>
          <w:rFonts w:ascii="Garamond" w:hAnsi="Garamond"/>
          <w:sz w:val="24"/>
          <w:szCs w:val="24"/>
        </w:rPr>
        <w:t xml:space="preserve"> beyond what can be attained by human beings before death.</w:t>
      </w:r>
    </w:p>
    <w:p w:rsidR="00016049"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However, at this stage in the narrative history of traditions, the tradition of Aristotle and that of Augustine </w:t>
      </w:r>
      <w:r w:rsidR="00E4414A" w:rsidRPr="00461D74">
        <w:rPr>
          <w:rFonts w:ascii="Garamond" w:hAnsi="Garamond"/>
          <w:sz w:val="24"/>
          <w:szCs w:val="24"/>
        </w:rPr>
        <w:t xml:space="preserve">remain </w:t>
      </w:r>
      <w:r w:rsidRPr="00461D74">
        <w:rPr>
          <w:rFonts w:ascii="Garamond" w:hAnsi="Garamond"/>
          <w:sz w:val="24"/>
          <w:szCs w:val="24"/>
        </w:rPr>
        <w:t xml:space="preserve">in conflict and </w:t>
      </w:r>
      <w:r w:rsidR="00E4414A" w:rsidRPr="00461D74">
        <w:rPr>
          <w:rFonts w:ascii="Garamond" w:hAnsi="Garamond"/>
          <w:sz w:val="24"/>
          <w:szCs w:val="24"/>
        </w:rPr>
        <w:t>cannot be reconciled at this stage in their development</w:t>
      </w:r>
      <w:r w:rsidRPr="00461D74">
        <w:rPr>
          <w:rFonts w:ascii="Garamond" w:hAnsi="Garamond"/>
          <w:sz w:val="24"/>
          <w:szCs w:val="24"/>
        </w:rPr>
        <w:t xml:space="preserve">. It is </w:t>
      </w:r>
      <w:r w:rsidR="00A2471A" w:rsidRPr="00461D74">
        <w:rPr>
          <w:rFonts w:ascii="Garamond" w:hAnsi="Garamond"/>
          <w:sz w:val="24"/>
          <w:szCs w:val="24"/>
        </w:rPr>
        <w:t xml:space="preserve">here that Aquinas enters the story, </w:t>
      </w:r>
      <w:r w:rsidR="006A2931" w:rsidRPr="00461D74">
        <w:rPr>
          <w:rFonts w:ascii="Garamond" w:hAnsi="Garamond"/>
          <w:sz w:val="24"/>
          <w:szCs w:val="24"/>
        </w:rPr>
        <w:t xml:space="preserve">and </w:t>
      </w:r>
      <w:r w:rsidR="00A2471A" w:rsidRPr="00461D74">
        <w:rPr>
          <w:rFonts w:ascii="Garamond" w:hAnsi="Garamond"/>
          <w:sz w:val="24"/>
          <w:szCs w:val="24"/>
        </w:rPr>
        <w:t xml:space="preserve">on MacIntyre’s view, </w:t>
      </w:r>
      <w:r w:rsidRPr="00461D74">
        <w:rPr>
          <w:rFonts w:ascii="Garamond" w:hAnsi="Garamond"/>
          <w:sz w:val="24"/>
          <w:szCs w:val="24"/>
        </w:rPr>
        <w:t xml:space="preserve">Aquinas is tasked with synthesizing the </w:t>
      </w:r>
      <w:r w:rsidR="006A2931" w:rsidRPr="00461D74">
        <w:rPr>
          <w:rFonts w:ascii="Garamond" w:hAnsi="Garamond"/>
          <w:sz w:val="24"/>
          <w:szCs w:val="24"/>
        </w:rPr>
        <w:t xml:space="preserve">Aristotelian insights </w:t>
      </w:r>
      <w:r w:rsidRPr="00461D74">
        <w:rPr>
          <w:rFonts w:ascii="Garamond" w:hAnsi="Garamond"/>
          <w:sz w:val="24"/>
          <w:szCs w:val="24"/>
        </w:rPr>
        <w:t>with</w:t>
      </w:r>
      <w:r w:rsidR="006A2931" w:rsidRPr="00461D74">
        <w:rPr>
          <w:rFonts w:ascii="Garamond" w:hAnsi="Garamond"/>
          <w:sz w:val="24"/>
          <w:szCs w:val="24"/>
        </w:rPr>
        <w:t>in</w:t>
      </w:r>
      <w:r w:rsidRPr="00461D74">
        <w:rPr>
          <w:rFonts w:ascii="Garamond" w:hAnsi="Garamond"/>
          <w:sz w:val="24"/>
          <w:szCs w:val="24"/>
        </w:rPr>
        <w:t xml:space="preserve"> the </w:t>
      </w:r>
      <w:r w:rsidR="006A2931" w:rsidRPr="00461D74">
        <w:rPr>
          <w:rFonts w:ascii="Garamond" w:hAnsi="Garamond"/>
          <w:sz w:val="24"/>
          <w:szCs w:val="24"/>
        </w:rPr>
        <w:t>Augustinian</w:t>
      </w:r>
      <w:r w:rsidRPr="00461D74">
        <w:rPr>
          <w:rFonts w:ascii="Garamond" w:hAnsi="Garamond"/>
          <w:sz w:val="24"/>
          <w:szCs w:val="24"/>
        </w:rPr>
        <w:t xml:space="preserve"> tradition. MacIntyre </w:t>
      </w:r>
      <w:r w:rsidR="001F3A85" w:rsidRPr="00461D74">
        <w:rPr>
          <w:rFonts w:ascii="Garamond" w:hAnsi="Garamond"/>
          <w:sz w:val="24"/>
          <w:szCs w:val="24"/>
        </w:rPr>
        <w:t xml:space="preserve">here </w:t>
      </w:r>
      <w:r w:rsidRPr="00461D74">
        <w:rPr>
          <w:rFonts w:ascii="Garamond" w:hAnsi="Garamond"/>
          <w:sz w:val="24"/>
          <w:szCs w:val="24"/>
        </w:rPr>
        <w:t xml:space="preserve">utilises Aquinas’ account – viewed as a synthesis of the Augustinian and Aristotelian positions – to formulate different conceptual stages in the conflict between </w:t>
      </w:r>
      <w:r w:rsidR="006A2931" w:rsidRPr="00461D74">
        <w:rPr>
          <w:rFonts w:ascii="Garamond" w:hAnsi="Garamond"/>
          <w:sz w:val="24"/>
          <w:szCs w:val="24"/>
        </w:rPr>
        <w:t xml:space="preserve">these two </w:t>
      </w:r>
      <w:r w:rsidRPr="00461D74">
        <w:rPr>
          <w:rFonts w:ascii="Garamond" w:hAnsi="Garamond"/>
          <w:sz w:val="24"/>
          <w:szCs w:val="24"/>
        </w:rPr>
        <w:t>traditions.</w:t>
      </w:r>
      <w:r w:rsidRPr="00461D74">
        <w:rPr>
          <w:rStyle w:val="FootnoteReference"/>
          <w:rFonts w:ascii="Garamond" w:hAnsi="Garamond"/>
          <w:sz w:val="24"/>
          <w:szCs w:val="24"/>
        </w:rPr>
        <w:footnoteReference w:id="121"/>
      </w:r>
      <w:r w:rsidRPr="00461D74">
        <w:rPr>
          <w:rFonts w:ascii="Garamond" w:hAnsi="Garamond"/>
          <w:sz w:val="24"/>
          <w:szCs w:val="24"/>
        </w:rPr>
        <w:t xml:space="preserve"> MacIntyre suggests that the stages in th</w:t>
      </w:r>
      <w:r w:rsidR="006A2931" w:rsidRPr="00461D74">
        <w:rPr>
          <w:rFonts w:ascii="Garamond" w:hAnsi="Garamond"/>
          <w:sz w:val="24"/>
          <w:szCs w:val="24"/>
        </w:rPr>
        <w:t>is</w:t>
      </w:r>
      <w:r w:rsidRPr="00461D74">
        <w:rPr>
          <w:rFonts w:ascii="Garamond" w:hAnsi="Garamond"/>
          <w:sz w:val="24"/>
          <w:szCs w:val="24"/>
        </w:rPr>
        <w:t xml:space="preserve"> conflict and eventual synthesis between the</w:t>
      </w:r>
      <w:r w:rsidR="006A2931" w:rsidRPr="00461D74">
        <w:rPr>
          <w:rFonts w:ascii="Garamond" w:hAnsi="Garamond"/>
          <w:sz w:val="24"/>
          <w:szCs w:val="24"/>
        </w:rPr>
        <w:t>se</w:t>
      </w:r>
      <w:r w:rsidRPr="00461D74">
        <w:rPr>
          <w:rFonts w:ascii="Garamond" w:hAnsi="Garamond"/>
          <w:sz w:val="24"/>
          <w:szCs w:val="24"/>
        </w:rPr>
        <w:t xml:space="preserve"> two traditions required a gift of empathy</w:t>
      </w:r>
      <w:r w:rsidR="003F054B">
        <w:rPr>
          <w:rFonts w:ascii="Garamond" w:hAnsi="Garamond"/>
          <w:sz w:val="24"/>
          <w:szCs w:val="24"/>
        </w:rPr>
        <w:t>,</w:t>
      </w:r>
      <w:r w:rsidRPr="00461D74">
        <w:rPr>
          <w:rFonts w:ascii="Garamond" w:hAnsi="Garamond"/>
          <w:sz w:val="24"/>
          <w:szCs w:val="24"/>
        </w:rPr>
        <w:t xml:space="preserve"> and </w:t>
      </w:r>
      <w:r w:rsidR="003F054B">
        <w:rPr>
          <w:rFonts w:ascii="Garamond" w:hAnsi="Garamond"/>
          <w:sz w:val="24"/>
          <w:szCs w:val="24"/>
        </w:rPr>
        <w:t xml:space="preserve">that </w:t>
      </w:r>
      <w:r w:rsidRPr="00461D74">
        <w:rPr>
          <w:rFonts w:ascii="Garamond" w:hAnsi="Garamond"/>
          <w:sz w:val="24"/>
          <w:szCs w:val="24"/>
        </w:rPr>
        <w:t xml:space="preserve">Aquinas had </w:t>
      </w:r>
      <w:r w:rsidR="006A2931" w:rsidRPr="00461D74">
        <w:rPr>
          <w:rFonts w:ascii="Garamond" w:hAnsi="Garamond"/>
          <w:sz w:val="24"/>
          <w:szCs w:val="24"/>
        </w:rPr>
        <w:t xml:space="preserve">just </w:t>
      </w:r>
      <w:r w:rsidRPr="00461D74">
        <w:rPr>
          <w:rFonts w:ascii="Garamond" w:hAnsi="Garamond"/>
          <w:sz w:val="24"/>
          <w:szCs w:val="24"/>
        </w:rPr>
        <w:t>such a gift. Thus, he was able to imaginatively view himself as straddling both traditions, and thus sympathetically combine the best elements of both traditions.</w:t>
      </w:r>
      <w:r w:rsidRPr="00461D74">
        <w:rPr>
          <w:rStyle w:val="FootnoteReference"/>
          <w:rFonts w:ascii="Garamond" w:hAnsi="Garamond"/>
          <w:sz w:val="24"/>
          <w:szCs w:val="24"/>
        </w:rPr>
        <w:footnoteReference w:id="122"/>
      </w:r>
      <w:r w:rsidRPr="00461D74">
        <w:rPr>
          <w:rFonts w:ascii="Garamond" w:hAnsi="Garamond"/>
          <w:sz w:val="24"/>
          <w:szCs w:val="24"/>
        </w:rPr>
        <w:t xml:space="preserve"> So what was it exactly that Aquinas achieved?</w:t>
      </w:r>
    </w:p>
    <w:p w:rsidR="00CE1D6E"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MacIntyre tells us then that Aquinas “was engaged in a long series of constructive debates through whose arguments and conclusions he constructed or reconstructed a representation of the hierarchical order of the universe</w:t>
      </w:r>
      <w:r w:rsidR="006C441C">
        <w:rPr>
          <w:rFonts w:ascii="Garamond" w:hAnsi="Garamond"/>
          <w:sz w:val="24"/>
          <w:szCs w:val="24"/>
        </w:rPr>
        <w:t>,</w:t>
      </w:r>
      <w:r w:rsidRPr="00461D74">
        <w:rPr>
          <w:rFonts w:ascii="Garamond" w:hAnsi="Garamond"/>
          <w:sz w:val="24"/>
          <w:szCs w:val="24"/>
        </w:rPr>
        <w:t>”</w:t>
      </w:r>
      <w:r w:rsidRPr="00461D74">
        <w:rPr>
          <w:rStyle w:val="FootnoteReference"/>
          <w:rFonts w:ascii="Garamond" w:hAnsi="Garamond"/>
          <w:sz w:val="24"/>
          <w:szCs w:val="24"/>
        </w:rPr>
        <w:footnoteReference w:id="123"/>
      </w:r>
      <w:r w:rsidRPr="00461D74">
        <w:rPr>
          <w:rFonts w:ascii="Garamond" w:hAnsi="Garamond"/>
          <w:sz w:val="24"/>
          <w:szCs w:val="24"/>
        </w:rPr>
        <w:t xml:space="preserve"> and in these long running debates with Aristotelian and Augustinian rivals he was able to correctly formulate their inadequacies, </w:t>
      </w:r>
      <w:r w:rsidR="002D54A2">
        <w:rPr>
          <w:rFonts w:ascii="Garamond" w:hAnsi="Garamond"/>
          <w:sz w:val="24"/>
          <w:szCs w:val="24"/>
        </w:rPr>
        <w:t>while</w:t>
      </w:r>
      <w:r w:rsidRPr="00461D74">
        <w:rPr>
          <w:rFonts w:ascii="Garamond" w:hAnsi="Garamond"/>
          <w:sz w:val="24"/>
          <w:szCs w:val="24"/>
        </w:rPr>
        <w:t xml:space="preserve"> preserv</w:t>
      </w:r>
      <w:r w:rsidR="002D54A2">
        <w:rPr>
          <w:rFonts w:ascii="Garamond" w:hAnsi="Garamond"/>
          <w:sz w:val="24"/>
          <w:szCs w:val="24"/>
        </w:rPr>
        <w:t>ing</w:t>
      </w:r>
      <w:r w:rsidRPr="00461D74">
        <w:rPr>
          <w:rFonts w:ascii="Garamond" w:hAnsi="Garamond"/>
          <w:sz w:val="24"/>
          <w:szCs w:val="24"/>
        </w:rPr>
        <w:t xml:space="preserve"> everything from these conversations that </w:t>
      </w:r>
      <w:r w:rsidR="006A2931" w:rsidRPr="00461D74">
        <w:rPr>
          <w:rFonts w:ascii="Garamond" w:hAnsi="Garamond"/>
          <w:sz w:val="24"/>
          <w:szCs w:val="24"/>
        </w:rPr>
        <w:t>remained</w:t>
      </w:r>
      <w:r w:rsidRPr="00461D74">
        <w:rPr>
          <w:rFonts w:ascii="Garamond" w:hAnsi="Garamond"/>
          <w:sz w:val="24"/>
          <w:szCs w:val="24"/>
        </w:rPr>
        <w:t xml:space="preserve"> </w:t>
      </w:r>
      <w:proofErr w:type="spellStart"/>
      <w:r w:rsidR="006A2931" w:rsidRPr="00461D74">
        <w:rPr>
          <w:rFonts w:ascii="Garamond" w:hAnsi="Garamond"/>
          <w:sz w:val="24"/>
          <w:szCs w:val="24"/>
        </w:rPr>
        <w:t>un</w:t>
      </w:r>
      <w:r w:rsidRPr="00461D74">
        <w:rPr>
          <w:rFonts w:ascii="Garamond" w:hAnsi="Garamond"/>
          <w:sz w:val="24"/>
          <w:szCs w:val="24"/>
        </w:rPr>
        <w:t>refuted</w:t>
      </w:r>
      <w:proofErr w:type="spellEnd"/>
      <w:r w:rsidRPr="00461D74">
        <w:rPr>
          <w:rFonts w:ascii="Garamond" w:hAnsi="Garamond"/>
          <w:sz w:val="24"/>
          <w:szCs w:val="24"/>
        </w:rPr>
        <w:t>. Moreover</w:t>
      </w:r>
      <w:r w:rsidR="006A2931" w:rsidRPr="00461D74">
        <w:rPr>
          <w:rFonts w:ascii="Garamond" w:hAnsi="Garamond"/>
          <w:sz w:val="24"/>
          <w:szCs w:val="24"/>
        </w:rPr>
        <w:t>,</w:t>
      </w:r>
      <w:r w:rsidRPr="00461D74">
        <w:rPr>
          <w:rFonts w:ascii="Garamond" w:hAnsi="Garamond"/>
          <w:sz w:val="24"/>
          <w:szCs w:val="24"/>
        </w:rPr>
        <w:t xml:space="preserve"> </w:t>
      </w:r>
      <w:r w:rsidR="00CE1D6E" w:rsidRPr="00461D74">
        <w:rPr>
          <w:rFonts w:ascii="Garamond" w:hAnsi="Garamond"/>
          <w:sz w:val="24"/>
          <w:szCs w:val="24"/>
        </w:rPr>
        <w:t xml:space="preserve">by </w:t>
      </w:r>
      <w:r w:rsidRPr="00461D74">
        <w:rPr>
          <w:rFonts w:ascii="Garamond" w:hAnsi="Garamond"/>
          <w:sz w:val="24"/>
          <w:szCs w:val="24"/>
        </w:rPr>
        <w:t>utilising the concepts of</w:t>
      </w:r>
      <w:r w:rsidR="00DD0DEE" w:rsidRPr="00461D74">
        <w:rPr>
          <w:rFonts w:ascii="Garamond" w:hAnsi="Garamond"/>
          <w:sz w:val="24"/>
          <w:szCs w:val="24"/>
        </w:rPr>
        <w:t xml:space="preserve"> </w:t>
      </w:r>
      <w:proofErr w:type="spellStart"/>
      <w:r w:rsidRPr="00461D74">
        <w:rPr>
          <w:rFonts w:ascii="Garamond" w:hAnsi="Garamond"/>
          <w:i/>
          <w:iCs/>
          <w:sz w:val="24"/>
          <w:szCs w:val="24"/>
        </w:rPr>
        <w:t>c</w:t>
      </w:r>
      <w:r w:rsidR="00DD0DEE" w:rsidRPr="00461D74">
        <w:rPr>
          <w:rFonts w:ascii="Garamond" w:hAnsi="Garamond"/>
          <w:bCs/>
          <w:i/>
          <w:iCs/>
          <w:sz w:val="24"/>
          <w:szCs w:val="24"/>
        </w:rPr>
        <w:t>ō</w:t>
      </w:r>
      <w:r w:rsidRPr="00461D74">
        <w:rPr>
          <w:rFonts w:ascii="Garamond" w:hAnsi="Garamond"/>
          <w:i/>
          <w:iCs/>
          <w:sz w:val="24"/>
          <w:szCs w:val="24"/>
        </w:rPr>
        <w:t>nscientia</w:t>
      </w:r>
      <w:proofErr w:type="spellEnd"/>
      <w:r w:rsidRPr="00461D74">
        <w:rPr>
          <w:rFonts w:ascii="Garamond" w:hAnsi="Garamond"/>
          <w:sz w:val="24"/>
          <w:szCs w:val="24"/>
        </w:rPr>
        <w:t xml:space="preserve"> and </w:t>
      </w:r>
      <w:proofErr w:type="spellStart"/>
      <w:r w:rsidR="003F054B">
        <w:rPr>
          <w:rFonts w:ascii="Garamond" w:hAnsi="Garamond"/>
          <w:i/>
          <w:iCs/>
          <w:sz w:val="24"/>
          <w:szCs w:val="24"/>
        </w:rPr>
        <w:t>synderesis</w:t>
      </w:r>
      <w:proofErr w:type="spellEnd"/>
      <w:r w:rsidR="003F054B">
        <w:rPr>
          <w:rFonts w:ascii="Garamond" w:hAnsi="Garamond"/>
          <w:iCs/>
          <w:sz w:val="24"/>
          <w:szCs w:val="24"/>
        </w:rPr>
        <w:t>, Aquinas</w:t>
      </w:r>
      <w:r w:rsidRPr="00461D74">
        <w:rPr>
          <w:rFonts w:ascii="Garamond" w:hAnsi="Garamond"/>
          <w:sz w:val="24"/>
          <w:szCs w:val="24"/>
        </w:rPr>
        <w:t xml:space="preserve"> is able to resolve moral dilemmas that were expressed in human tragedies, and to which tragedians </w:t>
      </w:r>
      <w:r w:rsidR="006A2931" w:rsidRPr="00461D74">
        <w:rPr>
          <w:rFonts w:ascii="Garamond" w:hAnsi="Garamond"/>
          <w:sz w:val="24"/>
          <w:szCs w:val="24"/>
        </w:rPr>
        <w:t xml:space="preserve">such as </w:t>
      </w:r>
      <w:r w:rsidRPr="00461D74">
        <w:rPr>
          <w:rFonts w:ascii="Garamond" w:hAnsi="Garamond"/>
          <w:sz w:val="24"/>
          <w:szCs w:val="24"/>
        </w:rPr>
        <w:t xml:space="preserve">Sophocles </w:t>
      </w:r>
      <w:r w:rsidR="006A2931" w:rsidRPr="00461D74">
        <w:rPr>
          <w:rFonts w:ascii="Garamond" w:hAnsi="Garamond"/>
          <w:sz w:val="24"/>
          <w:szCs w:val="24"/>
        </w:rPr>
        <w:t xml:space="preserve">afforded </w:t>
      </w:r>
      <w:r w:rsidRPr="00461D74">
        <w:rPr>
          <w:rFonts w:ascii="Garamond" w:hAnsi="Garamond"/>
          <w:sz w:val="24"/>
          <w:szCs w:val="24"/>
        </w:rPr>
        <w:t>expression.</w:t>
      </w:r>
      <w:r w:rsidRPr="00461D74">
        <w:rPr>
          <w:rStyle w:val="FootnoteReference"/>
          <w:rFonts w:ascii="Garamond" w:hAnsi="Garamond"/>
          <w:sz w:val="24"/>
          <w:szCs w:val="24"/>
        </w:rPr>
        <w:footnoteReference w:id="124"/>
      </w:r>
      <w:r w:rsidRPr="00461D74">
        <w:rPr>
          <w:rFonts w:ascii="Garamond" w:hAnsi="Garamond"/>
          <w:sz w:val="24"/>
          <w:szCs w:val="24"/>
        </w:rPr>
        <w:t xml:space="preserve"> MacIntyre suggests that in the Thomist account we possess</w:t>
      </w:r>
    </w:p>
    <w:p w:rsidR="00CB14FC" w:rsidRPr="00461D74" w:rsidRDefault="00F515C6" w:rsidP="00164E4D">
      <w:pPr>
        <w:spacing w:line="360" w:lineRule="auto"/>
        <w:ind w:left="1440"/>
        <w:jc w:val="both"/>
        <w:rPr>
          <w:rFonts w:ascii="Garamond" w:hAnsi="Garamond"/>
        </w:rPr>
      </w:pPr>
      <w:r w:rsidRPr="00461D74">
        <w:rPr>
          <w:rFonts w:ascii="Garamond" w:hAnsi="Garamond"/>
        </w:rPr>
        <w:t>“</w:t>
      </w:r>
      <w:proofErr w:type="gramStart"/>
      <w:r w:rsidRPr="00461D74">
        <w:rPr>
          <w:rFonts w:ascii="Garamond" w:hAnsi="Garamond"/>
        </w:rPr>
        <w:t>a</w:t>
      </w:r>
      <w:proofErr w:type="gramEnd"/>
      <w:r w:rsidRPr="00461D74">
        <w:rPr>
          <w:rFonts w:ascii="Garamond" w:hAnsi="Garamond"/>
        </w:rPr>
        <w:t xml:space="preserve"> theological framework within which is presented a fundamentally Aristotelian account of the genesis of action, into which are integrated </w:t>
      </w:r>
      <w:r w:rsidRPr="00461D74">
        <w:rPr>
          <w:rFonts w:ascii="Garamond" w:hAnsi="Garamond"/>
        </w:rPr>
        <w:lastRenderedPageBreak/>
        <w:t xml:space="preserve">both an Augustinian conception of the will and such later concepts such intention and </w:t>
      </w:r>
      <w:proofErr w:type="spellStart"/>
      <w:r w:rsidRPr="00461D74">
        <w:rPr>
          <w:rFonts w:ascii="Garamond" w:hAnsi="Garamond"/>
          <w:i/>
          <w:iCs/>
        </w:rPr>
        <w:t>synderesis</w:t>
      </w:r>
      <w:proofErr w:type="spellEnd"/>
      <w:r w:rsidRPr="00461D74">
        <w:rPr>
          <w:rFonts w:ascii="Garamond" w:hAnsi="Garamond"/>
        </w:rPr>
        <w:t xml:space="preserve"> and </w:t>
      </w:r>
      <w:proofErr w:type="spellStart"/>
      <w:r w:rsidRPr="00461D74">
        <w:rPr>
          <w:rFonts w:ascii="Garamond" w:hAnsi="Garamond"/>
          <w:i/>
          <w:iCs/>
        </w:rPr>
        <w:t>conscientia</w:t>
      </w:r>
      <w:proofErr w:type="spellEnd"/>
      <w:r w:rsidRPr="00461D74">
        <w:rPr>
          <w:rFonts w:ascii="Garamond" w:hAnsi="Garamond"/>
        </w:rPr>
        <w:t>.”</w:t>
      </w:r>
      <w:r w:rsidRPr="00461D74">
        <w:rPr>
          <w:rStyle w:val="FootnoteReference"/>
          <w:rFonts w:ascii="Garamond" w:hAnsi="Garamond"/>
        </w:rPr>
        <w:footnoteReference w:id="125"/>
      </w:r>
      <w:r w:rsidRPr="00461D74">
        <w:rPr>
          <w:rFonts w:ascii="Garamond" w:hAnsi="Garamond"/>
        </w:rPr>
        <w:t xml:space="preserve"> </w:t>
      </w:r>
    </w:p>
    <w:p w:rsidR="00417751" w:rsidRPr="00461D74" w:rsidRDefault="00016049" w:rsidP="00164E4D">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CE1D6E" w:rsidRPr="00461D74">
        <w:rPr>
          <w:rFonts w:ascii="Garamond" w:hAnsi="Garamond"/>
          <w:sz w:val="24"/>
          <w:szCs w:val="24"/>
        </w:rPr>
        <w:t xml:space="preserve">argues </w:t>
      </w:r>
      <w:r w:rsidRPr="00461D74">
        <w:rPr>
          <w:rFonts w:ascii="Garamond" w:hAnsi="Garamond"/>
          <w:sz w:val="24"/>
          <w:szCs w:val="24"/>
        </w:rPr>
        <w:t xml:space="preserve">that Aquinas is able to </w:t>
      </w:r>
      <w:r w:rsidR="00CE1D6E" w:rsidRPr="00461D74">
        <w:rPr>
          <w:rFonts w:ascii="Garamond" w:hAnsi="Garamond"/>
          <w:sz w:val="24"/>
          <w:szCs w:val="24"/>
        </w:rPr>
        <w:t>demonstrate</w:t>
      </w:r>
      <w:r w:rsidRPr="00461D74">
        <w:rPr>
          <w:rFonts w:ascii="Garamond" w:hAnsi="Garamond"/>
          <w:sz w:val="24"/>
          <w:szCs w:val="24"/>
        </w:rPr>
        <w:t xml:space="preserve"> why Aristotle’s teleology was defective</w:t>
      </w:r>
      <w:r w:rsidR="00794D51" w:rsidRPr="00461D74">
        <w:rPr>
          <w:rFonts w:ascii="Garamond" w:hAnsi="Garamond"/>
          <w:sz w:val="24"/>
          <w:szCs w:val="24"/>
        </w:rPr>
        <w:t xml:space="preserve"> –</w:t>
      </w:r>
      <w:r w:rsidRPr="00461D74">
        <w:rPr>
          <w:rFonts w:ascii="Garamond" w:hAnsi="Garamond"/>
          <w:sz w:val="24"/>
          <w:szCs w:val="24"/>
        </w:rPr>
        <w:t xml:space="preserve"> it was defective because of the inadequacies of the social order</w:t>
      </w:r>
      <w:r w:rsidR="00794D51" w:rsidRPr="00461D74">
        <w:rPr>
          <w:rFonts w:ascii="Garamond" w:hAnsi="Garamond"/>
          <w:sz w:val="24"/>
          <w:szCs w:val="24"/>
        </w:rPr>
        <w:t>,</w:t>
      </w:r>
      <w:r w:rsidRPr="00461D74">
        <w:rPr>
          <w:rFonts w:ascii="Garamond" w:hAnsi="Garamond"/>
          <w:sz w:val="24"/>
          <w:szCs w:val="24"/>
        </w:rPr>
        <w:t xml:space="preserve"> that of the polis</w:t>
      </w:r>
      <w:r w:rsidR="00794D51" w:rsidRPr="00461D74">
        <w:rPr>
          <w:rFonts w:ascii="Garamond" w:hAnsi="Garamond"/>
          <w:sz w:val="24"/>
          <w:szCs w:val="24"/>
        </w:rPr>
        <w:t>,</w:t>
      </w:r>
      <w:r w:rsidRPr="00461D74">
        <w:rPr>
          <w:rFonts w:ascii="Garamond" w:hAnsi="Garamond"/>
          <w:sz w:val="24"/>
          <w:szCs w:val="24"/>
        </w:rPr>
        <w:t xml:space="preserve"> to which Aristotle belonged. </w:t>
      </w:r>
      <w:r w:rsidR="00CE1D6E" w:rsidRPr="00461D74">
        <w:rPr>
          <w:rFonts w:ascii="Garamond" w:hAnsi="Garamond"/>
          <w:sz w:val="24"/>
          <w:szCs w:val="24"/>
        </w:rPr>
        <w:t>On the other hand</w:t>
      </w:r>
      <w:r w:rsidRPr="00461D74">
        <w:rPr>
          <w:rFonts w:ascii="Garamond" w:hAnsi="Garamond"/>
          <w:sz w:val="24"/>
          <w:szCs w:val="24"/>
        </w:rPr>
        <w:t>, the details offered in the Aristotelian account</w:t>
      </w:r>
      <w:r w:rsidR="00CE1D6E" w:rsidRPr="00461D74">
        <w:rPr>
          <w:rFonts w:ascii="Garamond" w:hAnsi="Garamond"/>
          <w:sz w:val="24"/>
          <w:szCs w:val="24"/>
        </w:rPr>
        <w:t>,</w:t>
      </w:r>
      <w:r w:rsidRPr="00461D74">
        <w:rPr>
          <w:rFonts w:ascii="Garamond" w:hAnsi="Garamond"/>
          <w:sz w:val="24"/>
          <w:szCs w:val="24"/>
        </w:rPr>
        <w:t xml:space="preserve"> correct the </w:t>
      </w:r>
      <w:r w:rsidR="00CE1D6E" w:rsidRPr="00461D74">
        <w:rPr>
          <w:rFonts w:ascii="Garamond" w:hAnsi="Garamond"/>
          <w:sz w:val="24"/>
          <w:szCs w:val="24"/>
        </w:rPr>
        <w:t xml:space="preserve">broad </w:t>
      </w:r>
      <w:r w:rsidRPr="00461D74">
        <w:rPr>
          <w:rFonts w:ascii="Garamond" w:hAnsi="Garamond"/>
          <w:sz w:val="24"/>
          <w:szCs w:val="24"/>
        </w:rPr>
        <w:t xml:space="preserve">generalisations which </w:t>
      </w:r>
      <w:r w:rsidR="00CE1D6E" w:rsidRPr="00461D74">
        <w:rPr>
          <w:rFonts w:ascii="Garamond" w:hAnsi="Garamond"/>
          <w:sz w:val="24"/>
          <w:szCs w:val="24"/>
        </w:rPr>
        <w:t xml:space="preserve">was a weakness of </w:t>
      </w:r>
      <w:r w:rsidRPr="00461D74">
        <w:rPr>
          <w:rFonts w:ascii="Garamond" w:hAnsi="Garamond"/>
          <w:sz w:val="24"/>
          <w:szCs w:val="24"/>
        </w:rPr>
        <w:t>Augustine’s account.</w:t>
      </w:r>
      <w:r w:rsidRPr="00461D74">
        <w:rPr>
          <w:rStyle w:val="FootnoteReference"/>
          <w:rFonts w:ascii="Garamond" w:hAnsi="Garamond"/>
          <w:sz w:val="24"/>
          <w:szCs w:val="24"/>
        </w:rPr>
        <w:footnoteReference w:id="126"/>
      </w:r>
      <w:r w:rsidRPr="00461D74">
        <w:rPr>
          <w:rFonts w:ascii="Garamond" w:hAnsi="Garamond"/>
          <w:sz w:val="24"/>
          <w:szCs w:val="24"/>
        </w:rPr>
        <w:t xml:space="preserve"> It is in this sense that Aquinas’ account</w:t>
      </w:r>
      <w:r w:rsidR="009441C6">
        <w:rPr>
          <w:rFonts w:ascii="Garamond" w:hAnsi="Garamond"/>
          <w:sz w:val="24"/>
          <w:szCs w:val="24"/>
        </w:rPr>
        <w:t>,</w:t>
      </w:r>
      <w:r w:rsidRPr="00461D74">
        <w:rPr>
          <w:rFonts w:ascii="Garamond" w:hAnsi="Garamond"/>
          <w:sz w:val="24"/>
          <w:szCs w:val="24"/>
        </w:rPr>
        <w:t xml:space="preserve"> not only surpasses and transcends the limitations of those offered by his rivals</w:t>
      </w:r>
      <w:r w:rsidR="00942117" w:rsidRPr="00461D74">
        <w:rPr>
          <w:rFonts w:ascii="Garamond" w:hAnsi="Garamond"/>
          <w:sz w:val="24"/>
          <w:szCs w:val="24"/>
        </w:rPr>
        <w:t>,</w:t>
      </w:r>
      <w:r w:rsidRPr="00461D74">
        <w:rPr>
          <w:rFonts w:ascii="Garamond" w:hAnsi="Garamond"/>
          <w:sz w:val="24"/>
          <w:szCs w:val="24"/>
        </w:rPr>
        <w:t xml:space="preserve"> </w:t>
      </w:r>
      <w:r w:rsidR="003F054B">
        <w:rPr>
          <w:rFonts w:ascii="Garamond" w:hAnsi="Garamond"/>
          <w:sz w:val="24"/>
          <w:szCs w:val="24"/>
        </w:rPr>
        <w:t xml:space="preserve">but </w:t>
      </w:r>
      <w:r w:rsidR="00CE1D6E" w:rsidRPr="00461D74">
        <w:rPr>
          <w:rFonts w:ascii="Garamond" w:hAnsi="Garamond"/>
          <w:sz w:val="24"/>
          <w:szCs w:val="24"/>
        </w:rPr>
        <w:t xml:space="preserve">it </w:t>
      </w:r>
      <w:r w:rsidRPr="00461D74">
        <w:rPr>
          <w:rFonts w:ascii="Garamond" w:hAnsi="Garamond"/>
          <w:sz w:val="24"/>
          <w:szCs w:val="24"/>
        </w:rPr>
        <w:t xml:space="preserve">also transcends the limitations of </w:t>
      </w:r>
      <w:r w:rsidR="00CE1D6E" w:rsidRPr="00461D74">
        <w:rPr>
          <w:rFonts w:ascii="Garamond" w:hAnsi="Garamond"/>
          <w:sz w:val="24"/>
          <w:szCs w:val="24"/>
        </w:rPr>
        <w:t xml:space="preserve">the accounts offered by his </w:t>
      </w:r>
      <w:r w:rsidRPr="00461D74">
        <w:rPr>
          <w:rFonts w:ascii="Garamond" w:hAnsi="Garamond"/>
          <w:sz w:val="24"/>
          <w:szCs w:val="24"/>
        </w:rPr>
        <w:t xml:space="preserve">predecessors – </w:t>
      </w:r>
      <w:r w:rsidR="00CE1D6E" w:rsidRPr="00461D74">
        <w:rPr>
          <w:rFonts w:ascii="Garamond" w:hAnsi="Garamond"/>
          <w:sz w:val="24"/>
          <w:szCs w:val="24"/>
        </w:rPr>
        <w:t xml:space="preserve">namely, </w:t>
      </w:r>
      <w:r w:rsidRPr="00461D74">
        <w:rPr>
          <w:rFonts w:ascii="Garamond" w:hAnsi="Garamond"/>
          <w:sz w:val="24"/>
          <w:szCs w:val="24"/>
        </w:rPr>
        <w:t>the limitations of Augustine and Aristotle.</w:t>
      </w:r>
    </w:p>
    <w:p w:rsidR="00016049" w:rsidRPr="00461D74" w:rsidRDefault="001E7C5E" w:rsidP="00164E4D">
      <w:pPr>
        <w:spacing w:line="360" w:lineRule="auto"/>
        <w:ind w:firstLine="720"/>
        <w:jc w:val="both"/>
        <w:rPr>
          <w:rFonts w:ascii="Garamond" w:hAnsi="Garamond"/>
          <w:sz w:val="24"/>
          <w:szCs w:val="24"/>
        </w:rPr>
      </w:pPr>
      <w:r w:rsidRPr="00461D74">
        <w:rPr>
          <w:rFonts w:ascii="Garamond" w:hAnsi="Garamond"/>
          <w:sz w:val="24"/>
          <w:szCs w:val="24"/>
        </w:rPr>
        <w:t xml:space="preserve">Before moving on, </w:t>
      </w:r>
      <w:r w:rsidR="00016049" w:rsidRPr="00461D74">
        <w:rPr>
          <w:rFonts w:ascii="Garamond" w:hAnsi="Garamond"/>
          <w:sz w:val="24"/>
          <w:szCs w:val="24"/>
        </w:rPr>
        <w:t xml:space="preserve">I </w:t>
      </w:r>
      <w:r w:rsidRPr="00461D74">
        <w:rPr>
          <w:rFonts w:ascii="Garamond" w:hAnsi="Garamond"/>
          <w:sz w:val="24"/>
          <w:szCs w:val="24"/>
        </w:rPr>
        <w:t>sh</w:t>
      </w:r>
      <w:r w:rsidR="00016049" w:rsidRPr="00461D74">
        <w:rPr>
          <w:rFonts w:ascii="Garamond" w:hAnsi="Garamond"/>
          <w:sz w:val="24"/>
          <w:szCs w:val="24"/>
        </w:rPr>
        <w:t>ould</w:t>
      </w:r>
      <w:r w:rsidRPr="00461D74">
        <w:rPr>
          <w:rFonts w:ascii="Garamond" w:hAnsi="Garamond"/>
          <w:sz w:val="24"/>
          <w:szCs w:val="24"/>
        </w:rPr>
        <w:t xml:space="preserve"> emphasise</w:t>
      </w:r>
      <w:r w:rsidR="00016049" w:rsidRPr="00461D74">
        <w:rPr>
          <w:rFonts w:ascii="Garamond" w:hAnsi="Garamond"/>
          <w:sz w:val="24"/>
          <w:szCs w:val="24"/>
        </w:rPr>
        <w:t xml:space="preserve"> that MacIntyre utilises the above history not only to argue for standards of rational progress, and </w:t>
      </w:r>
      <w:r w:rsidR="00CE1D6E" w:rsidRPr="00461D74">
        <w:rPr>
          <w:rFonts w:ascii="Garamond" w:hAnsi="Garamond"/>
          <w:sz w:val="24"/>
          <w:szCs w:val="24"/>
        </w:rPr>
        <w:t xml:space="preserve">therefore </w:t>
      </w:r>
      <w:r w:rsidR="00016049" w:rsidRPr="00461D74">
        <w:rPr>
          <w:rFonts w:ascii="Garamond" w:hAnsi="Garamond"/>
          <w:sz w:val="24"/>
          <w:szCs w:val="24"/>
        </w:rPr>
        <w:t xml:space="preserve">show how traditions can be seen as progressive, but also </w:t>
      </w:r>
      <w:r w:rsidR="009D3038" w:rsidRPr="00461D74">
        <w:rPr>
          <w:rFonts w:ascii="Garamond" w:hAnsi="Garamond"/>
          <w:sz w:val="24"/>
          <w:szCs w:val="24"/>
        </w:rPr>
        <w:t xml:space="preserve">to </w:t>
      </w:r>
      <w:r w:rsidR="00CE1D6E" w:rsidRPr="00461D74">
        <w:rPr>
          <w:rFonts w:ascii="Garamond" w:hAnsi="Garamond"/>
          <w:sz w:val="24"/>
          <w:szCs w:val="24"/>
        </w:rPr>
        <w:t>argue</w:t>
      </w:r>
      <w:r w:rsidR="00016049" w:rsidRPr="00461D74">
        <w:rPr>
          <w:rFonts w:ascii="Garamond" w:hAnsi="Garamond"/>
          <w:sz w:val="24"/>
          <w:szCs w:val="24"/>
        </w:rPr>
        <w:t xml:space="preserve"> that the Thomistic </w:t>
      </w:r>
      <w:r w:rsidR="00C539AA" w:rsidRPr="00461D74">
        <w:rPr>
          <w:rFonts w:ascii="Garamond" w:hAnsi="Garamond"/>
          <w:sz w:val="24"/>
          <w:szCs w:val="24"/>
        </w:rPr>
        <w:t xml:space="preserve">tradition </w:t>
      </w:r>
      <w:r w:rsidR="00016049" w:rsidRPr="00461D74">
        <w:rPr>
          <w:rFonts w:ascii="Garamond" w:hAnsi="Garamond"/>
          <w:sz w:val="24"/>
          <w:szCs w:val="24"/>
        </w:rPr>
        <w:t xml:space="preserve">hasn’t been </w:t>
      </w:r>
      <w:r w:rsidR="00C539AA" w:rsidRPr="00461D74">
        <w:rPr>
          <w:rFonts w:ascii="Garamond" w:hAnsi="Garamond"/>
          <w:sz w:val="24"/>
          <w:szCs w:val="24"/>
        </w:rPr>
        <w:t xml:space="preserve">really </w:t>
      </w:r>
      <w:r w:rsidR="00016049" w:rsidRPr="00461D74">
        <w:rPr>
          <w:rFonts w:ascii="Garamond" w:hAnsi="Garamond"/>
          <w:sz w:val="24"/>
          <w:szCs w:val="24"/>
        </w:rPr>
        <w:t xml:space="preserve">defeated </w:t>
      </w:r>
      <w:r w:rsidR="00C539AA" w:rsidRPr="00461D74">
        <w:rPr>
          <w:rFonts w:ascii="Garamond" w:hAnsi="Garamond"/>
          <w:sz w:val="24"/>
          <w:szCs w:val="24"/>
        </w:rPr>
        <w:t>by those same standards of rational progress</w:t>
      </w:r>
      <w:r w:rsidR="00016049" w:rsidRPr="00461D74">
        <w:rPr>
          <w:rFonts w:ascii="Garamond" w:hAnsi="Garamond"/>
          <w:sz w:val="24"/>
          <w:szCs w:val="24"/>
        </w:rPr>
        <w:t xml:space="preserve">. Still, there </w:t>
      </w:r>
      <w:r w:rsidRPr="00461D74">
        <w:rPr>
          <w:rFonts w:ascii="Garamond" w:hAnsi="Garamond"/>
          <w:sz w:val="24"/>
          <w:szCs w:val="24"/>
        </w:rPr>
        <w:t xml:space="preserve">remains </w:t>
      </w:r>
      <w:r w:rsidR="00016049" w:rsidRPr="00461D74">
        <w:rPr>
          <w:rFonts w:ascii="Garamond" w:hAnsi="Garamond"/>
          <w:sz w:val="24"/>
          <w:szCs w:val="24"/>
        </w:rPr>
        <w:t xml:space="preserve">another </w:t>
      </w:r>
      <w:r w:rsidRPr="00461D74">
        <w:rPr>
          <w:rFonts w:ascii="Garamond" w:hAnsi="Garamond"/>
          <w:sz w:val="24"/>
          <w:szCs w:val="24"/>
        </w:rPr>
        <w:t xml:space="preserve">important </w:t>
      </w:r>
      <w:r w:rsidR="00016049" w:rsidRPr="00461D74">
        <w:rPr>
          <w:rFonts w:ascii="Garamond" w:hAnsi="Garamond"/>
          <w:sz w:val="24"/>
          <w:szCs w:val="24"/>
        </w:rPr>
        <w:t>lesson in MacIntyre</w:t>
      </w:r>
      <w:r w:rsidRPr="00461D74">
        <w:rPr>
          <w:rFonts w:ascii="Garamond" w:hAnsi="Garamond"/>
          <w:sz w:val="24"/>
          <w:szCs w:val="24"/>
        </w:rPr>
        <w:t xml:space="preserve">’s account (covered in this section) and it is a lesson </w:t>
      </w:r>
      <w:r w:rsidR="00016049" w:rsidRPr="00461D74">
        <w:rPr>
          <w:rFonts w:ascii="Garamond" w:hAnsi="Garamond"/>
          <w:sz w:val="24"/>
          <w:szCs w:val="24"/>
        </w:rPr>
        <w:t xml:space="preserve">that we </w:t>
      </w:r>
      <w:r w:rsidRPr="00461D74">
        <w:rPr>
          <w:rFonts w:ascii="Garamond" w:hAnsi="Garamond"/>
          <w:sz w:val="24"/>
          <w:szCs w:val="24"/>
        </w:rPr>
        <w:t xml:space="preserve">broached </w:t>
      </w:r>
      <w:r w:rsidR="00016049" w:rsidRPr="00461D74">
        <w:rPr>
          <w:rFonts w:ascii="Garamond" w:hAnsi="Garamond"/>
          <w:sz w:val="24"/>
          <w:szCs w:val="24"/>
        </w:rPr>
        <w:t xml:space="preserve">earlier in (H3) and (H4) – that the change of social structure can also lead to the defeat, or at least marginalisation, of a tradition. This is important, since it seems that on MacIntyre’s view, Thomism as a tradition has </w:t>
      </w:r>
      <w:r w:rsidR="00C539AA" w:rsidRPr="00461D74">
        <w:rPr>
          <w:rFonts w:ascii="Garamond" w:hAnsi="Garamond"/>
          <w:sz w:val="24"/>
          <w:szCs w:val="24"/>
        </w:rPr>
        <w:t xml:space="preserve">certainly </w:t>
      </w:r>
      <w:r w:rsidR="00016049" w:rsidRPr="00461D74">
        <w:rPr>
          <w:rFonts w:ascii="Garamond" w:hAnsi="Garamond"/>
          <w:sz w:val="24"/>
          <w:szCs w:val="24"/>
        </w:rPr>
        <w:t xml:space="preserve">been </w:t>
      </w:r>
      <w:r w:rsidR="00C539AA" w:rsidRPr="00461D74">
        <w:rPr>
          <w:rFonts w:ascii="Garamond" w:hAnsi="Garamond"/>
          <w:sz w:val="24"/>
          <w:szCs w:val="24"/>
        </w:rPr>
        <w:t xml:space="preserve">sidelined </w:t>
      </w:r>
      <w:r w:rsidR="00016049" w:rsidRPr="00461D74">
        <w:rPr>
          <w:rFonts w:ascii="Garamond" w:hAnsi="Garamond"/>
          <w:sz w:val="24"/>
          <w:szCs w:val="24"/>
        </w:rPr>
        <w:t>in this sense.</w:t>
      </w:r>
      <w:r w:rsidR="003F054B">
        <w:rPr>
          <w:rFonts w:ascii="Garamond" w:hAnsi="Garamond"/>
          <w:sz w:val="24"/>
          <w:szCs w:val="24"/>
        </w:rPr>
        <w:t xml:space="preserve"> </w:t>
      </w:r>
    </w:p>
    <w:p w:rsidR="00016049" w:rsidRPr="00461D74" w:rsidRDefault="00016049" w:rsidP="00164E4D">
      <w:pPr>
        <w:spacing w:line="360" w:lineRule="auto"/>
        <w:jc w:val="both"/>
        <w:rPr>
          <w:rFonts w:ascii="Garamond" w:hAnsi="Garamond"/>
        </w:rPr>
      </w:pPr>
    </w:p>
    <w:p w:rsidR="00016049" w:rsidRPr="00461D74" w:rsidRDefault="00195ABA" w:rsidP="00164E4D">
      <w:pPr>
        <w:pStyle w:val="Heading2"/>
        <w:spacing w:line="360" w:lineRule="auto"/>
        <w:jc w:val="both"/>
        <w:rPr>
          <w:rFonts w:cstheme="majorHAnsi"/>
        </w:rPr>
      </w:pPr>
      <w:bookmarkStart w:id="12" w:name="_Toc528077794"/>
      <w:r w:rsidRPr="00461D74">
        <w:rPr>
          <w:rFonts w:cstheme="majorHAnsi"/>
        </w:rPr>
        <w:t xml:space="preserve">6. </w:t>
      </w:r>
      <w:r w:rsidR="00747061" w:rsidRPr="00461D74">
        <w:rPr>
          <w:rFonts w:cstheme="majorHAnsi"/>
        </w:rPr>
        <w:t>Liberalism: The Dominant Contemporary Tradition</w:t>
      </w:r>
      <w:bookmarkEnd w:id="12"/>
    </w:p>
    <w:p w:rsidR="00EC6689" w:rsidRPr="00461D74" w:rsidRDefault="00EC6689" w:rsidP="00164E4D">
      <w:pPr>
        <w:spacing w:line="360" w:lineRule="auto"/>
        <w:jc w:val="both"/>
        <w:rPr>
          <w:rFonts w:ascii="Garamond" w:hAnsi="Garamond"/>
          <w:sz w:val="24"/>
          <w:szCs w:val="24"/>
        </w:rPr>
      </w:pPr>
    </w:p>
    <w:p w:rsidR="00CB14FC" w:rsidRPr="00461D74" w:rsidRDefault="00016049" w:rsidP="00164E4D">
      <w:pPr>
        <w:spacing w:line="360" w:lineRule="auto"/>
        <w:jc w:val="both"/>
        <w:rPr>
          <w:rFonts w:ascii="Garamond" w:hAnsi="Garamond"/>
          <w:sz w:val="24"/>
          <w:szCs w:val="24"/>
        </w:rPr>
      </w:pPr>
      <w:r w:rsidRPr="00461D74">
        <w:rPr>
          <w:rFonts w:ascii="Garamond" w:hAnsi="Garamond"/>
          <w:sz w:val="24"/>
          <w:szCs w:val="24"/>
        </w:rPr>
        <w:t>In the lat</w:t>
      </w:r>
      <w:r w:rsidR="006250FD">
        <w:rPr>
          <w:rFonts w:ascii="Garamond" w:hAnsi="Garamond"/>
          <w:sz w:val="24"/>
          <w:szCs w:val="24"/>
        </w:rPr>
        <w:t>t</w:t>
      </w:r>
      <w:r w:rsidRPr="00461D74">
        <w:rPr>
          <w:rFonts w:ascii="Garamond" w:hAnsi="Garamond"/>
          <w:sz w:val="24"/>
          <w:szCs w:val="24"/>
        </w:rPr>
        <w:t>er part</w:t>
      </w:r>
      <w:r w:rsidR="006250FD">
        <w:rPr>
          <w:rFonts w:ascii="Garamond" w:hAnsi="Garamond"/>
          <w:sz w:val="24"/>
          <w:szCs w:val="24"/>
        </w:rPr>
        <w:t>s</w:t>
      </w:r>
      <w:r w:rsidRPr="00461D74">
        <w:rPr>
          <w:rFonts w:ascii="Garamond" w:hAnsi="Garamond"/>
          <w:sz w:val="24"/>
          <w:szCs w:val="24"/>
        </w:rPr>
        <w:t xml:space="preserve"> of </w:t>
      </w:r>
      <w:r w:rsidRPr="00461D74">
        <w:rPr>
          <w:rFonts w:ascii="Garamond" w:hAnsi="Garamond"/>
          <w:i/>
          <w:iCs/>
          <w:sz w:val="24"/>
          <w:szCs w:val="24"/>
        </w:rPr>
        <w:t>Whose Justice</w:t>
      </w:r>
      <w:r w:rsidRPr="00461D74">
        <w:rPr>
          <w:rFonts w:ascii="Garamond" w:hAnsi="Garamond"/>
          <w:sz w:val="24"/>
          <w:szCs w:val="24"/>
        </w:rPr>
        <w:t xml:space="preserve">, MacIntyre suggests that the Thomistic tradition was gradually sidelined in ways which paved the way for the set of conditions from which the Enlightenment Project of Rationally Justifying Morality </w:t>
      </w:r>
      <w:r w:rsidR="006250FD">
        <w:rPr>
          <w:rFonts w:ascii="Garamond" w:hAnsi="Garamond"/>
          <w:sz w:val="24"/>
          <w:szCs w:val="24"/>
        </w:rPr>
        <w:t xml:space="preserve">ultimately </w:t>
      </w:r>
      <w:r w:rsidRPr="00461D74">
        <w:rPr>
          <w:rFonts w:ascii="Garamond" w:hAnsi="Garamond"/>
          <w:sz w:val="24"/>
          <w:szCs w:val="24"/>
        </w:rPr>
        <w:lastRenderedPageBreak/>
        <w:t xml:space="preserve">emerged. </w:t>
      </w:r>
      <w:r w:rsidR="00347F31" w:rsidRPr="00461D74">
        <w:rPr>
          <w:rFonts w:ascii="Garamond" w:hAnsi="Garamond"/>
          <w:sz w:val="24"/>
          <w:szCs w:val="24"/>
        </w:rPr>
        <w:t xml:space="preserve">Later, </w:t>
      </w:r>
      <w:r w:rsidRPr="00461D74">
        <w:rPr>
          <w:rFonts w:ascii="Garamond" w:hAnsi="Garamond"/>
          <w:sz w:val="24"/>
          <w:szCs w:val="24"/>
        </w:rPr>
        <w:t>the failure of th</w:t>
      </w:r>
      <w:r w:rsidR="00347F31" w:rsidRPr="00461D74">
        <w:rPr>
          <w:rFonts w:ascii="Garamond" w:hAnsi="Garamond"/>
          <w:sz w:val="24"/>
          <w:szCs w:val="24"/>
        </w:rPr>
        <w:t>is project,</w:t>
      </w:r>
      <w:r w:rsidRPr="00461D74">
        <w:rPr>
          <w:rFonts w:ascii="Garamond" w:hAnsi="Garamond"/>
          <w:sz w:val="24"/>
          <w:szCs w:val="24"/>
        </w:rPr>
        <w:t xml:space="preserve"> described in </w:t>
      </w:r>
      <w:r w:rsidRPr="00461D74">
        <w:rPr>
          <w:rFonts w:ascii="Garamond" w:hAnsi="Garamond"/>
          <w:i/>
          <w:sz w:val="24"/>
          <w:szCs w:val="24"/>
        </w:rPr>
        <w:t>After Virtue</w:t>
      </w:r>
      <w:r w:rsidRPr="00461D74">
        <w:rPr>
          <w:rFonts w:ascii="Garamond" w:hAnsi="Garamond"/>
          <w:sz w:val="24"/>
          <w:szCs w:val="24"/>
        </w:rPr>
        <w:t xml:space="preserve">, sets the stage for </w:t>
      </w:r>
      <w:proofErr w:type="spellStart"/>
      <w:r w:rsidRPr="00461D74">
        <w:rPr>
          <w:rFonts w:ascii="Garamond" w:hAnsi="Garamond"/>
          <w:sz w:val="24"/>
          <w:szCs w:val="24"/>
        </w:rPr>
        <w:t>emotivist</w:t>
      </w:r>
      <w:proofErr w:type="spellEnd"/>
      <w:r w:rsidRPr="00461D74">
        <w:rPr>
          <w:rFonts w:ascii="Garamond" w:hAnsi="Garamond"/>
          <w:sz w:val="24"/>
          <w:szCs w:val="24"/>
        </w:rPr>
        <w:t xml:space="preserve"> </w:t>
      </w:r>
      <w:proofErr w:type="gramStart"/>
      <w:r w:rsidRPr="00461D74">
        <w:rPr>
          <w:rFonts w:ascii="Garamond" w:hAnsi="Garamond"/>
          <w:sz w:val="24"/>
          <w:szCs w:val="24"/>
        </w:rPr>
        <w:t>ethics</w:t>
      </w:r>
      <w:r w:rsidR="00D357D3">
        <w:rPr>
          <w:rFonts w:ascii="Garamond" w:hAnsi="Garamond"/>
          <w:sz w:val="24"/>
          <w:szCs w:val="24"/>
        </w:rPr>
        <w:t>,</w:t>
      </w:r>
      <w:proofErr w:type="gramEnd"/>
      <w:r w:rsidRPr="00461D74">
        <w:rPr>
          <w:rFonts w:ascii="Garamond" w:hAnsi="Garamond"/>
          <w:sz w:val="24"/>
          <w:szCs w:val="24"/>
        </w:rPr>
        <w:t xml:space="preserve"> and modern liberalism </w:t>
      </w:r>
      <w:r w:rsidR="006250FD">
        <w:rPr>
          <w:rFonts w:ascii="Garamond" w:hAnsi="Garamond"/>
          <w:sz w:val="24"/>
          <w:szCs w:val="24"/>
        </w:rPr>
        <w:t>i</w:t>
      </w:r>
      <w:r w:rsidR="006250FD" w:rsidRPr="00461D74">
        <w:rPr>
          <w:rFonts w:ascii="Garamond" w:hAnsi="Garamond"/>
          <w:sz w:val="24"/>
          <w:szCs w:val="24"/>
        </w:rPr>
        <w:t xml:space="preserve">s </w:t>
      </w:r>
      <w:r w:rsidRPr="00461D74">
        <w:rPr>
          <w:rFonts w:ascii="Garamond" w:hAnsi="Garamond"/>
          <w:sz w:val="24"/>
          <w:szCs w:val="24"/>
        </w:rPr>
        <w:t xml:space="preserve">the successor tradition which best </w:t>
      </w:r>
      <w:r w:rsidR="0078236B">
        <w:rPr>
          <w:rFonts w:ascii="Garamond" w:hAnsi="Garamond"/>
          <w:sz w:val="24"/>
          <w:szCs w:val="24"/>
        </w:rPr>
        <w:t>encapsulates</w:t>
      </w:r>
      <w:r w:rsidR="0078236B" w:rsidRPr="00461D74">
        <w:rPr>
          <w:rFonts w:ascii="Garamond" w:hAnsi="Garamond"/>
          <w:sz w:val="24"/>
          <w:szCs w:val="24"/>
        </w:rPr>
        <w:t xml:space="preserve"> </w:t>
      </w:r>
      <w:r w:rsidR="006250FD">
        <w:rPr>
          <w:rFonts w:ascii="Garamond" w:hAnsi="Garamond"/>
          <w:sz w:val="24"/>
          <w:szCs w:val="24"/>
        </w:rPr>
        <w:t>the salient characteristics of emotivism</w:t>
      </w:r>
      <w:r w:rsidRPr="00461D74">
        <w:rPr>
          <w:rFonts w:ascii="Garamond" w:hAnsi="Garamond"/>
          <w:sz w:val="24"/>
          <w:szCs w:val="24"/>
        </w:rPr>
        <w:t xml:space="preserve">. While in </w:t>
      </w:r>
      <w:r w:rsidR="00204FBE" w:rsidRPr="00461D74">
        <w:rPr>
          <w:rFonts w:ascii="Garamond" w:hAnsi="Garamond"/>
          <w:i/>
          <w:sz w:val="24"/>
          <w:szCs w:val="24"/>
        </w:rPr>
        <w:t>After Virtue</w:t>
      </w:r>
      <w:r w:rsidRPr="00461D74">
        <w:rPr>
          <w:rFonts w:ascii="Garamond" w:hAnsi="Garamond"/>
          <w:sz w:val="24"/>
          <w:szCs w:val="24"/>
        </w:rPr>
        <w:t xml:space="preserve"> MacIntyre </w:t>
      </w:r>
      <w:r w:rsidR="006250FD">
        <w:rPr>
          <w:rFonts w:ascii="Garamond" w:hAnsi="Garamond"/>
          <w:sz w:val="24"/>
          <w:szCs w:val="24"/>
        </w:rPr>
        <w:t>hasn’t</w:t>
      </w:r>
      <w:r w:rsidR="006250FD" w:rsidRPr="00461D74">
        <w:rPr>
          <w:rFonts w:ascii="Garamond" w:hAnsi="Garamond"/>
          <w:sz w:val="24"/>
          <w:szCs w:val="24"/>
        </w:rPr>
        <w:t xml:space="preserve"> </w:t>
      </w:r>
      <w:r w:rsidR="006250FD">
        <w:rPr>
          <w:rFonts w:ascii="Garamond" w:hAnsi="Garamond"/>
          <w:sz w:val="24"/>
          <w:szCs w:val="24"/>
        </w:rPr>
        <w:t>yet ascribed to</w:t>
      </w:r>
      <w:r w:rsidR="006250FD" w:rsidRPr="00461D74">
        <w:rPr>
          <w:rFonts w:ascii="Garamond" w:hAnsi="Garamond"/>
          <w:sz w:val="24"/>
          <w:szCs w:val="24"/>
        </w:rPr>
        <w:t xml:space="preserve"> </w:t>
      </w:r>
      <w:r w:rsidRPr="00461D74">
        <w:rPr>
          <w:rFonts w:ascii="Garamond" w:hAnsi="Garamond"/>
          <w:sz w:val="24"/>
          <w:szCs w:val="24"/>
        </w:rPr>
        <w:t xml:space="preserve">liberalism </w:t>
      </w:r>
      <w:r w:rsidR="006250FD">
        <w:rPr>
          <w:rFonts w:ascii="Garamond" w:hAnsi="Garamond"/>
          <w:sz w:val="24"/>
          <w:szCs w:val="24"/>
        </w:rPr>
        <w:t xml:space="preserve">the status of a fully fledged </w:t>
      </w:r>
      <w:r w:rsidRPr="00461D74">
        <w:rPr>
          <w:rFonts w:ascii="Garamond" w:hAnsi="Garamond"/>
          <w:sz w:val="24"/>
          <w:szCs w:val="24"/>
        </w:rPr>
        <w:t>tradition, in chapter</w:t>
      </w:r>
      <w:r w:rsidR="00E64D66">
        <w:rPr>
          <w:rFonts w:ascii="Garamond" w:hAnsi="Garamond"/>
          <w:sz w:val="24"/>
          <w:szCs w:val="24"/>
        </w:rPr>
        <w:t xml:space="preserve"> </w:t>
      </w:r>
      <w:r w:rsidRPr="00461D74">
        <w:rPr>
          <w:rFonts w:ascii="Garamond" w:hAnsi="Garamond"/>
          <w:sz w:val="24"/>
          <w:szCs w:val="24"/>
        </w:rPr>
        <w:t>s</w:t>
      </w:r>
      <w:r w:rsidR="00E64D66">
        <w:rPr>
          <w:rFonts w:ascii="Garamond" w:hAnsi="Garamond"/>
          <w:sz w:val="24"/>
          <w:szCs w:val="24"/>
        </w:rPr>
        <w:t>eventeen</w:t>
      </w:r>
      <w:r w:rsidRPr="00461D74">
        <w:rPr>
          <w:rFonts w:ascii="Garamond" w:hAnsi="Garamond"/>
          <w:sz w:val="24"/>
          <w:szCs w:val="24"/>
        </w:rPr>
        <w:t xml:space="preserve"> of </w:t>
      </w:r>
      <w:r w:rsidRPr="00461D74">
        <w:rPr>
          <w:rFonts w:ascii="Garamond" w:hAnsi="Garamond"/>
          <w:i/>
          <w:sz w:val="24"/>
          <w:szCs w:val="24"/>
        </w:rPr>
        <w:t>Whose Justice</w:t>
      </w:r>
      <w:r w:rsidRPr="00461D74">
        <w:rPr>
          <w:rFonts w:ascii="Garamond" w:hAnsi="Garamond"/>
          <w:sz w:val="24"/>
          <w:szCs w:val="24"/>
        </w:rPr>
        <w:t xml:space="preserve"> MacIntyre </w:t>
      </w:r>
      <w:r w:rsidR="00E64D66">
        <w:rPr>
          <w:rFonts w:ascii="Garamond" w:hAnsi="Garamond"/>
          <w:sz w:val="24"/>
          <w:szCs w:val="24"/>
        </w:rPr>
        <w:t>argues</w:t>
      </w:r>
      <w:r w:rsidR="00E64D66" w:rsidRPr="00461D74">
        <w:rPr>
          <w:rFonts w:ascii="Garamond" w:hAnsi="Garamond"/>
          <w:sz w:val="24"/>
          <w:szCs w:val="24"/>
        </w:rPr>
        <w:t xml:space="preserve"> </w:t>
      </w:r>
      <w:r w:rsidRPr="00461D74">
        <w:rPr>
          <w:rFonts w:ascii="Garamond" w:hAnsi="Garamond"/>
          <w:sz w:val="24"/>
          <w:szCs w:val="24"/>
        </w:rPr>
        <w:t>that liberalism, which on his view is the social and political philosophy that best express</w:t>
      </w:r>
      <w:r w:rsidR="00347F31" w:rsidRPr="00461D74">
        <w:rPr>
          <w:rFonts w:ascii="Garamond" w:hAnsi="Garamond"/>
          <w:sz w:val="24"/>
          <w:szCs w:val="24"/>
        </w:rPr>
        <w:t>es</w:t>
      </w:r>
      <w:r w:rsidRPr="00461D74">
        <w:rPr>
          <w:rFonts w:ascii="Garamond" w:hAnsi="Garamond"/>
          <w:sz w:val="24"/>
          <w:szCs w:val="24"/>
        </w:rPr>
        <w:t xml:space="preserve"> the culture of contemporary Western society, is in fact the dominant tradition of the modern era. Likewise,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culture and the </w:t>
      </w:r>
      <w:proofErr w:type="spellStart"/>
      <w:r w:rsidRPr="00461D74">
        <w:rPr>
          <w:rFonts w:ascii="Garamond" w:hAnsi="Garamond"/>
          <w:sz w:val="24"/>
          <w:szCs w:val="24"/>
        </w:rPr>
        <w:t>emotivist</w:t>
      </w:r>
      <w:proofErr w:type="spellEnd"/>
      <w:r w:rsidRPr="00461D74">
        <w:rPr>
          <w:rFonts w:ascii="Garamond" w:hAnsi="Garamond"/>
          <w:sz w:val="24"/>
          <w:szCs w:val="24"/>
        </w:rPr>
        <w:t xml:space="preserve"> self, taken together, are the theoretical formulations of the set of social practices and norms that define the liberal tradition.</w:t>
      </w:r>
      <w:r w:rsidR="00CB14FC" w:rsidRPr="00461D74">
        <w:rPr>
          <w:rFonts w:ascii="Garamond" w:hAnsi="Garamond"/>
          <w:sz w:val="24"/>
          <w:szCs w:val="24"/>
        </w:rPr>
        <w:t xml:space="preserve"> </w:t>
      </w:r>
      <w:r w:rsidRPr="00461D74">
        <w:rPr>
          <w:rFonts w:ascii="Garamond" w:hAnsi="Garamond"/>
          <w:sz w:val="24"/>
          <w:szCs w:val="24"/>
        </w:rPr>
        <w:t xml:space="preserve">MacIntyre </w:t>
      </w:r>
      <w:r w:rsidR="00CB14FC" w:rsidRPr="00461D74">
        <w:rPr>
          <w:rFonts w:ascii="Garamond" w:hAnsi="Garamond"/>
          <w:sz w:val="24"/>
          <w:szCs w:val="24"/>
        </w:rPr>
        <w:t xml:space="preserve">then claims </w:t>
      </w:r>
      <w:r w:rsidRPr="00461D74">
        <w:rPr>
          <w:rFonts w:ascii="Garamond" w:hAnsi="Garamond"/>
          <w:sz w:val="24"/>
          <w:szCs w:val="24"/>
        </w:rPr>
        <w:t>that the liberal tradition</w:t>
      </w:r>
      <w:r w:rsidR="00347F31" w:rsidRPr="00461D74">
        <w:rPr>
          <w:rFonts w:ascii="Garamond" w:hAnsi="Garamond"/>
          <w:sz w:val="24"/>
          <w:szCs w:val="24"/>
        </w:rPr>
        <w:t>,</w:t>
      </w:r>
      <w:r w:rsidRPr="00461D74">
        <w:rPr>
          <w:rFonts w:ascii="Garamond" w:hAnsi="Garamond"/>
          <w:sz w:val="24"/>
          <w:szCs w:val="24"/>
        </w:rPr>
        <w:t xml:space="preserve"> itself “born of antagonism to all tradition, has transformed itself gradually into…one more tradition.”</w:t>
      </w:r>
      <w:r w:rsidRPr="00461D74">
        <w:rPr>
          <w:rStyle w:val="FootnoteReference"/>
          <w:rFonts w:ascii="Garamond" w:hAnsi="Garamond"/>
          <w:sz w:val="24"/>
          <w:szCs w:val="24"/>
        </w:rPr>
        <w:footnoteReference w:id="127"/>
      </w:r>
    </w:p>
    <w:p w:rsidR="00D6631D"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CB14FC" w:rsidRPr="00461D74">
        <w:rPr>
          <w:rFonts w:ascii="Garamond" w:hAnsi="Garamond"/>
          <w:sz w:val="24"/>
          <w:szCs w:val="24"/>
        </w:rPr>
        <w:t>suggests</w:t>
      </w:r>
      <w:r w:rsidR="00347F31" w:rsidRPr="00461D74">
        <w:rPr>
          <w:rFonts w:ascii="Garamond" w:hAnsi="Garamond"/>
          <w:sz w:val="24"/>
          <w:szCs w:val="24"/>
        </w:rPr>
        <w:t xml:space="preserve"> </w:t>
      </w:r>
      <w:r w:rsidRPr="00461D74">
        <w:rPr>
          <w:rFonts w:ascii="Garamond" w:hAnsi="Garamond"/>
          <w:sz w:val="24"/>
          <w:szCs w:val="24"/>
        </w:rPr>
        <w:t>that the liberal point of view originated as a tradition-free standpoint – that is, liberalism was supposed to offer practical rationality for tradition-free individuals.</w:t>
      </w:r>
      <w:r w:rsidRPr="00461D74">
        <w:rPr>
          <w:rStyle w:val="FootnoteReference"/>
          <w:rFonts w:ascii="Garamond" w:hAnsi="Garamond"/>
          <w:sz w:val="24"/>
          <w:szCs w:val="24"/>
        </w:rPr>
        <w:footnoteReference w:id="128"/>
      </w:r>
    </w:p>
    <w:p w:rsidR="00665157" w:rsidRPr="00D6631D" w:rsidRDefault="00016049" w:rsidP="00D6631D">
      <w:pPr>
        <w:spacing w:line="360" w:lineRule="auto"/>
        <w:ind w:left="1440"/>
        <w:jc w:val="both"/>
        <w:rPr>
          <w:rFonts w:ascii="Garamond" w:hAnsi="Garamond"/>
        </w:rPr>
      </w:pPr>
      <w:r w:rsidRPr="00D6631D">
        <w:rPr>
          <w:rFonts w:ascii="Garamond" w:hAnsi="Garamond"/>
        </w:rPr>
        <w:t>“Initially the liberal claim was to provide a polit</w:t>
      </w:r>
      <w:r w:rsidR="00F515C6" w:rsidRPr="00D6631D">
        <w:rPr>
          <w:rFonts w:ascii="Garamond" w:hAnsi="Garamond"/>
        </w:rPr>
        <w:t>ical legal and economic framework in which assent to one and the same set of rationally justifiable principles would enable those who espouse widely different and incompatible conceptions of the good life for human beings to live together peaceably within the same society, enjoying the same political status and engaging the same economic relationships.”</w:t>
      </w:r>
      <w:r w:rsidR="00F515C6" w:rsidRPr="00D6631D">
        <w:rPr>
          <w:rStyle w:val="FootnoteReference"/>
          <w:rFonts w:ascii="Garamond" w:hAnsi="Garamond"/>
        </w:rPr>
        <w:footnoteReference w:id="129"/>
      </w:r>
      <w:r w:rsidR="00F515C6" w:rsidRPr="00D6631D">
        <w:rPr>
          <w:rFonts w:ascii="Garamond" w:hAnsi="Garamond"/>
        </w:rPr>
        <w:t xml:space="preserve"> </w:t>
      </w:r>
    </w:p>
    <w:p w:rsidR="00665157" w:rsidRDefault="00A5349E" w:rsidP="00D6631D">
      <w:pPr>
        <w:spacing w:line="360" w:lineRule="auto"/>
        <w:jc w:val="both"/>
        <w:rPr>
          <w:rFonts w:ascii="Garamond" w:hAnsi="Garamond"/>
          <w:sz w:val="24"/>
          <w:szCs w:val="24"/>
        </w:rPr>
      </w:pPr>
      <w:r w:rsidRPr="00461D74">
        <w:rPr>
          <w:rFonts w:ascii="Garamond" w:hAnsi="Garamond"/>
          <w:sz w:val="24"/>
          <w:szCs w:val="24"/>
        </w:rPr>
        <w:t>Nevertheless</w:t>
      </w:r>
      <w:r w:rsidR="00016049" w:rsidRPr="00461D74">
        <w:rPr>
          <w:rFonts w:ascii="Garamond" w:hAnsi="Garamond"/>
          <w:sz w:val="24"/>
          <w:szCs w:val="24"/>
        </w:rPr>
        <w:t xml:space="preserve">, in the </w:t>
      </w:r>
      <w:r w:rsidR="00D96371">
        <w:rPr>
          <w:rFonts w:ascii="Garamond" w:hAnsi="Garamond"/>
          <w:sz w:val="24"/>
          <w:szCs w:val="24"/>
        </w:rPr>
        <w:t xml:space="preserve">context of the </w:t>
      </w:r>
      <w:r w:rsidR="00682A16" w:rsidRPr="00461D74">
        <w:rPr>
          <w:rFonts w:ascii="Garamond" w:hAnsi="Garamond"/>
          <w:sz w:val="24"/>
          <w:szCs w:val="24"/>
        </w:rPr>
        <w:t xml:space="preserve">social and </w:t>
      </w:r>
      <w:r w:rsidR="00016049" w:rsidRPr="00461D74">
        <w:rPr>
          <w:rFonts w:ascii="Garamond" w:hAnsi="Garamond"/>
          <w:sz w:val="24"/>
          <w:szCs w:val="24"/>
        </w:rPr>
        <w:t>historical transition that span</w:t>
      </w:r>
      <w:r w:rsidR="00682A16" w:rsidRPr="00461D74">
        <w:rPr>
          <w:rFonts w:ascii="Garamond" w:hAnsi="Garamond"/>
          <w:sz w:val="24"/>
          <w:szCs w:val="24"/>
        </w:rPr>
        <w:t>ned</w:t>
      </w:r>
      <w:r w:rsidR="00016049" w:rsidRPr="00461D74">
        <w:rPr>
          <w:rFonts w:ascii="Garamond" w:hAnsi="Garamond"/>
          <w:sz w:val="24"/>
          <w:szCs w:val="24"/>
        </w:rPr>
        <w:t xml:space="preserve"> the period </w:t>
      </w:r>
      <w:r w:rsidRPr="00461D74">
        <w:rPr>
          <w:rFonts w:ascii="Garamond" w:hAnsi="Garamond"/>
          <w:sz w:val="24"/>
          <w:szCs w:val="24"/>
        </w:rPr>
        <w:t>between the</w:t>
      </w:r>
      <w:r w:rsidR="00016049" w:rsidRPr="00461D74">
        <w:rPr>
          <w:rFonts w:ascii="Garamond" w:hAnsi="Garamond"/>
          <w:sz w:val="24"/>
          <w:szCs w:val="24"/>
        </w:rPr>
        <w:t xml:space="preserve"> late 18</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w:t>
      </w:r>
      <w:r w:rsidRPr="00461D74">
        <w:rPr>
          <w:rFonts w:ascii="Garamond" w:hAnsi="Garamond"/>
          <w:sz w:val="24"/>
          <w:szCs w:val="24"/>
        </w:rPr>
        <w:t>and</w:t>
      </w:r>
      <w:r w:rsidR="00016049" w:rsidRPr="00461D74">
        <w:rPr>
          <w:rFonts w:ascii="Garamond" w:hAnsi="Garamond"/>
          <w:sz w:val="24"/>
          <w:szCs w:val="24"/>
        </w:rPr>
        <w:t xml:space="preserve"> </w:t>
      </w:r>
      <w:r w:rsidRPr="00461D74">
        <w:rPr>
          <w:rFonts w:ascii="Garamond" w:hAnsi="Garamond"/>
          <w:sz w:val="24"/>
          <w:szCs w:val="24"/>
        </w:rPr>
        <w:t>mid-</w:t>
      </w:r>
      <w:r w:rsidR="00016049" w:rsidRPr="00461D74">
        <w:rPr>
          <w:rFonts w:ascii="Garamond" w:hAnsi="Garamond"/>
          <w:sz w:val="24"/>
          <w:szCs w:val="24"/>
        </w:rPr>
        <w:t xml:space="preserve"> 20</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the market grew to be the most powerful institution in the liberal economy, and by extension, the liberal state. On this view, what is expressed in the market is the expression of economic </w:t>
      </w:r>
      <w:r w:rsidR="00016049" w:rsidRPr="00461D74">
        <w:rPr>
          <w:rFonts w:ascii="Garamond" w:hAnsi="Garamond"/>
          <w:sz w:val="24"/>
          <w:szCs w:val="24"/>
        </w:rPr>
        <w:lastRenderedPageBreak/>
        <w:t>preferences, and later in the 20</w:t>
      </w:r>
      <w:r w:rsidR="00016049" w:rsidRPr="00461D74">
        <w:rPr>
          <w:rFonts w:ascii="Garamond" w:hAnsi="Garamond"/>
          <w:sz w:val="24"/>
          <w:szCs w:val="24"/>
          <w:vertAlign w:val="superscript"/>
        </w:rPr>
        <w:t>th</w:t>
      </w:r>
      <w:r w:rsidR="00016049" w:rsidRPr="00461D74">
        <w:rPr>
          <w:rFonts w:ascii="Garamond" w:hAnsi="Garamond"/>
          <w:sz w:val="24"/>
          <w:szCs w:val="24"/>
        </w:rPr>
        <w:t xml:space="preserve"> century, what is expressed in the political arena is the expression of political preferences. The market’s mechanism thus acts as a way of ordering and valuing the preferences of individual agents i</w:t>
      </w:r>
      <w:r w:rsidR="00C95DA2" w:rsidRPr="00461D74">
        <w:rPr>
          <w:rFonts w:ascii="Garamond" w:hAnsi="Garamond"/>
          <w:sz w:val="24"/>
          <w:szCs w:val="24"/>
        </w:rPr>
        <w:t>n the wider social context; and,</w:t>
      </w:r>
      <w:r w:rsidR="00016049" w:rsidRPr="00461D74">
        <w:rPr>
          <w:rFonts w:ascii="Garamond" w:hAnsi="Garamond"/>
          <w:sz w:val="24"/>
          <w:szCs w:val="24"/>
        </w:rPr>
        <w:t xml:space="preserve"> it is through </w:t>
      </w:r>
      <w:r w:rsidR="00C95DA2" w:rsidRPr="00461D74">
        <w:rPr>
          <w:rFonts w:ascii="Garamond" w:hAnsi="Garamond"/>
          <w:sz w:val="24"/>
          <w:szCs w:val="24"/>
        </w:rPr>
        <w:t>the</w:t>
      </w:r>
      <w:r w:rsidR="00D308D4">
        <w:rPr>
          <w:rFonts w:ascii="Garamond" w:hAnsi="Garamond"/>
          <w:sz w:val="24"/>
          <w:szCs w:val="24"/>
        </w:rPr>
        <w:t>se</w:t>
      </w:r>
      <w:r w:rsidR="00C95DA2" w:rsidRPr="00461D74">
        <w:rPr>
          <w:rFonts w:ascii="Garamond" w:hAnsi="Garamond"/>
          <w:sz w:val="24"/>
          <w:szCs w:val="24"/>
        </w:rPr>
        <w:t xml:space="preserve"> </w:t>
      </w:r>
      <w:r w:rsidR="00016049" w:rsidRPr="00461D74">
        <w:rPr>
          <w:rFonts w:ascii="Garamond" w:hAnsi="Garamond"/>
          <w:sz w:val="24"/>
          <w:szCs w:val="24"/>
        </w:rPr>
        <w:t>expression</w:t>
      </w:r>
      <w:r w:rsidR="00D308D4">
        <w:rPr>
          <w:rFonts w:ascii="Garamond" w:hAnsi="Garamond"/>
          <w:sz w:val="24"/>
          <w:szCs w:val="24"/>
        </w:rPr>
        <w:t>s</w:t>
      </w:r>
      <w:r w:rsidR="00016049" w:rsidRPr="00461D74">
        <w:rPr>
          <w:rFonts w:ascii="Garamond" w:hAnsi="Garamond"/>
          <w:sz w:val="24"/>
          <w:szCs w:val="24"/>
        </w:rPr>
        <w:t xml:space="preserve"> of preferences </w:t>
      </w:r>
      <w:r w:rsidR="00C95DA2" w:rsidRPr="00461D74">
        <w:rPr>
          <w:rFonts w:ascii="Garamond" w:hAnsi="Garamond"/>
          <w:sz w:val="24"/>
          <w:szCs w:val="24"/>
        </w:rPr>
        <w:t>out of which</w:t>
      </w:r>
      <w:r w:rsidR="00016049" w:rsidRPr="00461D74">
        <w:rPr>
          <w:rFonts w:ascii="Garamond" w:hAnsi="Garamond"/>
          <w:sz w:val="24"/>
          <w:szCs w:val="24"/>
        </w:rPr>
        <w:t xml:space="preserve"> </w:t>
      </w:r>
      <w:r w:rsidR="00D96371">
        <w:rPr>
          <w:rFonts w:ascii="Garamond" w:hAnsi="Garamond"/>
          <w:sz w:val="24"/>
          <w:szCs w:val="24"/>
        </w:rPr>
        <w:t>the</w:t>
      </w:r>
      <w:r w:rsidR="00D96371" w:rsidRPr="00461D74">
        <w:rPr>
          <w:rFonts w:ascii="Garamond" w:hAnsi="Garamond"/>
          <w:sz w:val="24"/>
          <w:szCs w:val="24"/>
        </w:rPr>
        <w:t xml:space="preserve"> </w:t>
      </w:r>
      <w:r w:rsidR="00016049" w:rsidRPr="00461D74">
        <w:rPr>
          <w:rFonts w:ascii="Garamond" w:hAnsi="Garamond"/>
          <w:sz w:val="24"/>
          <w:szCs w:val="24"/>
        </w:rPr>
        <w:t>he</w:t>
      </w:r>
      <w:r w:rsidR="00C95DA2" w:rsidRPr="00461D74">
        <w:rPr>
          <w:rFonts w:ascii="Garamond" w:hAnsi="Garamond"/>
          <w:sz w:val="24"/>
          <w:szCs w:val="24"/>
        </w:rPr>
        <w:t>terogeneity of needs,</w:t>
      </w:r>
      <w:r w:rsidR="00016049" w:rsidRPr="00461D74">
        <w:rPr>
          <w:rFonts w:ascii="Garamond" w:hAnsi="Garamond"/>
          <w:sz w:val="24"/>
          <w:szCs w:val="24"/>
        </w:rPr>
        <w:t xml:space="preserve"> desires</w:t>
      </w:r>
      <w:r w:rsidR="00C95DA2" w:rsidRPr="00461D74">
        <w:rPr>
          <w:rFonts w:ascii="Garamond" w:hAnsi="Garamond"/>
          <w:sz w:val="24"/>
          <w:szCs w:val="24"/>
        </w:rPr>
        <w:t>,</w:t>
      </w:r>
      <w:r w:rsidR="00016049" w:rsidRPr="00461D74">
        <w:rPr>
          <w:rFonts w:ascii="Garamond" w:hAnsi="Garamond"/>
          <w:sz w:val="24"/>
          <w:szCs w:val="24"/>
        </w:rPr>
        <w:t xml:space="preserve"> and goods</w:t>
      </w:r>
      <w:r w:rsidR="00C95DA2" w:rsidRPr="00461D74">
        <w:rPr>
          <w:rFonts w:ascii="Garamond" w:hAnsi="Garamond"/>
          <w:sz w:val="24"/>
          <w:szCs w:val="24"/>
        </w:rPr>
        <w:t>,</w:t>
      </w:r>
      <w:r w:rsidR="00016049" w:rsidRPr="00461D74">
        <w:rPr>
          <w:rFonts w:ascii="Garamond" w:hAnsi="Garamond"/>
          <w:sz w:val="24"/>
          <w:szCs w:val="24"/>
        </w:rPr>
        <w:t xml:space="preserve"> are </w:t>
      </w:r>
      <w:r w:rsidR="00D96371">
        <w:rPr>
          <w:rFonts w:ascii="Garamond" w:hAnsi="Garamond"/>
          <w:sz w:val="24"/>
          <w:szCs w:val="24"/>
        </w:rPr>
        <w:t>afforded</w:t>
      </w:r>
      <w:r w:rsidR="00D96371" w:rsidRPr="00461D74">
        <w:rPr>
          <w:rFonts w:ascii="Garamond" w:hAnsi="Garamond"/>
          <w:sz w:val="24"/>
          <w:szCs w:val="24"/>
        </w:rPr>
        <w:t xml:space="preserve"> </w:t>
      </w:r>
      <w:r w:rsidR="00D308D4">
        <w:rPr>
          <w:rFonts w:ascii="Garamond" w:hAnsi="Garamond"/>
          <w:sz w:val="24"/>
          <w:szCs w:val="24"/>
        </w:rPr>
        <w:t>their particular place and value</w:t>
      </w:r>
      <w:r w:rsidR="00016049" w:rsidRPr="00461D74">
        <w:rPr>
          <w:rFonts w:ascii="Garamond" w:hAnsi="Garamond"/>
          <w:sz w:val="24"/>
          <w:szCs w:val="24"/>
        </w:rPr>
        <w:t>.</w:t>
      </w:r>
    </w:p>
    <w:p w:rsidR="00665157" w:rsidRDefault="00682A16">
      <w:pPr>
        <w:spacing w:line="360" w:lineRule="auto"/>
        <w:ind w:firstLine="720"/>
        <w:jc w:val="both"/>
        <w:rPr>
          <w:rFonts w:ascii="Garamond" w:hAnsi="Garamond"/>
          <w:sz w:val="24"/>
          <w:szCs w:val="24"/>
        </w:rPr>
      </w:pPr>
      <w:r w:rsidRPr="00461D74">
        <w:rPr>
          <w:rFonts w:ascii="Garamond" w:hAnsi="Garamond"/>
          <w:sz w:val="24"/>
          <w:szCs w:val="24"/>
        </w:rPr>
        <w:t>Here</w:t>
      </w:r>
      <w:r w:rsidR="00016049" w:rsidRPr="00461D74">
        <w:rPr>
          <w:rFonts w:ascii="Garamond" w:hAnsi="Garamond"/>
          <w:sz w:val="24"/>
          <w:szCs w:val="24"/>
        </w:rPr>
        <w:t>, the relationship between individual preferences and the market plays an important role in ordering human goods.</w:t>
      </w:r>
      <w:r w:rsidR="00016049" w:rsidRPr="00461D74">
        <w:rPr>
          <w:rStyle w:val="FootnoteReference"/>
          <w:rFonts w:ascii="Garamond" w:hAnsi="Garamond"/>
          <w:sz w:val="24"/>
          <w:szCs w:val="24"/>
        </w:rPr>
        <w:footnoteReference w:id="130"/>
      </w:r>
      <w:r w:rsidR="00016049" w:rsidRPr="00461D74">
        <w:rPr>
          <w:rFonts w:ascii="Garamond" w:hAnsi="Garamond"/>
          <w:sz w:val="24"/>
          <w:szCs w:val="24"/>
        </w:rPr>
        <w:t xml:space="preserve"> Liberal institutions and more specifically the market not only satisfy individual preferences, but influence and shape those preferences to a </w:t>
      </w:r>
      <w:r w:rsidR="00D96371">
        <w:rPr>
          <w:rFonts w:ascii="Garamond" w:hAnsi="Garamond"/>
          <w:sz w:val="24"/>
          <w:szCs w:val="24"/>
        </w:rPr>
        <w:t>great degree</w:t>
      </w:r>
      <w:r w:rsidR="00016049" w:rsidRPr="00461D74">
        <w:rPr>
          <w:rFonts w:ascii="Garamond" w:hAnsi="Garamond"/>
          <w:sz w:val="24"/>
          <w:szCs w:val="24"/>
        </w:rPr>
        <w:t xml:space="preserve">. </w:t>
      </w:r>
      <w:r w:rsidR="00D96371">
        <w:rPr>
          <w:rFonts w:ascii="Garamond" w:hAnsi="Garamond"/>
          <w:sz w:val="24"/>
          <w:szCs w:val="24"/>
        </w:rPr>
        <w:t>The l</w:t>
      </w:r>
      <w:r w:rsidR="00016049" w:rsidRPr="00461D74">
        <w:rPr>
          <w:rFonts w:ascii="Garamond" w:hAnsi="Garamond"/>
          <w:sz w:val="24"/>
          <w:szCs w:val="24"/>
        </w:rPr>
        <w:t xml:space="preserve">iberal </w:t>
      </w:r>
      <w:r w:rsidR="00D96371" w:rsidRPr="00461D74">
        <w:rPr>
          <w:rFonts w:ascii="Garamond" w:hAnsi="Garamond"/>
          <w:sz w:val="24"/>
          <w:szCs w:val="24"/>
        </w:rPr>
        <w:t xml:space="preserve">tradition </w:t>
      </w:r>
      <w:r w:rsidR="00016049" w:rsidRPr="00461D74">
        <w:rPr>
          <w:rFonts w:ascii="Garamond" w:hAnsi="Garamond"/>
          <w:sz w:val="24"/>
          <w:szCs w:val="24"/>
        </w:rPr>
        <w:t>then</w:t>
      </w:r>
      <w:r w:rsidR="00D96371">
        <w:rPr>
          <w:rFonts w:ascii="Garamond" w:hAnsi="Garamond"/>
          <w:sz w:val="24"/>
          <w:szCs w:val="24"/>
        </w:rPr>
        <w:t>,</w:t>
      </w:r>
      <w:r w:rsidR="00016049" w:rsidRPr="00461D74">
        <w:rPr>
          <w:rFonts w:ascii="Garamond" w:hAnsi="Garamond"/>
          <w:sz w:val="24"/>
          <w:szCs w:val="24"/>
        </w:rPr>
        <w:t xml:space="preserve"> on MacIntyre’s view, perfectly expresses contemporary </w:t>
      </w:r>
      <w:proofErr w:type="spellStart"/>
      <w:r w:rsidR="00DA5C02" w:rsidRPr="00461D74">
        <w:rPr>
          <w:rFonts w:ascii="Garamond" w:hAnsi="Garamond"/>
          <w:sz w:val="24"/>
          <w:szCs w:val="24"/>
        </w:rPr>
        <w:t>e</w:t>
      </w:r>
      <w:r w:rsidR="00016049" w:rsidRPr="00461D74">
        <w:rPr>
          <w:rFonts w:ascii="Garamond" w:hAnsi="Garamond"/>
          <w:sz w:val="24"/>
          <w:szCs w:val="24"/>
        </w:rPr>
        <w:t>motivist</w:t>
      </w:r>
      <w:proofErr w:type="spellEnd"/>
      <w:r w:rsidR="00016049" w:rsidRPr="00461D74">
        <w:rPr>
          <w:rFonts w:ascii="Garamond" w:hAnsi="Garamond"/>
          <w:sz w:val="24"/>
          <w:szCs w:val="24"/>
        </w:rPr>
        <w:t xml:space="preserve"> culture, because under the </w:t>
      </w:r>
      <w:proofErr w:type="spellStart"/>
      <w:r w:rsidR="00016049" w:rsidRPr="00461D74">
        <w:rPr>
          <w:rFonts w:ascii="Garamond" w:hAnsi="Garamond"/>
          <w:sz w:val="24"/>
          <w:szCs w:val="24"/>
        </w:rPr>
        <w:t>emotivist</w:t>
      </w:r>
      <w:proofErr w:type="spellEnd"/>
      <w:r w:rsidR="00016049" w:rsidRPr="00461D74">
        <w:rPr>
          <w:rFonts w:ascii="Garamond" w:hAnsi="Garamond"/>
          <w:sz w:val="24"/>
          <w:szCs w:val="24"/>
        </w:rPr>
        <w:t xml:space="preserve"> account, principles of justice are governed by rules that are defined in terms of the aggregate preferences of individuals in society.</w:t>
      </w:r>
      <w:r w:rsidR="00016049" w:rsidRPr="00461D74">
        <w:rPr>
          <w:rStyle w:val="FootnoteReference"/>
          <w:rFonts w:ascii="Garamond" w:hAnsi="Garamond"/>
          <w:sz w:val="24"/>
          <w:szCs w:val="24"/>
        </w:rPr>
        <w:footnoteReference w:id="131"/>
      </w:r>
      <w:r w:rsidR="00016049" w:rsidRPr="00461D74">
        <w:rPr>
          <w:rFonts w:ascii="Garamond" w:hAnsi="Garamond"/>
          <w:sz w:val="24"/>
          <w:szCs w:val="24"/>
        </w:rPr>
        <w:t xml:space="preserve"> The upshot here is that on the liberal view, appeals to rationality as such must fail, since the </w:t>
      </w:r>
      <w:r w:rsidR="00755A4B">
        <w:rPr>
          <w:rFonts w:ascii="Garamond" w:hAnsi="Garamond"/>
          <w:sz w:val="24"/>
          <w:szCs w:val="24"/>
        </w:rPr>
        <w:t>manner</w:t>
      </w:r>
      <w:r w:rsidR="007E4260">
        <w:rPr>
          <w:rFonts w:ascii="Garamond" w:hAnsi="Garamond"/>
          <w:sz w:val="24"/>
          <w:szCs w:val="24"/>
        </w:rPr>
        <w:t xml:space="preserve"> in which the range of </w:t>
      </w:r>
      <w:r w:rsidR="00016049" w:rsidRPr="00461D74">
        <w:rPr>
          <w:rFonts w:ascii="Garamond" w:hAnsi="Garamond"/>
          <w:sz w:val="24"/>
          <w:szCs w:val="24"/>
        </w:rPr>
        <w:t>social and intellectual</w:t>
      </w:r>
      <w:r w:rsidR="007E4260">
        <w:rPr>
          <w:rFonts w:ascii="Garamond" w:hAnsi="Garamond"/>
          <w:sz w:val="24"/>
          <w:szCs w:val="24"/>
        </w:rPr>
        <w:t xml:space="preserve"> debates in society are structured, are</w:t>
      </w:r>
      <w:r w:rsidR="00016049" w:rsidRPr="00461D74">
        <w:rPr>
          <w:rFonts w:ascii="Garamond" w:hAnsi="Garamond"/>
          <w:sz w:val="24"/>
          <w:szCs w:val="24"/>
        </w:rPr>
        <w:t xml:space="preserve"> defined in terms of </w:t>
      </w:r>
      <w:r w:rsidR="00755A4B">
        <w:rPr>
          <w:rFonts w:ascii="Garamond" w:hAnsi="Garamond"/>
          <w:sz w:val="24"/>
          <w:szCs w:val="24"/>
        </w:rPr>
        <w:t>maximizing</w:t>
      </w:r>
      <w:r w:rsidR="00016049" w:rsidRPr="00461D74">
        <w:rPr>
          <w:rFonts w:ascii="Garamond" w:hAnsi="Garamond"/>
          <w:sz w:val="24"/>
          <w:szCs w:val="24"/>
        </w:rPr>
        <w:t xml:space="preserve"> </w:t>
      </w:r>
      <w:r w:rsidR="00755A4B">
        <w:rPr>
          <w:rFonts w:ascii="Garamond" w:hAnsi="Garamond"/>
          <w:sz w:val="24"/>
          <w:szCs w:val="24"/>
        </w:rPr>
        <w:t xml:space="preserve">the aggregate of </w:t>
      </w:r>
      <w:r w:rsidR="00016049" w:rsidRPr="00461D74">
        <w:rPr>
          <w:rFonts w:ascii="Garamond" w:hAnsi="Garamond"/>
          <w:sz w:val="24"/>
          <w:szCs w:val="24"/>
        </w:rPr>
        <w:t>individual preferences.</w:t>
      </w:r>
      <w:r w:rsidR="00016049" w:rsidRPr="00461D74">
        <w:rPr>
          <w:rStyle w:val="FootnoteReference"/>
          <w:rFonts w:ascii="Garamond" w:hAnsi="Garamond"/>
          <w:sz w:val="24"/>
          <w:szCs w:val="24"/>
        </w:rPr>
        <w:footnoteReference w:id="132"/>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MacIntyre </w:t>
      </w:r>
      <w:r w:rsidR="00CB14FC" w:rsidRPr="00461D74">
        <w:rPr>
          <w:rFonts w:ascii="Garamond" w:hAnsi="Garamond"/>
          <w:sz w:val="24"/>
          <w:szCs w:val="24"/>
        </w:rPr>
        <w:t xml:space="preserve">goes on to argue </w:t>
      </w:r>
      <w:r w:rsidRPr="00461D74">
        <w:rPr>
          <w:rFonts w:ascii="Garamond" w:hAnsi="Garamond"/>
          <w:sz w:val="24"/>
          <w:szCs w:val="24"/>
        </w:rPr>
        <w:t xml:space="preserve">that </w:t>
      </w:r>
      <w:r w:rsidR="00682A16" w:rsidRPr="00461D74">
        <w:rPr>
          <w:rFonts w:ascii="Garamond" w:hAnsi="Garamond"/>
          <w:sz w:val="24"/>
          <w:szCs w:val="24"/>
        </w:rPr>
        <w:t xml:space="preserve">while </w:t>
      </w:r>
      <w:r w:rsidRPr="00461D74">
        <w:rPr>
          <w:rFonts w:ascii="Garamond" w:hAnsi="Garamond"/>
          <w:sz w:val="24"/>
          <w:szCs w:val="24"/>
        </w:rPr>
        <w:t xml:space="preserve">the liberal tradition is in fact the dominant tradition embodied in our </w:t>
      </w:r>
      <w:r w:rsidR="00682A16" w:rsidRPr="00461D74">
        <w:rPr>
          <w:rFonts w:ascii="Garamond" w:hAnsi="Garamond"/>
          <w:sz w:val="24"/>
          <w:szCs w:val="24"/>
        </w:rPr>
        <w:t xml:space="preserve">social practices and wider </w:t>
      </w:r>
      <w:r w:rsidRPr="00461D74">
        <w:rPr>
          <w:rFonts w:ascii="Garamond" w:hAnsi="Garamond"/>
          <w:sz w:val="24"/>
          <w:szCs w:val="24"/>
        </w:rPr>
        <w:t xml:space="preserve">culture, intellectually or rationally, it </w:t>
      </w:r>
      <w:r w:rsidR="0078236B">
        <w:rPr>
          <w:rFonts w:ascii="Garamond" w:hAnsi="Garamond"/>
          <w:sz w:val="24"/>
          <w:szCs w:val="24"/>
        </w:rPr>
        <w:t>remains</w:t>
      </w:r>
      <w:r w:rsidR="0078236B" w:rsidRPr="00461D74">
        <w:rPr>
          <w:rFonts w:ascii="Garamond" w:hAnsi="Garamond"/>
          <w:sz w:val="24"/>
          <w:szCs w:val="24"/>
        </w:rPr>
        <w:t xml:space="preserve"> </w:t>
      </w:r>
      <w:r w:rsidR="0053275E" w:rsidRPr="00461D74">
        <w:rPr>
          <w:rFonts w:ascii="Garamond" w:hAnsi="Garamond"/>
          <w:sz w:val="24"/>
          <w:szCs w:val="24"/>
        </w:rPr>
        <w:t xml:space="preserve">nonetheless </w:t>
      </w:r>
      <w:r w:rsidRPr="00461D74">
        <w:rPr>
          <w:rFonts w:ascii="Garamond" w:hAnsi="Garamond"/>
          <w:sz w:val="24"/>
          <w:szCs w:val="24"/>
        </w:rPr>
        <w:t>a fail</w:t>
      </w:r>
      <w:r w:rsidR="00CB14FC" w:rsidRPr="00461D74">
        <w:rPr>
          <w:rFonts w:ascii="Garamond" w:hAnsi="Garamond"/>
          <w:sz w:val="24"/>
          <w:szCs w:val="24"/>
        </w:rPr>
        <w:t>ed tradition</w:t>
      </w:r>
      <w:r w:rsidRPr="00461D74">
        <w:rPr>
          <w:rFonts w:ascii="Garamond" w:hAnsi="Garamond"/>
          <w:sz w:val="24"/>
          <w:szCs w:val="24"/>
        </w:rPr>
        <w:t xml:space="preserve">, </w:t>
      </w:r>
      <w:r w:rsidR="0078236B">
        <w:rPr>
          <w:rFonts w:ascii="Garamond" w:hAnsi="Garamond"/>
          <w:sz w:val="24"/>
          <w:szCs w:val="24"/>
        </w:rPr>
        <w:t>precisely because</w:t>
      </w:r>
      <w:r w:rsidR="0078236B" w:rsidRPr="00461D74">
        <w:rPr>
          <w:rFonts w:ascii="Garamond" w:hAnsi="Garamond"/>
          <w:sz w:val="24"/>
          <w:szCs w:val="24"/>
        </w:rPr>
        <w:t xml:space="preserve"> </w:t>
      </w:r>
      <w:r w:rsidRPr="00461D74">
        <w:rPr>
          <w:rFonts w:ascii="Garamond" w:hAnsi="Garamond"/>
          <w:sz w:val="24"/>
          <w:szCs w:val="24"/>
        </w:rPr>
        <w:t xml:space="preserve">it accepts </w:t>
      </w:r>
      <w:r w:rsidR="0078236B">
        <w:rPr>
          <w:rFonts w:ascii="Garamond" w:hAnsi="Garamond"/>
          <w:sz w:val="24"/>
          <w:szCs w:val="24"/>
        </w:rPr>
        <w:t>an</w:t>
      </w:r>
      <w:r w:rsidRPr="00461D74">
        <w:rPr>
          <w:rFonts w:ascii="Garamond" w:hAnsi="Garamond"/>
          <w:sz w:val="24"/>
          <w:szCs w:val="24"/>
        </w:rPr>
        <w:t xml:space="preserve"> </w:t>
      </w:r>
      <w:r w:rsidR="0078236B">
        <w:rPr>
          <w:rFonts w:ascii="Garamond" w:hAnsi="Garamond"/>
          <w:sz w:val="24"/>
          <w:szCs w:val="24"/>
        </w:rPr>
        <w:t xml:space="preserve">indefinite version of value </w:t>
      </w:r>
      <w:r w:rsidRPr="00461D74">
        <w:rPr>
          <w:rFonts w:ascii="Garamond" w:hAnsi="Garamond"/>
          <w:sz w:val="24"/>
          <w:szCs w:val="24"/>
        </w:rPr>
        <w:t xml:space="preserve">pluralism governed by open competition between </w:t>
      </w:r>
      <w:r w:rsidR="0078236B">
        <w:rPr>
          <w:rFonts w:ascii="Garamond" w:hAnsi="Garamond"/>
          <w:sz w:val="24"/>
          <w:szCs w:val="24"/>
        </w:rPr>
        <w:t xml:space="preserve">all sorts of </w:t>
      </w:r>
      <w:r w:rsidRPr="00461D74">
        <w:rPr>
          <w:rFonts w:ascii="Garamond" w:hAnsi="Garamond"/>
          <w:sz w:val="24"/>
          <w:szCs w:val="24"/>
        </w:rPr>
        <w:t xml:space="preserve">values and preferences; </w:t>
      </w:r>
      <w:r w:rsidR="0078236B">
        <w:rPr>
          <w:rFonts w:ascii="Garamond" w:hAnsi="Garamond"/>
          <w:sz w:val="24"/>
          <w:szCs w:val="24"/>
        </w:rPr>
        <w:t>furthermore,</w:t>
      </w:r>
      <w:r w:rsidR="0078236B" w:rsidRPr="00461D74">
        <w:rPr>
          <w:rFonts w:ascii="Garamond" w:hAnsi="Garamond"/>
          <w:sz w:val="24"/>
          <w:szCs w:val="24"/>
        </w:rPr>
        <w:t xml:space="preserve"> </w:t>
      </w:r>
      <w:r w:rsidRPr="00461D74">
        <w:rPr>
          <w:rFonts w:ascii="Garamond" w:hAnsi="Garamond"/>
          <w:sz w:val="24"/>
          <w:szCs w:val="24"/>
        </w:rPr>
        <w:t xml:space="preserve">values and preferences on this </w:t>
      </w:r>
      <w:r w:rsidR="00CB14FC" w:rsidRPr="00461D74">
        <w:rPr>
          <w:rFonts w:ascii="Garamond" w:hAnsi="Garamond"/>
          <w:sz w:val="24"/>
          <w:szCs w:val="24"/>
        </w:rPr>
        <w:t xml:space="preserve">view </w:t>
      </w:r>
      <w:r w:rsidRPr="00461D74">
        <w:rPr>
          <w:rFonts w:ascii="Garamond" w:hAnsi="Garamond"/>
          <w:sz w:val="24"/>
          <w:szCs w:val="24"/>
        </w:rPr>
        <w:t>for the most part possess only instrumental value. Mac</w:t>
      </w:r>
      <w:r w:rsidR="00D357D3">
        <w:rPr>
          <w:rFonts w:ascii="Garamond" w:hAnsi="Garamond"/>
          <w:sz w:val="24"/>
          <w:szCs w:val="24"/>
        </w:rPr>
        <w:t>I</w:t>
      </w:r>
      <w:r w:rsidRPr="00461D74">
        <w:rPr>
          <w:rFonts w:ascii="Garamond" w:hAnsi="Garamond"/>
          <w:sz w:val="24"/>
          <w:szCs w:val="24"/>
        </w:rPr>
        <w:t xml:space="preserve">ntyre offers a conception of rational progress in </w:t>
      </w:r>
      <w:r w:rsidR="0078236B">
        <w:rPr>
          <w:rFonts w:ascii="Garamond" w:hAnsi="Garamond"/>
          <w:sz w:val="24"/>
          <w:szCs w:val="24"/>
        </w:rPr>
        <w:t xml:space="preserve">the development of </w:t>
      </w:r>
      <w:r w:rsidRPr="00461D74">
        <w:rPr>
          <w:rFonts w:ascii="Garamond" w:hAnsi="Garamond"/>
          <w:sz w:val="24"/>
          <w:szCs w:val="24"/>
        </w:rPr>
        <w:t xml:space="preserve">traditions, which in its most detailed form is explained in </w:t>
      </w:r>
      <w:r w:rsidRPr="00461D74">
        <w:rPr>
          <w:rFonts w:ascii="Garamond" w:hAnsi="Garamond"/>
          <w:i/>
          <w:sz w:val="24"/>
          <w:szCs w:val="24"/>
        </w:rPr>
        <w:t>Whose Justice</w:t>
      </w:r>
      <w:r w:rsidRPr="00461D74">
        <w:rPr>
          <w:rFonts w:ascii="Garamond" w:hAnsi="Garamond"/>
          <w:sz w:val="24"/>
          <w:szCs w:val="24"/>
        </w:rPr>
        <w:t xml:space="preserve">. On this </w:t>
      </w:r>
      <w:r w:rsidRPr="00461D74">
        <w:rPr>
          <w:rFonts w:ascii="Garamond" w:hAnsi="Garamond"/>
          <w:sz w:val="24"/>
          <w:szCs w:val="24"/>
        </w:rPr>
        <w:lastRenderedPageBreak/>
        <w:t xml:space="preserve">view, which for our purposes </w:t>
      </w:r>
      <w:r w:rsidR="00682A16" w:rsidRPr="00461D74">
        <w:rPr>
          <w:rFonts w:ascii="Garamond" w:hAnsi="Garamond"/>
          <w:sz w:val="24"/>
          <w:szCs w:val="24"/>
        </w:rPr>
        <w:t xml:space="preserve">I </w:t>
      </w:r>
      <w:r w:rsidRPr="00461D74">
        <w:rPr>
          <w:rFonts w:ascii="Garamond" w:hAnsi="Garamond"/>
          <w:sz w:val="24"/>
          <w:szCs w:val="24"/>
        </w:rPr>
        <w:t xml:space="preserve">will identify as MacIntyre’s fifth hypothesis (H5): </w:t>
      </w:r>
      <w:r w:rsidR="00F515C6" w:rsidRPr="00461D74">
        <w:rPr>
          <w:rFonts w:ascii="Garamond" w:hAnsi="Garamond"/>
          <w:i/>
          <w:sz w:val="24"/>
          <w:szCs w:val="24"/>
        </w:rPr>
        <w:t>traditions of moral inquiry must be evaluated dialectically, where later traditions transcend the limitations present in earlier ones, and that the Aristotelian-Thomistic tradition hasn’t really been surpassed or defeated in this sense</w:t>
      </w:r>
      <w:r w:rsidRPr="00461D74">
        <w:rPr>
          <w:rFonts w:ascii="Garamond" w:hAnsi="Garamond"/>
          <w:sz w:val="24"/>
          <w:szCs w:val="24"/>
        </w:rPr>
        <w:t>. Hence, for MacIntyre, the Thomistic tradition is the best tradition thus far, in part because he claims that it hasn’t been refuted dialectically.</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At this point we would do well to recall the concept of tradition</w:t>
      </w:r>
      <w:r w:rsidR="00D95A68" w:rsidRPr="00461D74">
        <w:rPr>
          <w:rFonts w:ascii="Garamond" w:hAnsi="Garamond"/>
          <w:sz w:val="24"/>
          <w:szCs w:val="24"/>
        </w:rPr>
        <w:t xml:space="preserve"> that MacIntyre offers</w:t>
      </w:r>
      <w:r w:rsidRPr="00461D74">
        <w:rPr>
          <w:rFonts w:ascii="Garamond" w:hAnsi="Garamond"/>
          <w:sz w:val="24"/>
          <w:szCs w:val="24"/>
        </w:rPr>
        <w:t xml:space="preserve"> in </w:t>
      </w:r>
      <w:r w:rsidRPr="00461D74">
        <w:rPr>
          <w:rFonts w:ascii="Garamond" w:hAnsi="Garamond"/>
          <w:i/>
          <w:sz w:val="24"/>
          <w:szCs w:val="24"/>
        </w:rPr>
        <w:t>After Virtue</w:t>
      </w:r>
      <w:r w:rsidR="00B76536" w:rsidRPr="00461D74">
        <w:rPr>
          <w:rFonts w:ascii="Garamond" w:hAnsi="Garamond"/>
          <w:sz w:val="24"/>
          <w:szCs w:val="24"/>
        </w:rPr>
        <w:t xml:space="preserve">, </w:t>
      </w:r>
      <w:r w:rsidRPr="00461D74">
        <w:rPr>
          <w:rFonts w:ascii="Garamond" w:hAnsi="Garamond"/>
          <w:sz w:val="24"/>
          <w:szCs w:val="24"/>
        </w:rPr>
        <w:t xml:space="preserve">and </w:t>
      </w:r>
      <w:r w:rsidR="00B76536" w:rsidRPr="00461D74">
        <w:rPr>
          <w:rFonts w:ascii="Garamond" w:hAnsi="Garamond"/>
          <w:sz w:val="24"/>
          <w:szCs w:val="24"/>
        </w:rPr>
        <w:t xml:space="preserve">contrast it with </w:t>
      </w:r>
      <w:r w:rsidR="00CB14FC" w:rsidRPr="00461D74">
        <w:rPr>
          <w:rFonts w:ascii="Garamond" w:hAnsi="Garamond"/>
          <w:sz w:val="24"/>
          <w:szCs w:val="24"/>
        </w:rPr>
        <w:t xml:space="preserve">the </w:t>
      </w:r>
      <w:r w:rsidR="00D95A68" w:rsidRPr="00461D74">
        <w:rPr>
          <w:rFonts w:ascii="Garamond" w:hAnsi="Garamond"/>
          <w:sz w:val="24"/>
          <w:szCs w:val="24"/>
        </w:rPr>
        <w:t xml:space="preserve">account </w:t>
      </w:r>
      <w:r w:rsidR="00CB14FC" w:rsidRPr="00461D74">
        <w:rPr>
          <w:rFonts w:ascii="Garamond" w:hAnsi="Garamond"/>
          <w:sz w:val="24"/>
          <w:szCs w:val="24"/>
        </w:rPr>
        <w:t xml:space="preserve">he offers </w:t>
      </w:r>
      <w:r w:rsidR="00D95A68" w:rsidRPr="00461D74">
        <w:rPr>
          <w:rFonts w:ascii="Garamond" w:hAnsi="Garamond"/>
          <w:sz w:val="24"/>
          <w:szCs w:val="24"/>
        </w:rPr>
        <w:t xml:space="preserve">in </w:t>
      </w:r>
      <w:r w:rsidRPr="00461D74">
        <w:rPr>
          <w:rFonts w:ascii="Garamond" w:hAnsi="Garamond"/>
          <w:i/>
          <w:sz w:val="24"/>
          <w:szCs w:val="24"/>
        </w:rPr>
        <w:t>Whose Justice</w:t>
      </w:r>
      <w:r w:rsidRPr="00461D74">
        <w:rPr>
          <w:rFonts w:ascii="Garamond" w:hAnsi="Garamond"/>
          <w:sz w:val="24"/>
          <w:szCs w:val="24"/>
        </w:rPr>
        <w:t xml:space="preserve">. In </w:t>
      </w:r>
      <w:r w:rsidRPr="00461D74">
        <w:rPr>
          <w:rFonts w:ascii="Garamond" w:hAnsi="Garamond"/>
          <w:i/>
          <w:sz w:val="24"/>
          <w:szCs w:val="24"/>
        </w:rPr>
        <w:t>After Virtue</w:t>
      </w:r>
      <w:r w:rsidRPr="00461D74">
        <w:rPr>
          <w:rFonts w:ascii="Garamond" w:hAnsi="Garamond"/>
          <w:sz w:val="24"/>
          <w:szCs w:val="24"/>
        </w:rPr>
        <w:t xml:space="preserve"> MacIntyre tells us that the concept of a human being directed towards its </w:t>
      </w:r>
      <w:proofErr w:type="spellStart"/>
      <w:r w:rsidRPr="00461D74">
        <w:rPr>
          <w:rFonts w:ascii="Garamond" w:hAnsi="Garamond"/>
          <w:sz w:val="24"/>
          <w:szCs w:val="24"/>
        </w:rPr>
        <w:t>telos</w:t>
      </w:r>
      <w:proofErr w:type="spellEnd"/>
      <w:r w:rsidRPr="00461D74">
        <w:rPr>
          <w:rFonts w:ascii="Garamond" w:hAnsi="Garamond"/>
          <w:sz w:val="24"/>
          <w:szCs w:val="24"/>
        </w:rPr>
        <w:t>, is a functional concept that is implicitly embedded in the social practices and norms of Greek society.</w:t>
      </w:r>
      <w:r w:rsidRPr="00461D74">
        <w:rPr>
          <w:rStyle w:val="FootnoteReference"/>
          <w:rFonts w:ascii="Garamond" w:hAnsi="Garamond"/>
          <w:sz w:val="24"/>
          <w:szCs w:val="24"/>
        </w:rPr>
        <w:footnoteReference w:id="133"/>
      </w:r>
      <w:r w:rsidRPr="00461D74">
        <w:rPr>
          <w:rFonts w:ascii="Garamond" w:hAnsi="Garamond"/>
          <w:sz w:val="24"/>
          <w:szCs w:val="24"/>
        </w:rPr>
        <w:t xml:space="preserve"> MacIntyre goes further and claims that Aristotle’s moral theory </w:t>
      </w:r>
      <w:r w:rsidR="00D05C2F">
        <w:rPr>
          <w:rFonts w:ascii="Garamond" w:hAnsi="Garamond"/>
          <w:sz w:val="24"/>
          <w:szCs w:val="24"/>
        </w:rPr>
        <w:t>ought to</w:t>
      </w:r>
      <w:r w:rsidR="00D05C2F" w:rsidRPr="00461D74">
        <w:rPr>
          <w:rFonts w:ascii="Garamond" w:hAnsi="Garamond"/>
          <w:sz w:val="24"/>
          <w:szCs w:val="24"/>
        </w:rPr>
        <w:t xml:space="preserve"> </w:t>
      </w:r>
      <w:r w:rsidRPr="00461D74">
        <w:rPr>
          <w:rFonts w:ascii="Garamond" w:hAnsi="Garamond"/>
          <w:sz w:val="24"/>
          <w:szCs w:val="24"/>
        </w:rPr>
        <w:t>be viewed as a theoretical formulation of an already existing set of social norms and practices among the educated Athenians.</w:t>
      </w:r>
      <w:r w:rsidRPr="00461D74">
        <w:rPr>
          <w:rStyle w:val="FootnoteReference"/>
          <w:rFonts w:ascii="Garamond" w:hAnsi="Garamond"/>
          <w:sz w:val="24"/>
          <w:szCs w:val="24"/>
        </w:rPr>
        <w:footnoteReference w:id="134"/>
      </w:r>
      <w:r w:rsidRPr="00461D74">
        <w:rPr>
          <w:rFonts w:ascii="Garamond" w:hAnsi="Garamond"/>
          <w:sz w:val="24"/>
          <w:szCs w:val="24"/>
        </w:rPr>
        <w:t xml:space="preserve"> On this sort of view, moral theory is always defined in terms of the background social context. </w:t>
      </w:r>
      <w:r w:rsidR="00D05C2F">
        <w:rPr>
          <w:rFonts w:ascii="Garamond" w:hAnsi="Garamond"/>
          <w:sz w:val="24"/>
          <w:szCs w:val="24"/>
        </w:rPr>
        <w:t>Now, r</w:t>
      </w:r>
      <w:r w:rsidRPr="00461D74">
        <w:rPr>
          <w:rFonts w:ascii="Garamond" w:hAnsi="Garamond"/>
          <w:sz w:val="24"/>
          <w:szCs w:val="24"/>
        </w:rPr>
        <w:t xml:space="preserve">ecall that both (H1) and (H2) </w:t>
      </w:r>
      <w:r w:rsidR="00D95A68" w:rsidRPr="00461D74">
        <w:rPr>
          <w:rFonts w:ascii="Garamond" w:hAnsi="Garamond"/>
          <w:sz w:val="24"/>
          <w:szCs w:val="24"/>
        </w:rPr>
        <w:t xml:space="preserve">support </w:t>
      </w:r>
      <w:r w:rsidRPr="00461D74">
        <w:rPr>
          <w:rFonts w:ascii="Garamond" w:hAnsi="Garamond"/>
          <w:sz w:val="24"/>
          <w:szCs w:val="24"/>
        </w:rPr>
        <w:t xml:space="preserve">this </w:t>
      </w:r>
      <w:r w:rsidR="00D95A68" w:rsidRPr="00461D74">
        <w:rPr>
          <w:rFonts w:ascii="Garamond" w:hAnsi="Garamond"/>
          <w:sz w:val="24"/>
          <w:szCs w:val="24"/>
        </w:rPr>
        <w:t>conclusion</w:t>
      </w:r>
      <w:r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In </w:t>
      </w:r>
      <w:r w:rsidRPr="00461D74">
        <w:rPr>
          <w:rFonts w:ascii="Garamond" w:hAnsi="Garamond"/>
          <w:i/>
          <w:sz w:val="24"/>
          <w:szCs w:val="24"/>
        </w:rPr>
        <w:t>Whose Justice</w:t>
      </w:r>
      <w:r w:rsidRPr="00461D74">
        <w:rPr>
          <w:rFonts w:ascii="Garamond" w:hAnsi="Garamond"/>
          <w:sz w:val="24"/>
          <w:szCs w:val="24"/>
        </w:rPr>
        <w:t xml:space="preserve">, he expands his account of tradition in </w:t>
      </w:r>
      <w:r w:rsidRPr="00461D74">
        <w:rPr>
          <w:rFonts w:ascii="Garamond" w:hAnsi="Garamond"/>
          <w:i/>
          <w:sz w:val="24"/>
          <w:szCs w:val="24"/>
        </w:rPr>
        <w:t>After Virtue</w:t>
      </w:r>
      <w:r w:rsidRPr="00461D74">
        <w:rPr>
          <w:rFonts w:ascii="Garamond" w:hAnsi="Garamond"/>
          <w:sz w:val="24"/>
          <w:szCs w:val="24"/>
        </w:rPr>
        <w:t xml:space="preserve"> by suggesting that while moral theory is informed by social context, and represents a theoretical formulation of that which is implicit in the common sense morality of a particular society (i.e. classical Athens), moral theory within traditions should only be rationally accepted or defeated dialectically within a historical series – namely, one set of theories</w:t>
      </w:r>
      <w:r w:rsidR="0053275E" w:rsidRPr="00461D74">
        <w:rPr>
          <w:rFonts w:ascii="Garamond" w:hAnsi="Garamond"/>
          <w:sz w:val="24"/>
          <w:szCs w:val="24"/>
        </w:rPr>
        <w:t xml:space="preserve"> </w:t>
      </w:r>
      <w:r w:rsidRPr="00461D74">
        <w:rPr>
          <w:rFonts w:ascii="Garamond" w:hAnsi="Garamond"/>
          <w:sz w:val="24"/>
          <w:szCs w:val="24"/>
        </w:rPr>
        <w:t>demonstrating itself to be better than its predecessor.</w:t>
      </w:r>
      <w:r w:rsidRPr="00461D74">
        <w:rPr>
          <w:rStyle w:val="FootnoteReference"/>
          <w:rFonts w:ascii="Garamond" w:hAnsi="Garamond"/>
          <w:sz w:val="24"/>
          <w:szCs w:val="24"/>
        </w:rPr>
        <w:footnoteReference w:id="135"/>
      </w:r>
      <w:r w:rsidRPr="00461D74">
        <w:rPr>
          <w:rFonts w:ascii="Garamond" w:hAnsi="Garamond"/>
          <w:sz w:val="24"/>
          <w:szCs w:val="24"/>
        </w:rPr>
        <w:t xml:space="preserve"> This </w:t>
      </w:r>
      <w:r w:rsidR="00D05C2F">
        <w:rPr>
          <w:rFonts w:ascii="Garamond" w:hAnsi="Garamond"/>
          <w:sz w:val="24"/>
          <w:szCs w:val="24"/>
        </w:rPr>
        <w:t>claim can</w:t>
      </w:r>
      <w:r w:rsidR="00D05C2F" w:rsidRPr="00461D74">
        <w:rPr>
          <w:rFonts w:ascii="Garamond" w:hAnsi="Garamond"/>
          <w:sz w:val="24"/>
          <w:szCs w:val="24"/>
        </w:rPr>
        <w:t xml:space="preserve"> </w:t>
      </w:r>
      <w:r w:rsidR="00D95A68" w:rsidRPr="00461D74">
        <w:rPr>
          <w:rFonts w:ascii="Garamond" w:hAnsi="Garamond"/>
          <w:sz w:val="24"/>
          <w:szCs w:val="24"/>
        </w:rPr>
        <w:t xml:space="preserve">be understood as </w:t>
      </w:r>
      <w:r w:rsidRPr="00461D74">
        <w:rPr>
          <w:rFonts w:ascii="Garamond" w:hAnsi="Garamond"/>
          <w:sz w:val="24"/>
          <w:szCs w:val="24"/>
        </w:rPr>
        <w:t>more or less a restatement of (H5).</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The unacknowledged conclusion we can draw from this </w:t>
      </w:r>
      <w:r w:rsidR="00D05C2F">
        <w:rPr>
          <w:rFonts w:ascii="Garamond" w:hAnsi="Garamond"/>
          <w:sz w:val="24"/>
          <w:szCs w:val="24"/>
        </w:rPr>
        <w:t xml:space="preserve">claim </w:t>
      </w:r>
      <w:r w:rsidRPr="00461D74">
        <w:rPr>
          <w:rFonts w:ascii="Garamond" w:hAnsi="Garamond"/>
          <w:sz w:val="24"/>
          <w:szCs w:val="24"/>
        </w:rPr>
        <w:t xml:space="preserve">is that while MacIntyre accepts that the Thomistic traditions has been superseded by later </w:t>
      </w:r>
      <w:r w:rsidRPr="00461D74">
        <w:rPr>
          <w:rFonts w:ascii="Garamond" w:hAnsi="Garamond"/>
          <w:sz w:val="24"/>
          <w:szCs w:val="24"/>
        </w:rPr>
        <w:lastRenderedPageBreak/>
        <w:t>traditions which ultimately culminated in the liberal tradition, this was a contingent accident of history, and that it was premature.</w:t>
      </w:r>
      <w:r w:rsidRPr="00461D74">
        <w:rPr>
          <w:rStyle w:val="FootnoteReference"/>
          <w:rFonts w:ascii="Garamond" w:hAnsi="Garamond"/>
          <w:sz w:val="24"/>
          <w:szCs w:val="24"/>
        </w:rPr>
        <w:footnoteReference w:id="136"/>
      </w:r>
      <w:r w:rsidRPr="00461D74">
        <w:rPr>
          <w:rFonts w:ascii="Garamond" w:hAnsi="Garamond"/>
          <w:sz w:val="24"/>
          <w:szCs w:val="24"/>
        </w:rPr>
        <w:t xml:space="preserve"> Nonetheless, this could only be the case if we accept an implicit </w:t>
      </w:r>
      <w:r w:rsidR="00D05C2F">
        <w:rPr>
          <w:rFonts w:ascii="Garamond" w:hAnsi="Garamond"/>
          <w:sz w:val="24"/>
          <w:szCs w:val="24"/>
        </w:rPr>
        <w:t xml:space="preserve">premise (or </w:t>
      </w:r>
      <w:r w:rsidRPr="00461D74">
        <w:rPr>
          <w:rFonts w:ascii="Garamond" w:hAnsi="Garamond"/>
          <w:sz w:val="24"/>
          <w:szCs w:val="24"/>
        </w:rPr>
        <w:t>presupposition</w:t>
      </w:r>
      <w:r w:rsidR="00D05C2F">
        <w:rPr>
          <w:rFonts w:ascii="Garamond" w:hAnsi="Garamond"/>
          <w:sz w:val="24"/>
          <w:szCs w:val="24"/>
        </w:rPr>
        <w:t>)</w:t>
      </w:r>
      <w:r w:rsidRPr="00461D74">
        <w:rPr>
          <w:rFonts w:ascii="Garamond" w:hAnsi="Garamond"/>
          <w:sz w:val="24"/>
          <w:szCs w:val="24"/>
        </w:rPr>
        <w:t xml:space="preserve"> – namely, that the intellectual and social history of the western world in fact took a wrong turn. The highly controversial upshot of this </w:t>
      </w:r>
      <w:r w:rsidR="00D05C2F">
        <w:rPr>
          <w:rFonts w:ascii="Garamond" w:hAnsi="Garamond"/>
          <w:sz w:val="24"/>
          <w:szCs w:val="24"/>
        </w:rPr>
        <w:t xml:space="preserve">claim </w:t>
      </w:r>
      <w:r w:rsidRPr="00461D74">
        <w:rPr>
          <w:rFonts w:ascii="Garamond" w:hAnsi="Garamond"/>
          <w:sz w:val="24"/>
          <w:szCs w:val="24"/>
        </w:rPr>
        <w:t xml:space="preserve">is </w:t>
      </w:r>
      <w:r w:rsidR="00D05C2F">
        <w:rPr>
          <w:rFonts w:ascii="Garamond" w:hAnsi="Garamond"/>
          <w:sz w:val="24"/>
          <w:szCs w:val="24"/>
        </w:rPr>
        <w:t xml:space="preserve">then </w:t>
      </w:r>
      <w:r w:rsidRPr="00461D74">
        <w:rPr>
          <w:rFonts w:ascii="Garamond" w:hAnsi="Garamond"/>
          <w:sz w:val="24"/>
          <w:szCs w:val="24"/>
        </w:rPr>
        <w:t xml:space="preserve">to say that to the extent in which the collective intellectual (and social) history of the West committed this mistake, </w:t>
      </w:r>
      <w:proofErr w:type="spellStart"/>
      <w:r w:rsidRPr="00461D74">
        <w:rPr>
          <w:rFonts w:ascii="Garamond" w:hAnsi="Garamond"/>
          <w:sz w:val="24"/>
          <w:szCs w:val="24"/>
        </w:rPr>
        <w:t>emotivist</w:t>
      </w:r>
      <w:proofErr w:type="spellEnd"/>
      <w:r w:rsidRPr="00461D74">
        <w:rPr>
          <w:rFonts w:ascii="Garamond" w:hAnsi="Garamond"/>
          <w:sz w:val="24"/>
          <w:szCs w:val="24"/>
        </w:rPr>
        <w:t xml:space="preserve"> moral theory must be understood as the theoretical expression of the modern social context </w:t>
      </w:r>
      <w:r w:rsidR="00D05C2F">
        <w:rPr>
          <w:rFonts w:ascii="Garamond" w:hAnsi="Garamond"/>
          <w:sz w:val="24"/>
          <w:szCs w:val="24"/>
        </w:rPr>
        <w:t>that</w:t>
      </w:r>
      <w:r w:rsidR="00D05C2F" w:rsidRPr="00461D74">
        <w:rPr>
          <w:rFonts w:ascii="Garamond" w:hAnsi="Garamond"/>
          <w:sz w:val="24"/>
          <w:szCs w:val="24"/>
        </w:rPr>
        <w:t xml:space="preserve"> </w:t>
      </w:r>
      <w:r w:rsidRPr="00461D74">
        <w:rPr>
          <w:rFonts w:ascii="Garamond" w:hAnsi="Garamond"/>
          <w:sz w:val="24"/>
          <w:szCs w:val="24"/>
        </w:rPr>
        <w:t xml:space="preserve">emerged as a </w:t>
      </w:r>
      <w:r w:rsidR="00D05C2F">
        <w:rPr>
          <w:rFonts w:ascii="Garamond" w:hAnsi="Garamond"/>
          <w:sz w:val="24"/>
          <w:szCs w:val="24"/>
        </w:rPr>
        <w:t>consequence</w:t>
      </w:r>
      <w:r w:rsidR="00D05C2F" w:rsidRPr="00461D74">
        <w:rPr>
          <w:rFonts w:ascii="Garamond" w:hAnsi="Garamond"/>
          <w:sz w:val="24"/>
          <w:szCs w:val="24"/>
        </w:rPr>
        <w:t xml:space="preserve"> </w:t>
      </w:r>
      <w:r w:rsidRPr="00461D74">
        <w:rPr>
          <w:rFonts w:ascii="Garamond" w:hAnsi="Garamond"/>
          <w:sz w:val="24"/>
          <w:szCs w:val="24"/>
        </w:rPr>
        <w:t>of that error.</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However, I </w:t>
      </w:r>
      <w:r w:rsidR="00D95A68" w:rsidRPr="00461D74">
        <w:rPr>
          <w:rFonts w:ascii="Garamond" w:hAnsi="Garamond"/>
          <w:sz w:val="24"/>
          <w:szCs w:val="24"/>
        </w:rPr>
        <w:t xml:space="preserve">would like to suggest </w:t>
      </w:r>
      <w:r w:rsidRPr="00461D74">
        <w:rPr>
          <w:rFonts w:ascii="Garamond" w:hAnsi="Garamond"/>
          <w:sz w:val="24"/>
          <w:szCs w:val="24"/>
        </w:rPr>
        <w:t xml:space="preserve">that such a wide-ranging claim is not only controversial, but that (H5) </w:t>
      </w:r>
      <w:r w:rsidR="00D05C2F">
        <w:rPr>
          <w:rFonts w:ascii="Garamond" w:hAnsi="Garamond"/>
          <w:sz w:val="24"/>
          <w:szCs w:val="24"/>
        </w:rPr>
        <w:t xml:space="preserve">– </w:t>
      </w:r>
      <w:r w:rsidRPr="00461D74">
        <w:rPr>
          <w:rFonts w:ascii="Garamond" w:hAnsi="Garamond"/>
          <w:sz w:val="24"/>
          <w:szCs w:val="24"/>
        </w:rPr>
        <w:t xml:space="preserve">which is the basis of this claim </w:t>
      </w:r>
      <w:r w:rsidR="00D05C2F">
        <w:rPr>
          <w:rFonts w:ascii="Garamond" w:hAnsi="Garamond"/>
          <w:sz w:val="24"/>
          <w:szCs w:val="24"/>
        </w:rPr>
        <w:t xml:space="preserve">– could potentially come into conflict </w:t>
      </w:r>
      <w:r w:rsidRPr="00461D74">
        <w:rPr>
          <w:rFonts w:ascii="Garamond" w:hAnsi="Garamond"/>
          <w:sz w:val="24"/>
          <w:szCs w:val="24"/>
        </w:rPr>
        <w:t>with (H3) and (H4). Why? Let us briefly recall MacIntyre’s historical narrative</w:t>
      </w:r>
      <w:r w:rsidR="00D95A68" w:rsidRPr="00461D74">
        <w:rPr>
          <w:rFonts w:ascii="Garamond" w:hAnsi="Garamond"/>
          <w:sz w:val="24"/>
          <w:szCs w:val="24"/>
        </w:rPr>
        <w:t xml:space="preserve"> and reconsider </w:t>
      </w:r>
      <w:r w:rsidRPr="00461D74">
        <w:rPr>
          <w:rFonts w:ascii="Garamond" w:hAnsi="Garamond"/>
          <w:sz w:val="24"/>
          <w:szCs w:val="24"/>
        </w:rPr>
        <w:t>the claims made by (H3) and (H4). In MacIntyre’s historical narrative</w:t>
      </w:r>
      <w:r w:rsidR="0053275E" w:rsidRPr="00461D74">
        <w:rPr>
          <w:rFonts w:ascii="Garamond" w:hAnsi="Garamond"/>
          <w:sz w:val="24"/>
          <w:szCs w:val="24"/>
        </w:rPr>
        <w:t xml:space="preserve"> of</w:t>
      </w:r>
      <w:r w:rsidRPr="00461D74">
        <w:rPr>
          <w:rFonts w:ascii="Garamond" w:hAnsi="Garamond"/>
          <w:sz w:val="24"/>
          <w:szCs w:val="24"/>
        </w:rPr>
        <w:t xml:space="preserve"> the transition between Homeric Epics and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Athens, social bonds of Homeric society had unravelled in ways that gave expression to rival and incompatible views on the nature of the good. On this view, the ethical account available in the earlier Homeric tradition generated irreconcilable </w:t>
      </w:r>
      <w:r w:rsidR="00D95A68" w:rsidRPr="00461D74">
        <w:rPr>
          <w:rFonts w:ascii="Garamond" w:hAnsi="Garamond"/>
          <w:sz w:val="24"/>
          <w:szCs w:val="24"/>
        </w:rPr>
        <w:t xml:space="preserve">difficulties </w:t>
      </w:r>
      <w:r w:rsidR="009A2CEF">
        <w:rPr>
          <w:rFonts w:ascii="Garamond" w:hAnsi="Garamond"/>
          <w:sz w:val="24"/>
          <w:szCs w:val="24"/>
        </w:rPr>
        <w:t xml:space="preserve">owing to </w:t>
      </w:r>
      <w:r w:rsidRPr="00461D74">
        <w:rPr>
          <w:rFonts w:ascii="Garamond" w:hAnsi="Garamond"/>
          <w:sz w:val="24"/>
          <w:szCs w:val="24"/>
        </w:rPr>
        <w:t xml:space="preserve">the historical changes </w:t>
      </w:r>
      <w:r w:rsidR="009A2CEF">
        <w:rPr>
          <w:rFonts w:ascii="Garamond" w:hAnsi="Garamond"/>
          <w:sz w:val="24"/>
          <w:szCs w:val="24"/>
        </w:rPr>
        <w:t xml:space="preserve">out of which </w:t>
      </w:r>
      <w:r w:rsidRPr="00461D74">
        <w:rPr>
          <w:rFonts w:ascii="Garamond" w:hAnsi="Garamond"/>
          <w:sz w:val="24"/>
          <w:szCs w:val="24"/>
        </w:rPr>
        <w:t>a new social structure</w:t>
      </w:r>
      <w:r w:rsidR="009A2CEF">
        <w:rPr>
          <w:rFonts w:ascii="Garamond" w:hAnsi="Garamond"/>
          <w:sz w:val="24"/>
          <w:szCs w:val="24"/>
        </w:rPr>
        <w:t xml:space="preserve"> seems to emerge</w:t>
      </w:r>
      <w:r w:rsidRPr="00461D74">
        <w:rPr>
          <w:rFonts w:ascii="Garamond" w:hAnsi="Garamond"/>
          <w:sz w:val="24"/>
          <w:szCs w:val="24"/>
        </w:rPr>
        <w:t xml:space="preserve">; and we </w:t>
      </w:r>
      <w:r w:rsidR="009A2CEF">
        <w:rPr>
          <w:rFonts w:ascii="Garamond" w:hAnsi="Garamond"/>
          <w:sz w:val="24"/>
          <w:szCs w:val="24"/>
        </w:rPr>
        <w:t xml:space="preserve">also </w:t>
      </w:r>
      <w:r w:rsidRPr="00461D74">
        <w:rPr>
          <w:rFonts w:ascii="Garamond" w:hAnsi="Garamond"/>
          <w:sz w:val="24"/>
          <w:szCs w:val="24"/>
        </w:rPr>
        <w:t xml:space="preserve">observed that the social structure </w:t>
      </w:r>
      <w:r w:rsidR="00020056">
        <w:rPr>
          <w:rFonts w:ascii="Garamond" w:hAnsi="Garamond"/>
          <w:sz w:val="24"/>
          <w:szCs w:val="24"/>
        </w:rPr>
        <w:t>(or arrangement)</w:t>
      </w:r>
      <w:r w:rsidR="00020056" w:rsidRPr="00461D74">
        <w:rPr>
          <w:rFonts w:ascii="Garamond" w:hAnsi="Garamond"/>
          <w:sz w:val="24"/>
          <w:szCs w:val="24"/>
        </w:rPr>
        <w:t xml:space="preserve"> </w:t>
      </w:r>
      <w:r w:rsidRPr="00461D74">
        <w:rPr>
          <w:rFonts w:ascii="Garamond" w:hAnsi="Garamond"/>
          <w:sz w:val="24"/>
          <w:szCs w:val="24"/>
        </w:rPr>
        <w:t xml:space="preserve">of classical Athens was in important ways different from the </w:t>
      </w:r>
      <w:r w:rsidR="00020056">
        <w:rPr>
          <w:rFonts w:ascii="Garamond" w:hAnsi="Garamond"/>
          <w:sz w:val="24"/>
          <w:szCs w:val="24"/>
        </w:rPr>
        <w:t xml:space="preserve">structure that is characteristic of the </w:t>
      </w:r>
      <w:r w:rsidRPr="00461D74">
        <w:rPr>
          <w:rFonts w:ascii="Garamond" w:hAnsi="Garamond"/>
          <w:sz w:val="24"/>
          <w:szCs w:val="24"/>
        </w:rPr>
        <w:t xml:space="preserve">earlier Homeric </w:t>
      </w:r>
      <w:r w:rsidR="00020056">
        <w:rPr>
          <w:rFonts w:ascii="Garamond" w:hAnsi="Garamond"/>
          <w:sz w:val="24"/>
          <w:szCs w:val="24"/>
        </w:rPr>
        <w:t>(Bronze Age) order</w:t>
      </w:r>
      <w:r w:rsidRPr="00461D74">
        <w:rPr>
          <w:rFonts w:ascii="Garamond" w:hAnsi="Garamond"/>
          <w:sz w:val="24"/>
          <w:szCs w:val="24"/>
        </w:rPr>
        <w:t xml:space="preserve">. Thus the theoretical problematic which concerns Thucydides, Sophocles, amongst others, </w:t>
      </w:r>
      <w:r w:rsidR="009A2CEF">
        <w:rPr>
          <w:rFonts w:ascii="Garamond" w:hAnsi="Garamond"/>
          <w:sz w:val="24"/>
          <w:szCs w:val="24"/>
        </w:rPr>
        <w:t>are generated</w:t>
      </w:r>
      <w:r w:rsidR="009A2CEF" w:rsidRPr="00461D74">
        <w:rPr>
          <w:rFonts w:ascii="Garamond" w:hAnsi="Garamond"/>
          <w:sz w:val="24"/>
          <w:szCs w:val="24"/>
        </w:rPr>
        <w:t xml:space="preserve"> </w:t>
      </w:r>
      <w:r w:rsidR="009A2CEF">
        <w:rPr>
          <w:rFonts w:ascii="Garamond" w:hAnsi="Garamond"/>
          <w:sz w:val="24"/>
          <w:szCs w:val="24"/>
        </w:rPr>
        <w:t xml:space="preserve">precisely </w:t>
      </w:r>
      <w:r w:rsidRPr="00461D74">
        <w:rPr>
          <w:rFonts w:ascii="Garamond" w:hAnsi="Garamond"/>
          <w:sz w:val="24"/>
          <w:szCs w:val="24"/>
        </w:rPr>
        <w:t xml:space="preserve">because the Homeric tradition that was informed by </w:t>
      </w:r>
      <w:r w:rsidR="009A2CEF">
        <w:rPr>
          <w:rFonts w:ascii="Garamond" w:hAnsi="Garamond"/>
          <w:sz w:val="24"/>
          <w:szCs w:val="24"/>
        </w:rPr>
        <w:t xml:space="preserve">the social and cultural practices of </w:t>
      </w:r>
      <w:r w:rsidRPr="00461D74">
        <w:rPr>
          <w:rFonts w:ascii="Garamond" w:hAnsi="Garamond"/>
          <w:sz w:val="24"/>
          <w:szCs w:val="24"/>
        </w:rPr>
        <w:t>an earlier</w:t>
      </w:r>
      <w:r w:rsidR="00020056">
        <w:rPr>
          <w:rFonts w:ascii="Garamond" w:hAnsi="Garamond"/>
          <w:sz w:val="24"/>
          <w:szCs w:val="24"/>
        </w:rPr>
        <w:t>, and significantly different,</w:t>
      </w:r>
      <w:r w:rsidRPr="00461D74">
        <w:rPr>
          <w:rFonts w:ascii="Garamond" w:hAnsi="Garamond"/>
          <w:sz w:val="24"/>
          <w:szCs w:val="24"/>
        </w:rPr>
        <w:t xml:space="preserve"> social</w:t>
      </w:r>
      <w:r w:rsidR="009A2CEF">
        <w:rPr>
          <w:rFonts w:ascii="Garamond" w:hAnsi="Garamond"/>
          <w:sz w:val="24"/>
          <w:szCs w:val="24"/>
        </w:rPr>
        <w:t>-cum-political</w:t>
      </w:r>
      <w:r w:rsidRPr="00461D74">
        <w:rPr>
          <w:rFonts w:ascii="Garamond" w:hAnsi="Garamond"/>
          <w:sz w:val="24"/>
          <w:szCs w:val="24"/>
        </w:rPr>
        <w:t xml:space="preserve"> </w:t>
      </w:r>
      <w:r w:rsidR="00020056">
        <w:rPr>
          <w:rFonts w:ascii="Garamond" w:hAnsi="Garamond"/>
          <w:sz w:val="24"/>
          <w:szCs w:val="24"/>
        </w:rPr>
        <w:t>arrangement</w:t>
      </w:r>
      <w:r w:rsidRPr="00461D74">
        <w:rPr>
          <w:rFonts w:ascii="Garamond" w:hAnsi="Garamond"/>
          <w:sz w:val="24"/>
          <w:szCs w:val="24"/>
        </w:rPr>
        <w:t xml:space="preserve"> was no longer adequately informed by</w:t>
      </w:r>
      <w:r w:rsidR="009A2CEF">
        <w:rPr>
          <w:rFonts w:ascii="Garamond" w:hAnsi="Garamond"/>
          <w:sz w:val="24"/>
          <w:szCs w:val="24"/>
        </w:rPr>
        <w:t>, nor adapted to,</w:t>
      </w:r>
      <w:r w:rsidRPr="00461D74">
        <w:rPr>
          <w:rFonts w:ascii="Garamond" w:hAnsi="Garamond"/>
          <w:sz w:val="24"/>
          <w:szCs w:val="24"/>
        </w:rPr>
        <w:t xml:space="preserve"> </w:t>
      </w:r>
      <w:r w:rsidR="009A2CEF">
        <w:rPr>
          <w:rFonts w:ascii="Garamond" w:hAnsi="Garamond"/>
          <w:sz w:val="24"/>
          <w:szCs w:val="24"/>
        </w:rPr>
        <w:lastRenderedPageBreak/>
        <w:t xml:space="preserve">the </w:t>
      </w:r>
      <w:r w:rsidR="00020056">
        <w:rPr>
          <w:rFonts w:ascii="Garamond" w:hAnsi="Garamond"/>
          <w:sz w:val="24"/>
          <w:szCs w:val="24"/>
        </w:rPr>
        <w:t>realities of the then emerging</w:t>
      </w:r>
      <w:r w:rsidR="009A2CEF" w:rsidRPr="00461D74">
        <w:rPr>
          <w:rFonts w:ascii="Garamond" w:hAnsi="Garamond"/>
          <w:sz w:val="24"/>
          <w:szCs w:val="24"/>
        </w:rPr>
        <w:t xml:space="preserve"> </w:t>
      </w:r>
      <w:r w:rsidRPr="00461D74">
        <w:rPr>
          <w:rFonts w:ascii="Garamond" w:hAnsi="Garamond"/>
          <w:sz w:val="24"/>
          <w:szCs w:val="24"/>
        </w:rPr>
        <w:t>social structure</w:t>
      </w:r>
      <w:r w:rsidR="009A2CEF">
        <w:rPr>
          <w:rFonts w:ascii="Garamond" w:hAnsi="Garamond"/>
          <w:sz w:val="24"/>
          <w:szCs w:val="24"/>
        </w:rPr>
        <w:t xml:space="preserve"> </w:t>
      </w:r>
      <w:r w:rsidR="00D30175">
        <w:rPr>
          <w:rFonts w:ascii="Garamond" w:hAnsi="Garamond"/>
          <w:sz w:val="24"/>
          <w:szCs w:val="24"/>
        </w:rPr>
        <w:t>which</w:t>
      </w:r>
      <w:r w:rsidR="009A2CEF">
        <w:rPr>
          <w:rFonts w:ascii="Garamond" w:hAnsi="Garamond"/>
          <w:sz w:val="24"/>
          <w:szCs w:val="24"/>
        </w:rPr>
        <w:t xml:space="preserve"> </w:t>
      </w:r>
      <w:r w:rsidR="00D30175">
        <w:rPr>
          <w:rFonts w:ascii="Garamond" w:hAnsi="Garamond"/>
          <w:sz w:val="24"/>
          <w:szCs w:val="24"/>
        </w:rPr>
        <w:t>is characteristic of</w:t>
      </w:r>
      <w:r w:rsidR="009A2CEF">
        <w:rPr>
          <w:rFonts w:ascii="Garamond" w:hAnsi="Garamond"/>
          <w:sz w:val="24"/>
          <w:szCs w:val="24"/>
        </w:rPr>
        <w:t xml:space="preserve"> the classical period</w:t>
      </w:r>
      <w:r w:rsidRPr="00461D74">
        <w:rPr>
          <w:rFonts w:ascii="Garamond" w:hAnsi="Garamond"/>
          <w:sz w:val="24"/>
          <w:szCs w:val="24"/>
        </w:rPr>
        <w:t xml:space="preserve">. </w:t>
      </w:r>
    </w:p>
    <w:p w:rsidR="00665157" w:rsidRDefault="002E1B33">
      <w:pPr>
        <w:spacing w:line="360" w:lineRule="auto"/>
        <w:ind w:firstLine="720"/>
        <w:jc w:val="both"/>
        <w:rPr>
          <w:rFonts w:ascii="Garamond" w:hAnsi="Garamond"/>
          <w:sz w:val="24"/>
          <w:szCs w:val="24"/>
        </w:rPr>
      </w:pPr>
      <w:r>
        <w:rPr>
          <w:rFonts w:ascii="Garamond" w:hAnsi="Garamond"/>
          <w:sz w:val="24"/>
          <w:szCs w:val="24"/>
        </w:rPr>
        <w:t>Now</w:t>
      </w:r>
      <w:r w:rsidR="00016049" w:rsidRPr="00461D74">
        <w:rPr>
          <w:rFonts w:ascii="Garamond" w:hAnsi="Garamond"/>
          <w:sz w:val="24"/>
          <w:szCs w:val="24"/>
        </w:rPr>
        <w:t>, it appear</w:t>
      </w:r>
      <w:r>
        <w:rPr>
          <w:rFonts w:ascii="Garamond" w:hAnsi="Garamond"/>
          <w:sz w:val="24"/>
          <w:szCs w:val="24"/>
        </w:rPr>
        <w:t>s</w:t>
      </w:r>
      <w:r w:rsidR="00016049" w:rsidRPr="00461D74">
        <w:rPr>
          <w:rFonts w:ascii="Garamond" w:hAnsi="Garamond"/>
          <w:sz w:val="24"/>
          <w:szCs w:val="24"/>
        </w:rPr>
        <w:t xml:space="preserve"> that ethical theory and social structure are not only interdependent in an important sense, but that change</w:t>
      </w:r>
      <w:r w:rsidR="00D95A68" w:rsidRPr="00461D74">
        <w:rPr>
          <w:rFonts w:ascii="Garamond" w:hAnsi="Garamond"/>
          <w:sz w:val="24"/>
          <w:szCs w:val="24"/>
        </w:rPr>
        <w:t>s</w:t>
      </w:r>
      <w:r w:rsidR="00016049" w:rsidRPr="00461D74">
        <w:rPr>
          <w:rFonts w:ascii="Garamond" w:hAnsi="Garamond"/>
          <w:sz w:val="24"/>
          <w:szCs w:val="24"/>
        </w:rPr>
        <w:t xml:space="preserve"> in </w:t>
      </w:r>
      <w:r w:rsidR="00D95A68" w:rsidRPr="00461D74">
        <w:rPr>
          <w:rFonts w:ascii="Garamond" w:hAnsi="Garamond"/>
          <w:sz w:val="24"/>
          <w:szCs w:val="24"/>
        </w:rPr>
        <w:t xml:space="preserve">the </w:t>
      </w:r>
      <w:r w:rsidR="00016049" w:rsidRPr="00461D74">
        <w:rPr>
          <w:rFonts w:ascii="Garamond" w:hAnsi="Garamond"/>
          <w:sz w:val="24"/>
          <w:szCs w:val="24"/>
        </w:rPr>
        <w:t xml:space="preserve">social structure not only </w:t>
      </w:r>
      <w:r w:rsidR="009A2CEF">
        <w:rPr>
          <w:rFonts w:ascii="Garamond" w:hAnsi="Garamond"/>
          <w:sz w:val="24"/>
          <w:szCs w:val="24"/>
        </w:rPr>
        <w:t xml:space="preserve">appear to </w:t>
      </w:r>
      <w:r w:rsidR="00016049" w:rsidRPr="00461D74">
        <w:rPr>
          <w:rFonts w:ascii="Garamond" w:hAnsi="Garamond"/>
          <w:sz w:val="24"/>
          <w:szCs w:val="24"/>
        </w:rPr>
        <w:t xml:space="preserve">limit, </w:t>
      </w:r>
      <w:r w:rsidR="00D95A68" w:rsidRPr="00461D74">
        <w:rPr>
          <w:rFonts w:ascii="Garamond" w:hAnsi="Garamond"/>
          <w:sz w:val="24"/>
          <w:szCs w:val="24"/>
        </w:rPr>
        <w:t>but also</w:t>
      </w:r>
      <w:r w:rsidR="00016049" w:rsidRPr="00461D74">
        <w:rPr>
          <w:rFonts w:ascii="Garamond" w:hAnsi="Garamond"/>
          <w:sz w:val="24"/>
          <w:szCs w:val="24"/>
        </w:rPr>
        <w:t xml:space="preserve"> render older theories inadequate in important ways. However, this conclusion seems to be at odds with (H5); namely, that theories are only defeated rationally through dialectical means within a tradition. For it appears </w:t>
      </w:r>
      <w:r w:rsidR="00D95A68" w:rsidRPr="00461D74">
        <w:rPr>
          <w:rFonts w:ascii="Garamond" w:hAnsi="Garamond"/>
          <w:sz w:val="24"/>
          <w:szCs w:val="24"/>
        </w:rPr>
        <w:t xml:space="preserve">the </w:t>
      </w:r>
      <w:r w:rsidR="00016049" w:rsidRPr="00461D74">
        <w:rPr>
          <w:rFonts w:ascii="Garamond" w:hAnsi="Garamond"/>
          <w:sz w:val="24"/>
          <w:szCs w:val="24"/>
        </w:rPr>
        <w:t>examin</w:t>
      </w:r>
      <w:r w:rsidR="00D95A68" w:rsidRPr="00461D74">
        <w:rPr>
          <w:rFonts w:ascii="Garamond" w:hAnsi="Garamond"/>
          <w:sz w:val="24"/>
          <w:szCs w:val="24"/>
        </w:rPr>
        <w:t xml:space="preserve">ation of </w:t>
      </w:r>
      <w:r w:rsidR="00016049" w:rsidRPr="00461D74">
        <w:rPr>
          <w:rFonts w:ascii="Garamond" w:hAnsi="Garamond"/>
          <w:sz w:val="24"/>
          <w:szCs w:val="24"/>
        </w:rPr>
        <w:t xml:space="preserve">some of MacIntyre’s own examples </w:t>
      </w:r>
      <w:r w:rsidR="00CC762A" w:rsidRPr="00461D74">
        <w:rPr>
          <w:rFonts w:ascii="Garamond" w:hAnsi="Garamond"/>
          <w:sz w:val="24"/>
          <w:szCs w:val="24"/>
        </w:rPr>
        <w:t xml:space="preserve">demonstrates </w:t>
      </w:r>
      <w:r w:rsidR="00016049" w:rsidRPr="00461D74">
        <w:rPr>
          <w:rFonts w:ascii="Garamond" w:hAnsi="Garamond"/>
          <w:sz w:val="24"/>
          <w:szCs w:val="24"/>
        </w:rPr>
        <w:t>that social change can render a tradition inadequate</w:t>
      </w:r>
      <w:r w:rsidR="0053275E" w:rsidRPr="00461D74">
        <w:rPr>
          <w:rFonts w:ascii="Garamond" w:hAnsi="Garamond"/>
          <w:sz w:val="24"/>
          <w:szCs w:val="24"/>
        </w:rPr>
        <w:t xml:space="preserve"> even when </w:t>
      </w:r>
      <w:r w:rsidR="00584FF2" w:rsidRPr="00461D74">
        <w:rPr>
          <w:rFonts w:ascii="Garamond" w:hAnsi="Garamond"/>
          <w:sz w:val="24"/>
          <w:szCs w:val="24"/>
        </w:rPr>
        <w:t>it has</w:t>
      </w:r>
      <w:r w:rsidR="0053275E" w:rsidRPr="00461D74">
        <w:rPr>
          <w:rFonts w:ascii="Garamond" w:hAnsi="Garamond"/>
          <w:sz w:val="24"/>
          <w:szCs w:val="24"/>
        </w:rPr>
        <w:t xml:space="preserve"> not been defeated dialectically</w:t>
      </w:r>
      <w:r w:rsidR="00A33926">
        <w:rPr>
          <w:rFonts w:ascii="Garamond" w:hAnsi="Garamond"/>
          <w:sz w:val="24"/>
          <w:szCs w:val="24"/>
        </w:rPr>
        <w:t xml:space="preserve"> in a rigorous </w:t>
      </w:r>
      <w:r>
        <w:rPr>
          <w:rFonts w:ascii="Garamond" w:hAnsi="Garamond"/>
          <w:sz w:val="24"/>
          <w:szCs w:val="24"/>
        </w:rPr>
        <w:t>sense.</w:t>
      </w:r>
      <w:r w:rsidR="00584FF2" w:rsidRPr="00461D74">
        <w:rPr>
          <w:rFonts w:ascii="Garamond" w:hAnsi="Garamond"/>
          <w:sz w:val="24"/>
          <w:szCs w:val="24"/>
        </w:rPr>
        <w:t xml:space="preserve"> </w:t>
      </w:r>
      <w:r>
        <w:rPr>
          <w:rFonts w:ascii="Garamond" w:hAnsi="Garamond"/>
          <w:sz w:val="24"/>
          <w:szCs w:val="24"/>
        </w:rPr>
        <w:t>T</w:t>
      </w:r>
      <w:r w:rsidR="00584FF2" w:rsidRPr="00461D74">
        <w:rPr>
          <w:rFonts w:ascii="Garamond" w:hAnsi="Garamond"/>
          <w:sz w:val="24"/>
          <w:szCs w:val="24"/>
        </w:rPr>
        <w:t>herefore</w:t>
      </w:r>
      <w:r w:rsidR="0053275E" w:rsidRPr="00461D74">
        <w:rPr>
          <w:rFonts w:ascii="Garamond" w:hAnsi="Garamond"/>
          <w:sz w:val="24"/>
          <w:szCs w:val="24"/>
        </w:rPr>
        <w:t>, transformation</w:t>
      </w:r>
      <w:r w:rsidR="00584FF2" w:rsidRPr="00461D74">
        <w:rPr>
          <w:rFonts w:ascii="Garamond" w:hAnsi="Garamond"/>
          <w:sz w:val="24"/>
          <w:szCs w:val="24"/>
        </w:rPr>
        <w:t>s in</w:t>
      </w:r>
      <w:r w:rsidR="0053275E" w:rsidRPr="00461D74">
        <w:rPr>
          <w:rFonts w:ascii="Garamond" w:hAnsi="Garamond"/>
          <w:sz w:val="24"/>
          <w:szCs w:val="24"/>
        </w:rPr>
        <w:t xml:space="preserve"> </w:t>
      </w:r>
      <w:r w:rsidR="00584FF2" w:rsidRPr="00461D74">
        <w:rPr>
          <w:rFonts w:ascii="Garamond" w:hAnsi="Garamond"/>
          <w:sz w:val="24"/>
          <w:szCs w:val="24"/>
        </w:rPr>
        <w:t xml:space="preserve">the </w:t>
      </w:r>
      <w:r w:rsidR="0053275E" w:rsidRPr="00461D74">
        <w:rPr>
          <w:rFonts w:ascii="Garamond" w:hAnsi="Garamond"/>
          <w:sz w:val="24"/>
          <w:szCs w:val="24"/>
        </w:rPr>
        <w:t>social structure</w:t>
      </w:r>
      <w:r w:rsidR="00584FF2" w:rsidRPr="00461D74">
        <w:rPr>
          <w:rFonts w:ascii="Garamond" w:hAnsi="Garamond"/>
          <w:sz w:val="24"/>
          <w:szCs w:val="24"/>
        </w:rPr>
        <w:t xml:space="preserve"> can </w:t>
      </w:r>
      <w:r w:rsidR="00A33926">
        <w:rPr>
          <w:rFonts w:ascii="Garamond" w:hAnsi="Garamond"/>
          <w:sz w:val="24"/>
          <w:szCs w:val="24"/>
        </w:rPr>
        <w:t xml:space="preserve">potentially </w:t>
      </w:r>
      <w:r w:rsidR="00584FF2" w:rsidRPr="00461D74">
        <w:rPr>
          <w:rFonts w:ascii="Garamond" w:hAnsi="Garamond"/>
          <w:sz w:val="24"/>
          <w:szCs w:val="24"/>
        </w:rPr>
        <w:t>undermine the coherence and the viability of moral traditions</w:t>
      </w:r>
      <w:r>
        <w:rPr>
          <w:rFonts w:ascii="Garamond" w:hAnsi="Garamond"/>
          <w:sz w:val="24"/>
          <w:szCs w:val="24"/>
        </w:rPr>
        <w:t>, in virtue of the fact that social transformations</w:t>
      </w:r>
      <w:r w:rsidR="00A33926">
        <w:rPr>
          <w:rFonts w:ascii="Garamond" w:hAnsi="Garamond"/>
          <w:sz w:val="24"/>
          <w:szCs w:val="24"/>
        </w:rPr>
        <w:t xml:space="preserve"> can place the existing premises </w:t>
      </w:r>
      <w:r>
        <w:rPr>
          <w:rFonts w:ascii="Garamond" w:hAnsi="Garamond"/>
          <w:sz w:val="24"/>
          <w:szCs w:val="24"/>
        </w:rPr>
        <w:t xml:space="preserve">within some tradition – </w:t>
      </w:r>
      <w:r w:rsidR="00AD633E">
        <w:rPr>
          <w:rFonts w:ascii="Garamond" w:hAnsi="Garamond"/>
          <w:sz w:val="24"/>
          <w:szCs w:val="24"/>
        </w:rPr>
        <w:t xml:space="preserve">premises </w:t>
      </w:r>
      <w:r>
        <w:rPr>
          <w:rFonts w:ascii="Garamond" w:hAnsi="Garamond"/>
          <w:sz w:val="24"/>
          <w:szCs w:val="24"/>
        </w:rPr>
        <w:t xml:space="preserve">which </w:t>
      </w:r>
      <w:r w:rsidR="00AD633E">
        <w:rPr>
          <w:rFonts w:ascii="Garamond" w:hAnsi="Garamond"/>
          <w:sz w:val="24"/>
          <w:szCs w:val="24"/>
        </w:rPr>
        <w:t>are</w:t>
      </w:r>
      <w:r>
        <w:rPr>
          <w:rFonts w:ascii="Garamond" w:hAnsi="Garamond"/>
          <w:sz w:val="24"/>
          <w:szCs w:val="24"/>
        </w:rPr>
        <w:t xml:space="preserve"> </w:t>
      </w:r>
      <w:r w:rsidR="00A33926">
        <w:rPr>
          <w:rFonts w:ascii="Garamond" w:hAnsi="Garamond"/>
          <w:sz w:val="24"/>
          <w:szCs w:val="24"/>
        </w:rPr>
        <w:t>tied to a particular social configuration</w:t>
      </w:r>
      <w:r>
        <w:rPr>
          <w:rFonts w:ascii="Garamond" w:hAnsi="Garamond"/>
          <w:sz w:val="24"/>
          <w:szCs w:val="24"/>
        </w:rPr>
        <w:t>,</w:t>
      </w:r>
      <w:r w:rsidR="00A33926">
        <w:rPr>
          <w:rFonts w:ascii="Garamond" w:hAnsi="Garamond"/>
          <w:sz w:val="24"/>
          <w:szCs w:val="24"/>
        </w:rPr>
        <w:t xml:space="preserve"> </w:t>
      </w:r>
      <w:r>
        <w:rPr>
          <w:rFonts w:ascii="Garamond" w:hAnsi="Garamond"/>
          <w:sz w:val="24"/>
          <w:szCs w:val="24"/>
        </w:rPr>
        <w:t xml:space="preserve">and </w:t>
      </w:r>
      <w:r w:rsidR="00A33926">
        <w:rPr>
          <w:rFonts w:ascii="Garamond" w:hAnsi="Garamond"/>
          <w:sz w:val="24"/>
          <w:szCs w:val="24"/>
        </w:rPr>
        <w:t>which in turn set the standards of behaviour</w:t>
      </w:r>
      <w:r>
        <w:rPr>
          <w:rFonts w:ascii="Garamond" w:hAnsi="Garamond"/>
          <w:sz w:val="24"/>
          <w:szCs w:val="24"/>
        </w:rPr>
        <w:t xml:space="preserve"> in the social sphere </w:t>
      </w:r>
      <w:r w:rsidR="00AD633E">
        <w:rPr>
          <w:rFonts w:ascii="Garamond" w:hAnsi="Garamond"/>
          <w:sz w:val="24"/>
          <w:szCs w:val="24"/>
        </w:rPr>
        <w:t xml:space="preserve">of the same </w:t>
      </w:r>
      <w:r>
        <w:rPr>
          <w:rFonts w:ascii="Garamond" w:hAnsi="Garamond"/>
          <w:sz w:val="24"/>
          <w:szCs w:val="24"/>
        </w:rPr>
        <w:t xml:space="preserve">– </w:t>
      </w:r>
      <w:r w:rsidR="00A33926">
        <w:rPr>
          <w:rFonts w:ascii="Garamond" w:hAnsi="Garamond"/>
          <w:sz w:val="24"/>
          <w:szCs w:val="24"/>
        </w:rPr>
        <w:t xml:space="preserve">under </w:t>
      </w:r>
      <w:r>
        <w:rPr>
          <w:rFonts w:ascii="Garamond" w:hAnsi="Garamond"/>
          <w:sz w:val="24"/>
          <w:szCs w:val="24"/>
        </w:rPr>
        <w:t>pressure, well before the development of appropriate intellectual resources that are necessary to supplanting or surpassing an existing tradition</w:t>
      </w:r>
      <w:r w:rsidR="00016049"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Let us briefly consider another example which MacIntyre presents in </w:t>
      </w:r>
      <w:r w:rsidRPr="00461D74">
        <w:rPr>
          <w:rFonts w:ascii="Garamond" w:hAnsi="Garamond"/>
          <w:i/>
          <w:sz w:val="24"/>
          <w:szCs w:val="24"/>
        </w:rPr>
        <w:t>Whose Justice</w:t>
      </w:r>
      <w:r w:rsidRPr="00461D74">
        <w:rPr>
          <w:rFonts w:ascii="Garamond" w:hAnsi="Garamond"/>
          <w:sz w:val="24"/>
          <w:szCs w:val="24"/>
        </w:rPr>
        <w:t xml:space="preserve">. MacIntyre suggests that an important reason why Aristotelian ethics later proved inadequate </w:t>
      </w:r>
      <w:r w:rsidR="00BB7208">
        <w:rPr>
          <w:rFonts w:ascii="Garamond" w:hAnsi="Garamond"/>
          <w:sz w:val="24"/>
          <w:szCs w:val="24"/>
        </w:rPr>
        <w:t xml:space="preserve">originated in the gradual emergence of </w:t>
      </w:r>
      <w:r w:rsidRPr="00461D74">
        <w:rPr>
          <w:rFonts w:ascii="Garamond" w:hAnsi="Garamond"/>
          <w:sz w:val="24"/>
          <w:szCs w:val="24"/>
        </w:rPr>
        <w:t xml:space="preserve">the Macedonian and later Roman empires </w:t>
      </w:r>
      <w:r w:rsidR="00BB7208">
        <w:rPr>
          <w:rFonts w:ascii="Garamond" w:hAnsi="Garamond"/>
          <w:sz w:val="24"/>
          <w:szCs w:val="24"/>
        </w:rPr>
        <w:t xml:space="preserve">which </w:t>
      </w:r>
      <w:r w:rsidRPr="00461D74">
        <w:rPr>
          <w:rFonts w:ascii="Garamond" w:hAnsi="Garamond"/>
          <w:sz w:val="24"/>
          <w:szCs w:val="24"/>
        </w:rPr>
        <w:t xml:space="preserve">marginalised the </w:t>
      </w:r>
      <w:r w:rsidR="003D2272">
        <w:rPr>
          <w:rFonts w:ascii="Garamond" w:hAnsi="Garamond"/>
          <w:sz w:val="24"/>
          <w:szCs w:val="24"/>
        </w:rPr>
        <w:t>particular (</w:t>
      </w:r>
      <w:r w:rsidR="00BB7208">
        <w:rPr>
          <w:rFonts w:ascii="Garamond" w:hAnsi="Garamond"/>
          <w:sz w:val="24"/>
          <w:szCs w:val="24"/>
        </w:rPr>
        <w:t>institutional</w:t>
      </w:r>
      <w:r w:rsidR="003D2272">
        <w:rPr>
          <w:rFonts w:ascii="Garamond" w:hAnsi="Garamond"/>
          <w:sz w:val="24"/>
          <w:szCs w:val="24"/>
        </w:rPr>
        <w:t>)</w:t>
      </w:r>
      <w:r w:rsidR="00BB7208">
        <w:rPr>
          <w:rFonts w:ascii="Garamond" w:hAnsi="Garamond"/>
          <w:sz w:val="24"/>
          <w:szCs w:val="24"/>
        </w:rPr>
        <w:t xml:space="preserve"> role that the Greek </w:t>
      </w:r>
      <w:r w:rsidRPr="00461D74">
        <w:rPr>
          <w:rFonts w:ascii="Garamond" w:hAnsi="Garamond"/>
          <w:sz w:val="24"/>
          <w:szCs w:val="24"/>
        </w:rPr>
        <w:t>polis</w:t>
      </w:r>
      <w:r w:rsidR="00BB7208">
        <w:rPr>
          <w:rFonts w:ascii="Garamond" w:hAnsi="Garamond"/>
          <w:sz w:val="24"/>
          <w:szCs w:val="24"/>
        </w:rPr>
        <w:t xml:space="preserve"> played in organising the various goods that informed</w:t>
      </w:r>
      <w:r w:rsidR="003D2272">
        <w:rPr>
          <w:rFonts w:ascii="Garamond" w:hAnsi="Garamond"/>
          <w:sz w:val="24"/>
          <w:szCs w:val="24"/>
        </w:rPr>
        <w:t xml:space="preserve"> </w:t>
      </w:r>
      <w:r w:rsidRPr="00461D74">
        <w:rPr>
          <w:rFonts w:ascii="Garamond" w:hAnsi="Garamond"/>
          <w:sz w:val="24"/>
          <w:szCs w:val="24"/>
        </w:rPr>
        <w:t xml:space="preserve">ethical life </w:t>
      </w:r>
      <w:r w:rsidR="003D2272">
        <w:rPr>
          <w:rFonts w:ascii="Garamond" w:hAnsi="Garamond"/>
          <w:sz w:val="24"/>
          <w:szCs w:val="24"/>
        </w:rPr>
        <w:t>in antiquity</w:t>
      </w:r>
      <w:r w:rsidRPr="00461D74">
        <w:rPr>
          <w:rFonts w:ascii="Garamond" w:hAnsi="Garamond"/>
          <w:sz w:val="24"/>
          <w:szCs w:val="24"/>
        </w:rPr>
        <w:t>. Thus, what is implicit here is that the social structures of the earlier classical period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Athens) were displaced, and so Aristotle’s ethics which was on MacIntyre’s view the best formulation of ethics for the particular social context of the </w:t>
      </w:r>
      <w:r w:rsidR="003D2272">
        <w:rPr>
          <w:rFonts w:ascii="Garamond" w:hAnsi="Garamond"/>
          <w:sz w:val="24"/>
          <w:szCs w:val="24"/>
        </w:rPr>
        <w:t xml:space="preserve">Greek </w:t>
      </w:r>
      <w:r w:rsidRPr="00461D74">
        <w:rPr>
          <w:rFonts w:ascii="Garamond" w:hAnsi="Garamond"/>
          <w:sz w:val="24"/>
          <w:szCs w:val="24"/>
        </w:rPr>
        <w:t xml:space="preserve">polis, </w:t>
      </w:r>
      <w:r w:rsidR="007E008E" w:rsidRPr="00461D74">
        <w:rPr>
          <w:rFonts w:ascii="Garamond" w:hAnsi="Garamond"/>
          <w:sz w:val="24"/>
          <w:szCs w:val="24"/>
        </w:rPr>
        <w:t xml:space="preserve">was </w:t>
      </w:r>
      <w:r w:rsidRPr="00461D74">
        <w:rPr>
          <w:rFonts w:ascii="Garamond" w:hAnsi="Garamond"/>
          <w:sz w:val="24"/>
          <w:szCs w:val="24"/>
        </w:rPr>
        <w:t xml:space="preserve">no longer informed by the </w:t>
      </w:r>
      <w:r w:rsidR="003D2272">
        <w:rPr>
          <w:rFonts w:ascii="Garamond" w:hAnsi="Garamond"/>
          <w:sz w:val="24"/>
          <w:szCs w:val="24"/>
        </w:rPr>
        <w:t xml:space="preserve">then newly emerging </w:t>
      </w:r>
      <w:r w:rsidRPr="00461D74">
        <w:rPr>
          <w:rFonts w:ascii="Garamond" w:hAnsi="Garamond"/>
          <w:sz w:val="24"/>
          <w:szCs w:val="24"/>
        </w:rPr>
        <w:t xml:space="preserve">background social structure present </w:t>
      </w:r>
      <w:r w:rsidR="007E008E" w:rsidRPr="00461D74">
        <w:rPr>
          <w:rFonts w:ascii="Garamond" w:hAnsi="Garamond"/>
          <w:sz w:val="24"/>
          <w:szCs w:val="24"/>
        </w:rPr>
        <w:t xml:space="preserve">during </w:t>
      </w:r>
      <w:r w:rsidRPr="00461D74">
        <w:rPr>
          <w:rFonts w:ascii="Garamond" w:hAnsi="Garamond"/>
          <w:sz w:val="24"/>
          <w:szCs w:val="24"/>
        </w:rPr>
        <w:t xml:space="preserve">the Roman empire and early Christianity. </w:t>
      </w:r>
      <w:r w:rsidR="00081018">
        <w:rPr>
          <w:rFonts w:ascii="Garamond" w:hAnsi="Garamond"/>
          <w:sz w:val="24"/>
          <w:szCs w:val="24"/>
        </w:rPr>
        <w:t xml:space="preserve">Here, it seems that </w:t>
      </w:r>
      <w:r w:rsidRPr="00461D74">
        <w:rPr>
          <w:rFonts w:ascii="Garamond" w:hAnsi="Garamond"/>
          <w:sz w:val="24"/>
          <w:szCs w:val="24"/>
        </w:rPr>
        <w:t xml:space="preserve">MacIntyre is </w:t>
      </w:r>
      <w:r w:rsidR="00081018">
        <w:rPr>
          <w:rFonts w:ascii="Garamond" w:hAnsi="Garamond"/>
          <w:sz w:val="24"/>
          <w:szCs w:val="24"/>
        </w:rPr>
        <w:t xml:space="preserve">implicitly </w:t>
      </w:r>
      <w:r w:rsidRPr="00461D74">
        <w:rPr>
          <w:rFonts w:ascii="Garamond" w:hAnsi="Garamond"/>
          <w:sz w:val="24"/>
          <w:szCs w:val="24"/>
        </w:rPr>
        <w:t>reiterating the claims present in (H1), (H3), and (H4)</w:t>
      </w:r>
      <w:r w:rsidR="00081018">
        <w:rPr>
          <w:rFonts w:ascii="Garamond" w:hAnsi="Garamond"/>
          <w:sz w:val="24"/>
          <w:szCs w:val="24"/>
        </w:rPr>
        <w:t>, and all of</w:t>
      </w:r>
      <w:r w:rsidRPr="00461D74">
        <w:rPr>
          <w:rFonts w:ascii="Garamond" w:hAnsi="Garamond"/>
          <w:sz w:val="24"/>
          <w:szCs w:val="24"/>
        </w:rPr>
        <w:t xml:space="preserve"> </w:t>
      </w:r>
      <w:r w:rsidR="00081018">
        <w:rPr>
          <w:rFonts w:ascii="Garamond" w:hAnsi="Garamond"/>
          <w:sz w:val="24"/>
          <w:szCs w:val="24"/>
        </w:rPr>
        <w:t xml:space="preserve">them </w:t>
      </w:r>
      <w:r w:rsidRPr="00461D74">
        <w:rPr>
          <w:rFonts w:ascii="Garamond" w:hAnsi="Garamond"/>
          <w:sz w:val="24"/>
          <w:szCs w:val="24"/>
        </w:rPr>
        <w:t xml:space="preserve">indeed appear to </w:t>
      </w:r>
      <w:r w:rsidR="00081018">
        <w:rPr>
          <w:rFonts w:ascii="Garamond" w:hAnsi="Garamond"/>
          <w:sz w:val="24"/>
          <w:szCs w:val="24"/>
        </w:rPr>
        <w:t xml:space="preserve">be mutually </w:t>
      </w:r>
      <w:r w:rsidR="00081018">
        <w:rPr>
          <w:rFonts w:ascii="Garamond" w:hAnsi="Garamond"/>
          <w:sz w:val="24"/>
          <w:szCs w:val="24"/>
        </w:rPr>
        <w:lastRenderedPageBreak/>
        <w:t xml:space="preserve">supportive of, and compatible with, </w:t>
      </w:r>
      <w:r w:rsidRPr="00461D74">
        <w:rPr>
          <w:rFonts w:ascii="Garamond" w:hAnsi="Garamond"/>
          <w:sz w:val="24"/>
          <w:szCs w:val="24"/>
        </w:rPr>
        <w:t xml:space="preserve">each other. Thus, MacIntyre </w:t>
      </w:r>
      <w:r w:rsidR="005A50AF">
        <w:rPr>
          <w:rFonts w:ascii="Garamond" w:hAnsi="Garamond"/>
          <w:sz w:val="24"/>
          <w:szCs w:val="24"/>
        </w:rPr>
        <w:t xml:space="preserve">appears to </w:t>
      </w:r>
      <w:r w:rsidRPr="00461D74">
        <w:rPr>
          <w:rFonts w:ascii="Garamond" w:hAnsi="Garamond"/>
          <w:sz w:val="24"/>
          <w:szCs w:val="24"/>
        </w:rPr>
        <w:t xml:space="preserve">closely connect social context to theory, and </w:t>
      </w:r>
      <w:r w:rsidR="005A50AF">
        <w:rPr>
          <w:rFonts w:ascii="Garamond" w:hAnsi="Garamond"/>
          <w:sz w:val="24"/>
          <w:szCs w:val="24"/>
        </w:rPr>
        <w:t>sanctions</w:t>
      </w:r>
      <w:r w:rsidR="007E008E" w:rsidRPr="00461D74">
        <w:rPr>
          <w:rFonts w:ascii="Garamond" w:hAnsi="Garamond"/>
          <w:sz w:val="24"/>
          <w:szCs w:val="24"/>
        </w:rPr>
        <w:t xml:space="preserve"> the </w:t>
      </w:r>
      <w:r w:rsidR="005A50AF">
        <w:rPr>
          <w:rFonts w:ascii="Garamond" w:hAnsi="Garamond"/>
          <w:sz w:val="24"/>
          <w:szCs w:val="24"/>
        </w:rPr>
        <w:t>thought</w:t>
      </w:r>
      <w:r w:rsidR="005A50AF" w:rsidRPr="00461D74">
        <w:rPr>
          <w:rFonts w:ascii="Garamond" w:hAnsi="Garamond"/>
          <w:sz w:val="24"/>
          <w:szCs w:val="24"/>
        </w:rPr>
        <w:t xml:space="preserve"> </w:t>
      </w:r>
      <w:r w:rsidRPr="00461D74">
        <w:rPr>
          <w:rFonts w:ascii="Garamond" w:hAnsi="Garamond"/>
          <w:sz w:val="24"/>
          <w:szCs w:val="24"/>
        </w:rPr>
        <w:t xml:space="preserve">that change </w:t>
      </w:r>
      <w:r w:rsidR="007E008E" w:rsidRPr="00461D74">
        <w:rPr>
          <w:rFonts w:ascii="Garamond" w:hAnsi="Garamond"/>
          <w:sz w:val="24"/>
          <w:szCs w:val="24"/>
        </w:rPr>
        <w:t xml:space="preserve">in </w:t>
      </w:r>
      <w:r w:rsidRPr="00461D74">
        <w:rPr>
          <w:rFonts w:ascii="Garamond" w:hAnsi="Garamond"/>
          <w:sz w:val="24"/>
          <w:szCs w:val="24"/>
        </w:rPr>
        <w:t>the background social context could make an older theory inadequate.</w:t>
      </w:r>
    </w:p>
    <w:p w:rsidR="00665157" w:rsidRDefault="005279CE" w:rsidP="007E4DF5">
      <w:pPr>
        <w:spacing w:line="360" w:lineRule="auto"/>
        <w:ind w:firstLine="720"/>
        <w:jc w:val="both"/>
        <w:rPr>
          <w:rFonts w:ascii="Garamond" w:hAnsi="Garamond"/>
          <w:sz w:val="24"/>
          <w:szCs w:val="24"/>
        </w:rPr>
      </w:pPr>
      <w:r w:rsidRPr="00461D74">
        <w:rPr>
          <w:rFonts w:ascii="Garamond" w:hAnsi="Garamond"/>
          <w:sz w:val="24"/>
          <w:szCs w:val="24"/>
        </w:rPr>
        <w:t xml:space="preserve">Similarly, by </w:t>
      </w:r>
      <w:r w:rsidR="00016049" w:rsidRPr="00461D74">
        <w:rPr>
          <w:rFonts w:ascii="Garamond" w:hAnsi="Garamond"/>
          <w:sz w:val="24"/>
          <w:szCs w:val="24"/>
        </w:rPr>
        <w:t xml:space="preserve">drawing on the resources in MacIntyre’s historical narrative we could advance a hypothesis </w:t>
      </w:r>
      <w:r w:rsidR="0054018B" w:rsidRPr="00461D74">
        <w:rPr>
          <w:rFonts w:ascii="Garamond" w:hAnsi="Garamond"/>
          <w:sz w:val="24"/>
          <w:szCs w:val="24"/>
        </w:rPr>
        <w:t xml:space="preserve">similar to </w:t>
      </w:r>
      <w:r w:rsidR="00016049" w:rsidRPr="00461D74">
        <w:rPr>
          <w:rFonts w:ascii="Garamond" w:hAnsi="Garamond"/>
          <w:sz w:val="24"/>
          <w:szCs w:val="24"/>
        </w:rPr>
        <w:t>(H3)</w:t>
      </w:r>
      <w:r w:rsidR="00DA5C02" w:rsidRPr="00461D74">
        <w:rPr>
          <w:rFonts w:ascii="Garamond" w:hAnsi="Garamond"/>
          <w:sz w:val="24"/>
          <w:szCs w:val="24"/>
        </w:rPr>
        <w:t xml:space="preserve"> </w:t>
      </w:r>
      <w:r w:rsidR="009A1214" w:rsidRPr="00461D74">
        <w:rPr>
          <w:rFonts w:ascii="Garamond" w:hAnsi="Garamond"/>
          <w:sz w:val="24"/>
          <w:szCs w:val="24"/>
        </w:rPr>
        <w:t>–</w:t>
      </w:r>
      <w:r w:rsidR="00016049" w:rsidRPr="00461D74">
        <w:rPr>
          <w:rFonts w:ascii="Garamond" w:hAnsi="Garamond"/>
          <w:sz w:val="24"/>
          <w:szCs w:val="24"/>
        </w:rPr>
        <w:t xml:space="preserve"> let us call it (H3a)</w:t>
      </w:r>
      <w:r w:rsidR="00DA5C02" w:rsidRPr="00461D74">
        <w:rPr>
          <w:rFonts w:ascii="Garamond" w:hAnsi="Garamond"/>
          <w:sz w:val="24"/>
          <w:szCs w:val="24"/>
        </w:rPr>
        <w:t xml:space="preserve"> </w:t>
      </w:r>
      <w:r w:rsidR="009A1214" w:rsidRPr="00461D74">
        <w:rPr>
          <w:rFonts w:ascii="Garamond" w:hAnsi="Garamond"/>
          <w:sz w:val="24"/>
          <w:szCs w:val="24"/>
        </w:rPr>
        <w:t>–</w:t>
      </w:r>
      <w:r w:rsidR="00DA5C02" w:rsidRPr="00461D74">
        <w:rPr>
          <w:rFonts w:ascii="Garamond" w:hAnsi="Garamond"/>
          <w:sz w:val="24"/>
          <w:szCs w:val="24"/>
        </w:rPr>
        <w:t xml:space="preserve"> </w:t>
      </w:r>
      <w:r w:rsidR="00016049" w:rsidRPr="00461D74">
        <w:rPr>
          <w:rFonts w:ascii="Garamond" w:hAnsi="Garamond"/>
          <w:sz w:val="24"/>
          <w:szCs w:val="24"/>
        </w:rPr>
        <w:t xml:space="preserve">which </w:t>
      </w:r>
      <w:r w:rsidR="0054018B" w:rsidRPr="00461D74">
        <w:rPr>
          <w:rFonts w:ascii="Garamond" w:hAnsi="Garamond"/>
          <w:sz w:val="24"/>
          <w:szCs w:val="24"/>
        </w:rPr>
        <w:t xml:space="preserve">I believe </w:t>
      </w:r>
      <w:r w:rsidR="00016049" w:rsidRPr="00461D74">
        <w:rPr>
          <w:rFonts w:ascii="Garamond" w:hAnsi="Garamond"/>
          <w:sz w:val="24"/>
          <w:szCs w:val="24"/>
        </w:rPr>
        <w:t xml:space="preserve">can explain the gradual marginalisation of Thomistic ethics. </w:t>
      </w:r>
      <w:r w:rsidR="0054018B" w:rsidRPr="00461D74">
        <w:rPr>
          <w:rFonts w:ascii="Garamond" w:hAnsi="Garamond"/>
          <w:sz w:val="24"/>
          <w:szCs w:val="24"/>
        </w:rPr>
        <w:t>On the view I am proposing</w:t>
      </w:r>
      <w:r w:rsidR="00016049" w:rsidRPr="00461D74">
        <w:rPr>
          <w:rFonts w:ascii="Garamond" w:hAnsi="Garamond"/>
          <w:sz w:val="24"/>
          <w:szCs w:val="24"/>
        </w:rPr>
        <w:t xml:space="preserve">, the social bonds in medieval feudal society to which Aquinas belonged, were gradually dissolved </w:t>
      </w:r>
      <w:r w:rsidR="0053275E" w:rsidRPr="00461D74">
        <w:rPr>
          <w:rFonts w:ascii="Garamond" w:hAnsi="Garamond"/>
          <w:sz w:val="24"/>
          <w:szCs w:val="24"/>
        </w:rPr>
        <w:t>through</w:t>
      </w:r>
      <w:r w:rsidR="00016049" w:rsidRPr="00461D74">
        <w:rPr>
          <w:rFonts w:ascii="Garamond" w:hAnsi="Garamond"/>
          <w:sz w:val="24"/>
          <w:szCs w:val="24"/>
        </w:rPr>
        <w:t xml:space="preserve"> the marginalisation of the feudal social order </w:t>
      </w:r>
      <w:r w:rsidR="007E4DF5">
        <w:rPr>
          <w:rFonts w:ascii="Garamond" w:hAnsi="Garamond"/>
          <w:sz w:val="24"/>
          <w:szCs w:val="24"/>
        </w:rPr>
        <w:t>which in turn was a consequence of certain material conditionals that accompanied</w:t>
      </w:r>
      <w:r w:rsidR="00016049" w:rsidRPr="00461D74">
        <w:rPr>
          <w:rFonts w:ascii="Garamond" w:hAnsi="Garamond"/>
          <w:sz w:val="24"/>
          <w:szCs w:val="24"/>
        </w:rPr>
        <w:t xml:space="preserve"> the historical transition </w:t>
      </w:r>
      <w:r w:rsidR="007E4DF5" w:rsidRPr="00461D74">
        <w:rPr>
          <w:rFonts w:ascii="Garamond" w:hAnsi="Garamond"/>
          <w:sz w:val="24"/>
          <w:szCs w:val="24"/>
        </w:rPr>
        <w:t xml:space="preserve">experienced </w:t>
      </w:r>
      <w:r w:rsidR="007E4DF5">
        <w:rPr>
          <w:rFonts w:ascii="Garamond" w:hAnsi="Garamond"/>
          <w:sz w:val="24"/>
          <w:szCs w:val="24"/>
        </w:rPr>
        <w:t xml:space="preserve">by </w:t>
      </w:r>
      <w:r w:rsidR="00016049" w:rsidRPr="00461D74">
        <w:rPr>
          <w:rFonts w:ascii="Garamond" w:hAnsi="Garamond"/>
          <w:sz w:val="24"/>
          <w:szCs w:val="24"/>
        </w:rPr>
        <w:t>Europe</w:t>
      </w:r>
      <w:r w:rsidR="007E4DF5">
        <w:rPr>
          <w:rFonts w:ascii="Garamond" w:hAnsi="Garamond"/>
          <w:sz w:val="24"/>
          <w:szCs w:val="24"/>
        </w:rPr>
        <w:t>an society,</w:t>
      </w:r>
      <w:r w:rsidR="00016049" w:rsidRPr="00461D74">
        <w:rPr>
          <w:rFonts w:ascii="Garamond" w:hAnsi="Garamond"/>
          <w:sz w:val="24"/>
          <w:szCs w:val="24"/>
        </w:rPr>
        <w:t xml:space="preserve"> </w:t>
      </w:r>
      <w:r w:rsidR="007E4DF5">
        <w:rPr>
          <w:rFonts w:ascii="Garamond" w:hAnsi="Garamond"/>
          <w:sz w:val="24"/>
          <w:szCs w:val="24"/>
        </w:rPr>
        <w:t>in the period spanning the</w:t>
      </w:r>
      <w:r w:rsidR="00016049" w:rsidRPr="00461D74">
        <w:rPr>
          <w:rFonts w:ascii="Garamond" w:hAnsi="Garamond"/>
          <w:sz w:val="24"/>
          <w:szCs w:val="24"/>
        </w:rPr>
        <w:t xml:space="preserve"> 14</w:t>
      </w:r>
      <w:r w:rsidR="00016049" w:rsidRPr="00461D74">
        <w:rPr>
          <w:rFonts w:ascii="Garamond" w:hAnsi="Garamond"/>
          <w:sz w:val="24"/>
          <w:szCs w:val="24"/>
          <w:vertAlign w:val="superscript"/>
        </w:rPr>
        <w:t>th</w:t>
      </w:r>
      <w:r w:rsidR="007E4DF5">
        <w:rPr>
          <w:rFonts w:ascii="Garamond" w:hAnsi="Garamond"/>
          <w:sz w:val="24"/>
          <w:szCs w:val="24"/>
        </w:rPr>
        <w:t>-16</w:t>
      </w:r>
      <w:r w:rsidR="007E4DF5" w:rsidRPr="007E4DF5">
        <w:rPr>
          <w:rFonts w:ascii="Garamond" w:hAnsi="Garamond"/>
          <w:sz w:val="24"/>
          <w:szCs w:val="24"/>
          <w:vertAlign w:val="superscript"/>
        </w:rPr>
        <w:t>th</w:t>
      </w:r>
      <w:r w:rsidR="007E4DF5">
        <w:rPr>
          <w:rFonts w:ascii="Garamond" w:hAnsi="Garamond"/>
          <w:sz w:val="24"/>
          <w:szCs w:val="24"/>
        </w:rPr>
        <w:t xml:space="preserve"> </w:t>
      </w:r>
      <w:r w:rsidR="00016049" w:rsidRPr="00461D74">
        <w:rPr>
          <w:rFonts w:ascii="Garamond" w:hAnsi="Garamond"/>
          <w:sz w:val="24"/>
          <w:szCs w:val="24"/>
        </w:rPr>
        <w:t xml:space="preserve">century. Just as important is the fact that the preceding changes in the social order ushered in a period of intellectual and scientific advances that generated a rather </w:t>
      </w:r>
      <w:r w:rsidR="0042634B">
        <w:rPr>
          <w:rFonts w:ascii="Garamond" w:hAnsi="Garamond"/>
          <w:sz w:val="24"/>
          <w:szCs w:val="24"/>
        </w:rPr>
        <w:t>extensive</w:t>
      </w:r>
      <w:r w:rsidR="0042634B" w:rsidRPr="00461D74">
        <w:rPr>
          <w:rFonts w:ascii="Garamond" w:hAnsi="Garamond"/>
          <w:sz w:val="24"/>
          <w:szCs w:val="24"/>
        </w:rPr>
        <w:t xml:space="preserve"> </w:t>
      </w:r>
      <w:r w:rsidR="00016049" w:rsidRPr="00461D74">
        <w:rPr>
          <w:rFonts w:ascii="Garamond" w:hAnsi="Garamond"/>
          <w:sz w:val="24"/>
          <w:szCs w:val="24"/>
        </w:rPr>
        <w:t xml:space="preserve">set of </w:t>
      </w:r>
      <w:r w:rsidR="0042634B">
        <w:rPr>
          <w:rFonts w:ascii="Garamond" w:hAnsi="Garamond"/>
          <w:sz w:val="24"/>
          <w:szCs w:val="24"/>
        </w:rPr>
        <w:t xml:space="preserve">fundamental </w:t>
      </w:r>
      <w:r w:rsidR="00016049" w:rsidRPr="00461D74">
        <w:rPr>
          <w:rFonts w:ascii="Garamond" w:hAnsi="Garamond"/>
          <w:sz w:val="24"/>
          <w:szCs w:val="24"/>
        </w:rPr>
        <w:t xml:space="preserve">problems </w:t>
      </w:r>
      <w:r w:rsidR="0042634B">
        <w:rPr>
          <w:rFonts w:ascii="Garamond" w:hAnsi="Garamond"/>
          <w:sz w:val="24"/>
          <w:szCs w:val="24"/>
        </w:rPr>
        <w:t>that undermined important</w:t>
      </w:r>
      <w:r w:rsidR="00016049" w:rsidRPr="00461D74">
        <w:rPr>
          <w:rFonts w:ascii="Garamond" w:hAnsi="Garamond"/>
          <w:sz w:val="24"/>
          <w:szCs w:val="24"/>
        </w:rPr>
        <w:t xml:space="preserve"> Aristotelian metaphysical concepts. Therefore, to the extent that Aquinas made use of Aristotelian resources in his ethics</w:t>
      </w:r>
      <w:r w:rsidR="00DA5C02" w:rsidRPr="00461D74">
        <w:rPr>
          <w:rFonts w:ascii="Garamond" w:hAnsi="Garamond"/>
          <w:sz w:val="24"/>
          <w:szCs w:val="24"/>
        </w:rPr>
        <w:t>,</w:t>
      </w:r>
      <w:r w:rsidR="00016049" w:rsidRPr="00461D74">
        <w:rPr>
          <w:rFonts w:ascii="Garamond" w:hAnsi="Garamond"/>
          <w:sz w:val="24"/>
          <w:szCs w:val="24"/>
        </w:rPr>
        <w:t xml:space="preserve"> these problems also plagued Thomism; and to the extent in which Thomism survives this transition, it was the revised formulations of Thomistic natural law theory, as opposed to Aquinas’ Aristotelian inspired teleological ethics. </w:t>
      </w:r>
      <w:r w:rsidR="0054018B" w:rsidRPr="00461D74">
        <w:rPr>
          <w:rFonts w:ascii="Garamond" w:hAnsi="Garamond"/>
          <w:sz w:val="24"/>
          <w:szCs w:val="24"/>
        </w:rPr>
        <w:t xml:space="preserve">Here once </w:t>
      </w:r>
      <w:r w:rsidR="00016049" w:rsidRPr="00461D74">
        <w:rPr>
          <w:rFonts w:ascii="Garamond" w:hAnsi="Garamond"/>
          <w:sz w:val="24"/>
          <w:szCs w:val="24"/>
        </w:rPr>
        <w:t>again we have a situation where moral theory is rendered inadequate owing to sweeping upheaval in the social order, and transformation of societal edifice.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A firm conclusion that emerges from MacIntyre’s historical narrative is </w:t>
      </w:r>
      <w:r w:rsidR="0053275E" w:rsidRPr="00461D74">
        <w:rPr>
          <w:rFonts w:ascii="Garamond" w:hAnsi="Garamond"/>
          <w:sz w:val="24"/>
          <w:szCs w:val="24"/>
        </w:rPr>
        <w:t xml:space="preserve">therefore </w:t>
      </w:r>
      <w:r w:rsidRPr="00461D74">
        <w:rPr>
          <w:rFonts w:ascii="Garamond" w:hAnsi="Garamond"/>
          <w:sz w:val="24"/>
          <w:szCs w:val="24"/>
        </w:rPr>
        <w:t xml:space="preserve">that any plausible account of morality must not only, in </w:t>
      </w:r>
      <w:r w:rsidR="00454F19">
        <w:rPr>
          <w:rFonts w:ascii="Garamond" w:hAnsi="Garamond"/>
          <w:sz w:val="24"/>
          <w:szCs w:val="24"/>
        </w:rPr>
        <w:t>a meaningful</w:t>
      </w:r>
      <w:r w:rsidRPr="00461D74">
        <w:rPr>
          <w:rFonts w:ascii="Garamond" w:hAnsi="Garamond"/>
          <w:sz w:val="24"/>
          <w:szCs w:val="24"/>
        </w:rPr>
        <w:t xml:space="preserve"> sense, </w:t>
      </w:r>
      <w:r w:rsidR="00454F19">
        <w:rPr>
          <w:rFonts w:ascii="Garamond" w:hAnsi="Garamond"/>
          <w:sz w:val="24"/>
          <w:szCs w:val="24"/>
        </w:rPr>
        <w:t>remain</w:t>
      </w:r>
      <w:r w:rsidR="00454F19" w:rsidRPr="00461D74">
        <w:rPr>
          <w:rFonts w:ascii="Garamond" w:hAnsi="Garamond"/>
          <w:sz w:val="24"/>
          <w:szCs w:val="24"/>
        </w:rPr>
        <w:t xml:space="preserve"> </w:t>
      </w:r>
      <w:r w:rsidRPr="00461D74">
        <w:rPr>
          <w:rFonts w:ascii="Garamond" w:hAnsi="Garamond"/>
          <w:sz w:val="24"/>
          <w:szCs w:val="24"/>
        </w:rPr>
        <w:t>informed by the background social structure</w:t>
      </w:r>
      <w:r w:rsidR="00454F19">
        <w:rPr>
          <w:rFonts w:ascii="Garamond" w:hAnsi="Garamond"/>
          <w:sz w:val="24"/>
          <w:szCs w:val="24"/>
        </w:rPr>
        <w:t>,</w:t>
      </w:r>
      <w:r w:rsidRPr="00461D74">
        <w:rPr>
          <w:rFonts w:ascii="Garamond" w:hAnsi="Garamond"/>
          <w:sz w:val="24"/>
          <w:szCs w:val="24"/>
        </w:rPr>
        <w:t xml:space="preserve"> it ought </w:t>
      </w:r>
      <w:r w:rsidR="00D357D3">
        <w:rPr>
          <w:rFonts w:ascii="Garamond" w:hAnsi="Garamond"/>
          <w:sz w:val="24"/>
          <w:szCs w:val="24"/>
        </w:rPr>
        <w:t xml:space="preserve">also </w:t>
      </w:r>
      <w:r w:rsidRPr="00461D74">
        <w:rPr>
          <w:rFonts w:ascii="Garamond" w:hAnsi="Garamond"/>
          <w:sz w:val="24"/>
          <w:szCs w:val="24"/>
        </w:rPr>
        <w:t xml:space="preserve">to </w:t>
      </w:r>
      <w:r w:rsidR="00454F19">
        <w:rPr>
          <w:rFonts w:ascii="Garamond" w:hAnsi="Garamond"/>
          <w:sz w:val="24"/>
          <w:szCs w:val="24"/>
        </w:rPr>
        <w:t xml:space="preserve">be able to </w:t>
      </w:r>
      <w:r w:rsidRPr="00461D74">
        <w:rPr>
          <w:rFonts w:ascii="Garamond" w:hAnsi="Garamond"/>
          <w:sz w:val="24"/>
          <w:szCs w:val="24"/>
        </w:rPr>
        <w:t xml:space="preserve">adequately answer the various intellectual </w:t>
      </w:r>
      <w:proofErr w:type="spellStart"/>
      <w:r w:rsidRPr="00461D74">
        <w:rPr>
          <w:rFonts w:ascii="Garamond" w:hAnsi="Garamond"/>
          <w:sz w:val="24"/>
          <w:szCs w:val="24"/>
        </w:rPr>
        <w:t>problematics</w:t>
      </w:r>
      <w:proofErr w:type="spellEnd"/>
      <w:r w:rsidRPr="00461D74">
        <w:rPr>
          <w:rFonts w:ascii="Garamond" w:hAnsi="Garamond"/>
          <w:sz w:val="24"/>
          <w:szCs w:val="24"/>
        </w:rPr>
        <w:t xml:space="preserve"> that </w:t>
      </w:r>
      <w:r w:rsidR="00454F19">
        <w:rPr>
          <w:rFonts w:ascii="Garamond" w:hAnsi="Garamond"/>
          <w:sz w:val="24"/>
          <w:szCs w:val="24"/>
        </w:rPr>
        <w:t>are generated</w:t>
      </w:r>
      <w:r w:rsidR="00454F19" w:rsidRPr="00461D74">
        <w:rPr>
          <w:rFonts w:ascii="Garamond" w:hAnsi="Garamond"/>
          <w:sz w:val="24"/>
          <w:szCs w:val="24"/>
        </w:rPr>
        <w:t xml:space="preserve"> </w:t>
      </w:r>
      <w:r w:rsidRPr="00461D74">
        <w:rPr>
          <w:rFonts w:ascii="Garamond" w:hAnsi="Garamond"/>
          <w:sz w:val="24"/>
          <w:szCs w:val="24"/>
        </w:rPr>
        <w:t xml:space="preserve">in </w:t>
      </w:r>
      <w:r w:rsidR="00454F19">
        <w:rPr>
          <w:rFonts w:ascii="Garamond" w:hAnsi="Garamond"/>
          <w:sz w:val="24"/>
          <w:szCs w:val="24"/>
        </w:rPr>
        <w:t xml:space="preserve">the process of </w:t>
      </w:r>
      <w:r w:rsidRPr="00461D74">
        <w:rPr>
          <w:rFonts w:ascii="Garamond" w:hAnsi="Garamond"/>
          <w:sz w:val="24"/>
          <w:szCs w:val="24"/>
        </w:rPr>
        <w:t xml:space="preserve">reconciling already existing ethical formulations </w:t>
      </w:r>
      <w:r w:rsidR="00C26ADF">
        <w:rPr>
          <w:rFonts w:ascii="Garamond" w:hAnsi="Garamond"/>
          <w:sz w:val="24"/>
          <w:szCs w:val="24"/>
        </w:rPr>
        <w:t xml:space="preserve">– </w:t>
      </w:r>
      <w:r w:rsidRPr="00461D74">
        <w:rPr>
          <w:rFonts w:ascii="Garamond" w:hAnsi="Garamond"/>
          <w:sz w:val="24"/>
          <w:szCs w:val="24"/>
        </w:rPr>
        <w:t>passed on from earlier traditions</w:t>
      </w:r>
      <w:r w:rsidR="00454F19">
        <w:rPr>
          <w:rFonts w:ascii="Garamond" w:hAnsi="Garamond"/>
          <w:sz w:val="24"/>
          <w:szCs w:val="24"/>
        </w:rPr>
        <w:t xml:space="preserve"> and potentially tied to earlier historical contexts</w:t>
      </w:r>
      <w:r w:rsidR="00C26ADF">
        <w:rPr>
          <w:rFonts w:ascii="Garamond" w:hAnsi="Garamond"/>
          <w:sz w:val="24"/>
          <w:szCs w:val="24"/>
        </w:rPr>
        <w:t xml:space="preserve"> and social arrangements –</w:t>
      </w:r>
      <w:r w:rsidRPr="00461D74">
        <w:rPr>
          <w:rFonts w:ascii="Garamond" w:hAnsi="Garamond"/>
          <w:sz w:val="24"/>
          <w:szCs w:val="24"/>
        </w:rPr>
        <w:t xml:space="preserve"> </w:t>
      </w:r>
      <w:r w:rsidR="00B52ED7" w:rsidRPr="00461D74">
        <w:rPr>
          <w:rFonts w:ascii="Garamond" w:hAnsi="Garamond"/>
          <w:sz w:val="24"/>
          <w:szCs w:val="24"/>
        </w:rPr>
        <w:t xml:space="preserve">with </w:t>
      </w:r>
      <w:r w:rsidRPr="00461D74">
        <w:rPr>
          <w:rFonts w:ascii="Garamond" w:hAnsi="Garamond"/>
          <w:sz w:val="24"/>
          <w:szCs w:val="24"/>
        </w:rPr>
        <w:t xml:space="preserve">the </w:t>
      </w:r>
      <w:r w:rsidR="00B52ED7" w:rsidRPr="00461D74">
        <w:rPr>
          <w:rFonts w:ascii="Garamond" w:hAnsi="Garamond"/>
          <w:sz w:val="24"/>
          <w:szCs w:val="24"/>
        </w:rPr>
        <w:t xml:space="preserve">conditions present in the then </w:t>
      </w:r>
      <w:r w:rsidRPr="00461D74">
        <w:rPr>
          <w:rFonts w:ascii="Garamond" w:hAnsi="Garamond"/>
          <w:sz w:val="24"/>
          <w:szCs w:val="24"/>
        </w:rPr>
        <w:t>contemporary social context</w:t>
      </w:r>
      <w:r w:rsidR="00C26ADF">
        <w:rPr>
          <w:rFonts w:ascii="Garamond" w:hAnsi="Garamond"/>
          <w:sz w:val="24"/>
          <w:szCs w:val="24"/>
        </w:rPr>
        <w:t>;</w:t>
      </w:r>
      <w:r w:rsidRPr="00461D74">
        <w:rPr>
          <w:rFonts w:ascii="Garamond" w:hAnsi="Garamond"/>
          <w:sz w:val="24"/>
          <w:szCs w:val="24"/>
        </w:rPr>
        <w:t xml:space="preserve"> and </w:t>
      </w:r>
      <w:r w:rsidR="00C26ADF">
        <w:rPr>
          <w:rFonts w:ascii="Garamond" w:hAnsi="Garamond"/>
          <w:sz w:val="24"/>
          <w:szCs w:val="24"/>
        </w:rPr>
        <w:t>by accomplishing</w:t>
      </w:r>
      <w:r w:rsidRPr="00461D74">
        <w:rPr>
          <w:rFonts w:ascii="Garamond" w:hAnsi="Garamond"/>
          <w:sz w:val="24"/>
          <w:szCs w:val="24"/>
        </w:rPr>
        <w:t xml:space="preserve"> this</w:t>
      </w:r>
      <w:r w:rsidR="00C26ADF">
        <w:rPr>
          <w:rFonts w:ascii="Garamond" w:hAnsi="Garamond"/>
          <w:sz w:val="24"/>
          <w:szCs w:val="24"/>
        </w:rPr>
        <w:t xml:space="preserve"> task</w:t>
      </w:r>
      <w:r w:rsidRPr="00461D74">
        <w:rPr>
          <w:rFonts w:ascii="Garamond" w:hAnsi="Garamond"/>
          <w:sz w:val="24"/>
          <w:szCs w:val="24"/>
        </w:rPr>
        <w:t xml:space="preserve">, a properly formulated moral inquiry (in </w:t>
      </w:r>
      <w:r w:rsidRPr="00461D74">
        <w:rPr>
          <w:rFonts w:ascii="Garamond" w:hAnsi="Garamond"/>
          <w:sz w:val="24"/>
          <w:szCs w:val="24"/>
        </w:rPr>
        <w:lastRenderedPageBreak/>
        <w:t>the context of a tradition) advances an account that supersedes earlier traditions.</w:t>
      </w:r>
      <w:r w:rsidRPr="00461D74">
        <w:rPr>
          <w:rStyle w:val="FootnoteReference"/>
          <w:rFonts w:ascii="Garamond" w:hAnsi="Garamond"/>
          <w:sz w:val="24"/>
          <w:szCs w:val="24"/>
        </w:rPr>
        <w:footnoteReference w:id="137"/>
      </w:r>
      <w:r w:rsidRPr="00461D74">
        <w:rPr>
          <w:rFonts w:ascii="Garamond" w:hAnsi="Garamond"/>
          <w:sz w:val="24"/>
          <w:szCs w:val="24"/>
        </w:rPr>
        <w:t xml:space="preserve"> Hence, in an important sense, moral theory is necessarily informed by, and cannot </w:t>
      </w:r>
      <w:r w:rsidR="00C26ADF">
        <w:rPr>
          <w:rFonts w:ascii="Garamond" w:hAnsi="Garamond"/>
          <w:sz w:val="24"/>
          <w:szCs w:val="24"/>
        </w:rPr>
        <w:t>remain</w:t>
      </w:r>
      <w:r w:rsidR="00C26ADF" w:rsidRPr="00461D74">
        <w:rPr>
          <w:rFonts w:ascii="Garamond" w:hAnsi="Garamond"/>
          <w:sz w:val="24"/>
          <w:szCs w:val="24"/>
        </w:rPr>
        <w:t xml:space="preserve"> </w:t>
      </w:r>
      <w:r w:rsidR="00C26ADF">
        <w:rPr>
          <w:rFonts w:ascii="Garamond" w:hAnsi="Garamond"/>
          <w:sz w:val="24"/>
          <w:szCs w:val="24"/>
        </w:rPr>
        <w:t>divorced</w:t>
      </w:r>
      <w:r w:rsidR="00C26ADF" w:rsidRPr="00461D74">
        <w:rPr>
          <w:rFonts w:ascii="Garamond" w:hAnsi="Garamond"/>
          <w:sz w:val="24"/>
          <w:szCs w:val="24"/>
        </w:rPr>
        <w:t xml:space="preserve"> </w:t>
      </w:r>
      <w:r w:rsidRPr="00461D74">
        <w:rPr>
          <w:rFonts w:ascii="Garamond" w:hAnsi="Garamond"/>
          <w:sz w:val="24"/>
          <w:szCs w:val="24"/>
        </w:rPr>
        <w:t>from, the background social structure.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Thus we have a scenario where</w:t>
      </w:r>
      <w:r w:rsidR="00B52ED7" w:rsidRPr="00461D74">
        <w:rPr>
          <w:rFonts w:ascii="Garamond" w:hAnsi="Garamond"/>
          <w:sz w:val="24"/>
          <w:szCs w:val="24"/>
        </w:rPr>
        <w:t xml:space="preserve"> on the one hand</w:t>
      </w:r>
      <w:r w:rsidRPr="00461D74">
        <w:rPr>
          <w:rFonts w:ascii="Garamond" w:hAnsi="Garamond"/>
          <w:sz w:val="24"/>
          <w:szCs w:val="24"/>
        </w:rPr>
        <w:t xml:space="preserve"> the hypothesis we have identified (H1), (H2), (H3), and (H4) seem to reinforce one another.</w:t>
      </w:r>
    </w:p>
    <w:p w:rsidR="00665157" w:rsidRDefault="000F3BE5">
      <w:pPr>
        <w:spacing w:line="360" w:lineRule="auto"/>
        <w:ind w:left="1440"/>
        <w:rPr>
          <w:rFonts w:ascii="Garamond" w:hAnsi="Garamond"/>
          <w:i/>
        </w:rPr>
      </w:pPr>
      <w:r w:rsidRPr="00461D74">
        <w:rPr>
          <w:rFonts w:ascii="Garamond" w:hAnsi="Garamond"/>
          <w:i/>
        </w:rPr>
        <w:t>(H1):</w:t>
      </w:r>
      <w:r w:rsidRPr="00461D74">
        <w:rPr>
          <w:rFonts w:ascii="Garamond" w:hAnsi="Garamond"/>
        </w:rPr>
        <w:t xml:space="preserve"> Theoretical claims are only intelligible in the context of a background social structure.</w:t>
      </w:r>
    </w:p>
    <w:p w:rsidR="00665157" w:rsidRDefault="000F3BE5">
      <w:pPr>
        <w:spacing w:line="360" w:lineRule="auto"/>
        <w:ind w:left="1440"/>
        <w:rPr>
          <w:rFonts w:ascii="Garamond" w:hAnsi="Garamond"/>
        </w:rPr>
      </w:pPr>
      <w:r w:rsidRPr="00461D74">
        <w:rPr>
          <w:rFonts w:ascii="Garamond" w:hAnsi="Garamond"/>
          <w:i/>
        </w:rPr>
        <w:t>(H2):</w:t>
      </w:r>
      <w:r w:rsidRPr="00461D74">
        <w:rPr>
          <w:rFonts w:ascii="Garamond" w:hAnsi="Garamond"/>
        </w:rPr>
        <w:t xml:space="preserve"> </w:t>
      </w:r>
      <w:proofErr w:type="spellStart"/>
      <w:r w:rsidRPr="00461D74">
        <w:rPr>
          <w:rFonts w:ascii="Garamond" w:hAnsi="Garamond"/>
        </w:rPr>
        <w:t>Emotivist</w:t>
      </w:r>
      <w:proofErr w:type="spellEnd"/>
      <w:r w:rsidRPr="00461D74">
        <w:rPr>
          <w:rFonts w:ascii="Garamond" w:hAnsi="Garamond"/>
        </w:rPr>
        <w:t xml:space="preserve"> theories tend to emerge under conditions of liberalism and pluralism.</w:t>
      </w:r>
    </w:p>
    <w:p w:rsidR="00665157" w:rsidRDefault="000F3BE5">
      <w:pPr>
        <w:spacing w:line="360" w:lineRule="auto"/>
        <w:ind w:left="1440"/>
        <w:rPr>
          <w:rFonts w:ascii="Garamond" w:hAnsi="Garamond"/>
        </w:rPr>
      </w:pPr>
      <w:r w:rsidRPr="00461D74">
        <w:rPr>
          <w:rFonts w:ascii="Garamond" w:hAnsi="Garamond"/>
          <w:i/>
        </w:rPr>
        <w:t>(H3):</w:t>
      </w:r>
      <w:r w:rsidRPr="00461D74">
        <w:rPr>
          <w:rFonts w:ascii="Garamond" w:hAnsi="Garamond"/>
        </w:rPr>
        <w:t xml:space="preserve"> The historical transition from the earlier Heroic period, to that of 4</w:t>
      </w:r>
      <w:r w:rsidRPr="00461D74">
        <w:rPr>
          <w:rFonts w:ascii="Garamond" w:hAnsi="Garamond"/>
          <w:vertAlign w:val="superscript"/>
        </w:rPr>
        <w:t>th</w:t>
      </w:r>
      <w:r w:rsidRPr="00461D74">
        <w:rPr>
          <w:rFonts w:ascii="Garamond" w:hAnsi="Garamond"/>
        </w:rPr>
        <w:t>-5</w:t>
      </w:r>
      <w:r w:rsidRPr="00461D74">
        <w:rPr>
          <w:rFonts w:ascii="Garamond" w:hAnsi="Garamond"/>
          <w:vertAlign w:val="superscript"/>
        </w:rPr>
        <w:t>th</w:t>
      </w:r>
      <w:r w:rsidRPr="00461D74">
        <w:rPr>
          <w:rFonts w:ascii="Garamond" w:hAnsi="Garamond"/>
        </w:rPr>
        <w:t xml:space="preserve"> century BCE Athens, precipitated a change in the Hellenic social structure that undermined, dissolved, and ultimately transformed, the social bonds and practices of the earlier period.</w:t>
      </w:r>
    </w:p>
    <w:p w:rsidR="00665157" w:rsidRDefault="000F3BE5">
      <w:pPr>
        <w:spacing w:line="360" w:lineRule="auto"/>
        <w:ind w:left="1440"/>
        <w:jc w:val="both"/>
        <w:rPr>
          <w:rFonts w:ascii="Garamond" w:hAnsi="Garamond"/>
        </w:rPr>
      </w:pPr>
      <w:r w:rsidRPr="00461D74">
        <w:rPr>
          <w:rFonts w:ascii="Garamond" w:hAnsi="Garamond"/>
          <w:i/>
        </w:rPr>
        <w:t xml:space="preserve"> (H4):</w:t>
      </w:r>
      <w:r w:rsidRPr="00461D74">
        <w:rPr>
          <w:rFonts w:ascii="Garamond" w:hAnsi="Garamond"/>
        </w:rPr>
        <w:t xml:space="preserve"> Social change in the intervening period from Heroic Society to 4</w:t>
      </w:r>
      <w:r w:rsidRPr="00461D74">
        <w:rPr>
          <w:rFonts w:ascii="Garamond" w:hAnsi="Garamond"/>
          <w:vertAlign w:val="superscript"/>
        </w:rPr>
        <w:t>th</w:t>
      </w:r>
      <w:r w:rsidRPr="00461D74">
        <w:rPr>
          <w:rFonts w:ascii="Garamond" w:hAnsi="Garamond"/>
        </w:rPr>
        <w:t>-5</w:t>
      </w:r>
      <w:r w:rsidRPr="00461D74">
        <w:rPr>
          <w:rFonts w:ascii="Garamond" w:hAnsi="Garamond"/>
          <w:vertAlign w:val="superscript"/>
        </w:rPr>
        <w:t>th</w:t>
      </w:r>
      <w:r w:rsidRPr="00461D74">
        <w:rPr>
          <w:rFonts w:ascii="Garamond" w:hAnsi="Garamond"/>
        </w:rPr>
        <w:t xml:space="preserve"> century BCE Athens had generated the sort of conditions where the incompatibility between the goods of excellence and goods of winning more and more become acknowledged in conceptual terms.</w:t>
      </w:r>
    </w:p>
    <w:p w:rsidR="004D3A89" w:rsidRDefault="00016049">
      <w:pPr>
        <w:spacing w:line="360" w:lineRule="auto"/>
        <w:jc w:val="both"/>
        <w:rPr>
          <w:rFonts w:ascii="Garamond" w:hAnsi="Garamond"/>
          <w:sz w:val="24"/>
          <w:szCs w:val="24"/>
        </w:rPr>
      </w:pPr>
      <w:r w:rsidRPr="00461D74">
        <w:rPr>
          <w:rFonts w:ascii="Garamond" w:hAnsi="Garamond"/>
          <w:sz w:val="24"/>
          <w:szCs w:val="24"/>
        </w:rPr>
        <w:t xml:space="preserve">Nonetheless, it also appears that the first four hypotheses </w:t>
      </w:r>
      <w:r w:rsidR="00B52ED7" w:rsidRPr="00461D74">
        <w:rPr>
          <w:rFonts w:ascii="Garamond" w:hAnsi="Garamond"/>
          <w:sz w:val="24"/>
          <w:szCs w:val="24"/>
        </w:rPr>
        <w:t>remain in potential</w:t>
      </w:r>
      <w:r w:rsidRPr="00461D74">
        <w:rPr>
          <w:rFonts w:ascii="Garamond" w:hAnsi="Garamond"/>
          <w:sz w:val="24"/>
          <w:szCs w:val="24"/>
        </w:rPr>
        <w:t xml:space="preserve"> conflict with (H5).</w:t>
      </w:r>
    </w:p>
    <w:p w:rsidR="000F3BE5" w:rsidRPr="00461D74" w:rsidRDefault="000F3BE5" w:rsidP="00164E4D">
      <w:pPr>
        <w:spacing w:line="360" w:lineRule="auto"/>
        <w:ind w:left="1440"/>
        <w:jc w:val="both"/>
        <w:rPr>
          <w:rFonts w:ascii="Garamond" w:hAnsi="Garamond"/>
        </w:rPr>
      </w:pPr>
      <w:r w:rsidRPr="00461D74">
        <w:rPr>
          <w:rFonts w:ascii="Garamond" w:hAnsi="Garamond"/>
          <w:i/>
        </w:rPr>
        <w:t>(H5):</w:t>
      </w:r>
      <w:r w:rsidRPr="00461D74">
        <w:rPr>
          <w:rFonts w:ascii="Garamond" w:hAnsi="Garamond"/>
        </w:rPr>
        <w:t xml:space="preserve"> traditions of moral inquiry must be evaluated dialectically, where later traditions transcend the limitations present in earlier ones, and that the Aristotelian-Thomistic tradition hasn’t really been surpassed or defeated in this sense.</w:t>
      </w:r>
    </w:p>
    <w:p w:rsidR="00386404" w:rsidRPr="00461D74" w:rsidRDefault="00C26ADF" w:rsidP="00164E4D">
      <w:pPr>
        <w:spacing w:line="360" w:lineRule="auto"/>
        <w:ind w:firstLine="720"/>
        <w:jc w:val="both"/>
        <w:rPr>
          <w:rFonts w:ascii="Garamond" w:hAnsi="Garamond"/>
          <w:sz w:val="24"/>
          <w:szCs w:val="24"/>
        </w:rPr>
      </w:pPr>
      <w:r>
        <w:rPr>
          <w:rFonts w:ascii="Garamond" w:hAnsi="Garamond"/>
          <w:sz w:val="24"/>
          <w:szCs w:val="24"/>
        </w:rPr>
        <w:lastRenderedPageBreak/>
        <w:t>It is</w:t>
      </w:r>
      <w:r w:rsidR="00395B64" w:rsidRPr="00461D74">
        <w:rPr>
          <w:rFonts w:ascii="Garamond" w:hAnsi="Garamond"/>
          <w:sz w:val="24"/>
          <w:szCs w:val="24"/>
        </w:rPr>
        <w:t xml:space="preserve"> at this point </w:t>
      </w:r>
      <w:r>
        <w:rPr>
          <w:rFonts w:ascii="Garamond" w:hAnsi="Garamond"/>
          <w:sz w:val="24"/>
          <w:szCs w:val="24"/>
        </w:rPr>
        <w:t xml:space="preserve">in our discussion that </w:t>
      </w:r>
      <w:r w:rsidR="00B52ED7" w:rsidRPr="00461D74">
        <w:rPr>
          <w:rFonts w:ascii="Garamond" w:hAnsi="Garamond"/>
          <w:sz w:val="24"/>
          <w:szCs w:val="24"/>
        </w:rPr>
        <w:t xml:space="preserve">we can </w:t>
      </w:r>
      <w:r w:rsidR="00CD0901">
        <w:rPr>
          <w:rFonts w:ascii="Garamond" w:hAnsi="Garamond"/>
          <w:sz w:val="24"/>
          <w:szCs w:val="24"/>
        </w:rPr>
        <w:t xml:space="preserve">explicitly </w:t>
      </w:r>
      <w:r w:rsidR="00B52ED7" w:rsidRPr="00461D74">
        <w:rPr>
          <w:rFonts w:ascii="Garamond" w:hAnsi="Garamond"/>
          <w:sz w:val="24"/>
          <w:szCs w:val="24"/>
        </w:rPr>
        <w:t xml:space="preserve">identify </w:t>
      </w:r>
      <w:r w:rsidR="00016049" w:rsidRPr="00461D74">
        <w:rPr>
          <w:rFonts w:ascii="Garamond" w:hAnsi="Garamond"/>
          <w:sz w:val="24"/>
          <w:szCs w:val="24"/>
        </w:rPr>
        <w:t xml:space="preserve">an important problem generated </w:t>
      </w:r>
      <w:r>
        <w:rPr>
          <w:rFonts w:ascii="Garamond" w:hAnsi="Garamond"/>
          <w:sz w:val="24"/>
          <w:szCs w:val="24"/>
        </w:rPr>
        <w:t>under</w:t>
      </w:r>
      <w:r w:rsidRPr="00461D74">
        <w:rPr>
          <w:rFonts w:ascii="Garamond" w:hAnsi="Garamond"/>
          <w:sz w:val="24"/>
          <w:szCs w:val="24"/>
        </w:rPr>
        <w:t xml:space="preserve"> </w:t>
      </w:r>
      <w:r w:rsidR="00016049" w:rsidRPr="00461D74">
        <w:rPr>
          <w:rFonts w:ascii="Garamond" w:hAnsi="Garamond"/>
          <w:sz w:val="24"/>
          <w:szCs w:val="24"/>
        </w:rPr>
        <w:t xml:space="preserve">MacIntyre’s account. On the one hand, when MacIntyre talks about the development of traditions, he </w:t>
      </w:r>
      <w:r w:rsidR="00225F32">
        <w:rPr>
          <w:rFonts w:ascii="Garamond" w:hAnsi="Garamond"/>
          <w:sz w:val="24"/>
          <w:szCs w:val="24"/>
        </w:rPr>
        <w:t>views</w:t>
      </w:r>
      <w:r w:rsidR="00225F32" w:rsidRPr="00461D74">
        <w:rPr>
          <w:rFonts w:ascii="Garamond" w:hAnsi="Garamond"/>
          <w:sz w:val="24"/>
          <w:szCs w:val="24"/>
        </w:rPr>
        <w:t xml:space="preserve"> </w:t>
      </w:r>
      <w:r w:rsidR="00016049" w:rsidRPr="00461D74">
        <w:rPr>
          <w:rFonts w:ascii="Garamond" w:hAnsi="Garamond"/>
          <w:sz w:val="24"/>
          <w:szCs w:val="24"/>
        </w:rPr>
        <w:t xml:space="preserve">this in terms of one position overcoming the problems </w:t>
      </w:r>
      <w:r w:rsidR="00225F32">
        <w:rPr>
          <w:rFonts w:ascii="Garamond" w:hAnsi="Garamond"/>
          <w:sz w:val="24"/>
          <w:szCs w:val="24"/>
        </w:rPr>
        <w:t>that</w:t>
      </w:r>
      <w:r w:rsidR="00225F32" w:rsidRPr="00461D74">
        <w:rPr>
          <w:rFonts w:ascii="Garamond" w:hAnsi="Garamond"/>
          <w:sz w:val="24"/>
          <w:szCs w:val="24"/>
        </w:rPr>
        <w:t xml:space="preserve"> </w:t>
      </w:r>
      <w:r w:rsidR="00225F32">
        <w:rPr>
          <w:rFonts w:ascii="Garamond" w:hAnsi="Garamond"/>
          <w:sz w:val="24"/>
          <w:szCs w:val="24"/>
        </w:rPr>
        <w:t>plagues</w:t>
      </w:r>
      <w:r w:rsidR="00225F32" w:rsidRPr="00461D74">
        <w:rPr>
          <w:rFonts w:ascii="Garamond" w:hAnsi="Garamond"/>
          <w:sz w:val="24"/>
          <w:szCs w:val="24"/>
        </w:rPr>
        <w:t xml:space="preserve"> </w:t>
      </w:r>
      <w:r w:rsidR="00D75E23" w:rsidRPr="00461D74">
        <w:rPr>
          <w:rFonts w:ascii="Garamond" w:hAnsi="Garamond"/>
          <w:sz w:val="24"/>
          <w:szCs w:val="24"/>
        </w:rPr>
        <w:t>earlier</w:t>
      </w:r>
      <w:r w:rsidR="00225F32">
        <w:rPr>
          <w:rFonts w:ascii="Garamond" w:hAnsi="Garamond"/>
          <w:sz w:val="24"/>
          <w:szCs w:val="24"/>
        </w:rPr>
        <w:t xml:space="preserve"> account</w:t>
      </w:r>
      <w:r w:rsidR="00D75E23" w:rsidRPr="00461D74">
        <w:rPr>
          <w:rFonts w:ascii="Garamond" w:hAnsi="Garamond"/>
          <w:sz w:val="24"/>
          <w:szCs w:val="24"/>
        </w:rPr>
        <w:t xml:space="preserve">, </w:t>
      </w:r>
      <w:r w:rsidR="00EF3FBE" w:rsidRPr="00461D74">
        <w:rPr>
          <w:rFonts w:ascii="Garamond" w:hAnsi="Garamond"/>
          <w:sz w:val="24"/>
          <w:szCs w:val="24"/>
        </w:rPr>
        <w:t xml:space="preserve">but </w:t>
      </w:r>
      <w:r w:rsidR="00D75E23" w:rsidRPr="00461D74">
        <w:rPr>
          <w:rFonts w:ascii="Garamond" w:hAnsi="Garamond"/>
          <w:sz w:val="24"/>
          <w:szCs w:val="24"/>
        </w:rPr>
        <w:t xml:space="preserve">H3 and H4 </w:t>
      </w:r>
      <w:r w:rsidR="00225F32">
        <w:rPr>
          <w:rFonts w:ascii="Garamond" w:hAnsi="Garamond"/>
          <w:sz w:val="24"/>
          <w:szCs w:val="24"/>
        </w:rPr>
        <w:t xml:space="preserve">appear to </w:t>
      </w:r>
      <w:r w:rsidR="00D75E23" w:rsidRPr="00461D74">
        <w:rPr>
          <w:rFonts w:ascii="Garamond" w:hAnsi="Garamond"/>
          <w:sz w:val="24"/>
          <w:szCs w:val="24"/>
        </w:rPr>
        <w:t xml:space="preserve">suggest that </w:t>
      </w:r>
      <w:r w:rsidR="008261BA">
        <w:rPr>
          <w:rFonts w:ascii="Garamond" w:hAnsi="Garamond"/>
          <w:sz w:val="24"/>
          <w:szCs w:val="24"/>
        </w:rPr>
        <w:t>a</w:t>
      </w:r>
      <w:r w:rsidR="00D75E23" w:rsidRPr="00461D74">
        <w:rPr>
          <w:rFonts w:ascii="Garamond" w:hAnsi="Garamond"/>
          <w:sz w:val="24"/>
          <w:szCs w:val="24"/>
        </w:rPr>
        <w:t xml:space="preserve"> new </w:t>
      </w:r>
      <w:r w:rsidR="008261BA">
        <w:rPr>
          <w:rFonts w:ascii="Garamond" w:hAnsi="Garamond"/>
          <w:sz w:val="24"/>
          <w:szCs w:val="24"/>
        </w:rPr>
        <w:t xml:space="preserve">set of </w:t>
      </w:r>
      <w:r w:rsidR="00D75E23" w:rsidRPr="00461D74">
        <w:rPr>
          <w:rFonts w:ascii="Garamond" w:hAnsi="Garamond"/>
          <w:sz w:val="24"/>
          <w:szCs w:val="24"/>
        </w:rPr>
        <w:t xml:space="preserve">problems </w:t>
      </w:r>
      <w:r w:rsidR="008261BA">
        <w:rPr>
          <w:rFonts w:ascii="Garamond" w:hAnsi="Garamond"/>
          <w:sz w:val="24"/>
          <w:szCs w:val="24"/>
        </w:rPr>
        <w:t>can potentially arise through the</w:t>
      </w:r>
      <w:r w:rsidR="00016049" w:rsidRPr="00461D74">
        <w:rPr>
          <w:rFonts w:ascii="Garamond" w:hAnsi="Garamond"/>
          <w:sz w:val="24"/>
          <w:szCs w:val="24"/>
        </w:rPr>
        <w:t xml:space="preserve"> emerg</w:t>
      </w:r>
      <w:r w:rsidR="00D75E23" w:rsidRPr="00461D74">
        <w:rPr>
          <w:rFonts w:ascii="Garamond" w:hAnsi="Garamond"/>
          <w:sz w:val="24"/>
          <w:szCs w:val="24"/>
        </w:rPr>
        <w:t>ence of new</w:t>
      </w:r>
      <w:r w:rsidR="00016049" w:rsidRPr="00461D74">
        <w:rPr>
          <w:rFonts w:ascii="Garamond" w:hAnsi="Garamond"/>
          <w:sz w:val="24"/>
          <w:szCs w:val="24"/>
        </w:rPr>
        <w:t xml:space="preserve"> soci</w:t>
      </w:r>
      <w:r w:rsidR="008261BA">
        <w:rPr>
          <w:rFonts w:ascii="Garamond" w:hAnsi="Garamond"/>
          <w:sz w:val="24"/>
          <w:szCs w:val="24"/>
        </w:rPr>
        <w:t>al</w:t>
      </w:r>
      <w:r w:rsidR="00016049" w:rsidRPr="00461D74">
        <w:rPr>
          <w:rFonts w:ascii="Garamond" w:hAnsi="Garamond"/>
          <w:sz w:val="24"/>
          <w:szCs w:val="24"/>
        </w:rPr>
        <w:t xml:space="preserve">-historical </w:t>
      </w:r>
      <w:r w:rsidR="008261BA">
        <w:rPr>
          <w:rFonts w:ascii="Garamond" w:hAnsi="Garamond"/>
          <w:sz w:val="24"/>
          <w:szCs w:val="24"/>
        </w:rPr>
        <w:t xml:space="preserve">material </w:t>
      </w:r>
      <w:r w:rsidR="00016049" w:rsidRPr="00461D74">
        <w:rPr>
          <w:rFonts w:ascii="Garamond" w:hAnsi="Garamond"/>
          <w:sz w:val="24"/>
          <w:szCs w:val="24"/>
        </w:rPr>
        <w:t>conditions</w:t>
      </w:r>
      <w:r w:rsidR="00D75E23" w:rsidRPr="00461D74">
        <w:rPr>
          <w:rFonts w:ascii="Garamond" w:hAnsi="Garamond"/>
          <w:sz w:val="24"/>
          <w:szCs w:val="24"/>
        </w:rPr>
        <w:t xml:space="preserve"> in ways that </w:t>
      </w:r>
      <w:r w:rsidR="008261BA">
        <w:rPr>
          <w:rFonts w:ascii="Garamond" w:hAnsi="Garamond"/>
          <w:sz w:val="24"/>
          <w:szCs w:val="24"/>
        </w:rPr>
        <w:t>can render an</w:t>
      </w:r>
      <w:r w:rsidR="008261BA" w:rsidRPr="00461D74">
        <w:rPr>
          <w:rFonts w:ascii="Garamond" w:hAnsi="Garamond"/>
          <w:sz w:val="24"/>
          <w:szCs w:val="24"/>
        </w:rPr>
        <w:t xml:space="preserve"> </w:t>
      </w:r>
      <w:r w:rsidR="00D75E23" w:rsidRPr="00461D74">
        <w:rPr>
          <w:rFonts w:ascii="Garamond" w:hAnsi="Garamond"/>
          <w:sz w:val="24"/>
          <w:szCs w:val="24"/>
        </w:rPr>
        <w:t xml:space="preserve">earlier tradition problematic even </w:t>
      </w:r>
      <w:r w:rsidR="00E560D0" w:rsidRPr="00461D74">
        <w:rPr>
          <w:rFonts w:ascii="Garamond" w:hAnsi="Garamond"/>
          <w:i/>
          <w:sz w:val="24"/>
          <w:szCs w:val="24"/>
        </w:rPr>
        <w:t>before</w:t>
      </w:r>
      <w:r w:rsidR="00D75E23" w:rsidRPr="00461D74">
        <w:rPr>
          <w:rFonts w:ascii="Garamond" w:hAnsi="Garamond"/>
          <w:sz w:val="24"/>
          <w:szCs w:val="24"/>
        </w:rPr>
        <w:t xml:space="preserve"> there is any serious methodical </w:t>
      </w:r>
      <w:r w:rsidR="008261BA">
        <w:rPr>
          <w:rFonts w:ascii="Garamond" w:hAnsi="Garamond"/>
          <w:sz w:val="24"/>
          <w:szCs w:val="24"/>
        </w:rPr>
        <w:t xml:space="preserve">systematic </w:t>
      </w:r>
      <w:r w:rsidR="00D75E23" w:rsidRPr="00461D74">
        <w:rPr>
          <w:rFonts w:ascii="Garamond" w:hAnsi="Garamond"/>
          <w:sz w:val="24"/>
          <w:szCs w:val="24"/>
        </w:rPr>
        <w:t xml:space="preserve">intellectual overcoming of the earlier position </w:t>
      </w:r>
      <w:r w:rsidR="00B52ED7" w:rsidRPr="00461D74">
        <w:rPr>
          <w:rFonts w:ascii="Garamond" w:hAnsi="Garamond"/>
          <w:sz w:val="24"/>
          <w:szCs w:val="24"/>
        </w:rPr>
        <w:t>–</w:t>
      </w:r>
      <w:r w:rsidR="00EF3FBE" w:rsidRPr="00461D74">
        <w:rPr>
          <w:rFonts w:ascii="Garamond" w:hAnsi="Garamond"/>
          <w:sz w:val="24"/>
          <w:szCs w:val="24"/>
        </w:rPr>
        <w:t xml:space="preserve"> here I can </w:t>
      </w:r>
      <w:r w:rsidR="008261BA">
        <w:rPr>
          <w:rFonts w:ascii="Garamond" w:hAnsi="Garamond"/>
          <w:sz w:val="24"/>
          <w:szCs w:val="24"/>
        </w:rPr>
        <w:t xml:space="preserve">further </w:t>
      </w:r>
      <w:r w:rsidR="00EF3FBE" w:rsidRPr="00461D74">
        <w:rPr>
          <w:rFonts w:ascii="Garamond" w:hAnsi="Garamond"/>
          <w:sz w:val="24"/>
          <w:szCs w:val="24"/>
        </w:rPr>
        <w:t xml:space="preserve">cite H3a as an example </w:t>
      </w:r>
      <w:r w:rsidR="00016049" w:rsidRPr="00461D74">
        <w:rPr>
          <w:rFonts w:ascii="Garamond" w:hAnsi="Garamond"/>
          <w:sz w:val="24"/>
          <w:szCs w:val="24"/>
        </w:rPr>
        <w:t xml:space="preserve">in which </w:t>
      </w:r>
      <w:r w:rsidR="008261BA">
        <w:rPr>
          <w:rFonts w:ascii="Garamond" w:hAnsi="Garamond"/>
          <w:sz w:val="24"/>
          <w:szCs w:val="24"/>
        </w:rPr>
        <w:t xml:space="preserve">one could propose that </w:t>
      </w:r>
      <w:r w:rsidR="00D75E23" w:rsidRPr="00461D74">
        <w:rPr>
          <w:rFonts w:ascii="Garamond" w:hAnsi="Garamond"/>
          <w:sz w:val="24"/>
          <w:szCs w:val="24"/>
        </w:rPr>
        <w:t xml:space="preserve">the </w:t>
      </w:r>
      <w:r w:rsidR="00EF3FBE" w:rsidRPr="00461D74">
        <w:rPr>
          <w:rFonts w:ascii="Garamond" w:hAnsi="Garamond"/>
          <w:sz w:val="24"/>
          <w:szCs w:val="24"/>
        </w:rPr>
        <w:t xml:space="preserve">Thomist </w:t>
      </w:r>
      <w:r w:rsidR="00D75E23" w:rsidRPr="00461D74">
        <w:rPr>
          <w:rFonts w:ascii="Garamond" w:hAnsi="Garamond"/>
          <w:sz w:val="24"/>
          <w:szCs w:val="24"/>
        </w:rPr>
        <w:t>account</w:t>
      </w:r>
      <w:r w:rsidR="00EF3FBE" w:rsidRPr="00461D74">
        <w:rPr>
          <w:rFonts w:ascii="Garamond" w:hAnsi="Garamond"/>
          <w:sz w:val="24"/>
          <w:szCs w:val="24"/>
        </w:rPr>
        <w:t xml:space="preserve"> comes to be viewed as</w:t>
      </w:r>
      <w:r w:rsidR="00D75E23" w:rsidRPr="00461D74">
        <w:rPr>
          <w:rFonts w:ascii="Garamond" w:hAnsi="Garamond"/>
          <w:sz w:val="24"/>
          <w:szCs w:val="24"/>
        </w:rPr>
        <w:t xml:space="preserve"> problematic after</w:t>
      </w:r>
      <w:r w:rsidR="00016049" w:rsidRPr="00461D74">
        <w:rPr>
          <w:rFonts w:ascii="Garamond" w:hAnsi="Garamond"/>
          <w:sz w:val="24"/>
          <w:szCs w:val="24"/>
        </w:rPr>
        <w:t xml:space="preserve"> the </w:t>
      </w:r>
      <w:r w:rsidR="008261BA">
        <w:rPr>
          <w:rFonts w:ascii="Garamond" w:hAnsi="Garamond"/>
          <w:sz w:val="24"/>
          <w:szCs w:val="24"/>
        </w:rPr>
        <w:t>steady marginalisation</w:t>
      </w:r>
      <w:r w:rsidR="008261BA" w:rsidRPr="00461D74">
        <w:rPr>
          <w:rFonts w:ascii="Garamond" w:hAnsi="Garamond"/>
          <w:sz w:val="24"/>
          <w:szCs w:val="24"/>
        </w:rPr>
        <w:t xml:space="preserve"> </w:t>
      </w:r>
      <w:r w:rsidR="008261BA">
        <w:rPr>
          <w:rFonts w:ascii="Garamond" w:hAnsi="Garamond"/>
          <w:sz w:val="24"/>
          <w:szCs w:val="24"/>
        </w:rPr>
        <w:t xml:space="preserve">and </w:t>
      </w:r>
      <w:proofErr w:type="spellStart"/>
      <w:r w:rsidR="008261BA">
        <w:rPr>
          <w:rFonts w:ascii="Garamond" w:hAnsi="Garamond"/>
          <w:sz w:val="24"/>
          <w:szCs w:val="24"/>
        </w:rPr>
        <w:t>problematisation</w:t>
      </w:r>
      <w:proofErr w:type="spellEnd"/>
      <w:r w:rsidR="008261BA">
        <w:rPr>
          <w:rFonts w:ascii="Garamond" w:hAnsi="Garamond"/>
          <w:sz w:val="24"/>
          <w:szCs w:val="24"/>
        </w:rPr>
        <w:t xml:space="preserve"> </w:t>
      </w:r>
      <w:r w:rsidR="00016049" w:rsidRPr="00461D74">
        <w:rPr>
          <w:rFonts w:ascii="Garamond" w:hAnsi="Garamond"/>
          <w:sz w:val="24"/>
          <w:szCs w:val="24"/>
        </w:rPr>
        <w:t xml:space="preserve">of </w:t>
      </w:r>
      <w:r w:rsidR="00EF3FBE" w:rsidRPr="00461D74">
        <w:rPr>
          <w:rFonts w:ascii="Garamond" w:hAnsi="Garamond"/>
          <w:sz w:val="24"/>
          <w:szCs w:val="24"/>
        </w:rPr>
        <w:t>Aquinas’ feudal society.</w:t>
      </w:r>
      <w:r w:rsidR="000C0E51">
        <w:rPr>
          <w:rStyle w:val="FootnoteReference"/>
          <w:rFonts w:ascii="Garamond" w:hAnsi="Garamond"/>
          <w:sz w:val="24"/>
          <w:szCs w:val="24"/>
        </w:rPr>
        <w:footnoteReference w:id="138"/>
      </w:r>
      <w:r w:rsidR="00EF3FBE" w:rsidRPr="00461D74">
        <w:rPr>
          <w:rFonts w:ascii="Garamond" w:hAnsi="Garamond"/>
          <w:sz w:val="24"/>
          <w:szCs w:val="24"/>
        </w:rPr>
        <w:t xml:space="preserve"> I should emphasize that social context is paramount since even Aristotle</w:t>
      </w:r>
      <w:r w:rsidR="00DD7895">
        <w:rPr>
          <w:rFonts w:ascii="Garamond" w:hAnsi="Garamond"/>
          <w:sz w:val="24"/>
          <w:szCs w:val="24"/>
        </w:rPr>
        <w:t>, on MacIntyre’s account,</w:t>
      </w:r>
      <w:r w:rsidR="00EF3FBE" w:rsidRPr="00461D74">
        <w:rPr>
          <w:rFonts w:ascii="Garamond" w:hAnsi="Garamond"/>
          <w:sz w:val="24"/>
          <w:szCs w:val="24"/>
        </w:rPr>
        <w:t xml:space="preserve"> was able to </w:t>
      </w:r>
      <w:r w:rsidR="00D75E23" w:rsidRPr="00461D74">
        <w:rPr>
          <w:rFonts w:ascii="Garamond" w:hAnsi="Garamond"/>
          <w:sz w:val="24"/>
          <w:szCs w:val="24"/>
        </w:rPr>
        <w:t>offer a</w:t>
      </w:r>
      <w:r w:rsidR="00EF3FBE" w:rsidRPr="00461D74">
        <w:rPr>
          <w:rFonts w:ascii="Garamond" w:hAnsi="Garamond"/>
          <w:sz w:val="24"/>
          <w:szCs w:val="24"/>
        </w:rPr>
        <w:t xml:space="preserve"> resolution of </w:t>
      </w:r>
      <w:r w:rsidR="00D75E23" w:rsidRPr="00461D74">
        <w:rPr>
          <w:rFonts w:ascii="Garamond" w:hAnsi="Garamond"/>
          <w:sz w:val="24"/>
          <w:szCs w:val="24"/>
        </w:rPr>
        <w:t>the radical disagreement</w:t>
      </w:r>
      <w:r w:rsidR="00EF3FBE" w:rsidRPr="00461D74">
        <w:rPr>
          <w:rFonts w:ascii="Garamond" w:hAnsi="Garamond"/>
          <w:sz w:val="24"/>
          <w:szCs w:val="24"/>
        </w:rPr>
        <w:t>s</w:t>
      </w:r>
      <w:r w:rsidR="00D75E23" w:rsidRPr="00461D74">
        <w:rPr>
          <w:rFonts w:ascii="Garamond" w:hAnsi="Garamond"/>
          <w:sz w:val="24"/>
          <w:szCs w:val="24"/>
        </w:rPr>
        <w:t xml:space="preserve"> </w:t>
      </w:r>
      <w:r w:rsidR="00DD7895">
        <w:rPr>
          <w:rFonts w:ascii="Garamond" w:hAnsi="Garamond"/>
          <w:sz w:val="24"/>
          <w:szCs w:val="24"/>
        </w:rPr>
        <w:t xml:space="preserve">present </w:t>
      </w:r>
      <w:r w:rsidR="00D75E23" w:rsidRPr="00461D74">
        <w:rPr>
          <w:rFonts w:ascii="Garamond" w:hAnsi="Garamond"/>
          <w:sz w:val="24"/>
          <w:szCs w:val="24"/>
        </w:rPr>
        <w:t>in 4</w:t>
      </w:r>
      <w:r w:rsidR="00D75E23" w:rsidRPr="00461D74">
        <w:rPr>
          <w:rFonts w:ascii="Garamond" w:hAnsi="Garamond"/>
          <w:sz w:val="24"/>
          <w:szCs w:val="24"/>
          <w:vertAlign w:val="superscript"/>
        </w:rPr>
        <w:t>th</w:t>
      </w:r>
      <w:r w:rsidR="00D75E23" w:rsidRPr="00461D74">
        <w:rPr>
          <w:rFonts w:ascii="Garamond" w:hAnsi="Garamond"/>
          <w:sz w:val="24"/>
          <w:szCs w:val="24"/>
        </w:rPr>
        <w:t>-5</w:t>
      </w:r>
      <w:r w:rsidR="00D75E23" w:rsidRPr="00461D74">
        <w:rPr>
          <w:rFonts w:ascii="Garamond" w:hAnsi="Garamond"/>
          <w:sz w:val="24"/>
          <w:szCs w:val="24"/>
          <w:vertAlign w:val="superscript"/>
        </w:rPr>
        <w:t>th</w:t>
      </w:r>
      <w:r w:rsidR="00D75E23" w:rsidRPr="00461D74">
        <w:rPr>
          <w:rFonts w:ascii="Garamond" w:hAnsi="Garamond"/>
          <w:sz w:val="24"/>
          <w:szCs w:val="24"/>
        </w:rPr>
        <w:t xml:space="preserve"> century </w:t>
      </w:r>
      <w:r w:rsidR="00DD7895">
        <w:rPr>
          <w:rFonts w:ascii="Garamond" w:hAnsi="Garamond"/>
          <w:sz w:val="24"/>
          <w:szCs w:val="24"/>
        </w:rPr>
        <w:t xml:space="preserve">BCE </w:t>
      </w:r>
      <w:r w:rsidR="00C9559C" w:rsidRPr="00461D74">
        <w:rPr>
          <w:rFonts w:ascii="Garamond" w:hAnsi="Garamond"/>
          <w:sz w:val="24"/>
          <w:szCs w:val="24"/>
        </w:rPr>
        <w:t>Athenian society</w:t>
      </w:r>
      <w:r w:rsidR="00DD7895">
        <w:rPr>
          <w:rFonts w:ascii="Garamond" w:hAnsi="Garamond"/>
          <w:sz w:val="24"/>
          <w:szCs w:val="24"/>
        </w:rPr>
        <w:t>,</w:t>
      </w:r>
      <w:r w:rsidR="00386404" w:rsidRPr="00461D74">
        <w:rPr>
          <w:rFonts w:ascii="Garamond" w:hAnsi="Garamond"/>
          <w:sz w:val="24"/>
          <w:szCs w:val="24"/>
        </w:rPr>
        <w:t xml:space="preserve"> by framing his ethics as </w:t>
      </w:r>
      <w:r w:rsidR="00D357D3">
        <w:rPr>
          <w:rFonts w:ascii="Garamond" w:hAnsi="Garamond"/>
          <w:sz w:val="24"/>
          <w:szCs w:val="24"/>
        </w:rPr>
        <w:t xml:space="preserve">offering </w:t>
      </w:r>
      <w:r w:rsidR="00DD7895">
        <w:rPr>
          <w:rFonts w:ascii="Garamond" w:hAnsi="Garamond"/>
          <w:sz w:val="24"/>
          <w:szCs w:val="24"/>
        </w:rPr>
        <w:t>solutions</w:t>
      </w:r>
      <w:r w:rsidR="00DD7895" w:rsidRPr="00461D74">
        <w:rPr>
          <w:rFonts w:ascii="Garamond" w:hAnsi="Garamond"/>
          <w:sz w:val="24"/>
          <w:szCs w:val="24"/>
        </w:rPr>
        <w:t xml:space="preserve"> </w:t>
      </w:r>
      <w:r w:rsidR="00386404" w:rsidRPr="00461D74">
        <w:rPr>
          <w:rFonts w:ascii="Garamond" w:hAnsi="Garamond"/>
          <w:sz w:val="24"/>
          <w:szCs w:val="24"/>
        </w:rPr>
        <w:t xml:space="preserve">to the </w:t>
      </w:r>
      <w:r w:rsidR="00DD7895">
        <w:rPr>
          <w:rFonts w:ascii="Garamond" w:hAnsi="Garamond"/>
          <w:sz w:val="24"/>
          <w:szCs w:val="24"/>
        </w:rPr>
        <w:t>disagreements that were</w:t>
      </w:r>
      <w:r w:rsidR="00386404" w:rsidRPr="00461D74">
        <w:rPr>
          <w:rFonts w:ascii="Garamond" w:hAnsi="Garamond"/>
          <w:sz w:val="24"/>
          <w:szCs w:val="24"/>
        </w:rPr>
        <w:t xml:space="preserve"> generated </w:t>
      </w:r>
      <w:r w:rsidR="00DD7895">
        <w:rPr>
          <w:rFonts w:ascii="Garamond" w:hAnsi="Garamond"/>
          <w:sz w:val="24"/>
          <w:szCs w:val="24"/>
        </w:rPr>
        <w:t xml:space="preserve">in </w:t>
      </w:r>
      <w:r w:rsidR="00DD7895" w:rsidRPr="00461D74">
        <w:rPr>
          <w:rFonts w:ascii="Garamond" w:hAnsi="Garamond"/>
          <w:sz w:val="24"/>
          <w:szCs w:val="24"/>
        </w:rPr>
        <w:t xml:space="preserve"> </w:t>
      </w:r>
      <w:r w:rsidR="00386404" w:rsidRPr="00461D74">
        <w:rPr>
          <w:rFonts w:ascii="Garamond" w:hAnsi="Garamond"/>
          <w:sz w:val="24"/>
          <w:szCs w:val="24"/>
        </w:rPr>
        <w:t xml:space="preserve">the </w:t>
      </w:r>
      <w:r w:rsidR="00DD7895">
        <w:rPr>
          <w:rFonts w:ascii="Garamond" w:hAnsi="Garamond"/>
          <w:sz w:val="24"/>
          <w:szCs w:val="24"/>
        </w:rPr>
        <w:t xml:space="preserve">context of the </w:t>
      </w:r>
      <w:r w:rsidR="00386404" w:rsidRPr="00461D74">
        <w:rPr>
          <w:rFonts w:ascii="Garamond" w:hAnsi="Garamond"/>
          <w:sz w:val="24"/>
          <w:szCs w:val="24"/>
        </w:rPr>
        <w:t>Athenian polis</w:t>
      </w:r>
      <w:r w:rsidR="00016049" w:rsidRPr="00461D74">
        <w:rPr>
          <w:rFonts w:ascii="Garamond" w:hAnsi="Garamond"/>
          <w:sz w:val="24"/>
          <w:szCs w:val="24"/>
        </w:rPr>
        <w:t>.</w:t>
      </w:r>
    </w:p>
    <w:p w:rsidR="00016049" w:rsidRPr="00461D74" w:rsidRDefault="00386404" w:rsidP="00164E4D">
      <w:pPr>
        <w:spacing w:line="360" w:lineRule="auto"/>
        <w:ind w:firstLine="720"/>
        <w:jc w:val="both"/>
        <w:rPr>
          <w:rFonts w:ascii="Garamond" w:hAnsi="Garamond"/>
          <w:sz w:val="24"/>
          <w:szCs w:val="24"/>
        </w:rPr>
      </w:pPr>
      <w:r w:rsidRPr="00461D74">
        <w:rPr>
          <w:rFonts w:ascii="Garamond" w:hAnsi="Garamond"/>
          <w:sz w:val="24"/>
          <w:szCs w:val="24"/>
        </w:rPr>
        <w:t>O</w:t>
      </w:r>
      <w:r w:rsidR="00016049" w:rsidRPr="00461D74">
        <w:rPr>
          <w:rFonts w:ascii="Garamond" w:hAnsi="Garamond"/>
          <w:sz w:val="24"/>
          <w:szCs w:val="24"/>
        </w:rPr>
        <w:t xml:space="preserve">n the other hand, MacIntyre tries to defend the contemporary significance and value of Thomism, a position whose historical context is in the distant past, and which has been supplanted in the contemporary western context by the liberal tradition. Thus, there appears to be an important tension between these two views. If MacIntyre is right, that traditions progress through the ways in which they </w:t>
      </w:r>
      <w:r w:rsidR="00DD7895">
        <w:rPr>
          <w:rFonts w:ascii="Garamond" w:hAnsi="Garamond"/>
          <w:sz w:val="24"/>
          <w:szCs w:val="24"/>
        </w:rPr>
        <w:t>afford</w:t>
      </w:r>
      <w:r w:rsidR="00DD7895" w:rsidRPr="00461D74">
        <w:rPr>
          <w:rFonts w:ascii="Garamond" w:hAnsi="Garamond"/>
          <w:sz w:val="24"/>
          <w:szCs w:val="24"/>
        </w:rPr>
        <w:t xml:space="preserve"> </w:t>
      </w:r>
      <w:r w:rsidR="00016049" w:rsidRPr="00461D74">
        <w:rPr>
          <w:rFonts w:ascii="Garamond" w:hAnsi="Garamond"/>
          <w:sz w:val="24"/>
          <w:szCs w:val="24"/>
        </w:rPr>
        <w:t xml:space="preserve">satisfactory answers to the </w:t>
      </w:r>
      <w:r w:rsidR="00DD7895">
        <w:rPr>
          <w:rFonts w:ascii="Garamond" w:hAnsi="Garamond"/>
          <w:sz w:val="24"/>
          <w:szCs w:val="24"/>
        </w:rPr>
        <w:t>range of</w:t>
      </w:r>
      <w:r w:rsidR="00DD7895" w:rsidRPr="00461D74">
        <w:rPr>
          <w:rFonts w:ascii="Garamond" w:hAnsi="Garamond"/>
          <w:sz w:val="24"/>
          <w:szCs w:val="24"/>
        </w:rPr>
        <w:t xml:space="preserve"> </w:t>
      </w:r>
      <w:r w:rsidR="00DD7895">
        <w:rPr>
          <w:rFonts w:ascii="Garamond" w:hAnsi="Garamond"/>
          <w:sz w:val="24"/>
          <w:szCs w:val="24"/>
        </w:rPr>
        <w:t xml:space="preserve">social </w:t>
      </w:r>
      <w:proofErr w:type="spellStart"/>
      <w:r w:rsidR="00016049" w:rsidRPr="00461D74">
        <w:rPr>
          <w:rFonts w:ascii="Garamond" w:hAnsi="Garamond"/>
          <w:sz w:val="24"/>
          <w:szCs w:val="24"/>
        </w:rPr>
        <w:t>problematics</w:t>
      </w:r>
      <w:proofErr w:type="spellEnd"/>
      <w:r w:rsidR="00016049" w:rsidRPr="00461D74">
        <w:rPr>
          <w:rFonts w:ascii="Garamond" w:hAnsi="Garamond"/>
          <w:sz w:val="24"/>
          <w:szCs w:val="24"/>
        </w:rPr>
        <w:t xml:space="preserve"> which their predecessors encounter </w:t>
      </w:r>
      <w:r w:rsidR="00DD7895">
        <w:rPr>
          <w:rFonts w:ascii="Garamond" w:hAnsi="Garamond"/>
          <w:sz w:val="24"/>
          <w:szCs w:val="24"/>
        </w:rPr>
        <w:t>owing</w:t>
      </w:r>
      <w:r w:rsidR="00DD7895" w:rsidRPr="00461D74">
        <w:rPr>
          <w:rFonts w:ascii="Garamond" w:hAnsi="Garamond"/>
          <w:sz w:val="24"/>
          <w:szCs w:val="24"/>
        </w:rPr>
        <w:t xml:space="preserve"> </w:t>
      </w:r>
      <w:r w:rsidR="00016049" w:rsidRPr="00461D74">
        <w:rPr>
          <w:rFonts w:ascii="Garamond" w:hAnsi="Garamond"/>
          <w:sz w:val="24"/>
          <w:szCs w:val="24"/>
        </w:rPr>
        <w:t xml:space="preserve">to newly emerging social realities, then it </w:t>
      </w:r>
      <w:r w:rsidR="00016049" w:rsidRPr="00461D74">
        <w:rPr>
          <w:rFonts w:ascii="Garamond" w:hAnsi="Garamond"/>
          <w:sz w:val="24"/>
          <w:szCs w:val="24"/>
        </w:rPr>
        <w:lastRenderedPageBreak/>
        <w:t>seems he should be committed to seeing liberalism as an advance over Thomism. And equally, if MacIntyre is right that traditions relate closely to their social context in order to be meaningful, then it seems he should question whether Thomism can really be revived for us today.</w:t>
      </w:r>
    </w:p>
    <w:p w:rsidR="00411D2B" w:rsidRDefault="00F23E03" w:rsidP="00164E4D">
      <w:pPr>
        <w:spacing w:line="360" w:lineRule="auto"/>
        <w:ind w:firstLine="720"/>
        <w:jc w:val="both"/>
        <w:rPr>
          <w:rFonts w:ascii="Garamond" w:hAnsi="Garamond"/>
          <w:sz w:val="24"/>
          <w:szCs w:val="24"/>
        </w:rPr>
      </w:pPr>
      <w:r w:rsidRPr="00461D74">
        <w:rPr>
          <w:rFonts w:ascii="Garamond" w:hAnsi="Garamond"/>
          <w:sz w:val="24"/>
          <w:szCs w:val="24"/>
        </w:rPr>
        <w:t xml:space="preserve">Therefore, </w:t>
      </w:r>
      <w:r w:rsidR="00016049" w:rsidRPr="00461D74">
        <w:rPr>
          <w:rFonts w:ascii="Garamond" w:hAnsi="Garamond"/>
          <w:sz w:val="24"/>
          <w:szCs w:val="24"/>
        </w:rPr>
        <w:t xml:space="preserve">it </w:t>
      </w:r>
      <w:r w:rsidR="007058D2">
        <w:rPr>
          <w:rFonts w:ascii="Garamond" w:hAnsi="Garamond"/>
          <w:sz w:val="24"/>
          <w:szCs w:val="24"/>
        </w:rPr>
        <w:t>seems</w:t>
      </w:r>
      <w:r w:rsidR="000D19AA" w:rsidRPr="00461D74">
        <w:rPr>
          <w:rFonts w:ascii="Garamond" w:hAnsi="Garamond"/>
          <w:sz w:val="24"/>
          <w:szCs w:val="24"/>
        </w:rPr>
        <w:t xml:space="preserve"> that it </w:t>
      </w:r>
      <w:r w:rsidR="00CB14FC" w:rsidRPr="00461D74">
        <w:rPr>
          <w:rFonts w:ascii="Garamond" w:hAnsi="Garamond"/>
          <w:sz w:val="24"/>
          <w:szCs w:val="24"/>
        </w:rPr>
        <w:t xml:space="preserve">is difficult for </w:t>
      </w:r>
      <w:r w:rsidR="00016049" w:rsidRPr="00461D74">
        <w:rPr>
          <w:rFonts w:ascii="Garamond" w:hAnsi="Garamond"/>
          <w:sz w:val="24"/>
          <w:szCs w:val="24"/>
        </w:rPr>
        <w:t xml:space="preserve">MacIntyre to hold onto both of these views. This generates the </w:t>
      </w:r>
      <w:r w:rsidR="00DB00EA" w:rsidRPr="00DB00EA">
        <w:rPr>
          <w:rFonts w:ascii="Garamond" w:hAnsi="Garamond"/>
          <w:i/>
          <w:sz w:val="24"/>
          <w:szCs w:val="24"/>
        </w:rPr>
        <w:t>first problematic</w:t>
      </w:r>
      <w:r w:rsidR="00016049" w:rsidRPr="00461D74">
        <w:rPr>
          <w:rFonts w:ascii="Garamond" w:hAnsi="Garamond"/>
          <w:sz w:val="24"/>
          <w:szCs w:val="24"/>
        </w:rPr>
        <w:t xml:space="preserve"> of my thesis: that MacIntyre needs to explain why under his own account – in which traditions are presented as part of a historical series where earlier traditions are surpassed by later ones – the tradition to which he allies himself is Thomism, </w:t>
      </w:r>
      <w:r w:rsidR="00CB14FC" w:rsidRPr="00461D74">
        <w:rPr>
          <w:rFonts w:ascii="Garamond" w:hAnsi="Garamond"/>
          <w:sz w:val="24"/>
          <w:szCs w:val="24"/>
        </w:rPr>
        <w:t xml:space="preserve">for </w:t>
      </w:r>
      <w:r w:rsidR="00016049" w:rsidRPr="00461D74">
        <w:rPr>
          <w:rFonts w:ascii="Garamond" w:hAnsi="Garamond"/>
          <w:sz w:val="24"/>
          <w:szCs w:val="24"/>
        </w:rPr>
        <w:t xml:space="preserve">it appears that Thomism itself has been supplanted by later </w:t>
      </w:r>
      <w:r w:rsidR="007058D2">
        <w:rPr>
          <w:rFonts w:ascii="Garamond" w:hAnsi="Garamond"/>
          <w:sz w:val="24"/>
          <w:szCs w:val="24"/>
        </w:rPr>
        <w:t>accounts</w:t>
      </w:r>
      <w:r w:rsidR="00016049" w:rsidRPr="00461D74">
        <w:rPr>
          <w:rFonts w:ascii="Garamond" w:hAnsi="Garamond"/>
          <w:sz w:val="24"/>
          <w:szCs w:val="24"/>
        </w:rPr>
        <w:t xml:space="preserve">, and </w:t>
      </w:r>
      <w:r w:rsidR="00CB14FC" w:rsidRPr="00461D74">
        <w:rPr>
          <w:rFonts w:ascii="Garamond" w:hAnsi="Garamond"/>
          <w:sz w:val="24"/>
          <w:szCs w:val="24"/>
        </w:rPr>
        <w:t>ultimately</w:t>
      </w:r>
      <w:r w:rsidR="00016049" w:rsidRPr="00461D74">
        <w:rPr>
          <w:rFonts w:ascii="Garamond" w:hAnsi="Garamond"/>
          <w:sz w:val="24"/>
          <w:szCs w:val="24"/>
        </w:rPr>
        <w:t>, the liberal tradition.</w:t>
      </w:r>
      <w:r w:rsidR="00471447">
        <w:rPr>
          <w:rFonts w:ascii="Garamond" w:hAnsi="Garamond"/>
          <w:sz w:val="24"/>
          <w:szCs w:val="24"/>
        </w:rPr>
        <w:t xml:space="preserve"> This claim</w:t>
      </w:r>
      <w:r w:rsidR="00280518">
        <w:rPr>
          <w:rFonts w:ascii="Garamond" w:hAnsi="Garamond"/>
          <w:sz w:val="24"/>
          <w:szCs w:val="24"/>
        </w:rPr>
        <w:t xml:space="preserve"> of course takes on an added emphasis since MacIntyre argues </w:t>
      </w:r>
      <w:r w:rsidR="00471447">
        <w:rPr>
          <w:rFonts w:ascii="Garamond" w:hAnsi="Garamond"/>
          <w:sz w:val="24"/>
          <w:szCs w:val="24"/>
        </w:rPr>
        <w:t xml:space="preserve">in </w:t>
      </w:r>
      <w:r w:rsidR="003519B2" w:rsidRPr="003519B2">
        <w:rPr>
          <w:rFonts w:ascii="Garamond" w:hAnsi="Garamond"/>
          <w:i/>
          <w:sz w:val="24"/>
          <w:szCs w:val="24"/>
        </w:rPr>
        <w:t>Whose Justice</w:t>
      </w:r>
      <w:r w:rsidR="00471447">
        <w:rPr>
          <w:rFonts w:ascii="Garamond" w:hAnsi="Garamond"/>
          <w:sz w:val="24"/>
          <w:szCs w:val="24"/>
        </w:rPr>
        <w:t xml:space="preserve"> </w:t>
      </w:r>
      <w:r w:rsidR="00280518">
        <w:rPr>
          <w:rFonts w:ascii="Garamond" w:hAnsi="Garamond"/>
          <w:sz w:val="24"/>
          <w:szCs w:val="24"/>
        </w:rPr>
        <w:t>that liberalism is in fact the dominant tradition of modern liberal society.</w:t>
      </w:r>
    </w:p>
    <w:p w:rsidR="004F621C" w:rsidRDefault="00280518" w:rsidP="00164E4D">
      <w:pPr>
        <w:spacing w:line="360" w:lineRule="auto"/>
        <w:ind w:firstLine="720"/>
        <w:jc w:val="both"/>
        <w:rPr>
          <w:rFonts w:ascii="Garamond" w:hAnsi="Garamond"/>
          <w:sz w:val="24"/>
          <w:szCs w:val="24"/>
        </w:rPr>
      </w:pPr>
      <w:r>
        <w:rPr>
          <w:rFonts w:ascii="Garamond" w:hAnsi="Garamond"/>
          <w:sz w:val="24"/>
          <w:szCs w:val="24"/>
        </w:rPr>
        <w:t xml:space="preserve">Now, as part of his criticism of the liberal tradition, </w:t>
      </w:r>
      <w:r w:rsidR="004F621C">
        <w:rPr>
          <w:rFonts w:ascii="Garamond" w:hAnsi="Garamond"/>
          <w:sz w:val="24"/>
          <w:szCs w:val="24"/>
        </w:rPr>
        <w:t xml:space="preserve">MacIntyre seems to reject not only liberalism, but also any engagement with </w:t>
      </w:r>
      <w:r w:rsidR="00471447">
        <w:rPr>
          <w:rFonts w:ascii="Garamond" w:hAnsi="Garamond"/>
          <w:sz w:val="24"/>
          <w:szCs w:val="24"/>
        </w:rPr>
        <w:t>liberal political systems</w:t>
      </w:r>
      <w:r w:rsidR="004F621C">
        <w:rPr>
          <w:rFonts w:ascii="Garamond" w:hAnsi="Garamond"/>
          <w:sz w:val="24"/>
          <w:szCs w:val="24"/>
        </w:rPr>
        <w:t xml:space="preserve">, and in its stead offers a small-scale communal politics that can be characterised in equal parts </w:t>
      </w:r>
      <w:r w:rsidR="00912CD3">
        <w:rPr>
          <w:rFonts w:ascii="Garamond" w:hAnsi="Garamond"/>
          <w:sz w:val="24"/>
          <w:szCs w:val="24"/>
        </w:rPr>
        <w:t>by</w:t>
      </w:r>
      <w:r w:rsidR="004F621C">
        <w:rPr>
          <w:rFonts w:ascii="Garamond" w:hAnsi="Garamond"/>
          <w:sz w:val="24"/>
          <w:szCs w:val="24"/>
        </w:rPr>
        <w:t xml:space="preserve"> its support for small-scale </w:t>
      </w:r>
      <w:r>
        <w:rPr>
          <w:rFonts w:ascii="Garamond" w:hAnsi="Garamond"/>
          <w:sz w:val="24"/>
          <w:szCs w:val="24"/>
        </w:rPr>
        <w:t>social-</w:t>
      </w:r>
      <w:r w:rsidR="004F621C">
        <w:rPr>
          <w:rFonts w:ascii="Garamond" w:hAnsi="Garamond"/>
          <w:sz w:val="24"/>
          <w:szCs w:val="24"/>
        </w:rPr>
        <w:t xml:space="preserve">political associations </w:t>
      </w:r>
      <w:r w:rsidR="00912CD3">
        <w:rPr>
          <w:rFonts w:ascii="Garamond" w:hAnsi="Garamond"/>
          <w:sz w:val="24"/>
          <w:szCs w:val="24"/>
        </w:rPr>
        <w:t>as well as</w:t>
      </w:r>
      <w:r w:rsidR="004F621C">
        <w:rPr>
          <w:rFonts w:ascii="Garamond" w:hAnsi="Garamond"/>
          <w:sz w:val="24"/>
          <w:szCs w:val="24"/>
        </w:rPr>
        <w:t xml:space="preserve"> its strong</w:t>
      </w:r>
      <w:r w:rsidR="00912CD3">
        <w:rPr>
          <w:rFonts w:ascii="Garamond" w:hAnsi="Garamond"/>
          <w:sz w:val="24"/>
          <w:szCs w:val="24"/>
        </w:rPr>
        <w:t xml:space="preserve"> and unmitigat</w:t>
      </w:r>
      <w:r w:rsidR="00D357D3">
        <w:rPr>
          <w:rFonts w:ascii="Garamond" w:hAnsi="Garamond"/>
          <w:sz w:val="24"/>
          <w:szCs w:val="24"/>
        </w:rPr>
        <w:t>ed</w:t>
      </w:r>
      <w:r w:rsidR="00912CD3">
        <w:rPr>
          <w:rFonts w:ascii="Garamond" w:hAnsi="Garamond"/>
          <w:sz w:val="24"/>
          <w:szCs w:val="24"/>
        </w:rPr>
        <w:t xml:space="preserve"> </w:t>
      </w:r>
      <w:r w:rsidR="004F621C">
        <w:rPr>
          <w:rFonts w:ascii="Garamond" w:hAnsi="Garamond"/>
          <w:sz w:val="24"/>
          <w:szCs w:val="24"/>
        </w:rPr>
        <w:t xml:space="preserve">opposition to </w:t>
      </w:r>
      <w:r w:rsidR="00912CD3">
        <w:rPr>
          <w:rFonts w:ascii="Garamond" w:hAnsi="Garamond"/>
          <w:sz w:val="24"/>
          <w:szCs w:val="24"/>
        </w:rPr>
        <w:t>the liberal political order</w:t>
      </w:r>
      <w:r w:rsidR="004F621C">
        <w:rPr>
          <w:rFonts w:ascii="Garamond" w:hAnsi="Garamond"/>
          <w:sz w:val="24"/>
          <w:szCs w:val="24"/>
        </w:rPr>
        <w:t xml:space="preserve">. </w:t>
      </w:r>
      <w:r>
        <w:rPr>
          <w:rFonts w:ascii="Garamond" w:hAnsi="Garamond"/>
          <w:sz w:val="24"/>
          <w:szCs w:val="24"/>
        </w:rPr>
        <w:t>Our</w:t>
      </w:r>
      <w:r w:rsidR="004F621C">
        <w:rPr>
          <w:rFonts w:ascii="Garamond" w:hAnsi="Garamond"/>
          <w:sz w:val="24"/>
          <w:szCs w:val="24"/>
        </w:rPr>
        <w:t xml:space="preserve"> </w:t>
      </w:r>
      <w:r w:rsidR="004F621C" w:rsidRPr="004F621C">
        <w:rPr>
          <w:rFonts w:ascii="Garamond" w:hAnsi="Garamond"/>
          <w:i/>
          <w:sz w:val="24"/>
          <w:szCs w:val="24"/>
        </w:rPr>
        <w:t>second problematic</w:t>
      </w:r>
      <w:r w:rsidR="004F621C">
        <w:rPr>
          <w:rFonts w:ascii="Garamond" w:hAnsi="Garamond"/>
          <w:sz w:val="24"/>
          <w:szCs w:val="24"/>
        </w:rPr>
        <w:t xml:space="preserve"> </w:t>
      </w:r>
      <w:r>
        <w:rPr>
          <w:rFonts w:ascii="Garamond" w:hAnsi="Garamond"/>
          <w:sz w:val="24"/>
          <w:szCs w:val="24"/>
        </w:rPr>
        <w:t xml:space="preserve">then </w:t>
      </w:r>
      <w:r w:rsidR="004F621C">
        <w:rPr>
          <w:rFonts w:ascii="Garamond" w:hAnsi="Garamond"/>
          <w:sz w:val="24"/>
          <w:szCs w:val="24"/>
        </w:rPr>
        <w:t>emerges, and can be characterised, as an implication (or upshot), of the</w:t>
      </w:r>
      <w:r>
        <w:rPr>
          <w:rFonts w:ascii="Garamond" w:hAnsi="Garamond"/>
          <w:sz w:val="24"/>
          <w:szCs w:val="24"/>
        </w:rPr>
        <w:t xml:space="preserve"> first difficulty, when taken together with </w:t>
      </w:r>
      <w:r w:rsidR="00471447">
        <w:rPr>
          <w:rFonts w:ascii="Garamond" w:hAnsi="Garamond"/>
          <w:sz w:val="24"/>
          <w:szCs w:val="24"/>
        </w:rPr>
        <w:t>th</w:t>
      </w:r>
      <w:r w:rsidR="004A5A24">
        <w:rPr>
          <w:rFonts w:ascii="Garamond" w:hAnsi="Garamond"/>
          <w:sz w:val="24"/>
          <w:szCs w:val="24"/>
        </w:rPr>
        <w:t>e exact type</w:t>
      </w:r>
      <w:r w:rsidR="00471447">
        <w:rPr>
          <w:rFonts w:ascii="Garamond" w:hAnsi="Garamond"/>
          <w:sz w:val="24"/>
          <w:szCs w:val="24"/>
        </w:rPr>
        <w:t xml:space="preserve"> of claim in which </w:t>
      </w:r>
      <w:r>
        <w:rPr>
          <w:rFonts w:ascii="Garamond" w:hAnsi="Garamond"/>
          <w:sz w:val="24"/>
          <w:szCs w:val="24"/>
        </w:rPr>
        <w:t>MacIntyre</w:t>
      </w:r>
      <w:r w:rsidR="00471447">
        <w:rPr>
          <w:rFonts w:ascii="Garamond" w:hAnsi="Garamond"/>
          <w:sz w:val="24"/>
          <w:szCs w:val="24"/>
        </w:rPr>
        <w:t xml:space="preserve"> unequivocally expresses his </w:t>
      </w:r>
      <w:r>
        <w:rPr>
          <w:rFonts w:ascii="Garamond" w:hAnsi="Garamond"/>
          <w:sz w:val="24"/>
          <w:szCs w:val="24"/>
        </w:rPr>
        <w:t>steadfast opposition to the liberal political order.</w:t>
      </w:r>
    </w:p>
    <w:p w:rsidR="00DF2421" w:rsidRDefault="00471447" w:rsidP="00164E4D">
      <w:pPr>
        <w:spacing w:line="360" w:lineRule="auto"/>
        <w:ind w:firstLine="720"/>
        <w:jc w:val="both"/>
        <w:rPr>
          <w:rFonts w:ascii="Garamond" w:hAnsi="Garamond"/>
          <w:sz w:val="24"/>
          <w:szCs w:val="24"/>
        </w:rPr>
      </w:pPr>
      <w:r>
        <w:rPr>
          <w:rFonts w:ascii="Garamond" w:hAnsi="Garamond"/>
          <w:sz w:val="24"/>
          <w:szCs w:val="24"/>
        </w:rPr>
        <w:t>Therefore, n</w:t>
      </w:r>
      <w:r w:rsidR="00280518">
        <w:rPr>
          <w:rFonts w:ascii="Garamond" w:hAnsi="Garamond"/>
          <w:sz w:val="24"/>
          <w:szCs w:val="24"/>
        </w:rPr>
        <w:t xml:space="preserve">otwithstanding MacIntyre’s opprobrium towards the liberal order, </w:t>
      </w:r>
      <w:r w:rsidR="00464A1E">
        <w:rPr>
          <w:rFonts w:ascii="Garamond" w:hAnsi="Garamond"/>
          <w:sz w:val="24"/>
          <w:szCs w:val="24"/>
        </w:rPr>
        <w:t xml:space="preserve">it </w:t>
      </w:r>
      <w:r w:rsidR="00A44D5C">
        <w:rPr>
          <w:rFonts w:ascii="Garamond" w:hAnsi="Garamond"/>
          <w:sz w:val="24"/>
          <w:szCs w:val="24"/>
        </w:rPr>
        <w:t>would appear</w:t>
      </w:r>
      <w:r w:rsidR="00DF2421">
        <w:rPr>
          <w:rFonts w:ascii="Garamond" w:hAnsi="Garamond"/>
          <w:sz w:val="24"/>
          <w:szCs w:val="24"/>
        </w:rPr>
        <w:t xml:space="preserve"> that under </w:t>
      </w:r>
      <w:r w:rsidR="00280518">
        <w:rPr>
          <w:rFonts w:ascii="Garamond" w:hAnsi="Garamond"/>
          <w:sz w:val="24"/>
          <w:szCs w:val="24"/>
        </w:rPr>
        <w:t>the</w:t>
      </w:r>
      <w:r w:rsidR="00DF2421">
        <w:rPr>
          <w:rFonts w:ascii="Garamond" w:hAnsi="Garamond"/>
          <w:sz w:val="24"/>
          <w:szCs w:val="24"/>
        </w:rPr>
        <w:t xml:space="preserve"> historical-contextualist account developed </w:t>
      </w:r>
      <w:r w:rsidR="00280518">
        <w:rPr>
          <w:rFonts w:ascii="Garamond" w:hAnsi="Garamond"/>
          <w:sz w:val="24"/>
          <w:szCs w:val="24"/>
        </w:rPr>
        <w:t xml:space="preserve">by MacIntyre </w:t>
      </w:r>
      <w:r w:rsidR="00DF2421">
        <w:rPr>
          <w:rFonts w:ascii="Garamond" w:hAnsi="Garamond"/>
          <w:sz w:val="24"/>
          <w:szCs w:val="24"/>
        </w:rPr>
        <w:t xml:space="preserve">in </w:t>
      </w:r>
      <w:r w:rsidR="00DB00EA" w:rsidRPr="00DB00EA">
        <w:rPr>
          <w:rFonts w:ascii="Garamond" w:hAnsi="Garamond"/>
          <w:i/>
          <w:sz w:val="24"/>
          <w:szCs w:val="24"/>
        </w:rPr>
        <w:t>After Virtue</w:t>
      </w:r>
      <w:r w:rsidR="00DF2421">
        <w:rPr>
          <w:rFonts w:ascii="Garamond" w:hAnsi="Garamond"/>
          <w:sz w:val="24"/>
          <w:szCs w:val="24"/>
        </w:rPr>
        <w:t xml:space="preserve"> and </w:t>
      </w:r>
      <w:r w:rsidR="00DB00EA" w:rsidRPr="00DB00EA">
        <w:rPr>
          <w:rFonts w:ascii="Garamond" w:hAnsi="Garamond"/>
          <w:i/>
          <w:sz w:val="24"/>
          <w:szCs w:val="24"/>
        </w:rPr>
        <w:t>Whose Justice</w:t>
      </w:r>
      <w:r w:rsidR="00754052">
        <w:rPr>
          <w:rFonts w:ascii="Garamond" w:hAnsi="Garamond"/>
          <w:sz w:val="24"/>
          <w:szCs w:val="24"/>
        </w:rPr>
        <w:t xml:space="preserve">, </w:t>
      </w:r>
      <w:r>
        <w:rPr>
          <w:rFonts w:ascii="Garamond" w:hAnsi="Garamond"/>
          <w:sz w:val="24"/>
          <w:szCs w:val="24"/>
        </w:rPr>
        <w:t>we can come to reasonably hold the view that</w:t>
      </w:r>
      <w:r w:rsidR="00280518">
        <w:rPr>
          <w:rFonts w:ascii="Garamond" w:hAnsi="Garamond"/>
          <w:sz w:val="24"/>
          <w:szCs w:val="24"/>
        </w:rPr>
        <w:t xml:space="preserve"> </w:t>
      </w:r>
      <w:r w:rsidR="00DF2421">
        <w:rPr>
          <w:rFonts w:ascii="Garamond" w:hAnsi="Garamond"/>
          <w:sz w:val="24"/>
          <w:szCs w:val="24"/>
        </w:rPr>
        <w:t xml:space="preserve">Aristotelian-Thomism </w:t>
      </w:r>
      <w:r w:rsidR="00DE6121">
        <w:rPr>
          <w:rFonts w:ascii="Garamond" w:hAnsi="Garamond"/>
          <w:sz w:val="24"/>
          <w:szCs w:val="24"/>
        </w:rPr>
        <w:t>wa</w:t>
      </w:r>
      <w:r w:rsidR="00280518">
        <w:rPr>
          <w:rFonts w:ascii="Garamond" w:hAnsi="Garamond"/>
          <w:sz w:val="24"/>
          <w:szCs w:val="24"/>
        </w:rPr>
        <w:t xml:space="preserve">s </w:t>
      </w:r>
      <w:r w:rsidR="00DE6121">
        <w:rPr>
          <w:rFonts w:ascii="Garamond" w:hAnsi="Garamond"/>
          <w:sz w:val="24"/>
          <w:szCs w:val="24"/>
        </w:rPr>
        <w:t xml:space="preserve">in fact </w:t>
      </w:r>
      <w:r>
        <w:rPr>
          <w:rFonts w:ascii="Garamond" w:hAnsi="Garamond"/>
          <w:sz w:val="24"/>
          <w:szCs w:val="24"/>
        </w:rPr>
        <w:t>marginalised</w:t>
      </w:r>
      <w:r w:rsidR="00DE6121">
        <w:rPr>
          <w:rFonts w:ascii="Garamond" w:hAnsi="Garamond"/>
          <w:sz w:val="24"/>
          <w:szCs w:val="24"/>
        </w:rPr>
        <w:t>,</w:t>
      </w:r>
      <w:r w:rsidR="00DF2421">
        <w:rPr>
          <w:rFonts w:ascii="Garamond" w:hAnsi="Garamond"/>
          <w:sz w:val="24"/>
          <w:szCs w:val="24"/>
        </w:rPr>
        <w:t xml:space="preserve"> </w:t>
      </w:r>
      <w:r w:rsidR="00DE6121">
        <w:rPr>
          <w:rFonts w:ascii="Garamond" w:hAnsi="Garamond"/>
          <w:sz w:val="24"/>
          <w:szCs w:val="24"/>
        </w:rPr>
        <w:t>in part</w:t>
      </w:r>
      <w:r w:rsidR="00754052">
        <w:rPr>
          <w:rFonts w:ascii="Garamond" w:hAnsi="Garamond"/>
          <w:sz w:val="24"/>
          <w:szCs w:val="24"/>
        </w:rPr>
        <w:t xml:space="preserve"> owing to</w:t>
      </w:r>
      <w:r w:rsidR="00DF2421">
        <w:rPr>
          <w:rFonts w:ascii="Garamond" w:hAnsi="Garamond"/>
          <w:sz w:val="24"/>
          <w:szCs w:val="24"/>
        </w:rPr>
        <w:t xml:space="preserve"> the transformation of </w:t>
      </w:r>
      <w:r w:rsidR="00754052">
        <w:rPr>
          <w:rFonts w:ascii="Garamond" w:hAnsi="Garamond"/>
          <w:sz w:val="24"/>
          <w:szCs w:val="24"/>
        </w:rPr>
        <w:t>the social</w:t>
      </w:r>
      <w:r w:rsidR="00DF2421">
        <w:rPr>
          <w:rFonts w:ascii="Garamond" w:hAnsi="Garamond"/>
          <w:sz w:val="24"/>
          <w:szCs w:val="24"/>
        </w:rPr>
        <w:t xml:space="preserve"> edifice </w:t>
      </w:r>
      <w:r w:rsidR="00754052">
        <w:rPr>
          <w:rFonts w:ascii="Garamond" w:hAnsi="Garamond"/>
          <w:sz w:val="24"/>
          <w:szCs w:val="24"/>
        </w:rPr>
        <w:t>in</w:t>
      </w:r>
      <w:r w:rsidR="00DF2421">
        <w:rPr>
          <w:rFonts w:ascii="Garamond" w:hAnsi="Garamond"/>
          <w:sz w:val="24"/>
          <w:szCs w:val="24"/>
        </w:rPr>
        <w:t xml:space="preserve"> </w:t>
      </w:r>
      <w:r w:rsidR="00754052">
        <w:rPr>
          <w:rFonts w:ascii="Garamond" w:hAnsi="Garamond"/>
          <w:sz w:val="24"/>
          <w:szCs w:val="24"/>
        </w:rPr>
        <w:t xml:space="preserve">Europe during </w:t>
      </w:r>
      <w:r w:rsidR="00DF2421">
        <w:rPr>
          <w:rFonts w:ascii="Garamond" w:hAnsi="Garamond"/>
          <w:sz w:val="24"/>
          <w:szCs w:val="24"/>
        </w:rPr>
        <w:t xml:space="preserve">the high middle ages, and </w:t>
      </w:r>
      <w:r w:rsidR="00DE6121">
        <w:rPr>
          <w:rFonts w:ascii="Garamond" w:hAnsi="Garamond"/>
          <w:sz w:val="24"/>
          <w:szCs w:val="24"/>
        </w:rPr>
        <w:t>partly</w:t>
      </w:r>
      <w:r w:rsidR="00DF2421">
        <w:rPr>
          <w:rFonts w:ascii="Garamond" w:hAnsi="Garamond"/>
          <w:sz w:val="24"/>
          <w:szCs w:val="24"/>
        </w:rPr>
        <w:t xml:space="preserve"> </w:t>
      </w:r>
      <w:r w:rsidR="00DE6121">
        <w:rPr>
          <w:rFonts w:ascii="Garamond" w:hAnsi="Garamond"/>
          <w:sz w:val="24"/>
          <w:szCs w:val="24"/>
        </w:rPr>
        <w:t>owing to MacIntyre’s contextualism-historicism</w:t>
      </w:r>
      <w:r w:rsidR="00DF2421">
        <w:rPr>
          <w:rFonts w:ascii="Garamond" w:hAnsi="Garamond"/>
          <w:sz w:val="24"/>
          <w:szCs w:val="24"/>
        </w:rPr>
        <w:t xml:space="preserve"> </w:t>
      </w:r>
      <w:r w:rsidR="00DE6121">
        <w:rPr>
          <w:rFonts w:ascii="Garamond" w:hAnsi="Garamond"/>
          <w:sz w:val="24"/>
          <w:szCs w:val="24"/>
        </w:rPr>
        <w:t xml:space="preserve">under which </w:t>
      </w:r>
      <w:r w:rsidR="00DF2421">
        <w:rPr>
          <w:rFonts w:ascii="Garamond" w:hAnsi="Garamond"/>
          <w:sz w:val="24"/>
          <w:szCs w:val="24"/>
        </w:rPr>
        <w:t xml:space="preserve">moral and </w:t>
      </w:r>
      <w:r w:rsidR="00DF2421">
        <w:rPr>
          <w:rFonts w:ascii="Garamond" w:hAnsi="Garamond"/>
          <w:sz w:val="24"/>
          <w:szCs w:val="24"/>
        </w:rPr>
        <w:lastRenderedPageBreak/>
        <w:t xml:space="preserve">political theory in the context of traditions cannot be understood apart from the </w:t>
      </w:r>
      <w:r w:rsidR="00754052">
        <w:rPr>
          <w:rFonts w:ascii="Garamond" w:hAnsi="Garamond"/>
          <w:sz w:val="24"/>
          <w:szCs w:val="24"/>
        </w:rPr>
        <w:t xml:space="preserve">background social structure </w:t>
      </w:r>
      <w:r w:rsidR="00DE6121">
        <w:rPr>
          <w:rFonts w:ascii="Garamond" w:hAnsi="Garamond"/>
          <w:sz w:val="24"/>
          <w:szCs w:val="24"/>
        </w:rPr>
        <w:t>precisely because</w:t>
      </w:r>
      <w:r w:rsidR="00754052">
        <w:rPr>
          <w:rFonts w:ascii="Garamond" w:hAnsi="Garamond"/>
          <w:sz w:val="24"/>
          <w:szCs w:val="24"/>
        </w:rPr>
        <w:t xml:space="preserve"> </w:t>
      </w:r>
      <w:r w:rsidR="00754052" w:rsidRPr="00461D74">
        <w:rPr>
          <w:rFonts w:ascii="Garamond" w:hAnsi="Garamond"/>
          <w:sz w:val="24"/>
          <w:szCs w:val="24"/>
        </w:rPr>
        <w:t xml:space="preserve">moral/political inquiry conceptually formulates essentially those social norms implicit in ordinary social practice embedded </w:t>
      </w:r>
      <w:r w:rsidR="00754052">
        <w:rPr>
          <w:rFonts w:ascii="Garamond" w:hAnsi="Garamond"/>
          <w:sz w:val="24"/>
          <w:szCs w:val="24"/>
        </w:rPr>
        <w:t>within particular social</w:t>
      </w:r>
      <w:r w:rsidR="00754052" w:rsidRPr="00461D74">
        <w:rPr>
          <w:rFonts w:ascii="Garamond" w:hAnsi="Garamond"/>
          <w:sz w:val="24"/>
          <w:szCs w:val="24"/>
        </w:rPr>
        <w:t>-historical context</w:t>
      </w:r>
      <w:r w:rsidR="00754052">
        <w:rPr>
          <w:rFonts w:ascii="Garamond" w:hAnsi="Garamond"/>
          <w:sz w:val="24"/>
          <w:szCs w:val="24"/>
        </w:rPr>
        <w:t>s</w:t>
      </w:r>
      <w:r w:rsidR="00DE6121">
        <w:rPr>
          <w:rFonts w:ascii="Garamond" w:hAnsi="Garamond"/>
          <w:sz w:val="24"/>
          <w:szCs w:val="24"/>
        </w:rPr>
        <w:t>. Now,</w:t>
      </w:r>
      <w:r w:rsidR="00411D2B">
        <w:rPr>
          <w:rFonts w:ascii="Garamond" w:hAnsi="Garamond"/>
          <w:sz w:val="24"/>
          <w:szCs w:val="24"/>
        </w:rPr>
        <w:t xml:space="preserve"> </w:t>
      </w:r>
      <w:r w:rsidR="006E0FB2">
        <w:rPr>
          <w:rFonts w:ascii="Garamond" w:hAnsi="Garamond"/>
          <w:sz w:val="24"/>
          <w:szCs w:val="24"/>
        </w:rPr>
        <w:t>the liberal tradition,</w:t>
      </w:r>
      <w:r w:rsidR="00411D2B" w:rsidRPr="00461D74">
        <w:rPr>
          <w:rFonts w:ascii="Garamond" w:hAnsi="Garamond"/>
          <w:sz w:val="24"/>
          <w:szCs w:val="24"/>
        </w:rPr>
        <w:t xml:space="preserve"> </w:t>
      </w:r>
      <w:r w:rsidR="00411D2B">
        <w:rPr>
          <w:rFonts w:ascii="Garamond" w:hAnsi="Garamond"/>
          <w:sz w:val="24"/>
          <w:szCs w:val="24"/>
        </w:rPr>
        <w:t xml:space="preserve">on MacIntyre’s view, </w:t>
      </w:r>
      <w:r w:rsidR="006E0FB2">
        <w:rPr>
          <w:rFonts w:ascii="Garamond" w:hAnsi="Garamond"/>
          <w:sz w:val="24"/>
          <w:szCs w:val="24"/>
        </w:rPr>
        <w:t xml:space="preserve">is the </w:t>
      </w:r>
      <w:r w:rsidR="00411D2B" w:rsidRPr="00461D74">
        <w:rPr>
          <w:rFonts w:ascii="Garamond" w:hAnsi="Garamond"/>
          <w:sz w:val="24"/>
          <w:szCs w:val="24"/>
        </w:rPr>
        <w:t>socia</w:t>
      </w:r>
      <w:r w:rsidR="006E0FB2">
        <w:rPr>
          <w:rFonts w:ascii="Garamond" w:hAnsi="Garamond"/>
          <w:sz w:val="24"/>
          <w:szCs w:val="24"/>
        </w:rPr>
        <w:t>l</w:t>
      </w:r>
      <w:r w:rsidR="004F621C">
        <w:rPr>
          <w:rFonts w:ascii="Garamond" w:hAnsi="Garamond"/>
          <w:sz w:val="24"/>
          <w:szCs w:val="24"/>
        </w:rPr>
        <w:t xml:space="preserve"> and cu</w:t>
      </w:r>
      <w:r w:rsidR="006E0FB2">
        <w:rPr>
          <w:rFonts w:ascii="Garamond" w:hAnsi="Garamond"/>
          <w:sz w:val="24"/>
          <w:szCs w:val="24"/>
        </w:rPr>
        <w:t>ltural embodiment of</w:t>
      </w:r>
      <w:r w:rsidR="004F621C">
        <w:rPr>
          <w:rFonts w:ascii="Garamond" w:hAnsi="Garamond"/>
          <w:sz w:val="24"/>
          <w:szCs w:val="24"/>
        </w:rPr>
        <w:t xml:space="preserve"> those</w:t>
      </w:r>
      <w:r w:rsidR="00411D2B" w:rsidRPr="00461D74">
        <w:rPr>
          <w:rFonts w:ascii="Garamond" w:hAnsi="Garamond"/>
          <w:sz w:val="24"/>
          <w:szCs w:val="24"/>
        </w:rPr>
        <w:t xml:space="preserve"> norms that are implicit in </w:t>
      </w:r>
      <w:r w:rsidR="00411D2B">
        <w:rPr>
          <w:rFonts w:ascii="Garamond" w:hAnsi="Garamond"/>
          <w:sz w:val="24"/>
          <w:szCs w:val="24"/>
        </w:rPr>
        <w:t>present-day</w:t>
      </w:r>
      <w:r w:rsidR="00411D2B" w:rsidRPr="00461D74">
        <w:rPr>
          <w:rFonts w:ascii="Garamond" w:hAnsi="Garamond"/>
          <w:sz w:val="24"/>
          <w:szCs w:val="24"/>
        </w:rPr>
        <w:t xml:space="preserve"> </w:t>
      </w:r>
      <w:r w:rsidR="00411D2B">
        <w:rPr>
          <w:rFonts w:ascii="Garamond" w:hAnsi="Garamond"/>
          <w:sz w:val="24"/>
          <w:szCs w:val="24"/>
        </w:rPr>
        <w:t>social practices</w:t>
      </w:r>
      <w:r w:rsidR="00DE6121">
        <w:rPr>
          <w:rFonts w:ascii="Garamond" w:hAnsi="Garamond"/>
          <w:sz w:val="24"/>
          <w:szCs w:val="24"/>
        </w:rPr>
        <w:t>, and emotivism</w:t>
      </w:r>
      <w:r w:rsidR="006E0FB2">
        <w:rPr>
          <w:rFonts w:ascii="Garamond" w:hAnsi="Garamond"/>
          <w:sz w:val="24"/>
          <w:szCs w:val="24"/>
        </w:rPr>
        <w:t>,</w:t>
      </w:r>
      <w:r w:rsidR="00DE6121">
        <w:rPr>
          <w:rFonts w:ascii="Garamond" w:hAnsi="Garamond"/>
          <w:sz w:val="24"/>
          <w:szCs w:val="24"/>
        </w:rPr>
        <w:t xml:space="preserve"> </w:t>
      </w:r>
      <w:r w:rsidR="006E0FB2">
        <w:rPr>
          <w:rFonts w:ascii="Garamond" w:hAnsi="Garamond"/>
          <w:sz w:val="24"/>
          <w:szCs w:val="24"/>
        </w:rPr>
        <w:t xml:space="preserve">again </w:t>
      </w:r>
      <w:r w:rsidR="00DE6121">
        <w:rPr>
          <w:rFonts w:ascii="Garamond" w:hAnsi="Garamond"/>
          <w:sz w:val="24"/>
          <w:szCs w:val="24"/>
        </w:rPr>
        <w:t>on his view</w:t>
      </w:r>
      <w:r w:rsidR="006E0FB2">
        <w:rPr>
          <w:rFonts w:ascii="Garamond" w:hAnsi="Garamond"/>
          <w:sz w:val="24"/>
          <w:szCs w:val="24"/>
        </w:rPr>
        <w:t>,</w:t>
      </w:r>
      <w:r w:rsidR="00DE6121">
        <w:rPr>
          <w:rFonts w:ascii="Garamond" w:hAnsi="Garamond"/>
          <w:sz w:val="24"/>
          <w:szCs w:val="24"/>
        </w:rPr>
        <w:t xml:space="preserve"> is the ethical articulation of liberal social life</w:t>
      </w:r>
      <w:r w:rsidR="006E0FB2">
        <w:rPr>
          <w:rFonts w:ascii="Garamond" w:hAnsi="Garamond"/>
          <w:sz w:val="24"/>
          <w:szCs w:val="24"/>
        </w:rPr>
        <w:t>. I</w:t>
      </w:r>
      <w:r w:rsidR="00DE6121">
        <w:rPr>
          <w:rFonts w:ascii="Garamond" w:hAnsi="Garamond"/>
          <w:sz w:val="24"/>
          <w:szCs w:val="24"/>
        </w:rPr>
        <w:t xml:space="preserve">t </w:t>
      </w:r>
      <w:r w:rsidR="006E0FB2">
        <w:rPr>
          <w:rFonts w:ascii="Garamond" w:hAnsi="Garamond"/>
          <w:sz w:val="24"/>
          <w:szCs w:val="24"/>
        </w:rPr>
        <w:t>then seems</w:t>
      </w:r>
      <w:r w:rsidR="00754052">
        <w:rPr>
          <w:rFonts w:ascii="Garamond" w:hAnsi="Garamond"/>
          <w:sz w:val="24"/>
          <w:szCs w:val="24"/>
        </w:rPr>
        <w:t xml:space="preserve"> that MacIntyre </w:t>
      </w:r>
      <w:r w:rsidR="00411D2B">
        <w:rPr>
          <w:rFonts w:ascii="Garamond" w:hAnsi="Garamond"/>
          <w:sz w:val="24"/>
          <w:szCs w:val="24"/>
        </w:rPr>
        <w:t>ought</w:t>
      </w:r>
      <w:r w:rsidR="00754052">
        <w:rPr>
          <w:rFonts w:ascii="Garamond" w:hAnsi="Garamond"/>
          <w:sz w:val="24"/>
          <w:szCs w:val="24"/>
        </w:rPr>
        <w:t xml:space="preserve"> to afford us </w:t>
      </w:r>
      <w:r w:rsidR="00411D2B">
        <w:rPr>
          <w:rFonts w:ascii="Garamond" w:hAnsi="Garamond"/>
          <w:sz w:val="24"/>
          <w:szCs w:val="24"/>
        </w:rPr>
        <w:t>good</w:t>
      </w:r>
      <w:r w:rsidR="00754052">
        <w:rPr>
          <w:rFonts w:ascii="Garamond" w:hAnsi="Garamond"/>
          <w:sz w:val="24"/>
          <w:szCs w:val="24"/>
        </w:rPr>
        <w:t xml:space="preserve"> reasons as to why liberalism, and especially liberal politics, </w:t>
      </w:r>
      <w:r w:rsidR="000C0EDC">
        <w:rPr>
          <w:rFonts w:ascii="Garamond" w:hAnsi="Garamond"/>
          <w:sz w:val="24"/>
          <w:szCs w:val="24"/>
        </w:rPr>
        <w:t xml:space="preserve">not only </w:t>
      </w:r>
      <w:r w:rsidR="00754052">
        <w:rPr>
          <w:rFonts w:ascii="Garamond" w:hAnsi="Garamond"/>
          <w:sz w:val="24"/>
          <w:szCs w:val="24"/>
        </w:rPr>
        <w:t>fails in some meaningful sense</w:t>
      </w:r>
      <w:r>
        <w:rPr>
          <w:rFonts w:ascii="Garamond" w:hAnsi="Garamond"/>
          <w:sz w:val="24"/>
          <w:szCs w:val="24"/>
        </w:rPr>
        <w:t xml:space="preserve"> as a moral-political tradition, </w:t>
      </w:r>
      <w:r w:rsidR="000C0EDC">
        <w:rPr>
          <w:rFonts w:ascii="Garamond" w:hAnsi="Garamond"/>
          <w:sz w:val="24"/>
          <w:szCs w:val="24"/>
        </w:rPr>
        <w:t>but</w:t>
      </w:r>
      <w:r>
        <w:rPr>
          <w:rFonts w:ascii="Garamond" w:hAnsi="Garamond"/>
          <w:sz w:val="24"/>
          <w:szCs w:val="24"/>
        </w:rPr>
        <w:t xml:space="preserve"> </w:t>
      </w:r>
      <w:r w:rsidR="002F2EC9">
        <w:rPr>
          <w:rFonts w:ascii="Garamond" w:hAnsi="Garamond"/>
          <w:sz w:val="24"/>
          <w:szCs w:val="24"/>
        </w:rPr>
        <w:t xml:space="preserve">what’s more is </w:t>
      </w:r>
      <w:r>
        <w:rPr>
          <w:rFonts w:ascii="Garamond" w:hAnsi="Garamond"/>
          <w:sz w:val="24"/>
          <w:szCs w:val="24"/>
        </w:rPr>
        <w:t xml:space="preserve">that the correction of the </w:t>
      </w:r>
      <w:r w:rsidR="002F2EC9">
        <w:rPr>
          <w:rFonts w:ascii="Garamond" w:hAnsi="Garamond"/>
          <w:sz w:val="24"/>
          <w:szCs w:val="24"/>
        </w:rPr>
        <w:t xml:space="preserve">flaws and </w:t>
      </w:r>
      <w:r>
        <w:rPr>
          <w:rFonts w:ascii="Garamond" w:hAnsi="Garamond"/>
          <w:sz w:val="24"/>
          <w:szCs w:val="24"/>
        </w:rPr>
        <w:t xml:space="preserve">limitations </w:t>
      </w:r>
      <w:r w:rsidR="002F2EC9">
        <w:rPr>
          <w:rFonts w:ascii="Garamond" w:hAnsi="Garamond"/>
          <w:sz w:val="24"/>
          <w:szCs w:val="24"/>
        </w:rPr>
        <w:t>in</w:t>
      </w:r>
      <w:r>
        <w:rPr>
          <w:rFonts w:ascii="Garamond" w:hAnsi="Garamond"/>
          <w:sz w:val="24"/>
          <w:szCs w:val="24"/>
        </w:rPr>
        <w:t xml:space="preserve"> the liberal </w:t>
      </w:r>
      <w:r w:rsidR="006E0FB2">
        <w:rPr>
          <w:rFonts w:ascii="Garamond" w:hAnsi="Garamond"/>
          <w:sz w:val="24"/>
          <w:szCs w:val="24"/>
        </w:rPr>
        <w:t>order</w:t>
      </w:r>
      <w:r>
        <w:rPr>
          <w:rFonts w:ascii="Garamond" w:hAnsi="Garamond"/>
          <w:sz w:val="24"/>
          <w:szCs w:val="24"/>
        </w:rPr>
        <w:t xml:space="preserve"> </w:t>
      </w:r>
      <w:r w:rsidR="002F2EC9">
        <w:rPr>
          <w:rFonts w:ascii="Garamond" w:hAnsi="Garamond"/>
          <w:sz w:val="24"/>
          <w:szCs w:val="24"/>
        </w:rPr>
        <w:t>is</w:t>
      </w:r>
      <w:r w:rsidR="00912CD3">
        <w:rPr>
          <w:rFonts w:ascii="Garamond" w:hAnsi="Garamond"/>
          <w:sz w:val="24"/>
          <w:szCs w:val="24"/>
        </w:rPr>
        <w:t xml:space="preserve"> an impossible task</w:t>
      </w:r>
      <w:r w:rsidR="00BF1A75">
        <w:rPr>
          <w:rFonts w:ascii="Garamond" w:hAnsi="Garamond"/>
          <w:sz w:val="24"/>
          <w:szCs w:val="24"/>
        </w:rPr>
        <w:t xml:space="preserve"> so much so that it </w:t>
      </w:r>
      <w:r w:rsidR="000C0EDC">
        <w:rPr>
          <w:rFonts w:ascii="Garamond" w:hAnsi="Garamond"/>
          <w:sz w:val="24"/>
          <w:szCs w:val="24"/>
        </w:rPr>
        <w:t>remains</w:t>
      </w:r>
      <w:r w:rsidR="00BF1A75">
        <w:rPr>
          <w:rFonts w:ascii="Garamond" w:hAnsi="Garamond"/>
          <w:sz w:val="24"/>
          <w:szCs w:val="24"/>
        </w:rPr>
        <w:t xml:space="preserve"> all but hopeless</w:t>
      </w:r>
      <w:r w:rsidR="00912CD3">
        <w:rPr>
          <w:rFonts w:ascii="Garamond" w:hAnsi="Garamond"/>
          <w:sz w:val="24"/>
          <w:szCs w:val="24"/>
        </w:rPr>
        <w:t>.</w:t>
      </w:r>
    </w:p>
    <w:p w:rsidR="0053275E" w:rsidRPr="00461D74" w:rsidRDefault="000C0EDC" w:rsidP="00164E4D">
      <w:pPr>
        <w:spacing w:line="360" w:lineRule="auto"/>
        <w:ind w:firstLine="720"/>
        <w:jc w:val="both"/>
        <w:rPr>
          <w:rFonts w:ascii="Garamond" w:hAnsi="Garamond"/>
          <w:sz w:val="24"/>
          <w:szCs w:val="24"/>
        </w:rPr>
      </w:pPr>
      <w:r>
        <w:rPr>
          <w:rFonts w:ascii="Garamond" w:hAnsi="Garamond"/>
          <w:sz w:val="24"/>
          <w:szCs w:val="24"/>
        </w:rPr>
        <w:t>Now, this second tension poses an especially crucial problem for MacIntyre, for the reason that on his account,</w:t>
      </w:r>
      <w:r w:rsidR="00016049" w:rsidRPr="00461D74">
        <w:rPr>
          <w:rFonts w:ascii="Garamond" w:hAnsi="Garamond"/>
          <w:sz w:val="24"/>
          <w:szCs w:val="24"/>
        </w:rPr>
        <w:t xml:space="preserve"> ethics and politics are inter-connected and mutually supporting</w:t>
      </w:r>
      <w:r w:rsidR="00A517F4" w:rsidRPr="00461D74">
        <w:rPr>
          <w:rFonts w:ascii="Garamond" w:hAnsi="Garamond"/>
          <w:sz w:val="24"/>
          <w:szCs w:val="24"/>
        </w:rPr>
        <w:t xml:space="preserve">. </w:t>
      </w:r>
      <w:r w:rsidR="00576F6F" w:rsidRPr="00461D74">
        <w:rPr>
          <w:rFonts w:ascii="Garamond" w:hAnsi="Garamond"/>
          <w:sz w:val="24"/>
          <w:szCs w:val="24"/>
        </w:rPr>
        <w:t xml:space="preserve">MacIntyre argued </w:t>
      </w:r>
      <w:r w:rsidR="00A517F4" w:rsidRPr="00461D74">
        <w:rPr>
          <w:rFonts w:ascii="Garamond" w:hAnsi="Garamond"/>
          <w:sz w:val="24"/>
          <w:szCs w:val="24"/>
        </w:rPr>
        <w:t xml:space="preserve">earlier </w:t>
      </w:r>
      <w:r w:rsidR="00576F6F" w:rsidRPr="00461D74">
        <w:rPr>
          <w:rFonts w:ascii="Garamond" w:hAnsi="Garamond"/>
          <w:sz w:val="24"/>
          <w:szCs w:val="24"/>
        </w:rPr>
        <w:t>that</w:t>
      </w:r>
      <w:r w:rsidR="00016049" w:rsidRPr="00461D74">
        <w:rPr>
          <w:rFonts w:ascii="Garamond" w:hAnsi="Garamond"/>
          <w:sz w:val="24"/>
          <w:szCs w:val="24"/>
        </w:rPr>
        <w:t xml:space="preserve"> Aristotl</w:t>
      </w:r>
      <w:r w:rsidR="00576F6F" w:rsidRPr="00461D74">
        <w:rPr>
          <w:rFonts w:ascii="Garamond" w:hAnsi="Garamond"/>
          <w:sz w:val="24"/>
          <w:szCs w:val="24"/>
        </w:rPr>
        <w:t xml:space="preserve">e’s </w:t>
      </w:r>
      <w:r w:rsidR="00A517F4" w:rsidRPr="00461D74">
        <w:rPr>
          <w:rFonts w:ascii="Garamond" w:hAnsi="Garamond"/>
          <w:sz w:val="24"/>
          <w:szCs w:val="24"/>
        </w:rPr>
        <w:t>ethics</w:t>
      </w:r>
      <w:r w:rsidR="00016049" w:rsidRPr="00461D74">
        <w:rPr>
          <w:rFonts w:ascii="Garamond" w:hAnsi="Garamond"/>
          <w:sz w:val="24"/>
          <w:szCs w:val="24"/>
        </w:rPr>
        <w:t xml:space="preserve"> </w:t>
      </w:r>
      <w:r w:rsidR="00576F6F" w:rsidRPr="00461D74">
        <w:rPr>
          <w:rFonts w:ascii="Garamond" w:hAnsi="Garamond"/>
          <w:sz w:val="24"/>
          <w:szCs w:val="24"/>
        </w:rPr>
        <w:t xml:space="preserve">is a theoretical expression of social and political practices </w:t>
      </w:r>
      <w:r w:rsidR="00C10BC9" w:rsidRPr="00461D74">
        <w:rPr>
          <w:rFonts w:ascii="Garamond" w:hAnsi="Garamond"/>
          <w:sz w:val="24"/>
          <w:szCs w:val="24"/>
        </w:rPr>
        <w:t>particular to</w:t>
      </w:r>
      <w:r w:rsidR="00576F6F" w:rsidRPr="00461D74">
        <w:rPr>
          <w:rFonts w:ascii="Garamond" w:hAnsi="Garamond"/>
          <w:sz w:val="24"/>
          <w:szCs w:val="24"/>
        </w:rPr>
        <w:t xml:space="preserve"> the </w:t>
      </w:r>
      <w:r w:rsidR="00C10BC9" w:rsidRPr="00461D74">
        <w:rPr>
          <w:rFonts w:ascii="Garamond" w:hAnsi="Garamond"/>
          <w:sz w:val="24"/>
          <w:szCs w:val="24"/>
        </w:rPr>
        <w:t xml:space="preserve">Athenian </w:t>
      </w:r>
      <w:r w:rsidR="00576F6F" w:rsidRPr="00461D74">
        <w:rPr>
          <w:rFonts w:ascii="Garamond" w:hAnsi="Garamond"/>
          <w:sz w:val="24"/>
          <w:szCs w:val="24"/>
        </w:rPr>
        <w:t>polis. Yet, if the social structure</w:t>
      </w:r>
      <w:r w:rsidR="00C10BC9" w:rsidRPr="00461D74">
        <w:rPr>
          <w:rFonts w:ascii="Garamond" w:hAnsi="Garamond"/>
          <w:sz w:val="24"/>
          <w:szCs w:val="24"/>
        </w:rPr>
        <w:t>s</w:t>
      </w:r>
      <w:r w:rsidR="00576F6F" w:rsidRPr="00461D74">
        <w:rPr>
          <w:rFonts w:ascii="Garamond" w:hAnsi="Garamond"/>
          <w:sz w:val="24"/>
          <w:szCs w:val="24"/>
        </w:rPr>
        <w:t xml:space="preserve"> that were particular to the polis no longer exist, wouldn’t this </w:t>
      </w:r>
      <w:r w:rsidR="00C10BC9" w:rsidRPr="00461D74">
        <w:rPr>
          <w:rFonts w:ascii="Garamond" w:hAnsi="Garamond"/>
          <w:sz w:val="24"/>
          <w:szCs w:val="24"/>
        </w:rPr>
        <w:t xml:space="preserve">at least </w:t>
      </w:r>
      <w:r w:rsidR="00411D2B">
        <w:rPr>
          <w:rFonts w:ascii="Garamond" w:hAnsi="Garamond"/>
          <w:sz w:val="24"/>
          <w:szCs w:val="24"/>
        </w:rPr>
        <w:t>to some extent</w:t>
      </w:r>
      <w:r w:rsidR="00411D2B" w:rsidRPr="00461D74">
        <w:rPr>
          <w:rFonts w:ascii="Garamond" w:hAnsi="Garamond"/>
          <w:sz w:val="24"/>
          <w:szCs w:val="24"/>
        </w:rPr>
        <w:t xml:space="preserve"> </w:t>
      </w:r>
      <w:r w:rsidR="00016049" w:rsidRPr="00461D74">
        <w:rPr>
          <w:rFonts w:ascii="Garamond" w:hAnsi="Garamond"/>
          <w:sz w:val="24"/>
          <w:szCs w:val="24"/>
        </w:rPr>
        <w:t>undermine the possibility of a</w:t>
      </w:r>
      <w:r w:rsidR="00C10BC9" w:rsidRPr="00461D74">
        <w:rPr>
          <w:rFonts w:ascii="Garamond" w:hAnsi="Garamond"/>
          <w:sz w:val="24"/>
          <w:szCs w:val="24"/>
        </w:rPr>
        <w:t xml:space="preserve"> </w:t>
      </w:r>
      <w:proofErr w:type="spellStart"/>
      <w:r w:rsidR="00C10BC9" w:rsidRPr="00461D74">
        <w:rPr>
          <w:rFonts w:ascii="Garamond" w:hAnsi="Garamond"/>
          <w:sz w:val="24"/>
          <w:szCs w:val="24"/>
        </w:rPr>
        <w:t>MacIntyrean</w:t>
      </w:r>
      <w:proofErr w:type="spellEnd"/>
      <w:r w:rsidR="00C10BC9" w:rsidRPr="00461D74">
        <w:rPr>
          <w:rFonts w:ascii="Garamond" w:hAnsi="Garamond"/>
          <w:sz w:val="24"/>
          <w:szCs w:val="24"/>
        </w:rPr>
        <w:t xml:space="preserve"> </w:t>
      </w:r>
      <w:r w:rsidR="00411D2B">
        <w:rPr>
          <w:rFonts w:ascii="Garamond" w:hAnsi="Garamond"/>
          <w:sz w:val="24"/>
          <w:szCs w:val="24"/>
        </w:rPr>
        <w:t xml:space="preserve">revival of an </w:t>
      </w:r>
      <w:r w:rsidR="00514D75" w:rsidRPr="00461D74">
        <w:rPr>
          <w:rFonts w:ascii="Garamond" w:hAnsi="Garamond"/>
          <w:sz w:val="24"/>
          <w:szCs w:val="24"/>
        </w:rPr>
        <w:t>Aristotelian-</w:t>
      </w:r>
      <w:r w:rsidR="00016049" w:rsidRPr="00461D74">
        <w:rPr>
          <w:rFonts w:ascii="Garamond" w:hAnsi="Garamond"/>
          <w:sz w:val="24"/>
          <w:szCs w:val="24"/>
        </w:rPr>
        <w:t xml:space="preserve">Thomistic politics in the </w:t>
      </w:r>
      <w:r w:rsidR="00CB14FC" w:rsidRPr="00461D74">
        <w:rPr>
          <w:rFonts w:ascii="Garamond" w:hAnsi="Garamond"/>
          <w:sz w:val="24"/>
          <w:szCs w:val="24"/>
        </w:rPr>
        <w:t>contemporary era of</w:t>
      </w:r>
      <w:r w:rsidR="00016049" w:rsidRPr="00461D74">
        <w:rPr>
          <w:rFonts w:ascii="Garamond" w:hAnsi="Garamond"/>
          <w:sz w:val="24"/>
          <w:szCs w:val="24"/>
        </w:rPr>
        <w:t xml:space="preserve"> nation</w:t>
      </w:r>
      <w:r w:rsidR="00CB14FC" w:rsidRPr="00461D74">
        <w:rPr>
          <w:rFonts w:ascii="Garamond" w:hAnsi="Garamond"/>
          <w:sz w:val="24"/>
          <w:szCs w:val="24"/>
        </w:rPr>
        <w:t xml:space="preserve"> </w:t>
      </w:r>
      <w:r w:rsidR="00016049" w:rsidRPr="00461D74">
        <w:rPr>
          <w:rFonts w:ascii="Garamond" w:hAnsi="Garamond"/>
          <w:sz w:val="24"/>
          <w:szCs w:val="24"/>
        </w:rPr>
        <w:t>state</w:t>
      </w:r>
      <w:r w:rsidR="00CB14FC" w:rsidRPr="00461D74">
        <w:rPr>
          <w:rFonts w:ascii="Garamond" w:hAnsi="Garamond"/>
          <w:sz w:val="24"/>
          <w:szCs w:val="24"/>
        </w:rPr>
        <w:t>s</w:t>
      </w:r>
      <w:r w:rsidR="00C10BC9" w:rsidRPr="00461D74">
        <w:rPr>
          <w:rFonts w:ascii="Garamond" w:hAnsi="Garamond"/>
          <w:sz w:val="24"/>
          <w:szCs w:val="24"/>
        </w:rPr>
        <w:t>?</w:t>
      </w:r>
      <w:r w:rsidR="00411D2B">
        <w:rPr>
          <w:rFonts w:ascii="Garamond" w:hAnsi="Garamond"/>
          <w:sz w:val="24"/>
          <w:szCs w:val="24"/>
        </w:rPr>
        <w:t xml:space="preserve"> </w:t>
      </w:r>
      <w:r w:rsidR="00C10BC9" w:rsidRPr="00461D74">
        <w:rPr>
          <w:rFonts w:ascii="Garamond" w:hAnsi="Garamond"/>
          <w:sz w:val="24"/>
          <w:szCs w:val="24"/>
        </w:rPr>
        <w:t xml:space="preserve">It seems to </w:t>
      </w:r>
      <w:r w:rsidR="00016049" w:rsidRPr="00461D74">
        <w:rPr>
          <w:rFonts w:ascii="Garamond" w:hAnsi="Garamond"/>
          <w:sz w:val="24"/>
          <w:szCs w:val="24"/>
        </w:rPr>
        <w:t xml:space="preserve">be </w:t>
      </w:r>
      <w:r w:rsidR="00411D2B">
        <w:rPr>
          <w:rFonts w:ascii="Garamond" w:hAnsi="Garamond"/>
          <w:sz w:val="24"/>
          <w:szCs w:val="24"/>
        </w:rPr>
        <w:t xml:space="preserve">then </w:t>
      </w:r>
      <w:r w:rsidR="00016049" w:rsidRPr="00461D74">
        <w:rPr>
          <w:rFonts w:ascii="Garamond" w:hAnsi="Garamond"/>
          <w:sz w:val="24"/>
          <w:szCs w:val="24"/>
        </w:rPr>
        <w:t xml:space="preserve">quite a leap of faith to suggest that Thomism, which on MacIntyre’s </w:t>
      </w:r>
      <w:r w:rsidR="00CB14FC" w:rsidRPr="00461D74">
        <w:rPr>
          <w:rFonts w:ascii="Garamond" w:hAnsi="Garamond"/>
          <w:sz w:val="24"/>
          <w:szCs w:val="24"/>
        </w:rPr>
        <w:t>historical</w:t>
      </w:r>
      <w:r w:rsidR="00411D2B">
        <w:rPr>
          <w:rFonts w:ascii="Garamond" w:hAnsi="Garamond"/>
          <w:sz w:val="24"/>
          <w:szCs w:val="24"/>
        </w:rPr>
        <w:t>-contextualist</w:t>
      </w:r>
      <w:r w:rsidR="00CB14FC" w:rsidRPr="00461D74">
        <w:rPr>
          <w:rFonts w:ascii="Garamond" w:hAnsi="Garamond"/>
          <w:sz w:val="24"/>
          <w:szCs w:val="24"/>
        </w:rPr>
        <w:t xml:space="preserve"> </w:t>
      </w:r>
      <w:r w:rsidR="00016049" w:rsidRPr="00461D74">
        <w:rPr>
          <w:rFonts w:ascii="Garamond" w:hAnsi="Garamond"/>
          <w:sz w:val="24"/>
          <w:szCs w:val="24"/>
        </w:rPr>
        <w:t>account</w:t>
      </w:r>
      <w:r w:rsidR="00C10BC9" w:rsidRPr="00461D74">
        <w:rPr>
          <w:rFonts w:ascii="Garamond" w:hAnsi="Garamond"/>
          <w:sz w:val="24"/>
          <w:szCs w:val="24"/>
        </w:rPr>
        <w:t xml:space="preserve"> (see hypothesis H3 and H3a</w:t>
      </w:r>
      <w:r w:rsidR="00DA5C02" w:rsidRPr="00461D74">
        <w:rPr>
          <w:rFonts w:ascii="Garamond" w:hAnsi="Garamond"/>
          <w:sz w:val="24"/>
          <w:szCs w:val="24"/>
        </w:rPr>
        <w:t xml:space="preserve"> above</w:t>
      </w:r>
      <w:r w:rsidR="00C10BC9" w:rsidRPr="00461D74">
        <w:rPr>
          <w:rFonts w:ascii="Garamond" w:hAnsi="Garamond"/>
          <w:sz w:val="24"/>
          <w:szCs w:val="24"/>
        </w:rPr>
        <w:t>)</w:t>
      </w:r>
      <w:r w:rsidR="00016049" w:rsidRPr="00461D74">
        <w:rPr>
          <w:rFonts w:ascii="Garamond" w:hAnsi="Garamond"/>
          <w:sz w:val="24"/>
          <w:szCs w:val="24"/>
        </w:rPr>
        <w:t xml:space="preserve"> </w:t>
      </w:r>
      <w:r w:rsidR="00CB14FC" w:rsidRPr="00461D74">
        <w:rPr>
          <w:rFonts w:ascii="Garamond" w:hAnsi="Garamond"/>
          <w:sz w:val="24"/>
          <w:szCs w:val="24"/>
        </w:rPr>
        <w:t xml:space="preserve">ought to </w:t>
      </w:r>
      <w:r w:rsidR="00016049" w:rsidRPr="00461D74">
        <w:rPr>
          <w:rFonts w:ascii="Garamond" w:hAnsi="Garamond"/>
          <w:sz w:val="24"/>
          <w:szCs w:val="24"/>
        </w:rPr>
        <w:t xml:space="preserve">be viewed as a theoretical formulation of the best possible set of social norms and practices </w:t>
      </w:r>
      <w:r w:rsidR="00411D2B">
        <w:rPr>
          <w:rFonts w:ascii="Garamond" w:hAnsi="Garamond"/>
          <w:sz w:val="24"/>
          <w:szCs w:val="24"/>
        </w:rPr>
        <w:t xml:space="preserve">in the context of the social </w:t>
      </w:r>
      <w:r w:rsidR="004F621C">
        <w:rPr>
          <w:rFonts w:ascii="Garamond" w:hAnsi="Garamond"/>
          <w:sz w:val="24"/>
          <w:szCs w:val="24"/>
        </w:rPr>
        <w:t>structure</w:t>
      </w:r>
      <w:r w:rsidR="00411D2B">
        <w:rPr>
          <w:rFonts w:ascii="Garamond" w:hAnsi="Garamond"/>
          <w:sz w:val="24"/>
          <w:szCs w:val="24"/>
        </w:rPr>
        <w:t xml:space="preserve"> </w:t>
      </w:r>
      <w:r w:rsidR="004F621C">
        <w:rPr>
          <w:rFonts w:ascii="Garamond" w:hAnsi="Garamond"/>
          <w:sz w:val="24"/>
          <w:szCs w:val="24"/>
        </w:rPr>
        <w:t>that characterises</w:t>
      </w:r>
      <w:r w:rsidR="00411D2B">
        <w:rPr>
          <w:rFonts w:ascii="Garamond" w:hAnsi="Garamond"/>
          <w:sz w:val="24"/>
          <w:szCs w:val="24"/>
        </w:rPr>
        <w:t xml:space="preserve"> Europe</w:t>
      </w:r>
      <w:r w:rsidR="004F621C">
        <w:rPr>
          <w:rFonts w:ascii="Garamond" w:hAnsi="Garamond"/>
          <w:sz w:val="24"/>
          <w:szCs w:val="24"/>
        </w:rPr>
        <w:t>an</w:t>
      </w:r>
      <w:r w:rsidR="00411D2B">
        <w:rPr>
          <w:rFonts w:ascii="Garamond" w:hAnsi="Garamond"/>
          <w:sz w:val="24"/>
          <w:szCs w:val="24"/>
        </w:rPr>
        <w:t xml:space="preserve"> high middle ages</w:t>
      </w:r>
      <w:r w:rsidR="00016049" w:rsidRPr="00461D74">
        <w:rPr>
          <w:rFonts w:ascii="Garamond" w:hAnsi="Garamond"/>
          <w:sz w:val="24"/>
          <w:szCs w:val="24"/>
        </w:rPr>
        <w:t xml:space="preserve">, is also a tradition that can best formulate moral and political inquiry </w:t>
      </w:r>
      <w:r w:rsidR="000E2235" w:rsidRPr="00461D74">
        <w:rPr>
          <w:rFonts w:ascii="Garamond" w:hAnsi="Garamond"/>
          <w:sz w:val="24"/>
          <w:szCs w:val="24"/>
        </w:rPr>
        <w:t xml:space="preserve">appropriate to </w:t>
      </w:r>
      <w:r w:rsidR="00016049" w:rsidRPr="00461D74">
        <w:rPr>
          <w:rFonts w:ascii="Garamond" w:hAnsi="Garamond"/>
          <w:sz w:val="24"/>
          <w:szCs w:val="24"/>
        </w:rPr>
        <w:t>the modern social context</w:t>
      </w:r>
      <w:r w:rsidR="000E2235" w:rsidRPr="00461D74">
        <w:rPr>
          <w:rFonts w:ascii="Garamond" w:hAnsi="Garamond"/>
          <w:sz w:val="24"/>
          <w:szCs w:val="24"/>
        </w:rPr>
        <w:t xml:space="preserve">, for </w:t>
      </w:r>
      <w:r w:rsidR="00016049" w:rsidRPr="00461D74">
        <w:rPr>
          <w:rFonts w:ascii="Garamond" w:hAnsi="Garamond"/>
          <w:sz w:val="24"/>
          <w:szCs w:val="24"/>
        </w:rPr>
        <w:t>it is</w:t>
      </w:r>
      <w:r w:rsidR="00441F7A" w:rsidRPr="00461D74">
        <w:rPr>
          <w:rFonts w:ascii="Garamond" w:hAnsi="Garamond"/>
          <w:sz w:val="24"/>
          <w:szCs w:val="24"/>
        </w:rPr>
        <w:t xml:space="preserve"> readily</w:t>
      </w:r>
      <w:r w:rsidR="00016049" w:rsidRPr="00461D74">
        <w:rPr>
          <w:rFonts w:ascii="Garamond" w:hAnsi="Garamond"/>
          <w:sz w:val="24"/>
          <w:szCs w:val="24"/>
        </w:rPr>
        <w:t xml:space="preserve"> apparent that the modern social structure is very different </w:t>
      </w:r>
      <w:r w:rsidR="007E16D6" w:rsidRPr="00461D74">
        <w:rPr>
          <w:rFonts w:ascii="Garamond" w:hAnsi="Garamond"/>
          <w:sz w:val="24"/>
          <w:szCs w:val="24"/>
        </w:rPr>
        <w:t>from</w:t>
      </w:r>
      <w:r w:rsidR="00016049" w:rsidRPr="00461D74">
        <w:rPr>
          <w:rFonts w:ascii="Garamond" w:hAnsi="Garamond"/>
          <w:sz w:val="24"/>
          <w:szCs w:val="24"/>
        </w:rPr>
        <w:t xml:space="preserve"> th</w:t>
      </w:r>
      <w:r w:rsidR="007E16D6" w:rsidRPr="00461D74">
        <w:rPr>
          <w:rFonts w:ascii="Garamond" w:hAnsi="Garamond"/>
          <w:sz w:val="24"/>
          <w:szCs w:val="24"/>
        </w:rPr>
        <w:t>e</w:t>
      </w:r>
      <w:r w:rsidR="00016049" w:rsidRPr="00461D74">
        <w:rPr>
          <w:rFonts w:ascii="Garamond" w:hAnsi="Garamond"/>
          <w:sz w:val="24"/>
          <w:szCs w:val="24"/>
        </w:rPr>
        <w:t xml:space="preserve"> </w:t>
      </w:r>
      <w:r w:rsidR="007E16D6" w:rsidRPr="00461D74">
        <w:rPr>
          <w:rFonts w:ascii="Garamond" w:hAnsi="Garamond"/>
          <w:sz w:val="24"/>
          <w:szCs w:val="24"/>
        </w:rPr>
        <w:t xml:space="preserve">historical </w:t>
      </w:r>
      <w:r w:rsidR="00016049" w:rsidRPr="00461D74">
        <w:rPr>
          <w:rFonts w:ascii="Garamond" w:hAnsi="Garamond"/>
          <w:sz w:val="24"/>
          <w:szCs w:val="24"/>
        </w:rPr>
        <w:t xml:space="preserve">social context </w:t>
      </w:r>
      <w:r w:rsidR="007E16D6" w:rsidRPr="00461D74">
        <w:rPr>
          <w:rFonts w:ascii="Garamond" w:hAnsi="Garamond"/>
          <w:sz w:val="24"/>
          <w:szCs w:val="24"/>
        </w:rPr>
        <w:t>to</w:t>
      </w:r>
      <w:r w:rsidR="00016049" w:rsidRPr="00461D74">
        <w:rPr>
          <w:rFonts w:ascii="Garamond" w:hAnsi="Garamond"/>
          <w:sz w:val="24"/>
          <w:szCs w:val="24"/>
        </w:rPr>
        <w:t xml:space="preserve"> which Aquinas belonged.</w:t>
      </w:r>
      <w:r w:rsidR="00A56EA9">
        <w:rPr>
          <w:rStyle w:val="FootnoteReference"/>
          <w:rFonts w:ascii="Garamond" w:hAnsi="Garamond"/>
          <w:sz w:val="24"/>
          <w:szCs w:val="24"/>
        </w:rPr>
        <w:footnoteReference w:id="139"/>
      </w:r>
    </w:p>
    <w:p w:rsidR="00016049" w:rsidRPr="00461D74" w:rsidRDefault="00237B86" w:rsidP="00164E4D">
      <w:pPr>
        <w:spacing w:line="360" w:lineRule="auto"/>
        <w:ind w:firstLine="720"/>
        <w:jc w:val="both"/>
        <w:rPr>
          <w:rFonts w:ascii="Garamond" w:hAnsi="Garamond"/>
          <w:sz w:val="24"/>
          <w:szCs w:val="24"/>
        </w:rPr>
      </w:pPr>
      <w:r>
        <w:rPr>
          <w:rFonts w:ascii="Garamond" w:hAnsi="Garamond"/>
          <w:sz w:val="24"/>
          <w:szCs w:val="24"/>
        </w:rPr>
        <w:lastRenderedPageBreak/>
        <w:t>In order t</w:t>
      </w:r>
      <w:r w:rsidR="0053275E" w:rsidRPr="00461D74">
        <w:rPr>
          <w:rFonts w:ascii="Garamond" w:hAnsi="Garamond"/>
          <w:sz w:val="24"/>
          <w:szCs w:val="24"/>
        </w:rPr>
        <w:t xml:space="preserve">o sum up the two challenges </w:t>
      </w:r>
      <w:r>
        <w:rPr>
          <w:rFonts w:ascii="Garamond" w:hAnsi="Garamond"/>
          <w:sz w:val="24"/>
          <w:szCs w:val="24"/>
        </w:rPr>
        <w:t>that</w:t>
      </w:r>
      <w:r w:rsidRPr="00461D74">
        <w:rPr>
          <w:rFonts w:ascii="Garamond" w:hAnsi="Garamond"/>
          <w:sz w:val="24"/>
          <w:szCs w:val="24"/>
        </w:rPr>
        <w:t xml:space="preserve"> </w:t>
      </w:r>
      <w:r>
        <w:rPr>
          <w:rFonts w:ascii="Garamond" w:hAnsi="Garamond"/>
          <w:sz w:val="24"/>
          <w:szCs w:val="24"/>
        </w:rPr>
        <w:t xml:space="preserve">will </w:t>
      </w:r>
      <w:r w:rsidR="0053275E" w:rsidRPr="00461D74">
        <w:rPr>
          <w:rFonts w:ascii="Garamond" w:hAnsi="Garamond"/>
          <w:sz w:val="24"/>
          <w:szCs w:val="24"/>
        </w:rPr>
        <w:t xml:space="preserve">concern us in </w:t>
      </w:r>
      <w:r>
        <w:rPr>
          <w:rFonts w:ascii="Garamond" w:hAnsi="Garamond"/>
          <w:sz w:val="24"/>
          <w:szCs w:val="24"/>
        </w:rPr>
        <w:t>the balance of this thesis, t</w:t>
      </w:r>
      <w:r w:rsidR="00016049" w:rsidRPr="00461D74">
        <w:rPr>
          <w:rFonts w:ascii="Garamond" w:hAnsi="Garamond"/>
          <w:sz w:val="24"/>
          <w:szCs w:val="24"/>
        </w:rPr>
        <w:t xml:space="preserve">he first problem </w:t>
      </w:r>
      <w:r>
        <w:rPr>
          <w:rFonts w:ascii="Garamond" w:hAnsi="Garamond"/>
          <w:sz w:val="24"/>
          <w:szCs w:val="24"/>
        </w:rPr>
        <w:t xml:space="preserve">is: </w:t>
      </w:r>
      <w:r w:rsidR="00506ED8" w:rsidRPr="00461D74">
        <w:rPr>
          <w:rFonts w:ascii="Garamond" w:hAnsi="Garamond"/>
          <w:sz w:val="24"/>
          <w:szCs w:val="24"/>
        </w:rPr>
        <w:t xml:space="preserve">how can MacIntyre claim that the historical narrative of traditions proceeds progressively on the one hand, while championing </w:t>
      </w:r>
      <w:r w:rsidR="00016049" w:rsidRPr="00461D74">
        <w:rPr>
          <w:rFonts w:ascii="Garamond" w:hAnsi="Garamond"/>
          <w:sz w:val="24"/>
          <w:szCs w:val="24"/>
        </w:rPr>
        <w:t xml:space="preserve">the </w:t>
      </w:r>
      <w:r w:rsidR="007E16D6" w:rsidRPr="00461D74">
        <w:rPr>
          <w:rFonts w:ascii="Garamond" w:hAnsi="Garamond"/>
          <w:sz w:val="24"/>
          <w:szCs w:val="24"/>
        </w:rPr>
        <w:t>Aristotelian-</w:t>
      </w:r>
      <w:r w:rsidR="00016049" w:rsidRPr="00461D74">
        <w:rPr>
          <w:rFonts w:ascii="Garamond" w:hAnsi="Garamond"/>
          <w:sz w:val="24"/>
          <w:szCs w:val="24"/>
        </w:rPr>
        <w:t xml:space="preserve">Thomistic moral tradition </w:t>
      </w:r>
      <w:r w:rsidR="00506ED8" w:rsidRPr="00461D74">
        <w:rPr>
          <w:rFonts w:ascii="Garamond" w:hAnsi="Garamond"/>
          <w:sz w:val="24"/>
          <w:szCs w:val="24"/>
        </w:rPr>
        <w:t>on the other hand, when this tradition has been marginalized in the modern world</w:t>
      </w:r>
      <w:r w:rsidR="007E16D6" w:rsidRPr="00461D74">
        <w:rPr>
          <w:rFonts w:ascii="Garamond" w:hAnsi="Garamond"/>
          <w:sz w:val="24"/>
          <w:szCs w:val="24"/>
        </w:rPr>
        <w:t>?</w:t>
      </w:r>
      <w:r w:rsidR="00441F7A" w:rsidRPr="00461D74">
        <w:rPr>
          <w:rFonts w:ascii="Garamond" w:hAnsi="Garamond"/>
          <w:sz w:val="24"/>
          <w:szCs w:val="24"/>
        </w:rPr>
        <w:t xml:space="preserve"> T</w:t>
      </w:r>
      <w:r w:rsidR="00016049" w:rsidRPr="00461D74">
        <w:rPr>
          <w:rFonts w:ascii="Garamond" w:hAnsi="Garamond"/>
          <w:sz w:val="24"/>
          <w:szCs w:val="24"/>
        </w:rPr>
        <w:t xml:space="preserve">he second problem </w:t>
      </w:r>
      <w:r w:rsidR="00441F7A" w:rsidRPr="00461D74">
        <w:rPr>
          <w:rFonts w:ascii="Garamond" w:hAnsi="Garamond"/>
          <w:sz w:val="24"/>
          <w:szCs w:val="24"/>
        </w:rPr>
        <w:t xml:space="preserve">is generated </w:t>
      </w:r>
      <w:r w:rsidR="007E16D6" w:rsidRPr="00461D74">
        <w:rPr>
          <w:rFonts w:ascii="Garamond" w:hAnsi="Garamond"/>
          <w:sz w:val="24"/>
          <w:szCs w:val="24"/>
        </w:rPr>
        <w:t xml:space="preserve">in virtue of the fact that </w:t>
      </w:r>
      <w:r w:rsidR="00441F7A" w:rsidRPr="00461D74">
        <w:rPr>
          <w:rFonts w:ascii="Garamond" w:hAnsi="Garamond"/>
          <w:sz w:val="24"/>
          <w:szCs w:val="24"/>
        </w:rPr>
        <w:t xml:space="preserve">on MacIntyre’s </w:t>
      </w:r>
      <w:r w:rsidR="007E16D6" w:rsidRPr="00461D74">
        <w:rPr>
          <w:rFonts w:ascii="Garamond" w:hAnsi="Garamond"/>
          <w:sz w:val="24"/>
          <w:szCs w:val="24"/>
        </w:rPr>
        <w:t>historical contextualist</w:t>
      </w:r>
      <w:r w:rsidR="00441F7A" w:rsidRPr="00461D74">
        <w:rPr>
          <w:rFonts w:ascii="Garamond" w:hAnsi="Garamond"/>
          <w:sz w:val="24"/>
          <w:szCs w:val="24"/>
        </w:rPr>
        <w:t xml:space="preserve"> account</w:t>
      </w:r>
      <w:r w:rsidR="007E16D6" w:rsidRPr="00461D74">
        <w:rPr>
          <w:rFonts w:ascii="Garamond" w:hAnsi="Garamond"/>
          <w:sz w:val="24"/>
          <w:szCs w:val="24"/>
        </w:rPr>
        <w:t>,</w:t>
      </w:r>
      <w:r w:rsidR="00441F7A" w:rsidRPr="00461D74">
        <w:rPr>
          <w:rFonts w:ascii="Garamond" w:hAnsi="Garamond"/>
          <w:sz w:val="24"/>
          <w:szCs w:val="24"/>
        </w:rPr>
        <w:t xml:space="preserve"> </w:t>
      </w:r>
      <w:r w:rsidR="00016049" w:rsidRPr="00461D74">
        <w:rPr>
          <w:rFonts w:ascii="Garamond" w:hAnsi="Garamond"/>
          <w:sz w:val="24"/>
          <w:szCs w:val="24"/>
        </w:rPr>
        <w:t xml:space="preserve">the </w:t>
      </w:r>
      <w:r w:rsidR="00441F7A" w:rsidRPr="00461D74">
        <w:rPr>
          <w:rFonts w:ascii="Garamond" w:hAnsi="Garamond"/>
          <w:sz w:val="24"/>
          <w:szCs w:val="24"/>
        </w:rPr>
        <w:t>ethics</w:t>
      </w:r>
      <w:r w:rsidR="007E16D6" w:rsidRPr="00461D74">
        <w:rPr>
          <w:rFonts w:ascii="Garamond" w:hAnsi="Garamond"/>
          <w:sz w:val="24"/>
          <w:szCs w:val="24"/>
        </w:rPr>
        <w:t xml:space="preserve"> and </w:t>
      </w:r>
      <w:r w:rsidR="00016049" w:rsidRPr="00461D74">
        <w:rPr>
          <w:rFonts w:ascii="Garamond" w:hAnsi="Garamond"/>
          <w:sz w:val="24"/>
          <w:szCs w:val="24"/>
        </w:rPr>
        <w:t xml:space="preserve">politics available in the Thomist traditions </w:t>
      </w:r>
      <w:r>
        <w:rPr>
          <w:rFonts w:ascii="Garamond" w:hAnsi="Garamond"/>
          <w:sz w:val="24"/>
          <w:szCs w:val="24"/>
        </w:rPr>
        <w:t>seems</w:t>
      </w:r>
      <w:r w:rsidRPr="00461D74">
        <w:rPr>
          <w:rFonts w:ascii="Garamond" w:hAnsi="Garamond"/>
          <w:sz w:val="24"/>
          <w:szCs w:val="24"/>
        </w:rPr>
        <w:t xml:space="preserve"> </w:t>
      </w:r>
      <w:r w:rsidR="00016049" w:rsidRPr="00461D74">
        <w:rPr>
          <w:rFonts w:ascii="Garamond" w:hAnsi="Garamond"/>
          <w:sz w:val="24"/>
          <w:szCs w:val="24"/>
        </w:rPr>
        <w:t>more appropriate to the medieval social structure</w:t>
      </w:r>
      <w:r w:rsidR="00441F7A" w:rsidRPr="00461D74">
        <w:rPr>
          <w:rFonts w:ascii="Garamond" w:hAnsi="Garamond"/>
          <w:sz w:val="24"/>
          <w:szCs w:val="24"/>
        </w:rPr>
        <w:t xml:space="preserve">, for </w:t>
      </w:r>
      <w:r w:rsidR="00016049" w:rsidRPr="00461D74">
        <w:rPr>
          <w:rFonts w:ascii="Garamond" w:hAnsi="Garamond"/>
          <w:sz w:val="24"/>
          <w:szCs w:val="24"/>
        </w:rPr>
        <w:t xml:space="preserve">it </w:t>
      </w:r>
      <w:r>
        <w:rPr>
          <w:rFonts w:ascii="Garamond" w:hAnsi="Garamond"/>
          <w:sz w:val="24"/>
          <w:szCs w:val="24"/>
        </w:rPr>
        <w:t>remains</w:t>
      </w:r>
      <w:r w:rsidRPr="00461D74">
        <w:rPr>
          <w:rFonts w:ascii="Garamond" w:hAnsi="Garamond"/>
          <w:sz w:val="24"/>
          <w:szCs w:val="24"/>
        </w:rPr>
        <w:t xml:space="preserve"> </w:t>
      </w:r>
      <w:r w:rsidR="00016049" w:rsidRPr="00461D74">
        <w:rPr>
          <w:rFonts w:ascii="Garamond" w:hAnsi="Garamond"/>
          <w:sz w:val="24"/>
          <w:szCs w:val="24"/>
        </w:rPr>
        <w:t xml:space="preserve">in an important sense a theoretical expression </w:t>
      </w:r>
      <w:r w:rsidR="00441F7A" w:rsidRPr="00461D74">
        <w:rPr>
          <w:rFonts w:ascii="Garamond" w:hAnsi="Garamond"/>
          <w:sz w:val="24"/>
          <w:szCs w:val="24"/>
        </w:rPr>
        <w:t xml:space="preserve">of social practices </w:t>
      </w:r>
      <w:r w:rsidR="00016049" w:rsidRPr="00461D74">
        <w:rPr>
          <w:rFonts w:ascii="Garamond" w:hAnsi="Garamond"/>
          <w:sz w:val="24"/>
          <w:szCs w:val="24"/>
        </w:rPr>
        <w:t xml:space="preserve">formulated </w:t>
      </w:r>
      <w:r w:rsidR="00441F7A" w:rsidRPr="00461D74">
        <w:rPr>
          <w:rFonts w:ascii="Garamond" w:hAnsi="Garamond"/>
          <w:sz w:val="24"/>
          <w:szCs w:val="24"/>
        </w:rPr>
        <w:t xml:space="preserve">based on </w:t>
      </w:r>
      <w:r w:rsidR="00016049" w:rsidRPr="00461D74">
        <w:rPr>
          <w:rFonts w:ascii="Garamond" w:hAnsi="Garamond"/>
          <w:sz w:val="24"/>
          <w:szCs w:val="24"/>
        </w:rPr>
        <w:t xml:space="preserve">that earlier </w:t>
      </w:r>
      <w:r w:rsidR="00441F7A" w:rsidRPr="00461D74">
        <w:rPr>
          <w:rFonts w:ascii="Garamond" w:hAnsi="Garamond"/>
          <w:sz w:val="24"/>
          <w:szCs w:val="24"/>
        </w:rPr>
        <w:t>socio-</w:t>
      </w:r>
      <w:r w:rsidR="00016049" w:rsidRPr="00461D74">
        <w:rPr>
          <w:rFonts w:ascii="Garamond" w:hAnsi="Garamond"/>
          <w:sz w:val="24"/>
          <w:szCs w:val="24"/>
        </w:rPr>
        <w:t>historical context</w:t>
      </w:r>
      <w:r w:rsidR="0053275E" w:rsidRPr="00461D74">
        <w:rPr>
          <w:rFonts w:ascii="Garamond" w:hAnsi="Garamond"/>
          <w:sz w:val="24"/>
          <w:szCs w:val="24"/>
        </w:rPr>
        <w:t xml:space="preserve"> – which then makes it a mystery how MacIntyre could</w:t>
      </w:r>
      <w:r w:rsidR="008F7C2E">
        <w:rPr>
          <w:rFonts w:ascii="Garamond" w:hAnsi="Garamond"/>
          <w:sz w:val="24"/>
          <w:szCs w:val="24"/>
        </w:rPr>
        <w:t xml:space="preserve">, in </w:t>
      </w:r>
      <w:r>
        <w:rPr>
          <w:rFonts w:ascii="Garamond" w:hAnsi="Garamond"/>
          <w:sz w:val="24"/>
          <w:szCs w:val="24"/>
        </w:rPr>
        <w:t>altogether reject</w:t>
      </w:r>
      <w:r w:rsidR="008F7C2E">
        <w:rPr>
          <w:rFonts w:ascii="Garamond" w:hAnsi="Garamond"/>
          <w:sz w:val="24"/>
          <w:szCs w:val="24"/>
        </w:rPr>
        <w:t>ing</w:t>
      </w:r>
      <w:r>
        <w:rPr>
          <w:rFonts w:ascii="Garamond" w:hAnsi="Garamond"/>
          <w:sz w:val="24"/>
          <w:szCs w:val="24"/>
        </w:rPr>
        <w:t xml:space="preserve"> any possibility of ameliorating the problems present in liberal politics, </w:t>
      </w:r>
      <w:r w:rsidR="0053275E" w:rsidRPr="00461D74">
        <w:rPr>
          <w:rFonts w:ascii="Garamond" w:hAnsi="Garamond"/>
          <w:sz w:val="24"/>
          <w:szCs w:val="24"/>
        </w:rPr>
        <w:t xml:space="preserve">seriously propose </w:t>
      </w:r>
      <w:r>
        <w:rPr>
          <w:rFonts w:ascii="Garamond" w:hAnsi="Garamond"/>
          <w:sz w:val="24"/>
          <w:szCs w:val="24"/>
        </w:rPr>
        <w:t xml:space="preserve">Thomism </w:t>
      </w:r>
      <w:r w:rsidR="0053275E" w:rsidRPr="00461D74">
        <w:rPr>
          <w:rFonts w:ascii="Garamond" w:hAnsi="Garamond"/>
          <w:sz w:val="24"/>
          <w:szCs w:val="24"/>
        </w:rPr>
        <w:t xml:space="preserve">as a solution </w:t>
      </w:r>
      <w:r>
        <w:rPr>
          <w:rFonts w:ascii="Garamond" w:hAnsi="Garamond"/>
          <w:sz w:val="24"/>
          <w:szCs w:val="24"/>
        </w:rPr>
        <w:t>to</w:t>
      </w:r>
      <w:r w:rsidRPr="00461D74">
        <w:rPr>
          <w:rFonts w:ascii="Garamond" w:hAnsi="Garamond"/>
          <w:sz w:val="24"/>
          <w:szCs w:val="24"/>
        </w:rPr>
        <w:t xml:space="preserve"> </w:t>
      </w:r>
      <w:r w:rsidR="0053275E" w:rsidRPr="00461D74">
        <w:rPr>
          <w:rFonts w:ascii="Garamond" w:hAnsi="Garamond"/>
          <w:sz w:val="24"/>
          <w:szCs w:val="24"/>
        </w:rPr>
        <w:t xml:space="preserve">the problems </w:t>
      </w:r>
      <w:r>
        <w:rPr>
          <w:rFonts w:ascii="Garamond" w:hAnsi="Garamond"/>
          <w:sz w:val="24"/>
          <w:szCs w:val="24"/>
        </w:rPr>
        <w:t xml:space="preserve">that </w:t>
      </w:r>
      <w:r w:rsidR="0053275E" w:rsidRPr="00461D74">
        <w:rPr>
          <w:rFonts w:ascii="Garamond" w:hAnsi="Garamond"/>
          <w:sz w:val="24"/>
          <w:szCs w:val="24"/>
        </w:rPr>
        <w:t>we face today</w:t>
      </w:r>
      <w:r w:rsidR="00016049" w:rsidRPr="00461D74">
        <w:rPr>
          <w:rFonts w:ascii="Garamond" w:hAnsi="Garamond"/>
          <w:sz w:val="24"/>
          <w:szCs w:val="24"/>
        </w:rPr>
        <w:t>.</w:t>
      </w:r>
    </w:p>
    <w:p w:rsidR="00016049" w:rsidRPr="00461D74" w:rsidRDefault="00016049" w:rsidP="00164E4D">
      <w:pPr>
        <w:spacing w:line="360" w:lineRule="auto"/>
        <w:ind w:firstLine="720"/>
        <w:jc w:val="both"/>
        <w:rPr>
          <w:rFonts w:ascii="Garamond" w:hAnsi="Garamond"/>
        </w:rPr>
      </w:pPr>
    </w:p>
    <w:p w:rsidR="00016049" w:rsidRPr="00461D74" w:rsidRDefault="00195ABA" w:rsidP="00164E4D">
      <w:pPr>
        <w:pStyle w:val="Heading2"/>
        <w:spacing w:line="360" w:lineRule="auto"/>
        <w:jc w:val="both"/>
        <w:rPr>
          <w:rFonts w:cstheme="majorHAnsi"/>
        </w:rPr>
      </w:pPr>
      <w:bookmarkStart w:id="13" w:name="_Toc528077795"/>
      <w:r w:rsidRPr="00461D74">
        <w:rPr>
          <w:rFonts w:cstheme="majorHAnsi"/>
        </w:rPr>
        <w:t xml:space="preserve">7. </w:t>
      </w:r>
      <w:r w:rsidR="00016049" w:rsidRPr="00461D74">
        <w:rPr>
          <w:rFonts w:cstheme="majorHAnsi"/>
        </w:rPr>
        <w:t>Conclu</w:t>
      </w:r>
      <w:r w:rsidR="0035042F" w:rsidRPr="00461D74">
        <w:rPr>
          <w:rFonts w:cstheme="majorHAnsi"/>
        </w:rPr>
        <w:t>ding Remarks</w:t>
      </w:r>
      <w:bookmarkEnd w:id="13"/>
    </w:p>
    <w:p w:rsidR="00EC6689" w:rsidRPr="00461D74" w:rsidRDefault="00EC6689" w:rsidP="00164E4D">
      <w:pPr>
        <w:spacing w:line="360" w:lineRule="auto"/>
        <w:jc w:val="both"/>
        <w:rPr>
          <w:rFonts w:ascii="Garamond" w:hAnsi="Garamond" w:cstheme="minorHAnsi"/>
          <w:sz w:val="24"/>
          <w:szCs w:val="24"/>
          <w:lang w:val="en-GB"/>
        </w:rPr>
      </w:pPr>
    </w:p>
    <w:p w:rsidR="006C2425" w:rsidRPr="00461D74" w:rsidRDefault="0096684F"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In this chapter</w:t>
      </w:r>
      <w:r w:rsidR="0075370C"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I began by characterising </w:t>
      </w:r>
      <w:r w:rsidR="0075370C" w:rsidRPr="00461D74">
        <w:rPr>
          <w:rFonts w:ascii="Garamond" w:hAnsi="Garamond" w:cstheme="minorHAnsi"/>
          <w:sz w:val="24"/>
          <w:szCs w:val="24"/>
          <w:lang w:val="en-GB"/>
        </w:rPr>
        <w:t>MacIntyre</w:t>
      </w:r>
      <w:r w:rsidRPr="00461D74">
        <w:rPr>
          <w:rFonts w:ascii="Garamond" w:hAnsi="Garamond" w:cstheme="minorHAnsi"/>
          <w:sz w:val="24"/>
          <w:szCs w:val="24"/>
          <w:lang w:val="en-GB"/>
        </w:rPr>
        <w:t xml:space="preserve">’s hypothesis </w:t>
      </w:r>
      <w:r w:rsidR="00DA5C02" w:rsidRPr="00461D74">
        <w:rPr>
          <w:rFonts w:ascii="Garamond" w:hAnsi="Garamond" w:cstheme="minorHAnsi"/>
          <w:sz w:val="24"/>
          <w:szCs w:val="24"/>
          <w:lang w:val="en-GB"/>
        </w:rPr>
        <w:t>concerning</w:t>
      </w:r>
      <w:r w:rsidRPr="00461D74">
        <w:rPr>
          <w:rFonts w:ascii="Garamond" w:hAnsi="Garamond" w:cstheme="minorHAnsi"/>
          <w:sz w:val="24"/>
          <w:szCs w:val="24"/>
          <w:lang w:val="en-GB"/>
        </w:rPr>
        <w:t xml:space="preserve"> the </w:t>
      </w:r>
      <w:r w:rsidR="0075370C" w:rsidRPr="00461D74">
        <w:rPr>
          <w:rFonts w:ascii="Garamond" w:hAnsi="Garamond" w:cstheme="minorHAnsi"/>
          <w:sz w:val="24"/>
          <w:szCs w:val="24"/>
          <w:lang w:val="en-GB"/>
        </w:rPr>
        <w:t xml:space="preserve">seemingly interminable </w:t>
      </w:r>
      <w:r w:rsidRPr="00461D74">
        <w:rPr>
          <w:rFonts w:ascii="Garamond" w:hAnsi="Garamond" w:cstheme="minorHAnsi"/>
          <w:sz w:val="24"/>
          <w:szCs w:val="24"/>
          <w:lang w:val="en-GB"/>
        </w:rPr>
        <w:t xml:space="preserve">nature of moral </w:t>
      </w:r>
      <w:r w:rsidR="0075370C" w:rsidRPr="00461D74">
        <w:rPr>
          <w:rFonts w:ascii="Garamond" w:hAnsi="Garamond" w:cstheme="minorHAnsi"/>
          <w:sz w:val="24"/>
          <w:szCs w:val="24"/>
          <w:lang w:val="en-GB"/>
        </w:rPr>
        <w:t>conflict</w:t>
      </w:r>
      <w:r w:rsidRPr="00461D74">
        <w:rPr>
          <w:rFonts w:ascii="Garamond" w:hAnsi="Garamond" w:cstheme="minorHAnsi"/>
          <w:sz w:val="24"/>
          <w:szCs w:val="24"/>
          <w:lang w:val="en-GB"/>
        </w:rPr>
        <w:t xml:space="preserve"> in liberal </w:t>
      </w:r>
      <w:r w:rsidR="0075370C" w:rsidRPr="00461D74">
        <w:rPr>
          <w:rFonts w:ascii="Garamond" w:hAnsi="Garamond" w:cstheme="minorHAnsi"/>
          <w:sz w:val="24"/>
          <w:szCs w:val="24"/>
          <w:lang w:val="en-GB"/>
        </w:rPr>
        <w:t>s</w:t>
      </w:r>
      <w:r w:rsidRPr="00461D74">
        <w:rPr>
          <w:rFonts w:ascii="Garamond" w:hAnsi="Garamond" w:cstheme="minorHAnsi"/>
          <w:sz w:val="24"/>
          <w:szCs w:val="24"/>
          <w:lang w:val="en-GB"/>
        </w:rPr>
        <w:t>ociety.</w:t>
      </w:r>
      <w:r w:rsidR="0075370C" w:rsidRPr="00461D74">
        <w:rPr>
          <w:rFonts w:ascii="Garamond" w:hAnsi="Garamond" w:cstheme="minorHAnsi"/>
          <w:sz w:val="24"/>
          <w:szCs w:val="24"/>
          <w:lang w:val="en-GB"/>
        </w:rPr>
        <w:t xml:space="preserve"> </w:t>
      </w:r>
      <w:r w:rsidRPr="00461D74">
        <w:rPr>
          <w:rFonts w:ascii="Garamond" w:hAnsi="Garamond" w:cstheme="minorHAnsi"/>
          <w:sz w:val="24"/>
          <w:szCs w:val="24"/>
          <w:lang w:val="en-GB"/>
        </w:rPr>
        <w:t>I then outline</w:t>
      </w:r>
      <w:r w:rsidR="00AD16C2" w:rsidRPr="00461D74">
        <w:rPr>
          <w:rFonts w:ascii="Garamond" w:hAnsi="Garamond" w:cstheme="minorHAnsi"/>
          <w:sz w:val="24"/>
          <w:szCs w:val="24"/>
          <w:lang w:val="en-GB"/>
        </w:rPr>
        <w:t>d</w:t>
      </w:r>
      <w:r w:rsidRPr="00461D74">
        <w:rPr>
          <w:rFonts w:ascii="Garamond" w:hAnsi="Garamond" w:cstheme="minorHAnsi"/>
          <w:sz w:val="24"/>
          <w:szCs w:val="24"/>
          <w:lang w:val="en-GB"/>
        </w:rPr>
        <w:t xml:space="preserve"> MacIn</w:t>
      </w:r>
      <w:r w:rsidR="00AD16C2" w:rsidRPr="00461D74">
        <w:rPr>
          <w:rFonts w:ascii="Garamond" w:hAnsi="Garamond" w:cstheme="minorHAnsi"/>
          <w:sz w:val="24"/>
          <w:szCs w:val="24"/>
          <w:lang w:val="en-GB"/>
        </w:rPr>
        <w:t>tyre’s argument where he suggests</w:t>
      </w:r>
      <w:r w:rsidRPr="00461D74">
        <w:rPr>
          <w:rFonts w:ascii="Garamond" w:hAnsi="Garamond" w:cstheme="minorHAnsi"/>
          <w:sz w:val="24"/>
          <w:szCs w:val="24"/>
          <w:lang w:val="en-GB"/>
        </w:rPr>
        <w:t xml:space="preserve"> that </w:t>
      </w:r>
      <w:r w:rsidR="00AD16C2" w:rsidRPr="00461D74">
        <w:rPr>
          <w:rFonts w:ascii="Garamond" w:hAnsi="Garamond" w:cstheme="minorHAnsi"/>
          <w:sz w:val="24"/>
          <w:szCs w:val="24"/>
          <w:lang w:val="en-GB"/>
        </w:rPr>
        <w:t>the perpetual nature of moral conflict between rival views</w:t>
      </w:r>
      <w:r w:rsidRPr="00461D74">
        <w:rPr>
          <w:rFonts w:ascii="Garamond" w:hAnsi="Garamond" w:cstheme="minorHAnsi"/>
          <w:sz w:val="24"/>
          <w:szCs w:val="24"/>
          <w:lang w:val="en-GB"/>
        </w:rPr>
        <w:t xml:space="preserve"> emerged from the failure of various</w:t>
      </w:r>
      <w:r w:rsidR="00AD16C2" w:rsidRPr="00461D74">
        <w:rPr>
          <w:rFonts w:ascii="Garamond" w:hAnsi="Garamond" w:cstheme="minorHAnsi"/>
          <w:sz w:val="24"/>
          <w:szCs w:val="24"/>
          <w:lang w:val="en-GB"/>
        </w:rPr>
        <w:t xml:space="preserve"> attempts by</w:t>
      </w:r>
      <w:r w:rsidRPr="00461D74">
        <w:rPr>
          <w:rFonts w:ascii="Garamond" w:hAnsi="Garamond" w:cstheme="minorHAnsi"/>
          <w:sz w:val="24"/>
          <w:szCs w:val="24"/>
          <w:lang w:val="en-GB"/>
        </w:rPr>
        <w:t xml:space="preserve"> </w:t>
      </w:r>
      <w:r w:rsidR="00E444A3" w:rsidRPr="00461D74">
        <w:rPr>
          <w:rFonts w:ascii="Garamond" w:hAnsi="Garamond" w:cstheme="minorHAnsi"/>
          <w:sz w:val="24"/>
          <w:szCs w:val="24"/>
          <w:lang w:val="en-GB"/>
        </w:rPr>
        <w:t>E</w:t>
      </w:r>
      <w:r w:rsidRPr="00461D74">
        <w:rPr>
          <w:rFonts w:ascii="Garamond" w:hAnsi="Garamond" w:cstheme="minorHAnsi"/>
          <w:sz w:val="24"/>
          <w:szCs w:val="24"/>
          <w:lang w:val="en-GB"/>
        </w:rPr>
        <w:t xml:space="preserve">nlightenment </w:t>
      </w:r>
      <w:r w:rsidR="00AD16C2" w:rsidRPr="00461D74">
        <w:rPr>
          <w:rFonts w:ascii="Garamond" w:hAnsi="Garamond" w:cstheme="minorHAnsi"/>
          <w:sz w:val="24"/>
          <w:szCs w:val="24"/>
          <w:lang w:val="en-GB"/>
        </w:rPr>
        <w:t xml:space="preserve">thinkers </w:t>
      </w:r>
      <w:r w:rsidR="00506ED8" w:rsidRPr="00461D74">
        <w:rPr>
          <w:rFonts w:ascii="Garamond" w:hAnsi="Garamond" w:cstheme="minorHAnsi"/>
          <w:sz w:val="24"/>
          <w:szCs w:val="24"/>
          <w:lang w:val="en-GB"/>
        </w:rPr>
        <w:t xml:space="preserve">to formulate </w:t>
      </w:r>
      <w:r w:rsidR="00AD16C2" w:rsidRPr="00461D74">
        <w:rPr>
          <w:rFonts w:ascii="Garamond" w:hAnsi="Garamond" w:cstheme="minorHAnsi"/>
          <w:sz w:val="24"/>
          <w:szCs w:val="24"/>
          <w:lang w:val="en-GB"/>
        </w:rPr>
        <w:t xml:space="preserve">an </w:t>
      </w:r>
      <w:r w:rsidRPr="00461D74">
        <w:rPr>
          <w:rFonts w:ascii="Garamond" w:hAnsi="Garamond" w:cstheme="minorHAnsi"/>
          <w:sz w:val="24"/>
          <w:szCs w:val="24"/>
          <w:lang w:val="en-GB"/>
        </w:rPr>
        <w:t xml:space="preserve">independent </w:t>
      </w:r>
      <w:r w:rsidR="00AD16C2" w:rsidRPr="00461D74">
        <w:rPr>
          <w:rFonts w:ascii="Garamond" w:hAnsi="Garamond" w:cstheme="minorHAnsi"/>
          <w:sz w:val="24"/>
          <w:szCs w:val="24"/>
          <w:lang w:val="en-GB"/>
        </w:rPr>
        <w:t xml:space="preserve">and definitive </w:t>
      </w:r>
      <w:r w:rsidRPr="00461D74">
        <w:rPr>
          <w:rFonts w:ascii="Garamond" w:hAnsi="Garamond" w:cstheme="minorHAnsi"/>
          <w:sz w:val="24"/>
          <w:szCs w:val="24"/>
          <w:lang w:val="en-GB"/>
        </w:rPr>
        <w:t xml:space="preserve">rational justification for </w:t>
      </w:r>
      <w:r w:rsidR="00AD16C2" w:rsidRPr="00461D74">
        <w:rPr>
          <w:rFonts w:ascii="Garamond" w:hAnsi="Garamond" w:cstheme="minorHAnsi"/>
          <w:sz w:val="24"/>
          <w:szCs w:val="24"/>
          <w:lang w:val="en-GB"/>
        </w:rPr>
        <w:t>moral claims</w:t>
      </w:r>
      <w:r w:rsidR="00726EAD" w:rsidRPr="00461D74">
        <w:rPr>
          <w:rFonts w:ascii="Garamond" w:hAnsi="Garamond" w:cstheme="minorHAnsi"/>
          <w:sz w:val="24"/>
          <w:szCs w:val="24"/>
          <w:lang w:val="en-GB"/>
        </w:rPr>
        <w:t xml:space="preserve">. </w:t>
      </w:r>
      <w:r w:rsidR="006C2425" w:rsidRPr="00461D74">
        <w:rPr>
          <w:rFonts w:ascii="Garamond" w:hAnsi="Garamond" w:cstheme="minorHAnsi"/>
          <w:sz w:val="24"/>
          <w:szCs w:val="24"/>
          <w:lang w:val="en-GB"/>
        </w:rPr>
        <w:t xml:space="preserve">Here, </w:t>
      </w:r>
      <w:r w:rsidR="00726EAD" w:rsidRPr="00461D74">
        <w:rPr>
          <w:rFonts w:ascii="Garamond" w:hAnsi="Garamond" w:cstheme="minorHAnsi"/>
          <w:sz w:val="24"/>
          <w:szCs w:val="24"/>
          <w:lang w:val="en-GB"/>
        </w:rPr>
        <w:t xml:space="preserve">MacIntyre </w:t>
      </w:r>
      <w:r w:rsidR="006C2425" w:rsidRPr="00461D74">
        <w:rPr>
          <w:rFonts w:ascii="Garamond" w:hAnsi="Garamond" w:cstheme="minorHAnsi"/>
          <w:sz w:val="24"/>
          <w:szCs w:val="24"/>
          <w:lang w:val="en-GB"/>
        </w:rPr>
        <w:t xml:space="preserve">argued that the </w:t>
      </w:r>
      <w:r w:rsidR="00726EAD" w:rsidRPr="00461D74">
        <w:rPr>
          <w:rFonts w:ascii="Garamond" w:hAnsi="Garamond" w:cstheme="minorHAnsi"/>
          <w:sz w:val="24"/>
          <w:szCs w:val="24"/>
          <w:lang w:val="en-GB"/>
        </w:rPr>
        <w:t>failure</w:t>
      </w:r>
      <w:r w:rsidR="006C2425" w:rsidRPr="00461D74">
        <w:rPr>
          <w:rFonts w:ascii="Garamond" w:hAnsi="Garamond" w:cstheme="minorHAnsi"/>
          <w:sz w:val="24"/>
          <w:szCs w:val="24"/>
          <w:lang w:val="en-GB"/>
        </w:rPr>
        <w:t xml:space="preserve"> of the </w:t>
      </w:r>
      <w:r w:rsidR="006C2425" w:rsidRPr="00461D74">
        <w:rPr>
          <w:rFonts w:ascii="Garamond" w:hAnsi="Garamond" w:cstheme="minorHAnsi"/>
          <w:sz w:val="24"/>
          <w:szCs w:val="24"/>
          <w:lang w:val="en-GB"/>
        </w:rPr>
        <w:lastRenderedPageBreak/>
        <w:t xml:space="preserve">Enlightenment Project was inevitable precisely because </w:t>
      </w:r>
      <w:r w:rsidR="00E444A3" w:rsidRPr="00461D74">
        <w:rPr>
          <w:rFonts w:ascii="Garamond" w:hAnsi="Garamond" w:cstheme="minorHAnsi"/>
          <w:sz w:val="24"/>
          <w:szCs w:val="24"/>
          <w:lang w:val="en-GB"/>
        </w:rPr>
        <w:t>E</w:t>
      </w:r>
      <w:r w:rsidR="006C2425" w:rsidRPr="00461D74">
        <w:rPr>
          <w:rFonts w:ascii="Garamond" w:hAnsi="Garamond" w:cstheme="minorHAnsi"/>
          <w:sz w:val="24"/>
          <w:szCs w:val="24"/>
          <w:lang w:val="en-GB"/>
        </w:rPr>
        <w:t>nlightenment thinkers could no longer reputably utilise important teleological resources in their arguments, which were previously available to earlier Aristotelian thinkers.</w:t>
      </w:r>
    </w:p>
    <w:p w:rsidR="00071BC1" w:rsidRPr="00461D74" w:rsidRDefault="006C2425"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t xml:space="preserve">MacIntyre then advances a rather disconcerting disjunction </w:t>
      </w:r>
      <w:r w:rsidR="008F7C2E">
        <w:rPr>
          <w:rFonts w:ascii="Garamond" w:hAnsi="Garamond" w:cstheme="minorHAnsi"/>
          <w:sz w:val="24"/>
          <w:szCs w:val="24"/>
          <w:lang w:val="en-GB"/>
        </w:rPr>
        <w:t>of what he takes to be the remaining alternatives</w:t>
      </w:r>
      <w:r w:rsidRPr="00461D74">
        <w:rPr>
          <w:rFonts w:ascii="Garamond" w:hAnsi="Garamond" w:cstheme="minorHAnsi"/>
          <w:sz w:val="24"/>
          <w:szCs w:val="24"/>
          <w:lang w:val="en-GB"/>
        </w:rPr>
        <w:t xml:space="preserve">. Here, he argues that the modern </w:t>
      </w:r>
      <w:r w:rsidR="00DD54F8" w:rsidRPr="00461D74">
        <w:rPr>
          <w:rFonts w:ascii="Garamond" w:hAnsi="Garamond" w:cstheme="minorHAnsi"/>
          <w:sz w:val="24"/>
          <w:szCs w:val="24"/>
          <w:lang w:val="en-GB"/>
        </w:rPr>
        <w:t>individual</w:t>
      </w:r>
      <w:r w:rsidRPr="00461D74">
        <w:rPr>
          <w:rFonts w:ascii="Garamond" w:hAnsi="Garamond" w:cstheme="minorHAnsi"/>
          <w:sz w:val="24"/>
          <w:szCs w:val="24"/>
          <w:lang w:val="en-GB"/>
        </w:rPr>
        <w:t xml:space="preserve"> is essentially left with two different options</w:t>
      </w:r>
      <w:r w:rsidR="00DD54F8" w:rsidRPr="00461D74">
        <w:rPr>
          <w:rFonts w:ascii="Garamond" w:hAnsi="Garamond" w:cstheme="minorHAnsi"/>
          <w:sz w:val="24"/>
          <w:szCs w:val="24"/>
          <w:lang w:val="en-GB"/>
        </w:rPr>
        <w:t xml:space="preserve">: </w:t>
      </w:r>
      <w:r w:rsidR="00DA5C02" w:rsidRPr="00461D74">
        <w:rPr>
          <w:rFonts w:ascii="Garamond" w:hAnsi="Garamond" w:cstheme="minorHAnsi"/>
          <w:sz w:val="24"/>
          <w:szCs w:val="24"/>
          <w:lang w:val="en-GB"/>
        </w:rPr>
        <w:t>e</w:t>
      </w:r>
      <w:r w:rsidR="00DD54F8" w:rsidRPr="00461D74">
        <w:rPr>
          <w:rFonts w:ascii="Garamond" w:hAnsi="Garamond" w:cstheme="minorHAnsi"/>
          <w:sz w:val="24"/>
          <w:szCs w:val="24"/>
          <w:lang w:val="en-GB"/>
        </w:rPr>
        <w:t>ither Aristotle or Nietzsche.</w:t>
      </w:r>
      <w:r w:rsidR="00D63923" w:rsidRPr="00461D74">
        <w:rPr>
          <w:rFonts w:ascii="Garamond" w:hAnsi="Garamond" w:cstheme="minorHAnsi"/>
          <w:sz w:val="24"/>
          <w:szCs w:val="24"/>
          <w:lang w:val="en-GB"/>
        </w:rPr>
        <w:t xml:space="preserve"> </w:t>
      </w:r>
      <w:r w:rsidR="00C2326D" w:rsidRPr="00461D74">
        <w:rPr>
          <w:rFonts w:ascii="Garamond" w:hAnsi="Garamond" w:cstheme="minorHAnsi"/>
          <w:sz w:val="24"/>
          <w:szCs w:val="24"/>
          <w:lang w:val="en-GB"/>
        </w:rPr>
        <w:t xml:space="preserve">But because </w:t>
      </w:r>
      <w:r w:rsidR="00D63923" w:rsidRPr="00461D74">
        <w:rPr>
          <w:rFonts w:ascii="Garamond" w:hAnsi="Garamond" w:cstheme="minorHAnsi"/>
          <w:sz w:val="24"/>
          <w:szCs w:val="24"/>
          <w:lang w:val="en-GB"/>
        </w:rPr>
        <w:t xml:space="preserve">Aristotle </w:t>
      </w:r>
      <w:r w:rsidR="00C2326D" w:rsidRPr="00461D74">
        <w:rPr>
          <w:rFonts w:ascii="Garamond" w:hAnsi="Garamond" w:cstheme="minorHAnsi"/>
          <w:sz w:val="24"/>
          <w:szCs w:val="24"/>
          <w:lang w:val="en-GB"/>
        </w:rPr>
        <w:t xml:space="preserve">is </w:t>
      </w:r>
      <w:r w:rsidR="00D63923" w:rsidRPr="00461D74">
        <w:rPr>
          <w:rFonts w:ascii="Garamond" w:hAnsi="Garamond" w:cstheme="minorHAnsi"/>
          <w:sz w:val="24"/>
          <w:szCs w:val="24"/>
          <w:lang w:val="en-GB"/>
        </w:rPr>
        <w:t xml:space="preserve">no longer </w:t>
      </w:r>
      <w:r w:rsidR="00C2326D" w:rsidRPr="00461D74">
        <w:rPr>
          <w:rFonts w:ascii="Garamond" w:hAnsi="Garamond" w:cstheme="minorHAnsi"/>
          <w:sz w:val="24"/>
          <w:szCs w:val="24"/>
          <w:lang w:val="en-GB"/>
        </w:rPr>
        <w:t>feasible to us moderns</w:t>
      </w:r>
      <w:r w:rsidR="00D63923" w:rsidRPr="00461D74">
        <w:rPr>
          <w:rFonts w:ascii="Garamond" w:hAnsi="Garamond" w:cstheme="minorHAnsi"/>
          <w:sz w:val="24"/>
          <w:szCs w:val="24"/>
          <w:lang w:val="en-GB"/>
        </w:rPr>
        <w:t>, it turns out that modern morality</w:t>
      </w:r>
      <w:r w:rsidR="00C2326D" w:rsidRPr="00461D74">
        <w:rPr>
          <w:rFonts w:ascii="Garamond" w:hAnsi="Garamond" w:cstheme="minorHAnsi"/>
          <w:sz w:val="24"/>
          <w:szCs w:val="24"/>
          <w:lang w:val="en-GB"/>
        </w:rPr>
        <w:t xml:space="preserve"> </w:t>
      </w:r>
      <w:r w:rsidR="00D63923" w:rsidRPr="00461D74">
        <w:rPr>
          <w:rFonts w:ascii="Garamond" w:hAnsi="Garamond" w:cstheme="minorHAnsi"/>
          <w:sz w:val="24"/>
          <w:szCs w:val="24"/>
          <w:lang w:val="en-GB"/>
        </w:rPr>
        <w:t>is ultimately a version of Nietzschean morality</w:t>
      </w:r>
      <w:r w:rsidR="00C2326D" w:rsidRPr="00461D74">
        <w:rPr>
          <w:rFonts w:ascii="Garamond" w:hAnsi="Garamond" w:cstheme="minorHAnsi"/>
          <w:sz w:val="24"/>
          <w:szCs w:val="24"/>
          <w:lang w:val="en-GB"/>
        </w:rPr>
        <w:t xml:space="preserve">, and </w:t>
      </w:r>
      <w:r w:rsidR="00506ED8" w:rsidRPr="00461D74">
        <w:rPr>
          <w:rFonts w:ascii="Garamond" w:hAnsi="Garamond" w:cstheme="minorHAnsi"/>
          <w:sz w:val="24"/>
          <w:szCs w:val="24"/>
          <w:lang w:val="en-GB"/>
        </w:rPr>
        <w:t xml:space="preserve">that </w:t>
      </w:r>
      <w:r w:rsidR="00C2326D" w:rsidRPr="00461D74">
        <w:rPr>
          <w:rFonts w:ascii="Garamond" w:hAnsi="Garamond" w:cstheme="minorHAnsi"/>
          <w:sz w:val="24"/>
          <w:szCs w:val="24"/>
          <w:lang w:val="en-GB"/>
        </w:rPr>
        <w:t>emotivism is its most cogent articulation</w:t>
      </w:r>
      <w:r w:rsidR="00D63923" w:rsidRPr="00461D74">
        <w:rPr>
          <w:rFonts w:ascii="Garamond" w:hAnsi="Garamond" w:cstheme="minorHAnsi"/>
          <w:sz w:val="24"/>
          <w:szCs w:val="24"/>
          <w:lang w:val="en-GB"/>
        </w:rPr>
        <w:t xml:space="preserve">. </w:t>
      </w:r>
      <w:r w:rsidR="00C2326D" w:rsidRPr="00461D74">
        <w:rPr>
          <w:rFonts w:ascii="Garamond" w:hAnsi="Garamond" w:cstheme="minorHAnsi"/>
          <w:sz w:val="24"/>
          <w:szCs w:val="24"/>
          <w:lang w:val="en-GB"/>
        </w:rPr>
        <w:t>Nevertheless, because MacIntyre rejected emotivism as an option</w:t>
      </w:r>
      <w:r w:rsidR="00506ED8" w:rsidRPr="00461D74">
        <w:rPr>
          <w:rFonts w:ascii="Garamond" w:hAnsi="Garamond" w:cstheme="minorHAnsi"/>
          <w:sz w:val="24"/>
          <w:szCs w:val="24"/>
          <w:lang w:val="en-GB"/>
        </w:rPr>
        <w:t>,</w:t>
      </w:r>
      <w:r w:rsidR="00C2326D" w:rsidRPr="00461D74">
        <w:rPr>
          <w:rFonts w:ascii="Garamond" w:hAnsi="Garamond" w:cstheme="minorHAnsi"/>
          <w:sz w:val="24"/>
          <w:szCs w:val="24"/>
          <w:lang w:val="en-GB"/>
        </w:rPr>
        <w:t xml:space="preserve"> he tries to advance a new moral framework in his three-fold account of the virtues – what we can best be understood as a form of social teleology</w:t>
      </w:r>
      <w:r w:rsidR="00DA5C02" w:rsidRPr="00461D74">
        <w:rPr>
          <w:rFonts w:ascii="Garamond" w:hAnsi="Garamond" w:cstheme="minorHAnsi"/>
          <w:sz w:val="24"/>
          <w:szCs w:val="24"/>
          <w:lang w:val="en-GB"/>
        </w:rPr>
        <w:t>.</w:t>
      </w:r>
      <w:r w:rsidR="0075370C" w:rsidRPr="00461D74">
        <w:rPr>
          <w:rStyle w:val="FootnoteReference"/>
          <w:rFonts w:ascii="Garamond" w:hAnsi="Garamond" w:cstheme="minorHAnsi"/>
          <w:sz w:val="24"/>
          <w:szCs w:val="24"/>
          <w:lang w:val="en-GB"/>
        </w:rPr>
        <w:footnoteReference w:id="140"/>
      </w:r>
      <w:r w:rsidR="0075370C" w:rsidRPr="00461D74">
        <w:rPr>
          <w:rFonts w:ascii="Garamond" w:hAnsi="Garamond" w:cstheme="minorHAnsi"/>
          <w:sz w:val="24"/>
          <w:szCs w:val="24"/>
          <w:lang w:val="en-GB"/>
        </w:rPr>
        <w:t xml:space="preserve"> </w:t>
      </w:r>
      <w:r w:rsidR="00506ED8" w:rsidRPr="00461D74">
        <w:rPr>
          <w:rFonts w:ascii="Garamond" w:hAnsi="Garamond" w:cstheme="minorHAnsi"/>
          <w:sz w:val="24"/>
          <w:szCs w:val="24"/>
          <w:lang w:val="en-GB"/>
        </w:rPr>
        <w:t>However, despite</w:t>
      </w:r>
      <w:r w:rsidR="007B6BBF" w:rsidRPr="00461D74">
        <w:rPr>
          <w:rFonts w:ascii="Garamond" w:hAnsi="Garamond" w:cstheme="minorHAnsi"/>
          <w:sz w:val="24"/>
          <w:szCs w:val="24"/>
          <w:lang w:val="en-GB"/>
        </w:rPr>
        <w:t xml:space="preserve"> </w:t>
      </w:r>
      <w:r w:rsidR="00C2326D" w:rsidRPr="00461D74">
        <w:rPr>
          <w:rFonts w:ascii="Garamond" w:hAnsi="Garamond" w:cstheme="minorHAnsi"/>
          <w:sz w:val="24"/>
          <w:szCs w:val="24"/>
          <w:lang w:val="en-GB"/>
        </w:rPr>
        <w:t xml:space="preserve">MacIntyre’s </w:t>
      </w:r>
      <w:r w:rsidR="007B6BBF" w:rsidRPr="00461D74">
        <w:rPr>
          <w:rFonts w:ascii="Garamond" w:hAnsi="Garamond" w:cstheme="minorHAnsi"/>
          <w:sz w:val="24"/>
          <w:szCs w:val="24"/>
          <w:lang w:val="en-GB"/>
        </w:rPr>
        <w:t xml:space="preserve">bold </w:t>
      </w:r>
      <w:r w:rsidR="00C2326D" w:rsidRPr="00461D74">
        <w:rPr>
          <w:rFonts w:ascii="Garamond" w:hAnsi="Garamond" w:cstheme="minorHAnsi"/>
          <w:sz w:val="24"/>
          <w:szCs w:val="24"/>
          <w:lang w:val="en-GB"/>
        </w:rPr>
        <w:t xml:space="preserve">attempt </w:t>
      </w:r>
      <w:r w:rsidR="007B6BBF" w:rsidRPr="00461D74">
        <w:rPr>
          <w:rFonts w:ascii="Garamond" w:hAnsi="Garamond" w:cstheme="minorHAnsi"/>
          <w:sz w:val="24"/>
          <w:szCs w:val="24"/>
          <w:lang w:val="en-GB"/>
        </w:rPr>
        <w:t xml:space="preserve">at articulating a new teleological account suitable to the present-day social text, his account </w:t>
      </w:r>
      <w:r w:rsidR="00C2326D" w:rsidRPr="00461D74">
        <w:rPr>
          <w:rFonts w:ascii="Garamond" w:hAnsi="Garamond" w:cstheme="minorHAnsi"/>
          <w:sz w:val="24"/>
          <w:szCs w:val="24"/>
          <w:lang w:val="en-GB"/>
        </w:rPr>
        <w:t xml:space="preserve">runs </w:t>
      </w:r>
      <w:r w:rsidR="0075370C" w:rsidRPr="00461D74">
        <w:rPr>
          <w:rFonts w:ascii="Garamond" w:hAnsi="Garamond" w:cstheme="minorHAnsi"/>
          <w:sz w:val="24"/>
          <w:szCs w:val="24"/>
          <w:lang w:val="en-GB"/>
        </w:rPr>
        <w:t>in</w:t>
      </w:r>
      <w:r w:rsidR="007B6BBF" w:rsidRPr="00461D74">
        <w:rPr>
          <w:rFonts w:ascii="Garamond" w:hAnsi="Garamond" w:cstheme="minorHAnsi"/>
          <w:sz w:val="24"/>
          <w:szCs w:val="24"/>
          <w:lang w:val="en-GB"/>
        </w:rPr>
        <w:t xml:space="preserve">to two important related objections raised by Bernstein and </w:t>
      </w:r>
      <w:proofErr w:type="spellStart"/>
      <w:r w:rsidR="007B6BBF" w:rsidRPr="00461D74">
        <w:rPr>
          <w:rFonts w:ascii="Garamond" w:hAnsi="Garamond" w:cstheme="minorHAnsi"/>
          <w:sz w:val="24"/>
          <w:szCs w:val="24"/>
          <w:lang w:val="en-GB"/>
        </w:rPr>
        <w:t>Schneewind</w:t>
      </w:r>
      <w:proofErr w:type="spellEnd"/>
      <w:r w:rsidR="007B6BBF" w:rsidRPr="00461D74">
        <w:rPr>
          <w:rFonts w:ascii="Garamond" w:hAnsi="Garamond" w:cstheme="minorHAnsi"/>
          <w:sz w:val="24"/>
          <w:szCs w:val="24"/>
          <w:lang w:val="en-GB"/>
        </w:rPr>
        <w:t>, namely, that MacIntyre’s three-fold account appear</w:t>
      </w:r>
      <w:r w:rsidR="00506ED8" w:rsidRPr="00461D74">
        <w:rPr>
          <w:rFonts w:ascii="Garamond" w:hAnsi="Garamond" w:cstheme="minorHAnsi"/>
          <w:sz w:val="24"/>
          <w:szCs w:val="24"/>
          <w:lang w:val="en-GB"/>
        </w:rPr>
        <w:t>s</w:t>
      </w:r>
      <w:r w:rsidR="007B6BBF" w:rsidRPr="00461D74">
        <w:rPr>
          <w:rFonts w:ascii="Garamond" w:hAnsi="Garamond" w:cstheme="minorHAnsi"/>
          <w:sz w:val="24"/>
          <w:szCs w:val="24"/>
          <w:lang w:val="en-GB"/>
        </w:rPr>
        <w:t xml:space="preserve"> to reinforce, rather than undermine</w:t>
      </w:r>
      <w:r w:rsidR="00506ED8" w:rsidRPr="00461D74">
        <w:rPr>
          <w:rFonts w:ascii="Garamond" w:hAnsi="Garamond" w:cstheme="minorHAnsi"/>
          <w:sz w:val="24"/>
          <w:szCs w:val="24"/>
          <w:lang w:val="en-GB"/>
        </w:rPr>
        <w:t>,</w:t>
      </w:r>
      <w:r w:rsidR="007B6BBF" w:rsidRPr="00461D74">
        <w:rPr>
          <w:rFonts w:ascii="Garamond" w:hAnsi="Garamond" w:cstheme="minorHAnsi"/>
          <w:sz w:val="24"/>
          <w:szCs w:val="24"/>
          <w:lang w:val="en-GB"/>
        </w:rPr>
        <w:t xml:space="preserve"> the case for emotivism. I then</w:t>
      </w:r>
      <w:r w:rsidR="0075370C" w:rsidRPr="00461D74">
        <w:rPr>
          <w:rFonts w:ascii="Garamond" w:hAnsi="Garamond" w:cstheme="minorHAnsi"/>
          <w:sz w:val="24"/>
          <w:szCs w:val="24"/>
          <w:lang w:val="en-GB"/>
        </w:rPr>
        <w:t xml:space="preserve"> argue</w:t>
      </w:r>
      <w:r w:rsidR="007B6BBF" w:rsidRPr="00461D74">
        <w:rPr>
          <w:rFonts w:ascii="Garamond" w:hAnsi="Garamond" w:cstheme="minorHAnsi"/>
          <w:sz w:val="24"/>
          <w:szCs w:val="24"/>
          <w:lang w:val="en-GB"/>
        </w:rPr>
        <w:t>d</w:t>
      </w:r>
      <w:r w:rsidR="0075370C" w:rsidRPr="00461D74">
        <w:rPr>
          <w:rFonts w:ascii="Garamond" w:hAnsi="Garamond" w:cstheme="minorHAnsi"/>
          <w:sz w:val="24"/>
          <w:szCs w:val="24"/>
          <w:lang w:val="en-GB"/>
        </w:rPr>
        <w:t xml:space="preserve"> that MacIntyre’s </w:t>
      </w:r>
      <w:r w:rsidR="00071BC1" w:rsidRPr="00461D74">
        <w:rPr>
          <w:rFonts w:ascii="Garamond" w:hAnsi="Garamond" w:cstheme="minorHAnsi"/>
          <w:sz w:val="24"/>
          <w:szCs w:val="24"/>
          <w:lang w:val="en-GB"/>
        </w:rPr>
        <w:t>project in</w:t>
      </w:r>
      <w:r w:rsidR="0075370C" w:rsidRPr="00461D74">
        <w:rPr>
          <w:rFonts w:ascii="Garamond" w:hAnsi="Garamond" w:cstheme="minorHAnsi"/>
          <w:sz w:val="24"/>
          <w:szCs w:val="24"/>
          <w:lang w:val="en-GB"/>
        </w:rPr>
        <w:t xml:space="preserve"> </w:t>
      </w:r>
      <w:r w:rsidR="0075370C" w:rsidRPr="00461D74">
        <w:rPr>
          <w:rFonts w:ascii="Garamond" w:hAnsi="Garamond" w:cstheme="minorHAnsi"/>
          <w:i/>
          <w:sz w:val="24"/>
          <w:szCs w:val="24"/>
          <w:lang w:val="en-GB"/>
        </w:rPr>
        <w:t>Whose Justice</w:t>
      </w:r>
      <w:r w:rsidR="00071BC1" w:rsidRPr="00461D74">
        <w:rPr>
          <w:rFonts w:ascii="Garamond" w:hAnsi="Garamond" w:cstheme="minorHAnsi"/>
          <w:sz w:val="24"/>
          <w:szCs w:val="24"/>
          <w:lang w:val="en-GB"/>
        </w:rPr>
        <w:t xml:space="preserve"> is best understood as a way of replying to objections</w:t>
      </w:r>
      <w:r w:rsidR="00506ED8" w:rsidRPr="00461D74">
        <w:rPr>
          <w:rFonts w:ascii="Garamond" w:hAnsi="Garamond" w:cstheme="minorHAnsi"/>
          <w:sz w:val="24"/>
          <w:szCs w:val="24"/>
          <w:lang w:val="en-GB"/>
        </w:rPr>
        <w:t xml:space="preserve"> of this type</w:t>
      </w:r>
      <w:r w:rsidR="00071BC1" w:rsidRPr="00461D74">
        <w:rPr>
          <w:rFonts w:ascii="Garamond" w:hAnsi="Garamond" w:cstheme="minorHAnsi"/>
          <w:sz w:val="24"/>
          <w:szCs w:val="24"/>
          <w:lang w:val="en-GB"/>
        </w:rPr>
        <w:t xml:space="preserve">, </w:t>
      </w:r>
      <w:r w:rsidR="0075370C" w:rsidRPr="00461D74">
        <w:rPr>
          <w:rFonts w:ascii="Garamond" w:hAnsi="Garamond" w:cstheme="minorHAnsi"/>
          <w:sz w:val="24"/>
          <w:szCs w:val="24"/>
          <w:lang w:val="en-GB"/>
        </w:rPr>
        <w:t xml:space="preserve">precisely because the Aristotelian-Thomistic tradition </w:t>
      </w:r>
      <w:r w:rsidR="00071BC1" w:rsidRPr="00461D74">
        <w:rPr>
          <w:rFonts w:ascii="Garamond" w:hAnsi="Garamond" w:cstheme="minorHAnsi"/>
          <w:sz w:val="24"/>
          <w:szCs w:val="24"/>
          <w:lang w:val="en-GB"/>
        </w:rPr>
        <w:t xml:space="preserve">possesses </w:t>
      </w:r>
      <w:r w:rsidR="0075370C" w:rsidRPr="00461D74">
        <w:rPr>
          <w:rFonts w:ascii="Garamond" w:hAnsi="Garamond" w:cstheme="minorHAnsi"/>
          <w:sz w:val="24"/>
          <w:szCs w:val="24"/>
          <w:lang w:val="en-GB"/>
        </w:rPr>
        <w:t xml:space="preserve">a more robust teleology </w:t>
      </w:r>
      <w:r w:rsidR="00071BC1" w:rsidRPr="00461D74">
        <w:rPr>
          <w:rFonts w:ascii="Garamond" w:hAnsi="Garamond" w:cstheme="minorHAnsi"/>
          <w:sz w:val="24"/>
          <w:szCs w:val="24"/>
          <w:lang w:val="en-GB"/>
        </w:rPr>
        <w:t>capable to resolving this difficulty.</w:t>
      </w:r>
    </w:p>
    <w:p w:rsidR="007E5CEF" w:rsidRPr="00461D74" w:rsidRDefault="00071BC1"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ab/>
      </w:r>
      <w:r w:rsidR="00903DBB">
        <w:rPr>
          <w:rFonts w:ascii="Garamond" w:hAnsi="Garamond" w:cstheme="minorHAnsi"/>
          <w:sz w:val="24"/>
          <w:szCs w:val="24"/>
          <w:lang w:val="en-GB"/>
        </w:rPr>
        <w:t xml:space="preserve">Next, </w:t>
      </w:r>
      <w:r w:rsidR="001C0000" w:rsidRPr="00461D74">
        <w:rPr>
          <w:rFonts w:ascii="Garamond" w:hAnsi="Garamond" w:cstheme="minorHAnsi"/>
          <w:sz w:val="24"/>
          <w:szCs w:val="24"/>
          <w:lang w:val="en-GB"/>
        </w:rPr>
        <w:t>I proposed that n</w:t>
      </w:r>
      <w:r w:rsidR="004537BA" w:rsidRPr="00461D74">
        <w:rPr>
          <w:rFonts w:ascii="Garamond" w:hAnsi="Garamond" w:cstheme="minorHAnsi"/>
          <w:sz w:val="24"/>
          <w:szCs w:val="24"/>
          <w:lang w:val="en-GB"/>
        </w:rPr>
        <w:t xml:space="preserve">otwithstanding the teleological resources available in the Thomistic tradition, </w:t>
      </w:r>
      <w:r w:rsidR="001C0000" w:rsidRPr="00461D74">
        <w:rPr>
          <w:rFonts w:ascii="Garamond" w:hAnsi="Garamond" w:cstheme="minorHAnsi"/>
          <w:sz w:val="24"/>
          <w:szCs w:val="24"/>
          <w:lang w:val="en-GB"/>
        </w:rPr>
        <w:t>MacIntyre has to provide us with good reasons as to why the Thomistic tradition is the best tradition thus far, especially because MacIntyre’s historical account of moral traditions adopts a number of historicist-cum-contextualist commitments.</w:t>
      </w:r>
      <w:r w:rsidR="0046360B" w:rsidRPr="00461D74">
        <w:rPr>
          <w:rFonts w:ascii="Garamond" w:hAnsi="Garamond" w:cstheme="minorHAnsi"/>
          <w:sz w:val="24"/>
          <w:szCs w:val="24"/>
          <w:lang w:val="en-GB"/>
        </w:rPr>
        <w:t xml:space="preserve"> Nevertheless, it </w:t>
      </w:r>
      <w:r w:rsidR="00F803F4" w:rsidRPr="00461D74">
        <w:rPr>
          <w:rFonts w:ascii="Garamond" w:hAnsi="Garamond" w:cstheme="minorHAnsi"/>
          <w:sz w:val="24"/>
          <w:szCs w:val="24"/>
          <w:lang w:val="en-GB"/>
        </w:rPr>
        <w:t>appear</w:t>
      </w:r>
      <w:r w:rsidR="00F803F4">
        <w:rPr>
          <w:rFonts w:ascii="Garamond" w:hAnsi="Garamond" w:cstheme="minorHAnsi"/>
          <w:sz w:val="24"/>
          <w:szCs w:val="24"/>
          <w:lang w:val="en-GB"/>
        </w:rPr>
        <w:t>s</w:t>
      </w:r>
      <w:r w:rsidR="00F803F4" w:rsidRPr="00461D74">
        <w:rPr>
          <w:rFonts w:ascii="Garamond" w:hAnsi="Garamond" w:cstheme="minorHAnsi"/>
          <w:sz w:val="24"/>
          <w:szCs w:val="24"/>
          <w:lang w:val="en-GB"/>
        </w:rPr>
        <w:t xml:space="preserve"> </w:t>
      </w:r>
      <w:r w:rsidR="0046360B" w:rsidRPr="00461D74">
        <w:rPr>
          <w:rFonts w:ascii="Garamond" w:hAnsi="Garamond" w:cstheme="minorHAnsi"/>
          <w:sz w:val="24"/>
          <w:szCs w:val="24"/>
          <w:lang w:val="en-GB"/>
        </w:rPr>
        <w:t xml:space="preserve">that the reason that MacIntyre offers in </w:t>
      </w:r>
      <w:r w:rsidR="00CF5190" w:rsidRPr="00461D74">
        <w:rPr>
          <w:rFonts w:ascii="Garamond" w:hAnsi="Garamond" w:cstheme="minorHAnsi"/>
          <w:sz w:val="24"/>
          <w:szCs w:val="24"/>
          <w:lang w:val="en-GB"/>
        </w:rPr>
        <w:t xml:space="preserve">the </w:t>
      </w:r>
      <w:r w:rsidR="0046360B" w:rsidRPr="00461D74">
        <w:rPr>
          <w:rFonts w:ascii="Garamond" w:hAnsi="Garamond" w:cstheme="minorHAnsi"/>
          <w:sz w:val="24"/>
          <w:szCs w:val="24"/>
          <w:lang w:val="en-GB"/>
        </w:rPr>
        <w:t xml:space="preserve">defence of </w:t>
      </w:r>
      <w:r w:rsidR="00CF5190" w:rsidRPr="00461D74">
        <w:rPr>
          <w:rFonts w:ascii="Garamond" w:hAnsi="Garamond" w:cstheme="minorHAnsi"/>
          <w:sz w:val="24"/>
          <w:szCs w:val="24"/>
          <w:lang w:val="en-GB"/>
        </w:rPr>
        <w:t xml:space="preserve">the </w:t>
      </w:r>
      <w:r w:rsidR="0046360B" w:rsidRPr="00461D74">
        <w:rPr>
          <w:rFonts w:ascii="Garamond" w:hAnsi="Garamond" w:cstheme="minorHAnsi"/>
          <w:sz w:val="24"/>
          <w:szCs w:val="24"/>
          <w:lang w:val="en-GB"/>
        </w:rPr>
        <w:t>Thomis</w:t>
      </w:r>
      <w:r w:rsidR="00CF5190" w:rsidRPr="00461D74">
        <w:rPr>
          <w:rFonts w:ascii="Garamond" w:hAnsi="Garamond" w:cstheme="minorHAnsi"/>
          <w:sz w:val="24"/>
          <w:szCs w:val="24"/>
          <w:lang w:val="en-GB"/>
        </w:rPr>
        <w:t>tic tradition</w:t>
      </w:r>
      <w:r w:rsidR="00DA5C02" w:rsidRPr="00461D74">
        <w:rPr>
          <w:rFonts w:ascii="Garamond" w:hAnsi="Garamond" w:cstheme="minorHAnsi"/>
          <w:sz w:val="24"/>
          <w:szCs w:val="24"/>
          <w:lang w:val="en-GB"/>
        </w:rPr>
        <w:t xml:space="preserve"> </w:t>
      </w:r>
      <w:r w:rsidR="0046360B" w:rsidRPr="00461D74">
        <w:rPr>
          <w:rFonts w:ascii="Garamond" w:hAnsi="Garamond" w:cstheme="minorHAnsi"/>
          <w:sz w:val="24"/>
          <w:szCs w:val="24"/>
          <w:lang w:val="en-GB"/>
        </w:rPr>
        <w:t>–</w:t>
      </w:r>
      <w:r w:rsidR="00DA5C02" w:rsidRPr="00461D74">
        <w:rPr>
          <w:rFonts w:ascii="Garamond" w:hAnsi="Garamond" w:cstheme="minorHAnsi"/>
          <w:sz w:val="24"/>
          <w:szCs w:val="24"/>
          <w:lang w:val="en-GB"/>
        </w:rPr>
        <w:t xml:space="preserve"> </w:t>
      </w:r>
      <w:r w:rsidR="0046360B" w:rsidRPr="00461D74">
        <w:rPr>
          <w:rFonts w:ascii="Garamond" w:hAnsi="Garamond" w:cstheme="minorHAnsi"/>
          <w:sz w:val="24"/>
          <w:szCs w:val="24"/>
          <w:lang w:val="en-GB"/>
        </w:rPr>
        <w:t>characterised by the hypothesis H5</w:t>
      </w:r>
      <w:r w:rsidR="008F7C2E">
        <w:rPr>
          <w:rFonts w:ascii="Garamond" w:hAnsi="Garamond" w:cstheme="minorHAnsi"/>
          <w:sz w:val="24"/>
          <w:szCs w:val="24"/>
          <w:lang w:val="en-GB"/>
        </w:rPr>
        <w:t>, namely that it is dialectically undefeated</w:t>
      </w:r>
      <w:r w:rsidR="00DA5C02" w:rsidRPr="00461D74">
        <w:rPr>
          <w:rFonts w:ascii="Garamond" w:hAnsi="Garamond" w:cstheme="minorHAnsi"/>
          <w:sz w:val="24"/>
          <w:szCs w:val="24"/>
          <w:lang w:val="en-GB"/>
        </w:rPr>
        <w:t xml:space="preserve"> </w:t>
      </w:r>
      <w:r w:rsidR="0046360B" w:rsidRPr="00461D74">
        <w:rPr>
          <w:rFonts w:ascii="Garamond" w:hAnsi="Garamond" w:cstheme="minorHAnsi"/>
          <w:sz w:val="24"/>
          <w:szCs w:val="24"/>
          <w:lang w:val="en-GB"/>
        </w:rPr>
        <w:t>–</w:t>
      </w:r>
      <w:r w:rsidR="00DA5C02" w:rsidRPr="00461D74">
        <w:rPr>
          <w:rFonts w:ascii="Garamond" w:hAnsi="Garamond" w:cstheme="minorHAnsi"/>
          <w:sz w:val="24"/>
          <w:szCs w:val="24"/>
          <w:lang w:val="en-GB"/>
        </w:rPr>
        <w:t xml:space="preserve"> </w:t>
      </w:r>
      <w:r w:rsidR="00F803F4">
        <w:rPr>
          <w:rFonts w:ascii="Garamond" w:hAnsi="Garamond" w:cstheme="minorHAnsi"/>
          <w:sz w:val="24"/>
          <w:szCs w:val="24"/>
          <w:lang w:val="en-GB"/>
        </w:rPr>
        <w:t>seems</w:t>
      </w:r>
      <w:r w:rsidR="00F803F4" w:rsidRPr="00461D74">
        <w:rPr>
          <w:rFonts w:ascii="Garamond" w:hAnsi="Garamond" w:cstheme="minorHAnsi"/>
          <w:sz w:val="24"/>
          <w:szCs w:val="24"/>
          <w:lang w:val="en-GB"/>
        </w:rPr>
        <w:t xml:space="preserve"> </w:t>
      </w:r>
      <w:r w:rsidR="0046360B" w:rsidRPr="00461D74">
        <w:rPr>
          <w:rFonts w:ascii="Garamond" w:hAnsi="Garamond" w:cstheme="minorHAnsi"/>
          <w:sz w:val="24"/>
          <w:szCs w:val="24"/>
          <w:lang w:val="en-GB"/>
        </w:rPr>
        <w:t xml:space="preserve">to be in conflict </w:t>
      </w:r>
      <w:r w:rsidR="0046360B" w:rsidRPr="00461D74">
        <w:rPr>
          <w:rFonts w:ascii="Garamond" w:hAnsi="Garamond" w:cstheme="minorHAnsi"/>
          <w:sz w:val="24"/>
          <w:szCs w:val="24"/>
          <w:lang w:val="en-GB"/>
        </w:rPr>
        <w:lastRenderedPageBreak/>
        <w:t xml:space="preserve">with </w:t>
      </w:r>
      <w:r w:rsidR="00CF5190" w:rsidRPr="00461D74">
        <w:rPr>
          <w:rFonts w:ascii="Garamond" w:hAnsi="Garamond" w:cstheme="minorHAnsi"/>
          <w:sz w:val="24"/>
          <w:szCs w:val="24"/>
          <w:lang w:val="en-GB"/>
        </w:rPr>
        <w:t>his</w:t>
      </w:r>
      <w:r w:rsidR="0046360B" w:rsidRPr="00461D74">
        <w:rPr>
          <w:rFonts w:ascii="Garamond" w:hAnsi="Garamond" w:cstheme="minorHAnsi"/>
          <w:sz w:val="24"/>
          <w:szCs w:val="24"/>
          <w:lang w:val="en-GB"/>
        </w:rPr>
        <w:t xml:space="preserve"> </w:t>
      </w:r>
      <w:r w:rsidR="00CF5190" w:rsidRPr="00461D74">
        <w:rPr>
          <w:rFonts w:ascii="Garamond" w:hAnsi="Garamond" w:cstheme="minorHAnsi"/>
          <w:sz w:val="24"/>
          <w:szCs w:val="24"/>
          <w:lang w:val="en-GB"/>
        </w:rPr>
        <w:t>first four</w:t>
      </w:r>
      <w:r w:rsidR="0046360B" w:rsidRPr="00461D74">
        <w:rPr>
          <w:rFonts w:ascii="Garamond" w:hAnsi="Garamond" w:cstheme="minorHAnsi"/>
          <w:sz w:val="24"/>
          <w:szCs w:val="24"/>
          <w:lang w:val="en-GB"/>
        </w:rPr>
        <w:t xml:space="preserve"> hypothes</w:t>
      </w:r>
      <w:r w:rsidR="00CF5190" w:rsidRPr="00461D74">
        <w:rPr>
          <w:rFonts w:ascii="Garamond" w:hAnsi="Garamond" w:cstheme="minorHAnsi"/>
          <w:sz w:val="24"/>
          <w:szCs w:val="24"/>
          <w:lang w:val="en-GB"/>
        </w:rPr>
        <w:t>e</w:t>
      </w:r>
      <w:r w:rsidR="0046360B" w:rsidRPr="00461D74">
        <w:rPr>
          <w:rFonts w:ascii="Garamond" w:hAnsi="Garamond" w:cstheme="minorHAnsi"/>
          <w:sz w:val="24"/>
          <w:szCs w:val="24"/>
          <w:lang w:val="en-GB"/>
        </w:rPr>
        <w:t xml:space="preserve">s </w:t>
      </w:r>
      <w:r w:rsidR="00CF5190" w:rsidRPr="00461D74">
        <w:rPr>
          <w:rFonts w:ascii="Garamond" w:hAnsi="Garamond" w:cstheme="minorHAnsi"/>
          <w:sz w:val="24"/>
          <w:szCs w:val="24"/>
          <w:lang w:val="en-GB"/>
        </w:rPr>
        <w:t xml:space="preserve">(H1, H2, H3, and H4) generated by a number of claims he makes in </w:t>
      </w:r>
      <w:r w:rsidR="00CF5190" w:rsidRPr="00461D74">
        <w:rPr>
          <w:rFonts w:ascii="Garamond" w:hAnsi="Garamond" w:cstheme="minorHAnsi"/>
          <w:i/>
          <w:sz w:val="24"/>
          <w:szCs w:val="24"/>
          <w:lang w:val="en-GB"/>
        </w:rPr>
        <w:t>After Virtue</w:t>
      </w:r>
      <w:r w:rsidR="00CF5190" w:rsidRPr="00461D74">
        <w:rPr>
          <w:rFonts w:ascii="Garamond" w:hAnsi="Garamond" w:cstheme="minorHAnsi"/>
          <w:sz w:val="24"/>
          <w:szCs w:val="24"/>
          <w:lang w:val="en-GB"/>
        </w:rPr>
        <w:t xml:space="preserve"> and </w:t>
      </w:r>
      <w:r w:rsidR="00CF5190" w:rsidRPr="00461D74">
        <w:rPr>
          <w:rFonts w:ascii="Garamond" w:hAnsi="Garamond" w:cstheme="minorHAnsi"/>
          <w:i/>
          <w:sz w:val="24"/>
          <w:szCs w:val="24"/>
          <w:lang w:val="en-GB"/>
        </w:rPr>
        <w:t>Whose Justice</w:t>
      </w:r>
      <w:r w:rsidR="008F7C2E">
        <w:rPr>
          <w:rFonts w:ascii="Garamond" w:hAnsi="Garamond" w:cstheme="minorHAnsi"/>
          <w:sz w:val="24"/>
          <w:szCs w:val="24"/>
          <w:lang w:val="en-GB"/>
        </w:rPr>
        <w:t>, namely that traditions change through history when they are surpassed</w:t>
      </w:r>
      <w:r w:rsidR="00CF5190" w:rsidRPr="00461D74">
        <w:rPr>
          <w:rFonts w:ascii="Garamond" w:hAnsi="Garamond" w:cstheme="minorHAnsi"/>
          <w:sz w:val="24"/>
          <w:szCs w:val="24"/>
          <w:lang w:val="en-GB"/>
        </w:rPr>
        <w:t xml:space="preserve">. In addition, </w:t>
      </w:r>
      <w:r w:rsidR="0075370C" w:rsidRPr="00461D74">
        <w:rPr>
          <w:rFonts w:ascii="Garamond" w:hAnsi="Garamond" w:cstheme="minorHAnsi"/>
          <w:sz w:val="24"/>
          <w:szCs w:val="24"/>
          <w:lang w:val="en-GB"/>
        </w:rPr>
        <w:t>MacIntyre’s end</w:t>
      </w:r>
      <w:r w:rsidR="00CF5190" w:rsidRPr="00461D74">
        <w:rPr>
          <w:rFonts w:ascii="Garamond" w:hAnsi="Garamond" w:cstheme="minorHAnsi"/>
          <w:sz w:val="24"/>
          <w:szCs w:val="24"/>
          <w:lang w:val="en-GB"/>
        </w:rPr>
        <w:t>orsement of Aristotelian-Thomism,</w:t>
      </w:r>
      <w:r w:rsidR="0075370C" w:rsidRPr="00461D74">
        <w:rPr>
          <w:rFonts w:ascii="Garamond" w:hAnsi="Garamond" w:cstheme="minorHAnsi"/>
          <w:sz w:val="24"/>
          <w:szCs w:val="24"/>
          <w:lang w:val="en-GB"/>
        </w:rPr>
        <w:t xml:space="preserve"> alongside his </w:t>
      </w:r>
      <w:r w:rsidR="00CF5190" w:rsidRPr="00461D74">
        <w:rPr>
          <w:rFonts w:ascii="Garamond" w:hAnsi="Garamond" w:cstheme="minorHAnsi"/>
          <w:sz w:val="24"/>
          <w:szCs w:val="24"/>
          <w:lang w:val="en-GB"/>
        </w:rPr>
        <w:t>claim that liberalism i</w:t>
      </w:r>
      <w:r w:rsidR="0075370C" w:rsidRPr="00461D74">
        <w:rPr>
          <w:rFonts w:ascii="Garamond" w:hAnsi="Garamond" w:cstheme="minorHAnsi"/>
          <w:sz w:val="24"/>
          <w:szCs w:val="24"/>
          <w:lang w:val="en-GB"/>
        </w:rPr>
        <w:t xml:space="preserve">s the dominant contemporary tradition, </w:t>
      </w:r>
      <w:r w:rsidR="00CF5190" w:rsidRPr="00461D74">
        <w:rPr>
          <w:rFonts w:ascii="Garamond" w:hAnsi="Garamond" w:cstheme="minorHAnsi"/>
          <w:sz w:val="24"/>
          <w:szCs w:val="24"/>
          <w:lang w:val="en-GB"/>
        </w:rPr>
        <w:t>produces</w:t>
      </w:r>
      <w:r w:rsidR="0075370C" w:rsidRPr="00461D74">
        <w:rPr>
          <w:rFonts w:ascii="Garamond" w:hAnsi="Garamond" w:cstheme="minorHAnsi"/>
          <w:sz w:val="24"/>
          <w:szCs w:val="24"/>
          <w:lang w:val="en-GB"/>
        </w:rPr>
        <w:t xml:space="preserve"> two important difficulties</w:t>
      </w:r>
      <w:r w:rsidR="007E5CEF" w:rsidRPr="00461D74">
        <w:rPr>
          <w:rFonts w:ascii="Garamond" w:hAnsi="Garamond" w:cstheme="minorHAnsi"/>
          <w:sz w:val="24"/>
          <w:szCs w:val="24"/>
          <w:lang w:val="en-GB"/>
        </w:rPr>
        <w:t>.</w:t>
      </w:r>
    </w:p>
    <w:p w:rsidR="0075370C" w:rsidRPr="00461D74" w:rsidRDefault="00CF5190"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First, how </w:t>
      </w:r>
      <w:r w:rsidR="00A47C7D" w:rsidRPr="00461D74">
        <w:rPr>
          <w:rFonts w:ascii="Garamond" w:hAnsi="Garamond" w:cstheme="minorHAnsi"/>
          <w:sz w:val="24"/>
          <w:szCs w:val="24"/>
          <w:lang w:val="en-GB"/>
        </w:rPr>
        <w:t>do</w:t>
      </w:r>
      <w:r w:rsidRPr="00461D74">
        <w:rPr>
          <w:rFonts w:ascii="Garamond" w:hAnsi="Garamond" w:cstheme="minorHAnsi"/>
          <w:sz w:val="24"/>
          <w:szCs w:val="24"/>
          <w:lang w:val="en-GB"/>
        </w:rPr>
        <w:t xml:space="preserve"> we square MacIntyre</w:t>
      </w:r>
      <w:r w:rsidR="00A47C7D" w:rsidRPr="00461D74">
        <w:rPr>
          <w:rFonts w:ascii="Garamond" w:hAnsi="Garamond" w:cstheme="minorHAnsi"/>
          <w:sz w:val="24"/>
          <w:szCs w:val="24"/>
          <w:lang w:val="en-GB"/>
        </w:rPr>
        <w:t>’s later adoption of Thomism, with the fact that the Aristotelian-Thomistic tradition was displaced in the run up to mod</w:t>
      </w:r>
      <w:r w:rsidR="007C30C8" w:rsidRPr="00461D74">
        <w:rPr>
          <w:rFonts w:ascii="Garamond" w:hAnsi="Garamond" w:cstheme="minorHAnsi"/>
          <w:sz w:val="24"/>
          <w:szCs w:val="24"/>
          <w:lang w:val="en-GB"/>
        </w:rPr>
        <w:t>ernity? And second, if moral</w:t>
      </w:r>
      <w:r w:rsidR="00A47C7D" w:rsidRPr="00461D74">
        <w:rPr>
          <w:rFonts w:ascii="Garamond" w:hAnsi="Garamond" w:cstheme="minorHAnsi"/>
          <w:sz w:val="24"/>
          <w:szCs w:val="24"/>
          <w:lang w:val="en-GB"/>
        </w:rPr>
        <w:t xml:space="preserve">-political traditions are in fact a more abstract formalistic expression of </w:t>
      </w:r>
      <w:r w:rsidR="007C30C8" w:rsidRPr="00461D74">
        <w:rPr>
          <w:rFonts w:ascii="Garamond" w:hAnsi="Garamond" w:cstheme="minorHAnsi"/>
          <w:sz w:val="24"/>
          <w:szCs w:val="24"/>
          <w:lang w:val="en-GB"/>
        </w:rPr>
        <w:t xml:space="preserve">(more or less) accepted social practices embedded in a particular social-cultural context, </w:t>
      </w:r>
      <w:r w:rsidR="00303D59" w:rsidRPr="00461D74">
        <w:rPr>
          <w:rFonts w:ascii="Garamond" w:hAnsi="Garamond" w:cstheme="minorHAnsi"/>
          <w:sz w:val="24"/>
          <w:szCs w:val="24"/>
          <w:lang w:val="en-GB"/>
        </w:rPr>
        <w:t>how can Thomism</w:t>
      </w:r>
      <w:r w:rsidR="00DA5C02" w:rsidRPr="00461D74">
        <w:rPr>
          <w:rFonts w:ascii="Garamond" w:hAnsi="Garamond" w:cstheme="minorHAnsi"/>
          <w:sz w:val="24"/>
          <w:szCs w:val="24"/>
          <w:lang w:val="en-GB"/>
        </w:rPr>
        <w:t xml:space="preserve"> </w:t>
      </w:r>
      <w:r w:rsidR="00A47C7D" w:rsidRPr="00461D74">
        <w:rPr>
          <w:rFonts w:ascii="Garamond" w:hAnsi="Garamond" w:cstheme="minorHAnsi"/>
          <w:sz w:val="24"/>
          <w:szCs w:val="24"/>
          <w:lang w:val="en-GB"/>
        </w:rPr>
        <w:t>–</w:t>
      </w:r>
      <w:r w:rsidR="00DA5C02" w:rsidRPr="00461D74">
        <w:rPr>
          <w:rFonts w:ascii="Garamond" w:hAnsi="Garamond" w:cstheme="minorHAnsi"/>
          <w:sz w:val="24"/>
          <w:szCs w:val="24"/>
          <w:lang w:val="en-GB"/>
        </w:rPr>
        <w:t xml:space="preserve"> </w:t>
      </w:r>
      <w:r w:rsidR="00A47C7D" w:rsidRPr="00461D74">
        <w:rPr>
          <w:rFonts w:ascii="Garamond" w:hAnsi="Garamond" w:cstheme="minorHAnsi"/>
          <w:sz w:val="24"/>
          <w:szCs w:val="24"/>
          <w:lang w:val="en-GB"/>
        </w:rPr>
        <w:t>a moral-political tradition</w:t>
      </w:r>
      <w:r w:rsidR="007C30C8" w:rsidRPr="00461D74">
        <w:rPr>
          <w:rFonts w:ascii="Garamond" w:hAnsi="Garamond" w:cstheme="minorHAnsi"/>
          <w:sz w:val="24"/>
          <w:szCs w:val="24"/>
          <w:lang w:val="en-GB"/>
        </w:rPr>
        <w:t xml:space="preserve"> originating in the medieval period and expressing the social and cultural practices peculiar to that period</w:t>
      </w:r>
      <w:r w:rsidR="00DA5C02" w:rsidRPr="00461D74">
        <w:rPr>
          <w:rFonts w:ascii="Garamond" w:hAnsi="Garamond" w:cstheme="minorHAnsi"/>
          <w:sz w:val="24"/>
          <w:szCs w:val="24"/>
          <w:lang w:val="en-GB"/>
        </w:rPr>
        <w:t xml:space="preserve"> </w:t>
      </w:r>
      <w:r w:rsidR="007C30C8" w:rsidRPr="00461D74">
        <w:rPr>
          <w:rFonts w:ascii="Garamond" w:hAnsi="Garamond" w:cstheme="minorHAnsi"/>
          <w:sz w:val="24"/>
          <w:szCs w:val="24"/>
          <w:lang w:val="en-GB"/>
        </w:rPr>
        <w:t>–</w:t>
      </w:r>
      <w:r w:rsidR="00DA5C02" w:rsidRPr="00461D74">
        <w:rPr>
          <w:rFonts w:ascii="Garamond" w:hAnsi="Garamond" w:cstheme="minorHAnsi"/>
          <w:sz w:val="24"/>
          <w:szCs w:val="24"/>
          <w:lang w:val="en-GB"/>
        </w:rPr>
        <w:t xml:space="preserve"> </w:t>
      </w:r>
      <w:r w:rsidR="00303D59" w:rsidRPr="00461D74">
        <w:rPr>
          <w:rFonts w:ascii="Garamond" w:hAnsi="Garamond" w:cstheme="minorHAnsi"/>
          <w:sz w:val="24"/>
          <w:szCs w:val="24"/>
          <w:lang w:val="en-GB"/>
        </w:rPr>
        <w:t>deliver to us</w:t>
      </w:r>
      <w:r w:rsidR="007C30C8" w:rsidRPr="00461D74">
        <w:rPr>
          <w:rFonts w:ascii="Garamond" w:hAnsi="Garamond" w:cstheme="minorHAnsi"/>
          <w:sz w:val="24"/>
          <w:szCs w:val="24"/>
          <w:lang w:val="en-GB"/>
        </w:rPr>
        <w:t xml:space="preserve"> a </w:t>
      </w:r>
      <w:r w:rsidR="00303D59" w:rsidRPr="00461D74">
        <w:rPr>
          <w:rFonts w:ascii="Garamond" w:hAnsi="Garamond" w:cstheme="minorHAnsi"/>
          <w:sz w:val="24"/>
          <w:szCs w:val="24"/>
          <w:lang w:val="en-GB"/>
        </w:rPr>
        <w:t>germane ethical framework for moral life in the contemporary social context?</w:t>
      </w:r>
    </w:p>
    <w:p w:rsidR="009B08FB" w:rsidRDefault="00990EE6"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Commencing in the next chapter, I turn my attention to this first difficulty, while in </w:t>
      </w:r>
      <w:r w:rsidR="00411E46" w:rsidRPr="00461D74">
        <w:rPr>
          <w:rFonts w:ascii="Garamond" w:hAnsi="Garamond" w:cstheme="minorHAnsi"/>
          <w:sz w:val="24"/>
          <w:szCs w:val="24"/>
          <w:lang w:val="en-GB"/>
        </w:rPr>
        <w:t>C</w:t>
      </w:r>
      <w:r w:rsidRPr="00461D74">
        <w:rPr>
          <w:rFonts w:ascii="Garamond" w:hAnsi="Garamond" w:cstheme="minorHAnsi"/>
          <w:sz w:val="24"/>
          <w:szCs w:val="24"/>
          <w:lang w:val="en-GB"/>
        </w:rPr>
        <w:t xml:space="preserve">hapter </w:t>
      </w:r>
      <w:r w:rsidR="00411E46" w:rsidRPr="00461D74">
        <w:rPr>
          <w:rFonts w:ascii="Garamond" w:hAnsi="Garamond" w:cstheme="minorHAnsi"/>
          <w:sz w:val="24"/>
          <w:szCs w:val="24"/>
          <w:lang w:val="en-GB"/>
        </w:rPr>
        <w:t>F</w:t>
      </w:r>
      <w:r w:rsidRPr="00461D74">
        <w:rPr>
          <w:rFonts w:ascii="Garamond" w:hAnsi="Garamond" w:cstheme="minorHAnsi"/>
          <w:sz w:val="24"/>
          <w:szCs w:val="24"/>
          <w:lang w:val="en-GB"/>
        </w:rPr>
        <w:t>our, I begin to explore in more detail the second tension in MacIntyre’s account</w:t>
      </w:r>
      <w:r w:rsidR="00DF22A9">
        <w:rPr>
          <w:rFonts w:ascii="Garamond" w:hAnsi="Garamond" w:cstheme="minorHAnsi"/>
          <w:sz w:val="24"/>
          <w:szCs w:val="24"/>
          <w:lang w:val="en-GB"/>
        </w:rPr>
        <w:t>.</w:t>
      </w:r>
    </w:p>
    <w:p w:rsidR="00DF22A9" w:rsidRPr="00461D74" w:rsidRDefault="00DF22A9" w:rsidP="00164E4D">
      <w:pPr>
        <w:spacing w:line="360" w:lineRule="auto"/>
        <w:ind w:firstLine="720"/>
        <w:jc w:val="both"/>
        <w:sectPr w:rsidR="00DF22A9" w:rsidRPr="00461D74" w:rsidSect="003D0941">
          <w:footnotePr>
            <w:numRestart w:val="eachSect"/>
          </w:footnotePr>
          <w:pgSz w:w="12240" w:h="15840"/>
          <w:pgMar w:top="1985" w:right="2268" w:bottom="2268" w:left="2268" w:header="709" w:footer="709" w:gutter="0"/>
          <w:cols w:space="708"/>
          <w:docGrid w:linePitch="360"/>
        </w:sectPr>
      </w:pPr>
    </w:p>
    <w:p w:rsidR="00665157" w:rsidRDefault="00016049">
      <w:pPr>
        <w:pStyle w:val="Heading1"/>
        <w:spacing w:line="360" w:lineRule="auto"/>
        <w:jc w:val="both"/>
        <w:rPr>
          <w:rFonts w:cstheme="majorHAnsi"/>
        </w:rPr>
      </w:pPr>
      <w:bookmarkStart w:id="14" w:name="_Toc528077796"/>
      <w:r w:rsidRPr="00461D74">
        <w:rPr>
          <w:rFonts w:cstheme="majorHAnsi"/>
        </w:rPr>
        <w:lastRenderedPageBreak/>
        <w:t>Chapter 2</w:t>
      </w:r>
      <w:r w:rsidR="00996D1B" w:rsidRPr="00461D74">
        <w:rPr>
          <w:rFonts w:cstheme="majorHAnsi"/>
        </w:rPr>
        <w:t>:</w:t>
      </w:r>
      <w:r w:rsidRPr="00461D74">
        <w:rPr>
          <w:rFonts w:cstheme="majorHAnsi"/>
        </w:rPr>
        <w:t xml:space="preserve"> </w:t>
      </w:r>
      <w:r w:rsidR="0077419A" w:rsidRPr="00461D74">
        <w:rPr>
          <w:rFonts w:cstheme="majorHAnsi"/>
        </w:rPr>
        <w:t>Thomism and H</w:t>
      </w:r>
      <w:r w:rsidRPr="00461D74">
        <w:rPr>
          <w:rFonts w:cstheme="majorHAnsi"/>
        </w:rPr>
        <w:t xml:space="preserve">istorical </w:t>
      </w:r>
      <w:r w:rsidR="0077419A" w:rsidRPr="00461D74">
        <w:rPr>
          <w:rFonts w:cstheme="majorHAnsi"/>
        </w:rPr>
        <w:t>Progress in MacIntyre’s Tradition-Guided I</w:t>
      </w:r>
      <w:r w:rsidRPr="00461D74">
        <w:rPr>
          <w:rFonts w:cstheme="majorHAnsi"/>
        </w:rPr>
        <w:t>nquiry</w:t>
      </w:r>
      <w:bookmarkEnd w:id="14"/>
    </w:p>
    <w:p w:rsidR="00665157" w:rsidRDefault="00665157">
      <w:pPr>
        <w:spacing w:line="360" w:lineRule="auto"/>
        <w:jc w:val="both"/>
        <w:rPr>
          <w:rFonts w:ascii="Garamond" w:hAnsi="Garamond" w:cstheme="majorBidi"/>
        </w:rPr>
      </w:pPr>
    </w:p>
    <w:p w:rsidR="00665157" w:rsidRDefault="00195ABA">
      <w:pPr>
        <w:pStyle w:val="Heading2"/>
        <w:spacing w:line="360" w:lineRule="auto"/>
        <w:jc w:val="both"/>
        <w:rPr>
          <w:rFonts w:cstheme="majorHAnsi"/>
        </w:rPr>
      </w:pPr>
      <w:bookmarkStart w:id="15" w:name="_Toc528077797"/>
      <w:r w:rsidRPr="00461D74">
        <w:rPr>
          <w:rFonts w:cstheme="majorHAnsi"/>
        </w:rPr>
        <w:t xml:space="preserve">1. </w:t>
      </w:r>
      <w:r w:rsidR="00016049" w:rsidRPr="00461D74">
        <w:rPr>
          <w:rFonts w:cstheme="majorHAnsi"/>
        </w:rPr>
        <w:t>Introduction</w:t>
      </w:r>
      <w:bookmarkEnd w:id="15"/>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the previous chapter I considered </w:t>
      </w:r>
      <w:r w:rsidR="00752740">
        <w:rPr>
          <w:rFonts w:ascii="Garamond" w:hAnsi="Garamond" w:cstheme="minorHAnsi"/>
          <w:sz w:val="24"/>
          <w:szCs w:val="24"/>
        </w:rPr>
        <w:t xml:space="preserve">the broad outlines of </w:t>
      </w:r>
      <w:r w:rsidRPr="00461D74">
        <w:rPr>
          <w:rFonts w:ascii="Garamond" w:hAnsi="Garamond" w:cstheme="minorHAnsi"/>
          <w:sz w:val="24"/>
          <w:szCs w:val="24"/>
        </w:rPr>
        <w:t xml:space="preserve">MacIntyre’s account presented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and </w:t>
      </w:r>
      <w:r w:rsidRPr="00461D74">
        <w:rPr>
          <w:rFonts w:ascii="Garamond" w:hAnsi="Garamond" w:cstheme="minorHAnsi"/>
          <w:i/>
          <w:iCs/>
          <w:sz w:val="24"/>
          <w:szCs w:val="24"/>
        </w:rPr>
        <w:t>Whose Justice</w:t>
      </w:r>
      <w:r w:rsidRPr="00461D74">
        <w:rPr>
          <w:rFonts w:ascii="Garamond" w:hAnsi="Garamond" w:cstheme="minorHAnsi"/>
          <w:sz w:val="24"/>
          <w:szCs w:val="24"/>
        </w:rPr>
        <w:t xml:space="preserve">. </w:t>
      </w:r>
      <w:r w:rsidR="00752740">
        <w:rPr>
          <w:rFonts w:ascii="Garamond" w:hAnsi="Garamond" w:cstheme="minorHAnsi"/>
          <w:sz w:val="24"/>
          <w:szCs w:val="24"/>
        </w:rPr>
        <w:t xml:space="preserve">I considered </w:t>
      </w:r>
      <w:r w:rsidRPr="00461D74">
        <w:rPr>
          <w:rFonts w:ascii="Garamond" w:hAnsi="Garamond" w:cstheme="minorHAnsi"/>
          <w:sz w:val="24"/>
          <w:szCs w:val="24"/>
        </w:rPr>
        <w:t>MacIntyre</w:t>
      </w:r>
      <w:r w:rsidR="00752740">
        <w:rPr>
          <w:rFonts w:ascii="Garamond" w:hAnsi="Garamond" w:cstheme="minorHAnsi"/>
          <w:sz w:val="24"/>
          <w:szCs w:val="24"/>
        </w:rPr>
        <w:t>’s</w:t>
      </w:r>
      <w:r w:rsidRPr="00461D74">
        <w:rPr>
          <w:rFonts w:ascii="Garamond" w:hAnsi="Garamond" w:cstheme="minorHAnsi"/>
          <w:sz w:val="24"/>
          <w:szCs w:val="24"/>
        </w:rPr>
        <w:t xml:space="preserve"> historical narrative </w:t>
      </w:r>
      <w:r w:rsidR="00752740">
        <w:rPr>
          <w:rFonts w:ascii="Garamond" w:hAnsi="Garamond" w:cstheme="minorHAnsi"/>
          <w:sz w:val="24"/>
          <w:szCs w:val="24"/>
        </w:rPr>
        <w:t>which</w:t>
      </w:r>
      <w:r w:rsidR="00752740" w:rsidRPr="00461D74">
        <w:rPr>
          <w:rFonts w:ascii="Garamond" w:hAnsi="Garamond" w:cstheme="minorHAnsi"/>
          <w:sz w:val="24"/>
          <w:szCs w:val="24"/>
        </w:rPr>
        <w:t xml:space="preserve"> </w:t>
      </w:r>
      <w:r w:rsidRPr="00461D74">
        <w:rPr>
          <w:rFonts w:ascii="Garamond" w:hAnsi="Garamond" w:cstheme="minorHAnsi"/>
          <w:sz w:val="24"/>
          <w:szCs w:val="24"/>
        </w:rPr>
        <w:t>posit</w:t>
      </w:r>
      <w:r w:rsidR="00752740">
        <w:rPr>
          <w:rFonts w:ascii="Garamond" w:hAnsi="Garamond" w:cstheme="minorHAnsi"/>
          <w:sz w:val="24"/>
          <w:szCs w:val="24"/>
        </w:rPr>
        <w:t>s</w:t>
      </w:r>
      <w:r w:rsidRPr="00461D74">
        <w:rPr>
          <w:rFonts w:ascii="Garamond" w:hAnsi="Garamond" w:cstheme="minorHAnsi"/>
          <w:sz w:val="24"/>
          <w:szCs w:val="24"/>
        </w:rPr>
        <w:t xml:space="preserve"> a rather complex and far-reaching argument – that the seemingly rival and intractable debates in contemporary moral philosophy are generated </w:t>
      </w:r>
      <w:r w:rsidR="0035386E" w:rsidRPr="00461D74">
        <w:rPr>
          <w:rFonts w:ascii="Garamond" w:hAnsi="Garamond" w:cstheme="minorHAnsi"/>
          <w:sz w:val="24"/>
          <w:szCs w:val="24"/>
        </w:rPr>
        <w:t xml:space="preserve">precisely </w:t>
      </w:r>
      <w:r w:rsidRPr="00461D74">
        <w:rPr>
          <w:rFonts w:ascii="Garamond" w:hAnsi="Garamond" w:cstheme="minorHAnsi"/>
          <w:sz w:val="24"/>
          <w:szCs w:val="24"/>
        </w:rPr>
        <w:t>because different moral arguments advanced by proponents of this or that view appeal to fundamentally different sets of basic premises; premises that could only be fully understood in relation to the particular social context that motivated them</w:t>
      </w:r>
      <w:r w:rsidR="0035386E" w:rsidRPr="00461D74">
        <w:rPr>
          <w:rFonts w:ascii="Garamond" w:hAnsi="Garamond" w:cstheme="minorHAnsi"/>
          <w:sz w:val="24"/>
          <w:szCs w:val="24"/>
        </w:rPr>
        <w:t xml:space="preserve">. Now, </w:t>
      </w:r>
      <w:r w:rsidRPr="00461D74">
        <w:rPr>
          <w:rFonts w:ascii="Garamond" w:hAnsi="Garamond" w:cstheme="minorHAnsi"/>
          <w:sz w:val="24"/>
          <w:szCs w:val="24"/>
        </w:rPr>
        <w:t xml:space="preserve">MacIntyre also </w:t>
      </w:r>
      <w:r w:rsidR="0035386E" w:rsidRPr="00461D74">
        <w:rPr>
          <w:rFonts w:ascii="Garamond" w:hAnsi="Garamond" w:cstheme="minorHAnsi"/>
          <w:sz w:val="24"/>
          <w:szCs w:val="24"/>
        </w:rPr>
        <w:t>argues</w:t>
      </w:r>
      <w:r w:rsidRPr="00461D74">
        <w:rPr>
          <w:rFonts w:ascii="Garamond" w:hAnsi="Garamond" w:cstheme="minorHAnsi"/>
          <w:sz w:val="24"/>
          <w:szCs w:val="24"/>
        </w:rPr>
        <w:t xml:space="preserve"> that amidst all the intellectual fragmentation and disorder, a new moral theory – emotivism – nevertheless emerges. </w:t>
      </w:r>
      <w:r w:rsidR="00CD4279" w:rsidRPr="00461D74">
        <w:rPr>
          <w:rFonts w:ascii="Garamond" w:hAnsi="Garamond" w:cstheme="minorHAnsi"/>
          <w:sz w:val="24"/>
          <w:szCs w:val="24"/>
        </w:rPr>
        <w:t xml:space="preserve">For MacIntyre, </w:t>
      </w:r>
      <w:r w:rsidRPr="00461D74">
        <w:rPr>
          <w:rFonts w:ascii="Garamond" w:hAnsi="Garamond" w:cstheme="minorHAnsi"/>
          <w:sz w:val="24"/>
          <w:szCs w:val="24"/>
        </w:rPr>
        <w:t xml:space="preserve">emotivism is seemingly at home with the social practices and the cultural context of contemporary liberal order, </w:t>
      </w:r>
      <w:r w:rsidR="00CD4279" w:rsidRPr="00461D74">
        <w:rPr>
          <w:rFonts w:ascii="Garamond" w:hAnsi="Garamond" w:cstheme="minorHAnsi"/>
          <w:sz w:val="24"/>
          <w:szCs w:val="24"/>
        </w:rPr>
        <w:t xml:space="preserve">and </w:t>
      </w:r>
      <w:r w:rsidRPr="00461D74">
        <w:rPr>
          <w:rFonts w:ascii="Garamond" w:hAnsi="Garamond" w:cstheme="minorHAnsi"/>
          <w:sz w:val="24"/>
          <w:szCs w:val="24"/>
        </w:rPr>
        <w:t>is in</w:t>
      </w:r>
      <w:r w:rsidR="00CD4279" w:rsidRPr="00461D74">
        <w:rPr>
          <w:rFonts w:ascii="Garamond" w:hAnsi="Garamond" w:cstheme="minorHAnsi"/>
          <w:sz w:val="24"/>
          <w:szCs w:val="24"/>
        </w:rPr>
        <w:t>deed,</w:t>
      </w:r>
      <w:r w:rsidRPr="00461D74">
        <w:rPr>
          <w:rFonts w:ascii="Garamond" w:hAnsi="Garamond" w:cstheme="minorHAnsi"/>
          <w:sz w:val="24"/>
          <w:szCs w:val="24"/>
        </w:rPr>
        <w:t xml:space="preserve"> </w:t>
      </w:r>
      <w:r w:rsidR="00CD4279" w:rsidRPr="00461D74">
        <w:rPr>
          <w:rFonts w:ascii="Garamond" w:hAnsi="Garamond" w:cstheme="minorHAnsi"/>
          <w:sz w:val="24"/>
          <w:szCs w:val="24"/>
        </w:rPr>
        <w:t xml:space="preserve">a </w:t>
      </w:r>
      <w:r w:rsidRPr="00461D74">
        <w:rPr>
          <w:rFonts w:ascii="Garamond" w:hAnsi="Garamond" w:cstheme="minorHAnsi"/>
          <w:sz w:val="24"/>
          <w:szCs w:val="24"/>
        </w:rPr>
        <w:t>theoretical</w:t>
      </w:r>
      <w:r w:rsidR="00CD4279" w:rsidRPr="00461D74">
        <w:rPr>
          <w:rFonts w:ascii="Garamond" w:hAnsi="Garamond" w:cstheme="minorHAnsi"/>
          <w:sz w:val="24"/>
          <w:szCs w:val="24"/>
        </w:rPr>
        <w:t xml:space="preserve"> </w:t>
      </w:r>
      <w:r w:rsidRPr="00461D74">
        <w:rPr>
          <w:rFonts w:ascii="Garamond" w:hAnsi="Garamond" w:cstheme="minorHAnsi"/>
          <w:sz w:val="24"/>
          <w:szCs w:val="24"/>
        </w:rPr>
        <w:t>expre</w:t>
      </w:r>
      <w:r w:rsidR="00CD4279" w:rsidRPr="00461D74">
        <w:rPr>
          <w:rFonts w:ascii="Garamond" w:hAnsi="Garamond" w:cstheme="minorHAnsi"/>
          <w:sz w:val="24"/>
          <w:szCs w:val="24"/>
        </w:rPr>
        <w:t>ssion of</w:t>
      </w:r>
      <w:r w:rsidRPr="00461D74">
        <w:rPr>
          <w:rFonts w:ascii="Garamond" w:hAnsi="Garamond" w:cstheme="minorHAnsi"/>
          <w:sz w:val="24"/>
          <w:szCs w:val="24"/>
        </w:rPr>
        <w:t xml:space="preserve"> deeply embedded liberal social norms and customs. Nevertheless, MacIntyre rejects emotivism</w:t>
      </w:r>
      <w:r w:rsidR="00CD4279" w:rsidRPr="00461D74">
        <w:rPr>
          <w:rFonts w:ascii="Garamond" w:hAnsi="Garamond" w:cstheme="minorHAnsi"/>
          <w:sz w:val="24"/>
          <w:szCs w:val="24"/>
        </w:rPr>
        <w:t>,</w:t>
      </w:r>
      <w:r w:rsidRPr="00461D74">
        <w:rPr>
          <w:rFonts w:ascii="Garamond" w:hAnsi="Garamond" w:cstheme="minorHAnsi"/>
          <w:sz w:val="24"/>
          <w:szCs w:val="24"/>
        </w:rPr>
        <w:t xml:space="preserve"> </w:t>
      </w:r>
      <w:r w:rsidR="00CD4279" w:rsidRPr="00461D74">
        <w:rPr>
          <w:rFonts w:ascii="Garamond" w:hAnsi="Garamond" w:cstheme="minorHAnsi"/>
          <w:sz w:val="24"/>
          <w:szCs w:val="24"/>
        </w:rPr>
        <w:t>for emotivism</w:t>
      </w:r>
      <w:r w:rsidRPr="00461D74">
        <w:rPr>
          <w:rFonts w:ascii="Garamond" w:hAnsi="Garamond" w:cstheme="minorHAnsi"/>
          <w:sz w:val="24"/>
          <w:szCs w:val="24"/>
        </w:rPr>
        <w:t xml:space="preserve"> accepts the implicit premise that when it comes to moral claims, there is no rational way of adjudica</w:t>
      </w:r>
      <w:r w:rsidR="000D19AA" w:rsidRPr="00461D74">
        <w:rPr>
          <w:rFonts w:ascii="Garamond" w:hAnsi="Garamond" w:cstheme="minorHAnsi"/>
          <w:sz w:val="24"/>
          <w:szCs w:val="24"/>
        </w:rPr>
        <w:t xml:space="preserve">ting one claim against another. Recall that in Chapter One, </w:t>
      </w:r>
      <w:r w:rsidR="008F7C2E">
        <w:rPr>
          <w:rFonts w:ascii="Garamond" w:hAnsi="Garamond" w:cstheme="minorHAnsi"/>
          <w:sz w:val="24"/>
          <w:szCs w:val="24"/>
        </w:rPr>
        <w:t xml:space="preserve">we saw how </w:t>
      </w:r>
      <w:r w:rsidR="000D19AA" w:rsidRPr="00461D74">
        <w:rPr>
          <w:rFonts w:ascii="Garamond" w:hAnsi="Garamond" w:cstheme="minorHAnsi"/>
          <w:sz w:val="24"/>
          <w:szCs w:val="24"/>
        </w:rPr>
        <w:t xml:space="preserve">MacIntyre positioned his thesis in direct opposition to emotivism, and </w:t>
      </w:r>
      <w:r w:rsidRPr="00461D74">
        <w:rPr>
          <w:rFonts w:ascii="Garamond" w:hAnsi="Garamond" w:cstheme="minorHAnsi"/>
          <w:sz w:val="24"/>
          <w:szCs w:val="24"/>
        </w:rPr>
        <w:t>MacIntyre</w:t>
      </w:r>
      <w:r w:rsidR="000208B5" w:rsidRPr="00461D74">
        <w:rPr>
          <w:rFonts w:ascii="Garamond" w:hAnsi="Garamond" w:cstheme="minorHAnsi"/>
          <w:sz w:val="24"/>
          <w:szCs w:val="24"/>
        </w:rPr>
        <w:t xml:space="preserve">’s </w:t>
      </w:r>
      <w:r w:rsidR="000D19AA" w:rsidRPr="00461D74">
        <w:rPr>
          <w:rFonts w:ascii="Garamond" w:hAnsi="Garamond" w:cstheme="minorHAnsi"/>
          <w:sz w:val="24"/>
          <w:szCs w:val="24"/>
        </w:rPr>
        <w:t>positive</w:t>
      </w:r>
      <w:r w:rsidR="000208B5" w:rsidRPr="00461D74">
        <w:rPr>
          <w:rFonts w:ascii="Garamond" w:hAnsi="Garamond" w:cstheme="minorHAnsi"/>
          <w:sz w:val="24"/>
          <w:szCs w:val="24"/>
        </w:rPr>
        <w:t xml:space="preserve"> account hinges on showing how ethical claims can in fact be justified rationally within a tra</w:t>
      </w:r>
      <w:r w:rsidR="00BF4424" w:rsidRPr="00461D74">
        <w:rPr>
          <w:rFonts w:ascii="Garamond" w:hAnsi="Garamond" w:cstheme="minorHAnsi"/>
          <w:sz w:val="24"/>
          <w:szCs w:val="24"/>
        </w:rPr>
        <w:t>dition</w:t>
      </w:r>
      <w:r w:rsidR="000D19AA" w:rsidRPr="00461D74">
        <w:rPr>
          <w:rFonts w:ascii="Garamond" w:hAnsi="Garamond" w:cstheme="minorHAnsi"/>
          <w:sz w:val="24"/>
          <w:szCs w:val="24"/>
        </w:rPr>
        <w:t>;</w:t>
      </w:r>
      <w:r w:rsidR="00BF4424" w:rsidRPr="00461D74">
        <w:rPr>
          <w:rFonts w:ascii="Garamond" w:hAnsi="Garamond" w:cstheme="minorHAnsi"/>
          <w:sz w:val="24"/>
          <w:szCs w:val="24"/>
        </w:rPr>
        <w:t xml:space="preserve"> and that in the </w:t>
      </w:r>
      <w:r w:rsidR="000208B5" w:rsidRPr="00461D74">
        <w:rPr>
          <w:rFonts w:ascii="Garamond" w:hAnsi="Garamond" w:cstheme="minorHAnsi"/>
          <w:sz w:val="24"/>
          <w:szCs w:val="24"/>
        </w:rPr>
        <w:t>context of the history of moral traditions</w:t>
      </w:r>
      <w:r w:rsidR="00BF4424" w:rsidRPr="00461D74">
        <w:rPr>
          <w:rFonts w:ascii="Garamond" w:hAnsi="Garamond" w:cstheme="minorHAnsi"/>
          <w:sz w:val="24"/>
          <w:szCs w:val="24"/>
        </w:rPr>
        <w:t xml:space="preserve">, traditions </w:t>
      </w:r>
      <w:r w:rsidR="00752740">
        <w:rPr>
          <w:rFonts w:ascii="Garamond" w:hAnsi="Garamond" w:cstheme="minorHAnsi"/>
          <w:sz w:val="24"/>
          <w:szCs w:val="24"/>
        </w:rPr>
        <w:t>achieve</w:t>
      </w:r>
      <w:r w:rsidR="00752740" w:rsidRPr="00461D74">
        <w:rPr>
          <w:rFonts w:ascii="Garamond" w:hAnsi="Garamond" w:cstheme="minorHAnsi"/>
          <w:sz w:val="24"/>
          <w:szCs w:val="24"/>
        </w:rPr>
        <w:t xml:space="preserve"> </w:t>
      </w:r>
      <w:r w:rsidR="00752740">
        <w:rPr>
          <w:rFonts w:ascii="Garamond" w:hAnsi="Garamond" w:cstheme="minorHAnsi"/>
          <w:sz w:val="24"/>
          <w:szCs w:val="24"/>
        </w:rPr>
        <w:t>rational</w:t>
      </w:r>
      <w:r w:rsidR="00752740" w:rsidRPr="00461D74">
        <w:rPr>
          <w:rFonts w:ascii="Garamond" w:hAnsi="Garamond" w:cstheme="minorHAnsi"/>
          <w:sz w:val="24"/>
          <w:szCs w:val="24"/>
        </w:rPr>
        <w:t xml:space="preserve"> </w:t>
      </w:r>
      <w:r w:rsidR="00BF4424" w:rsidRPr="00461D74">
        <w:rPr>
          <w:rFonts w:ascii="Garamond" w:hAnsi="Garamond" w:cstheme="minorHAnsi"/>
          <w:sz w:val="24"/>
          <w:szCs w:val="24"/>
        </w:rPr>
        <w:t>progress by overcoming the limitations of earlier traditions.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then looked to draw attention to MacIntyre’s profound historical and contextualist claims that are deeply-rooted in the complex argument advanced in </w:t>
      </w:r>
      <w:r w:rsidRPr="00461D74">
        <w:rPr>
          <w:rFonts w:ascii="Garamond" w:hAnsi="Garamond" w:cstheme="minorHAnsi"/>
          <w:sz w:val="24"/>
          <w:szCs w:val="24"/>
        </w:rPr>
        <w:lastRenderedPageBreak/>
        <w:t>his historical narrative. We observed that MacIntyre’s narrative: (</w:t>
      </w:r>
      <w:proofErr w:type="spellStart"/>
      <w:r w:rsidRPr="00461D74">
        <w:rPr>
          <w:rFonts w:ascii="Garamond" w:hAnsi="Garamond" w:cstheme="minorHAnsi"/>
          <w:sz w:val="24"/>
          <w:szCs w:val="24"/>
        </w:rPr>
        <w:t>i</w:t>
      </w:r>
      <w:proofErr w:type="spellEnd"/>
      <w:r w:rsidRPr="00461D74">
        <w:rPr>
          <w:rFonts w:ascii="Garamond" w:hAnsi="Garamond" w:cstheme="minorHAnsi"/>
          <w:sz w:val="24"/>
          <w:szCs w:val="24"/>
        </w:rPr>
        <w:t>) closely ties ethics and morality to the wider social-cum-historical context; (ii) demonstrates how seemingly intractable conflicts between rival accounts in moral philosophy emerge from disruption and transformation of the social structure; (iii) and reveals how the resolution of conflicts between rival views, and ultimately progress in moral philosophy, takes place within traditions of moral inquiry. I should emphasize that the idea of justifying moral claims, and more broadly</w:t>
      </w:r>
      <w:r w:rsidR="005E5E01">
        <w:rPr>
          <w:rFonts w:ascii="Garamond" w:hAnsi="Garamond" w:cstheme="minorHAnsi"/>
          <w:sz w:val="24"/>
          <w:szCs w:val="24"/>
        </w:rPr>
        <w:t>,</w:t>
      </w:r>
      <w:r w:rsidRPr="00461D74">
        <w:rPr>
          <w:rFonts w:ascii="Garamond" w:hAnsi="Garamond" w:cstheme="minorHAnsi"/>
          <w:sz w:val="24"/>
          <w:szCs w:val="24"/>
        </w:rPr>
        <w:t xml:space="preserve"> the idea of moral progress within traditions of moral inquiry, is fundamentally at the heart of his project.</w:t>
      </w:r>
    </w:p>
    <w:p w:rsidR="00665157" w:rsidRDefault="00E46DA3">
      <w:pPr>
        <w:spacing w:line="360" w:lineRule="auto"/>
        <w:ind w:firstLine="720"/>
        <w:jc w:val="both"/>
        <w:rPr>
          <w:rFonts w:ascii="Garamond" w:hAnsi="Garamond" w:cstheme="minorHAnsi"/>
          <w:sz w:val="24"/>
          <w:szCs w:val="24"/>
        </w:rPr>
      </w:pPr>
      <w:r>
        <w:rPr>
          <w:rFonts w:ascii="Garamond" w:hAnsi="Garamond" w:cstheme="minorHAnsi"/>
          <w:sz w:val="24"/>
          <w:szCs w:val="24"/>
        </w:rPr>
        <w:t>Now</w:t>
      </w:r>
      <w:r w:rsidR="00016049" w:rsidRPr="00461D74">
        <w:rPr>
          <w:rFonts w:ascii="Garamond" w:hAnsi="Garamond" w:cstheme="minorHAnsi"/>
          <w:sz w:val="24"/>
          <w:szCs w:val="24"/>
        </w:rPr>
        <w:t xml:space="preserve"> in the previous chapter</w:t>
      </w:r>
      <w:r>
        <w:rPr>
          <w:rFonts w:ascii="Garamond" w:hAnsi="Garamond" w:cstheme="minorHAnsi"/>
          <w:sz w:val="24"/>
          <w:szCs w:val="24"/>
        </w:rPr>
        <w:t>,</w:t>
      </w:r>
      <w:r w:rsidR="00016049" w:rsidRPr="00461D74">
        <w:rPr>
          <w:rFonts w:ascii="Garamond" w:hAnsi="Garamond" w:cstheme="minorHAnsi"/>
          <w:sz w:val="24"/>
          <w:szCs w:val="24"/>
        </w:rPr>
        <w:t xml:space="preserve"> we observed that MacIntyre in </w:t>
      </w:r>
      <w:r w:rsidR="00016049" w:rsidRPr="00461D74">
        <w:rPr>
          <w:rFonts w:ascii="Garamond" w:hAnsi="Garamond" w:cstheme="minorHAnsi"/>
          <w:i/>
          <w:iCs/>
          <w:sz w:val="24"/>
          <w:szCs w:val="24"/>
        </w:rPr>
        <w:t>Whose Justice</w:t>
      </w:r>
      <w:r w:rsidR="00016049" w:rsidRPr="00461D74">
        <w:rPr>
          <w:rFonts w:ascii="Garamond" w:hAnsi="Garamond" w:cstheme="minorHAnsi"/>
          <w:sz w:val="24"/>
          <w:szCs w:val="24"/>
        </w:rPr>
        <w:t xml:space="preserve"> identifies liberalism as the dominant contemporary tradition. Nevertheless, MacIntyre has emphatically rejected the liberal tradition, and vigorously defends his overall thesis in terms of its opposition to liberalism</w:t>
      </w:r>
      <w:r w:rsidR="001C1C4C">
        <w:rPr>
          <w:rFonts w:ascii="Garamond" w:hAnsi="Garamond" w:cstheme="minorHAnsi"/>
          <w:sz w:val="24"/>
          <w:szCs w:val="24"/>
        </w:rPr>
        <w:t>,</w:t>
      </w:r>
      <w:r w:rsidR="00016049" w:rsidRPr="00461D74">
        <w:rPr>
          <w:rFonts w:ascii="Garamond" w:hAnsi="Garamond" w:cstheme="minorHAnsi"/>
          <w:sz w:val="24"/>
          <w:szCs w:val="24"/>
        </w:rPr>
        <w:t xml:space="preserve"> </w:t>
      </w:r>
      <w:r w:rsidR="001C1C4C">
        <w:rPr>
          <w:rFonts w:ascii="Garamond" w:hAnsi="Garamond" w:cstheme="minorHAnsi"/>
          <w:sz w:val="24"/>
          <w:szCs w:val="24"/>
        </w:rPr>
        <w:t>where he</w:t>
      </w:r>
      <w:r w:rsidR="001C1C4C" w:rsidRPr="00461D74">
        <w:rPr>
          <w:rFonts w:ascii="Garamond" w:hAnsi="Garamond" w:cstheme="minorHAnsi"/>
          <w:sz w:val="24"/>
          <w:szCs w:val="24"/>
        </w:rPr>
        <w:t xml:space="preserve"> </w:t>
      </w:r>
      <w:r w:rsidR="001C1C4C">
        <w:rPr>
          <w:rFonts w:ascii="Garamond" w:hAnsi="Garamond" w:cstheme="minorHAnsi"/>
          <w:sz w:val="24"/>
          <w:szCs w:val="24"/>
        </w:rPr>
        <w:t>identifies with, and endorses,</w:t>
      </w:r>
      <w:r w:rsidR="00016049" w:rsidRPr="00461D74">
        <w:rPr>
          <w:rFonts w:ascii="Garamond" w:hAnsi="Garamond" w:cstheme="minorHAnsi"/>
          <w:sz w:val="24"/>
          <w:szCs w:val="24"/>
        </w:rPr>
        <w:t xml:space="preserve"> Aristotelian-Thomis</w:t>
      </w:r>
      <w:r w:rsidR="00214A45" w:rsidRPr="00461D74">
        <w:rPr>
          <w:rFonts w:ascii="Garamond" w:hAnsi="Garamond" w:cstheme="minorHAnsi"/>
          <w:sz w:val="24"/>
          <w:szCs w:val="24"/>
        </w:rPr>
        <w:t>m</w:t>
      </w:r>
      <w:r w:rsidR="00016049" w:rsidRPr="00461D74">
        <w:rPr>
          <w:rFonts w:ascii="Garamond" w:hAnsi="Garamond" w:cstheme="minorHAnsi"/>
          <w:sz w:val="24"/>
          <w:szCs w:val="24"/>
        </w:rPr>
        <w:t xml:space="preserve">.  However, at the end of the Chapter One, I suggested that two important problems emerge for MacIntyre’s historical account of tradition-bound moral inquiry. My focus in this chapter will be directed to the first problem. We can articulate this first problem in the following way: On the one hand, it seems that on MacIntyre’s contextualist-historical account of tradition-guided moral inquiry, traditions succeed each other in an historically progressive series; on the other hand, the Aristotelian-Thomistic tradition to which </w:t>
      </w:r>
      <w:r w:rsidR="00214A45" w:rsidRPr="00461D74">
        <w:rPr>
          <w:rFonts w:ascii="Garamond" w:hAnsi="Garamond" w:cstheme="minorHAnsi"/>
          <w:sz w:val="24"/>
          <w:szCs w:val="24"/>
        </w:rPr>
        <w:t>MacIntyre</w:t>
      </w:r>
      <w:r w:rsidR="00016049" w:rsidRPr="00461D74">
        <w:rPr>
          <w:rFonts w:ascii="Garamond" w:hAnsi="Garamond" w:cstheme="minorHAnsi"/>
          <w:sz w:val="24"/>
          <w:szCs w:val="24"/>
        </w:rPr>
        <w:t xml:space="preserve"> subscribes </w:t>
      </w:r>
      <w:r w:rsidR="00214A45" w:rsidRPr="00461D74">
        <w:rPr>
          <w:rFonts w:ascii="Garamond" w:hAnsi="Garamond" w:cstheme="minorHAnsi"/>
          <w:sz w:val="24"/>
          <w:szCs w:val="24"/>
        </w:rPr>
        <w:t xml:space="preserve">to, </w:t>
      </w:r>
      <w:r w:rsidR="00016049" w:rsidRPr="00461D74">
        <w:rPr>
          <w:rFonts w:ascii="Garamond" w:hAnsi="Garamond" w:cstheme="minorHAnsi"/>
          <w:sz w:val="24"/>
          <w:szCs w:val="24"/>
        </w:rPr>
        <w:t xml:space="preserve">has been in some sense surpassed or marginalized </w:t>
      </w:r>
      <w:r w:rsidR="00214A45" w:rsidRPr="00461D74">
        <w:rPr>
          <w:rFonts w:ascii="Garamond" w:hAnsi="Garamond" w:cstheme="minorHAnsi"/>
          <w:sz w:val="24"/>
          <w:szCs w:val="24"/>
        </w:rPr>
        <w:t>in</w:t>
      </w:r>
      <w:r w:rsidR="00016049" w:rsidRPr="00461D74">
        <w:rPr>
          <w:rFonts w:ascii="Garamond" w:hAnsi="Garamond" w:cstheme="minorHAnsi"/>
          <w:sz w:val="24"/>
          <w:szCs w:val="24"/>
        </w:rPr>
        <w:t xml:space="preserve"> th</w:t>
      </w:r>
      <w:r w:rsidR="00214A45" w:rsidRPr="00461D74">
        <w:rPr>
          <w:rFonts w:ascii="Garamond" w:hAnsi="Garamond" w:cstheme="minorHAnsi"/>
          <w:sz w:val="24"/>
          <w:szCs w:val="24"/>
        </w:rPr>
        <w:t>e</w:t>
      </w:r>
      <w:r w:rsidR="00016049" w:rsidRPr="00461D74">
        <w:rPr>
          <w:rFonts w:ascii="Garamond" w:hAnsi="Garamond" w:cstheme="minorHAnsi"/>
          <w:sz w:val="24"/>
          <w:szCs w:val="24"/>
        </w:rPr>
        <w:t xml:space="preserve"> </w:t>
      </w:r>
      <w:r w:rsidR="00214A45" w:rsidRPr="00461D74">
        <w:rPr>
          <w:rFonts w:ascii="Garamond" w:hAnsi="Garamond" w:cstheme="minorHAnsi"/>
          <w:sz w:val="24"/>
          <w:szCs w:val="24"/>
        </w:rPr>
        <w:t xml:space="preserve">same </w:t>
      </w:r>
      <w:r w:rsidR="00016049" w:rsidRPr="00461D74">
        <w:rPr>
          <w:rFonts w:ascii="Garamond" w:hAnsi="Garamond" w:cstheme="minorHAnsi"/>
          <w:sz w:val="24"/>
          <w:szCs w:val="24"/>
        </w:rPr>
        <w:t>historical process</w:t>
      </w:r>
      <w:r w:rsidR="00214A45" w:rsidRPr="00461D74">
        <w:rPr>
          <w:rFonts w:ascii="Garamond" w:hAnsi="Garamond" w:cstheme="minorHAnsi"/>
          <w:sz w:val="24"/>
          <w:szCs w:val="24"/>
        </w:rPr>
        <w:t xml:space="preserve">; </w:t>
      </w:r>
      <w:r w:rsidR="00016049" w:rsidRPr="00461D74">
        <w:rPr>
          <w:rFonts w:ascii="Garamond" w:hAnsi="Garamond" w:cstheme="minorHAnsi"/>
          <w:sz w:val="24"/>
          <w:szCs w:val="24"/>
        </w:rPr>
        <w:t>this then makes it hard to see how he can also claim that it should be revived.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To resolve this tension, it would seem that MacIntyre needs to give an account of </w:t>
      </w:r>
      <w:r w:rsidR="00E560D0" w:rsidRPr="00461D74">
        <w:rPr>
          <w:rFonts w:ascii="Garamond" w:hAnsi="Garamond" w:cstheme="minorHAnsi"/>
          <w:i/>
          <w:sz w:val="24"/>
          <w:szCs w:val="24"/>
        </w:rPr>
        <w:t>why</w:t>
      </w:r>
      <w:r w:rsidRPr="00461D74">
        <w:rPr>
          <w:rFonts w:ascii="Garamond" w:hAnsi="Garamond" w:cstheme="minorHAnsi"/>
          <w:sz w:val="24"/>
          <w:szCs w:val="24"/>
        </w:rPr>
        <w:t xml:space="preserve"> Thomism, his own preferred tradition, has been surpassed as a tradition, or is at least in long-term decline. Moreover, he needs to accomplish this task in a way that shows it is also possible for us to return to it in some form, and that we would be right to do so. For unless this can be achieved, it would suggest </w:t>
      </w:r>
      <w:r w:rsidRPr="00461D74">
        <w:rPr>
          <w:rFonts w:ascii="Garamond" w:hAnsi="Garamond" w:cstheme="minorHAnsi"/>
          <w:sz w:val="24"/>
          <w:szCs w:val="24"/>
        </w:rPr>
        <w:lastRenderedPageBreak/>
        <w:t>that on MacIntyre’s own account – where traditions of moral inquiry progress historically and succeed each other – Thomistic ethics is no longer a viable theoretical framework for us.</w:t>
      </w:r>
    </w:p>
    <w:p w:rsidR="00665157" w:rsidRDefault="00250928">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the next section, I </w:t>
      </w:r>
      <w:r w:rsidR="00931E2A" w:rsidRPr="00461D74">
        <w:rPr>
          <w:rFonts w:ascii="Garamond" w:hAnsi="Garamond" w:cstheme="minorHAnsi"/>
          <w:sz w:val="24"/>
          <w:szCs w:val="24"/>
        </w:rPr>
        <w:t xml:space="preserve">try to highlight a distinction between different aspects of progress, and </w:t>
      </w:r>
      <w:r w:rsidR="00DF7F4B" w:rsidRPr="00461D74">
        <w:rPr>
          <w:rFonts w:ascii="Garamond" w:hAnsi="Garamond" w:cstheme="minorHAnsi"/>
          <w:sz w:val="24"/>
          <w:szCs w:val="24"/>
        </w:rPr>
        <w:t>utilise</w:t>
      </w:r>
      <w:r w:rsidR="00931E2A" w:rsidRPr="00461D74">
        <w:rPr>
          <w:rFonts w:ascii="Garamond" w:hAnsi="Garamond" w:cstheme="minorHAnsi"/>
          <w:sz w:val="24"/>
          <w:szCs w:val="24"/>
        </w:rPr>
        <w:t xml:space="preserve"> </w:t>
      </w:r>
      <w:r w:rsidR="00DF7F4B" w:rsidRPr="00461D74">
        <w:rPr>
          <w:rFonts w:ascii="Garamond" w:hAnsi="Garamond" w:cstheme="minorHAnsi"/>
          <w:sz w:val="24"/>
          <w:szCs w:val="24"/>
        </w:rPr>
        <w:t>this</w:t>
      </w:r>
      <w:r w:rsidR="00931E2A" w:rsidRPr="00461D74">
        <w:rPr>
          <w:rFonts w:ascii="Garamond" w:hAnsi="Garamond" w:cstheme="minorHAnsi"/>
          <w:sz w:val="24"/>
          <w:szCs w:val="24"/>
        </w:rPr>
        <w:t xml:space="preserve"> distinction</w:t>
      </w:r>
      <w:r w:rsidR="004D7890">
        <w:rPr>
          <w:rFonts w:ascii="Garamond" w:hAnsi="Garamond" w:cstheme="minorHAnsi"/>
          <w:sz w:val="24"/>
          <w:szCs w:val="24"/>
        </w:rPr>
        <w:t xml:space="preserve"> – within the framework of </w:t>
      </w:r>
      <w:r w:rsidR="004D7890" w:rsidRPr="00461D74">
        <w:rPr>
          <w:rFonts w:ascii="Garamond" w:hAnsi="Garamond" w:cstheme="minorHAnsi"/>
          <w:sz w:val="24"/>
          <w:szCs w:val="24"/>
        </w:rPr>
        <w:t>MacIntyre’s historical account of tradition-guided inquiry</w:t>
      </w:r>
      <w:r w:rsidR="004D7890">
        <w:rPr>
          <w:rFonts w:ascii="Garamond" w:hAnsi="Garamond" w:cstheme="minorHAnsi"/>
          <w:sz w:val="24"/>
          <w:szCs w:val="24"/>
        </w:rPr>
        <w:t xml:space="preserve"> – to speculate </w:t>
      </w:r>
      <w:r w:rsidR="00C51C98">
        <w:rPr>
          <w:rFonts w:ascii="Garamond" w:hAnsi="Garamond" w:cstheme="minorHAnsi"/>
          <w:sz w:val="24"/>
          <w:szCs w:val="24"/>
        </w:rPr>
        <w:t xml:space="preserve">on </w:t>
      </w:r>
      <w:r w:rsidR="004D7890">
        <w:rPr>
          <w:rFonts w:ascii="Garamond" w:hAnsi="Garamond" w:cstheme="minorHAnsi"/>
          <w:sz w:val="24"/>
          <w:szCs w:val="24"/>
        </w:rPr>
        <w:t xml:space="preserve">the standards under which </w:t>
      </w:r>
      <w:r w:rsidR="00C60563">
        <w:rPr>
          <w:rFonts w:ascii="Garamond" w:hAnsi="Garamond" w:cstheme="minorHAnsi"/>
          <w:sz w:val="24"/>
          <w:szCs w:val="24"/>
        </w:rPr>
        <w:t>we c</w:t>
      </w:r>
      <w:r w:rsidR="004D7890">
        <w:rPr>
          <w:rFonts w:ascii="Garamond" w:hAnsi="Garamond" w:cstheme="minorHAnsi"/>
          <w:sz w:val="24"/>
          <w:szCs w:val="24"/>
        </w:rPr>
        <w:t>ould c</w:t>
      </w:r>
      <w:r w:rsidR="00C60563">
        <w:rPr>
          <w:rFonts w:ascii="Garamond" w:hAnsi="Garamond" w:cstheme="minorHAnsi"/>
          <w:sz w:val="24"/>
          <w:szCs w:val="24"/>
        </w:rPr>
        <w:t xml:space="preserve">ome to hold </w:t>
      </w:r>
      <w:r w:rsidR="004D7890">
        <w:rPr>
          <w:rFonts w:ascii="Garamond" w:hAnsi="Garamond" w:cstheme="minorHAnsi"/>
          <w:sz w:val="24"/>
          <w:szCs w:val="24"/>
        </w:rPr>
        <w:t>(</w:t>
      </w:r>
      <w:r w:rsidR="00C60563">
        <w:rPr>
          <w:rFonts w:ascii="Garamond" w:hAnsi="Garamond" w:cstheme="minorHAnsi"/>
          <w:sz w:val="24"/>
          <w:szCs w:val="24"/>
        </w:rPr>
        <w:t>the view</w:t>
      </w:r>
      <w:r w:rsidR="004D7890">
        <w:rPr>
          <w:rFonts w:ascii="Garamond" w:hAnsi="Garamond" w:cstheme="minorHAnsi"/>
          <w:sz w:val="24"/>
          <w:szCs w:val="24"/>
        </w:rPr>
        <w:t>)</w:t>
      </w:r>
      <w:r w:rsidR="00C60563">
        <w:rPr>
          <w:rFonts w:ascii="Garamond" w:hAnsi="Garamond" w:cstheme="minorHAnsi"/>
          <w:sz w:val="24"/>
          <w:szCs w:val="24"/>
        </w:rPr>
        <w:t xml:space="preserve"> that Aristotelian-Thomism perhaps suffered from </w:t>
      </w:r>
      <w:r w:rsidR="00DF7F4B" w:rsidRPr="00461D74">
        <w:rPr>
          <w:rFonts w:ascii="Garamond" w:hAnsi="Garamond" w:cstheme="minorHAnsi"/>
          <w:sz w:val="24"/>
          <w:szCs w:val="24"/>
        </w:rPr>
        <w:t xml:space="preserve">a </w:t>
      </w:r>
      <w:r w:rsidR="00DE5B33" w:rsidRPr="002D54A2">
        <w:rPr>
          <w:rFonts w:ascii="Garamond" w:hAnsi="Garamond" w:cstheme="minorHAnsi"/>
          <w:sz w:val="24"/>
          <w:szCs w:val="24"/>
        </w:rPr>
        <w:t>spurious discountenance</w:t>
      </w:r>
      <w:r w:rsidR="00931E2A" w:rsidRPr="00461D74">
        <w:rPr>
          <w:rFonts w:ascii="Garamond" w:hAnsi="Garamond" w:cstheme="minorHAnsi"/>
          <w:sz w:val="24"/>
          <w:szCs w:val="24"/>
        </w:rPr>
        <w:t>.</w:t>
      </w:r>
      <w:r w:rsidR="007A3F2F" w:rsidRPr="00461D74">
        <w:rPr>
          <w:rFonts w:ascii="Garamond" w:hAnsi="Garamond" w:cstheme="minorHAnsi"/>
          <w:sz w:val="24"/>
          <w:szCs w:val="24"/>
        </w:rPr>
        <w:t xml:space="preserve"> </w:t>
      </w:r>
      <w:r w:rsidR="00016049" w:rsidRPr="00461D74">
        <w:rPr>
          <w:rFonts w:ascii="Garamond" w:hAnsi="Garamond"/>
          <w:sz w:val="24"/>
          <w:szCs w:val="24"/>
        </w:rPr>
        <w:t xml:space="preserve">In section </w:t>
      </w:r>
      <w:r w:rsidR="000B58AA" w:rsidRPr="00461D74">
        <w:rPr>
          <w:rFonts w:ascii="Garamond" w:hAnsi="Garamond"/>
          <w:sz w:val="24"/>
          <w:szCs w:val="24"/>
        </w:rPr>
        <w:t>3</w:t>
      </w:r>
      <w:r w:rsidR="00016049" w:rsidRPr="00461D74">
        <w:rPr>
          <w:rFonts w:ascii="Garamond" w:hAnsi="Garamond"/>
          <w:sz w:val="24"/>
          <w:szCs w:val="24"/>
        </w:rPr>
        <w:t xml:space="preserve"> I </w:t>
      </w:r>
      <w:r w:rsidRPr="00461D74">
        <w:rPr>
          <w:rFonts w:ascii="Garamond" w:hAnsi="Garamond"/>
          <w:sz w:val="24"/>
          <w:szCs w:val="24"/>
        </w:rPr>
        <w:t>present</w:t>
      </w:r>
      <w:r w:rsidR="00016049" w:rsidRPr="00461D74">
        <w:rPr>
          <w:rFonts w:ascii="Garamond" w:hAnsi="Garamond"/>
          <w:sz w:val="24"/>
          <w:szCs w:val="24"/>
        </w:rPr>
        <w:t xml:space="preserve"> the </w:t>
      </w:r>
      <w:r w:rsidRPr="00461D74">
        <w:rPr>
          <w:rFonts w:ascii="Garamond" w:hAnsi="Garamond"/>
          <w:sz w:val="24"/>
          <w:szCs w:val="24"/>
        </w:rPr>
        <w:t xml:space="preserve">historical </w:t>
      </w:r>
      <w:r w:rsidR="00016049" w:rsidRPr="00461D74">
        <w:rPr>
          <w:rFonts w:ascii="Garamond" w:hAnsi="Garamond"/>
          <w:sz w:val="24"/>
          <w:szCs w:val="24"/>
        </w:rPr>
        <w:t>context for th</w:t>
      </w:r>
      <w:r w:rsidR="007A3F2F" w:rsidRPr="00461D74">
        <w:rPr>
          <w:rFonts w:ascii="Garamond" w:hAnsi="Garamond"/>
          <w:sz w:val="24"/>
          <w:szCs w:val="24"/>
        </w:rPr>
        <w:t>e</w:t>
      </w:r>
      <w:r w:rsidR="00016049" w:rsidRPr="00461D74">
        <w:rPr>
          <w:rFonts w:ascii="Garamond" w:hAnsi="Garamond"/>
          <w:sz w:val="24"/>
          <w:szCs w:val="24"/>
        </w:rPr>
        <w:t xml:space="preserve"> first </w:t>
      </w:r>
      <w:r w:rsidR="007A3F2F" w:rsidRPr="00461D74">
        <w:rPr>
          <w:rFonts w:ascii="Garamond" w:hAnsi="Garamond"/>
          <w:sz w:val="24"/>
          <w:szCs w:val="24"/>
        </w:rPr>
        <w:t xml:space="preserve">tension (or </w:t>
      </w:r>
      <w:r w:rsidR="00016049" w:rsidRPr="00461D74">
        <w:rPr>
          <w:rFonts w:ascii="Garamond" w:hAnsi="Garamond"/>
          <w:sz w:val="24"/>
          <w:szCs w:val="24"/>
        </w:rPr>
        <w:t>difficulty</w:t>
      </w:r>
      <w:r w:rsidR="007A3F2F" w:rsidRPr="00461D74">
        <w:rPr>
          <w:rFonts w:ascii="Garamond" w:hAnsi="Garamond"/>
          <w:sz w:val="24"/>
          <w:szCs w:val="24"/>
        </w:rPr>
        <w:t>)</w:t>
      </w:r>
      <w:r w:rsidR="00016049" w:rsidRPr="00461D74">
        <w:rPr>
          <w:rFonts w:ascii="Garamond" w:hAnsi="Garamond"/>
          <w:sz w:val="24"/>
          <w:szCs w:val="24"/>
        </w:rPr>
        <w:t xml:space="preserve"> and </w:t>
      </w:r>
      <w:r w:rsidR="001F768A" w:rsidRPr="00461D74">
        <w:rPr>
          <w:rFonts w:ascii="Garamond" w:hAnsi="Garamond"/>
          <w:sz w:val="24"/>
          <w:szCs w:val="24"/>
        </w:rPr>
        <w:t>briefly</w:t>
      </w:r>
      <w:r w:rsidR="00016049" w:rsidRPr="00461D74">
        <w:rPr>
          <w:rFonts w:ascii="Garamond" w:hAnsi="Garamond"/>
          <w:sz w:val="24"/>
          <w:szCs w:val="24"/>
        </w:rPr>
        <w:t xml:space="preserve"> </w:t>
      </w:r>
      <w:r w:rsidR="001F768A" w:rsidRPr="00461D74">
        <w:rPr>
          <w:rFonts w:ascii="Garamond" w:hAnsi="Garamond"/>
          <w:sz w:val="24"/>
          <w:szCs w:val="24"/>
        </w:rPr>
        <w:t xml:space="preserve">consider </w:t>
      </w:r>
      <w:r w:rsidR="00016049" w:rsidRPr="00461D74">
        <w:rPr>
          <w:rFonts w:ascii="Garamond" w:hAnsi="Garamond"/>
          <w:sz w:val="24"/>
          <w:szCs w:val="24"/>
        </w:rPr>
        <w:t xml:space="preserve">the background for the marginalization of Thomistic tradition. </w:t>
      </w:r>
      <w:r w:rsidR="001F768A" w:rsidRPr="00461D74">
        <w:rPr>
          <w:rFonts w:ascii="Garamond" w:hAnsi="Garamond"/>
          <w:sz w:val="24"/>
          <w:szCs w:val="24"/>
        </w:rPr>
        <w:t xml:space="preserve">Here, </w:t>
      </w:r>
      <w:r w:rsidR="00016049" w:rsidRPr="00461D74">
        <w:rPr>
          <w:rFonts w:ascii="Garamond" w:hAnsi="Garamond"/>
          <w:sz w:val="24"/>
          <w:szCs w:val="24"/>
        </w:rPr>
        <w:t xml:space="preserve">I will </w:t>
      </w:r>
      <w:r w:rsidR="007A3F2F" w:rsidRPr="00461D74">
        <w:rPr>
          <w:rFonts w:ascii="Garamond" w:hAnsi="Garamond"/>
          <w:sz w:val="24"/>
          <w:szCs w:val="24"/>
        </w:rPr>
        <w:t xml:space="preserve">nevertheless </w:t>
      </w:r>
      <w:r w:rsidR="00016049" w:rsidRPr="00461D74">
        <w:rPr>
          <w:rFonts w:ascii="Garamond" w:hAnsi="Garamond"/>
          <w:sz w:val="24"/>
          <w:szCs w:val="24"/>
        </w:rPr>
        <w:t>offer a more plausible account for th</w:t>
      </w:r>
      <w:r w:rsidRPr="00461D74">
        <w:rPr>
          <w:rFonts w:ascii="Garamond" w:hAnsi="Garamond"/>
          <w:sz w:val="24"/>
          <w:szCs w:val="24"/>
        </w:rPr>
        <w:t>e</w:t>
      </w:r>
      <w:r w:rsidR="00016049" w:rsidRPr="00461D74">
        <w:rPr>
          <w:rFonts w:ascii="Garamond" w:hAnsi="Garamond"/>
          <w:sz w:val="24"/>
          <w:szCs w:val="24"/>
        </w:rPr>
        <w:t xml:space="preserve"> decline </w:t>
      </w:r>
      <w:r w:rsidRPr="00461D74">
        <w:rPr>
          <w:rFonts w:ascii="Garamond" w:hAnsi="Garamond"/>
          <w:sz w:val="24"/>
          <w:szCs w:val="24"/>
        </w:rPr>
        <w:t xml:space="preserve">of </w:t>
      </w:r>
      <w:r w:rsidR="007A3F2F" w:rsidRPr="00461D74">
        <w:rPr>
          <w:rFonts w:ascii="Garamond" w:hAnsi="Garamond"/>
          <w:sz w:val="24"/>
          <w:szCs w:val="24"/>
        </w:rPr>
        <w:t>Aristotelian-</w:t>
      </w:r>
      <w:r w:rsidRPr="00461D74">
        <w:rPr>
          <w:rFonts w:ascii="Garamond" w:hAnsi="Garamond"/>
          <w:sz w:val="24"/>
          <w:szCs w:val="24"/>
        </w:rPr>
        <w:t>Thomism</w:t>
      </w:r>
      <w:r w:rsidR="007A3F2F" w:rsidRPr="00461D74">
        <w:rPr>
          <w:rFonts w:ascii="Garamond" w:hAnsi="Garamond"/>
          <w:sz w:val="24"/>
          <w:szCs w:val="24"/>
        </w:rPr>
        <w:t>,</w:t>
      </w:r>
      <w:r w:rsidRPr="00461D74">
        <w:rPr>
          <w:rFonts w:ascii="Garamond" w:hAnsi="Garamond"/>
          <w:sz w:val="24"/>
          <w:szCs w:val="24"/>
        </w:rPr>
        <w:t xml:space="preserve"> and</w:t>
      </w:r>
      <w:r w:rsidR="00016049" w:rsidRPr="00461D74">
        <w:rPr>
          <w:rFonts w:ascii="Garamond" w:hAnsi="Garamond"/>
          <w:sz w:val="24"/>
          <w:szCs w:val="24"/>
        </w:rPr>
        <w:t xml:space="preserve"> utilize </w:t>
      </w:r>
      <w:r w:rsidRPr="00461D74">
        <w:rPr>
          <w:rFonts w:ascii="Garamond" w:hAnsi="Garamond"/>
          <w:sz w:val="24"/>
          <w:szCs w:val="24"/>
        </w:rPr>
        <w:t xml:space="preserve">MacIntyre’s </w:t>
      </w:r>
      <w:r w:rsidR="00016049" w:rsidRPr="00461D74">
        <w:rPr>
          <w:rFonts w:ascii="Garamond" w:hAnsi="Garamond"/>
          <w:sz w:val="24"/>
          <w:szCs w:val="24"/>
        </w:rPr>
        <w:t xml:space="preserve">hypotheses </w:t>
      </w:r>
      <w:r w:rsidRPr="00461D74">
        <w:rPr>
          <w:rFonts w:ascii="Garamond" w:hAnsi="Garamond"/>
          <w:sz w:val="24"/>
          <w:szCs w:val="24"/>
        </w:rPr>
        <w:t>(H3) and (H4), outlined in the previous chapter</w:t>
      </w:r>
      <w:r w:rsidR="00C51C98">
        <w:rPr>
          <w:rFonts w:ascii="Garamond" w:hAnsi="Garamond"/>
          <w:sz w:val="24"/>
          <w:szCs w:val="24"/>
        </w:rPr>
        <w:t>,</w:t>
      </w:r>
      <w:r w:rsidR="007A3F2F" w:rsidRPr="00461D74">
        <w:rPr>
          <w:rFonts w:ascii="Garamond" w:hAnsi="Garamond"/>
          <w:sz w:val="24"/>
          <w:szCs w:val="24"/>
        </w:rPr>
        <w:t xml:space="preserve"> to strengthen my argument</w:t>
      </w:r>
      <w:r w:rsidR="000B58AA" w:rsidRPr="00461D74">
        <w:rPr>
          <w:rFonts w:ascii="Garamond" w:hAnsi="Garamond"/>
          <w:sz w:val="24"/>
          <w:szCs w:val="24"/>
        </w:rPr>
        <w:t>. In section 4</w:t>
      </w:r>
      <w:r w:rsidR="00016049" w:rsidRPr="00461D74">
        <w:rPr>
          <w:rFonts w:ascii="Garamond" w:hAnsi="Garamond"/>
          <w:sz w:val="24"/>
          <w:szCs w:val="24"/>
        </w:rPr>
        <w:t xml:space="preserve"> I will consider MacIntyre’s ‘Rival </w:t>
      </w:r>
      <w:proofErr w:type="spellStart"/>
      <w:r w:rsidR="00016049" w:rsidRPr="00461D74">
        <w:rPr>
          <w:rFonts w:ascii="Garamond" w:hAnsi="Garamond"/>
          <w:sz w:val="24"/>
          <w:szCs w:val="24"/>
        </w:rPr>
        <w:t>Aristotles</w:t>
      </w:r>
      <w:proofErr w:type="spellEnd"/>
      <w:r w:rsidR="00016049" w:rsidRPr="00461D74">
        <w:rPr>
          <w:rFonts w:ascii="Garamond" w:hAnsi="Garamond"/>
          <w:sz w:val="24"/>
          <w:szCs w:val="24"/>
        </w:rPr>
        <w:t xml:space="preserve">: Aristotle </w:t>
      </w:r>
      <w:proofErr w:type="gramStart"/>
      <w:r w:rsidR="00016049" w:rsidRPr="00461D74">
        <w:rPr>
          <w:rFonts w:ascii="Garamond" w:hAnsi="Garamond"/>
          <w:sz w:val="24"/>
          <w:szCs w:val="24"/>
        </w:rPr>
        <w:t>Against</w:t>
      </w:r>
      <w:proofErr w:type="gramEnd"/>
      <w:r w:rsidR="00016049" w:rsidRPr="00461D74">
        <w:rPr>
          <w:rFonts w:ascii="Garamond" w:hAnsi="Garamond"/>
          <w:sz w:val="24"/>
          <w:szCs w:val="24"/>
        </w:rPr>
        <w:t xml:space="preserve"> Some Renaissance Aristotelians</w:t>
      </w:r>
      <w:r w:rsidR="00100DF2">
        <w:rPr>
          <w:rFonts w:ascii="Garamond" w:hAnsi="Garamond"/>
          <w:sz w:val="24"/>
          <w:szCs w:val="24"/>
        </w:rPr>
        <w:t>,</w:t>
      </w:r>
      <w:r w:rsidR="00016049" w:rsidRPr="00461D74">
        <w:rPr>
          <w:rFonts w:ascii="Garamond" w:hAnsi="Garamond"/>
          <w:sz w:val="24"/>
          <w:szCs w:val="24"/>
        </w:rPr>
        <w:t>’ which I take to be a kind of genealogy that MacIntyre is offering for the decline of Aristotelian-Thomism. However, before we can ascertain whether MacIntyre’s genealogical account for the decline of Aristotelian-Tho</w:t>
      </w:r>
      <w:r w:rsidR="000B58AA" w:rsidRPr="00461D74">
        <w:rPr>
          <w:rFonts w:ascii="Garamond" w:hAnsi="Garamond"/>
          <w:sz w:val="24"/>
          <w:szCs w:val="24"/>
        </w:rPr>
        <w:t xml:space="preserve">mism is convincing, </w:t>
      </w:r>
      <w:r w:rsidR="00016049" w:rsidRPr="00461D74">
        <w:rPr>
          <w:rFonts w:ascii="Garamond" w:hAnsi="Garamond"/>
          <w:sz w:val="24"/>
          <w:szCs w:val="24"/>
        </w:rPr>
        <w:t xml:space="preserve">I will consider </w:t>
      </w:r>
      <w:r w:rsidR="004D7890">
        <w:rPr>
          <w:rFonts w:ascii="Garamond" w:hAnsi="Garamond"/>
          <w:sz w:val="24"/>
          <w:szCs w:val="24"/>
        </w:rPr>
        <w:t>MacIntyre’s account</w:t>
      </w:r>
      <w:r w:rsidR="00016049" w:rsidRPr="00461D74">
        <w:rPr>
          <w:rFonts w:ascii="Garamond" w:hAnsi="Garamond"/>
          <w:sz w:val="24"/>
          <w:szCs w:val="24"/>
        </w:rPr>
        <w:t xml:space="preserve"> in ‘Natural </w:t>
      </w:r>
      <w:r w:rsidR="00205CB5" w:rsidRPr="00461D74">
        <w:rPr>
          <w:rFonts w:ascii="Garamond" w:hAnsi="Garamond"/>
          <w:sz w:val="24"/>
          <w:szCs w:val="24"/>
        </w:rPr>
        <w:t>L</w:t>
      </w:r>
      <w:r w:rsidR="00016049" w:rsidRPr="00461D74">
        <w:rPr>
          <w:rFonts w:ascii="Garamond" w:hAnsi="Garamond"/>
          <w:sz w:val="24"/>
          <w:szCs w:val="24"/>
        </w:rPr>
        <w:t>aw as Subversive: The Case for Aquinas</w:t>
      </w:r>
      <w:r w:rsidR="00100DF2">
        <w:rPr>
          <w:rFonts w:ascii="Garamond" w:hAnsi="Garamond"/>
          <w:sz w:val="24"/>
          <w:szCs w:val="24"/>
        </w:rPr>
        <w:t>,</w:t>
      </w:r>
      <w:r w:rsidR="00016049" w:rsidRPr="00461D74">
        <w:rPr>
          <w:rFonts w:ascii="Garamond" w:hAnsi="Garamond"/>
          <w:sz w:val="24"/>
          <w:szCs w:val="24"/>
        </w:rPr>
        <w:t>’</w:t>
      </w:r>
      <w:r w:rsidR="004D7890">
        <w:rPr>
          <w:rFonts w:ascii="Garamond" w:hAnsi="Garamond"/>
          <w:sz w:val="24"/>
          <w:szCs w:val="24"/>
        </w:rPr>
        <w:t xml:space="preserve"> </w:t>
      </w:r>
      <w:r w:rsidR="004D7890" w:rsidRPr="00461D74">
        <w:rPr>
          <w:rFonts w:ascii="Garamond" w:hAnsi="Garamond"/>
          <w:sz w:val="24"/>
          <w:szCs w:val="24"/>
        </w:rPr>
        <w:t>in section 5</w:t>
      </w:r>
      <w:r w:rsidR="00016049" w:rsidRPr="00461D74">
        <w:rPr>
          <w:rFonts w:ascii="Garamond" w:hAnsi="Garamond"/>
          <w:sz w:val="24"/>
          <w:szCs w:val="24"/>
        </w:rPr>
        <w:t xml:space="preserve">. In </w:t>
      </w:r>
      <w:r w:rsidR="001F768A" w:rsidRPr="00461D74">
        <w:rPr>
          <w:rFonts w:ascii="Garamond" w:hAnsi="Garamond"/>
          <w:sz w:val="24"/>
          <w:szCs w:val="24"/>
        </w:rPr>
        <w:t xml:space="preserve">this </w:t>
      </w:r>
      <w:r w:rsidR="00016049" w:rsidRPr="00461D74">
        <w:rPr>
          <w:rFonts w:ascii="Garamond" w:hAnsi="Garamond"/>
          <w:sz w:val="24"/>
          <w:szCs w:val="24"/>
        </w:rPr>
        <w:t xml:space="preserve">section, </w:t>
      </w:r>
      <w:r w:rsidR="001F768A" w:rsidRPr="00461D74">
        <w:rPr>
          <w:rFonts w:ascii="Garamond" w:hAnsi="Garamond"/>
          <w:sz w:val="24"/>
          <w:szCs w:val="24"/>
        </w:rPr>
        <w:t xml:space="preserve">I </w:t>
      </w:r>
      <w:r w:rsidR="00016049" w:rsidRPr="00461D74">
        <w:rPr>
          <w:rFonts w:ascii="Garamond" w:hAnsi="Garamond"/>
          <w:sz w:val="24"/>
          <w:szCs w:val="24"/>
        </w:rPr>
        <w:t xml:space="preserve">will draw some conceptual analogies between </w:t>
      </w:r>
      <w:r w:rsidR="004D7890">
        <w:rPr>
          <w:rFonts w:ascii="Garamond" w:hAnsi="Garamond"/>
          <w:sz w:val="24"/>
          <w:szCs w:val="24"/>
        </w:rPr>
        <w:t xml:space="preserve">the criticism </w:t>
      </w:r>
      <w:r w:rsidR="00016049" w:rsidRPr="00461D74">
        <w:rPr>
          <w:rFonts w:ascii="Garamond" w:hAnsi="Garamond"/>
          <w:sz w:val="24"/>
          <w:szCs w:val="24"/>
        </w:rPr>
        <w:t xml:space="preserve">MacIntyre </w:t>
      </w:r>
      <w:r w:rsidR="004D7890">
        <w:rPr>
          <w:rFonts w:ascii="Garamond" w:hAnsi="Garamond"/>
          <w:sz w:val="24"/>
          <w:szCs w:val="24"/>
        </w:rPr>
        <w:t>directs against</w:t>
      </w:r>
      <w:r w:rsidR="004D7890" w:rsidRPr="00461D74">
        <w:rPr>
          <w:rFonts w:ascii="Garamond" w:hAnsi="Garamond"/>
          <w:sz w:val="24"/>
          <w:szCs w:val="24"/>
        </w:rPr>
        <w:t xml:space="preserve"> </w:t>
      </w:r>
      <w:r w:rsidR="00016049" w:rsidRPr="00461D74">
        <w:rPr>
          <w:rFonts w:ascii="Garamond" w:hAnsi="Garamond"/>
          <w:sz w:val="24"/>
          <w:szCs w:val="24"/>
        </w:rPr>
        <w:t>Renaissance Ari</w:t>
      </w:r>
      <w:r w:rsidR="000B58AA" w:rsidRPr="00461D74">
        <w:rPr>
          <w:rFonts w:ascii="Garamond" w:hAnsi="Garamond"/>
          <w:sz w:val="24"/>
          <w:szCs w:val="24"/>
        </w:rPr>
        <w:t xml:space="preserve">stotelians, </w:t>
      </w:r>
      <w:r w:rsidR="004D7890">
        <w:rPr>
          <w:rFonts w:ascii="Garamond" w:hAnsi="Garamond"/>
          <w:sz w:val="24"/>
          <w:szCs w:val="24"/>
        </w:rPr>
        <w:t>considered</w:t>
      </w:r>
      <w:r w:rsidR="004D7890" w:rsidRPr="00461D74">
        <w:rPr>
          <w:rFonts w:ascii="Garamond" w:hAnsi="Garamond"/>
          <w:sz w:val="24"/>
          <w:szCs w:val="24"/>
        </w:rPr>
        <w:t xml:space="preserve"> </w:t>
      </w:r>
      <w:r w:rsidR="000B58AA" w:rsidRPr="00461D74">
        <w:rPr>
          <w:rFonts w:ascii="Garamond" w:hAnsi="Garamond"/>
          <w:sz w:val="24"/>
          <w:szCs w:val="24"/>
        </w:rPr>
        <w:t>in section 4</w:t>
      </w:r>
      <w:r w:rsidR="00016049" w:rsidRPr="00461D74">
        <w:rPr>
          <w:rFonts w:ascii="Garamond" w:hAnsi="Garamond"/>
          <w:sz w:val="24"/>
          <w:szCs w:val="24"/>
        </w:rPr>
        <w:t xml:space="preserve">, and the account </w:t>
      </w:r>
      <w:r w:rsidR="000B58AA" w:rsidRPr="00461D74">
        <w:rPr>
          <w:rFonts w:ascii="Garamond" w:hAnsi="Garamond"/>
          <w:sz w:val="24"/>
          <w:szCs w:val="24"/>
        </w:rPr>
        <w:t xml:space="preserve">I </w:t>
      </w:r>
      <w:r w:rsidR="004D7890">
        <w:rPr>
          <w:rFonts w:ascii="Garamond" w:hAnsi="Garamond"/>
          <w:sz w:val="24"/>
          <w:szCs w:val="24"/>
        </w:rPr>
        <w:t>examine</w:t>
      </w:r>
      <w:r w:rsidR="004D7890" w:rsidRPr="00461D74">
        <w:rPr>
          <w:rFonts w:ascii="Garamond" w:hAnsi="Garamond"/>
          <w:sz w:val="24"/>
          <w:szCs w:val="24"/>
        </w:rPr>
        <w:t xml:space="preserve"> </w:t>
      </w:r>
      <w:r w:rsidR="000B58AA" w:rsidRPr="00461D74">
        <w:rPr>
          <w:rFonts w:ascii="Garamond" w:hAnsi="Garamond"/>
          <w:sz w:val="24"/>
          <w:szCs w:val="24"/>
        </w:rPr>
        <w:t>here</w:t>
      </w:r>
      <w:r w:rsidR="004D7890">
        <w:rPr>
          <w:rFonts w:ascii="Garamond" w:hAnsi="Garamond"/>
          <w:sz w:val="24"/>
          <w:szCs w:val="24"/>
        </w:rPr>
        <w:t>,</w:t>
      </w:r>
      <w:r w:rsidR="000B58AA" w:rsidRPr="00461D74">
        <w:rPr>
          <w:rFonts w:ascii="Garamond" w:hAnsi="Garamond"/>
          <w:sz w:val="24"/>
          <w:szCs w:val="24"/>
        </w:rPr>
        <w:t xml:space="preserve"> </w:t>
      </w:r>
      <w:r w:rsidR="00016049" w:rsidRPr="00461D74">
        <w:rPr>
          <w:rFonts w:ascii="Garamond" w:hAnsi="Garamond"/>
          <w:sz w:val="24"/>
          <w:szCs w:val="24"/>
        </w:rPr>
        <w:t>in support of Aquinas.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 will suggest that while MacIntyre presents us with a descriptive narrative of particular events that sets the stage for the decline of Aristotelian views – especially Aristotle’s functional (or teleological) account in ethics – the argument he presents in ‘Rival </w:t>
      </w:r>
      <w:proofErr w:type="spellStart"/>
      <w:r w:rsidRPr="00461D74">
        <w:rPr>
          <w:rFonts w:ascii="Garamond" w:hAnsi="Garamond"/>
          <w:sz w:val="24"/>
          <w:szCs w:val="24"/>
        </w:rPr>
        <w:t>Aristotles</w:t>
      </w:r>
      <w:proofErr w:type="spellEnd"/>
      <w:r w:rsidRPr="00461D74">
        <w:rPr>
          <w:rFonts w:ascii="Garamond" w:hAnsi="Garamond"/>
          <w:sz w:val="24"/>
          <w:szCs w:val="24"/>
        </w:rPr>
        <w:t xml:space="preserve">: Aristotle Against Some Renaissance Aristotelians’ is inadequate for the purpose of resolving this first tension (or difficulty). And in the absence of a resolution to this first tension, MacIntyre should reconsider whether Thomism can really be revived for our contemporary social context, </w:t>
      </w:r>
      <w:r w:rsidR="00164E4D">
        <w:rPr>
          <w:rFonts w:ascii="Garamond" w:hAnsi="Garamond"/>
          <w:sz w:val="24"/>
          <w:szCs w:val="24"/>
        </w:rPr>
        <w:lastRenderedPageBreak/>
        <w:t xml:space="preserve">otherwise he might have to re-evaluate </w:t>
      </w:r>
      <w:r w:rsidRPr="00461D74">
        <w:rPr>
          <w:rFonts w:ascii="Garamond" w:hAnsi="Garamond"/>
          <w:sz w:val="24"/>
          <w:szCs w:val="24"/>
        </w:rPr>
        <w:t xml:space="preserve">whether the contextualist historical narrative of tradition-guided moral inquiry – where ethical inquiry is always connected to the wider societal context </w:t>
      </w:r>
      <w:r w:rsidR="001F768A" w:rsidRPr="00461D74">
        <w:rPr>
          <w:rFonts w:ascii="Garamond" w:hAnsi="Garamond"/>
          <w:sz w:val="24"/>
          <w:szCs w:val="24"/>
        </w:rPr>
        <w:t>–</w:t>
      </w:r>
      <w:r w:rsidRPr="00461D74">
        <w:rPr>
          <w:rFonts w:ascii="Garamond" w:hAnsi="Garamond"/>
          <w:sz w:val="24"/>
          <w:szCs w:val="24"/>
        </w:rPr>
        <w:t xml:space="preserve"> is in fact accurate.</w:t>
      </w:r>
    </w:p>
    <w:p w:rsidR="00665157" w:rsidRDefault="00665157">
      <w:pPr>
        <w:spacing w:line="360" w:lineRule="auto"/>
        <w:jc w:val="both"/>
        <w:rPr>
          <w:rFonts w:ascii="Garamond" w:hAnsi="Garamond"/>
          <w:sz w:val="24"/>
          <w:szCs w:val="24"/>
        </w:rPr>
      </w:pPr>
    </w:p>
    <w:p w:rsidR="004D3A89" w:rsidRDefault="00694E40">
      <w:pPr>
        <w:pStyle w:val="Heading2"/>
        <w:spacing w:line="360" w:lineRule="auto"/>
        <w:rPr>
          <w:rFonts w:cstheme="majorHAnsi"/>
        </w:rPr>
      </w:pPr>
      <w:bookmarkStart w:id="16" w:name="_Toc528077798"/>
      <w:r w:rsidRPr="00461D74">
        <w:rPr>
          <w:rFonts w:cstheme="majorHAnsi"/>
        </w:rPr>
        <w:t>2. Aspects of Progress</w:t>
      </w:r>
      <w:bookmarkEnd w:id="16"/>
    </w:p>
    <w:p w:rsidR="00694E40" w:rsidRPr="00461D74" w:rsidRDefault="00694E40" w:rsidP="00164E4D">
      <w:pPr>
        <w:spacing w:line="360" w:lineRule="auto"/>
        <w:jc w:val="both"/>
        <w:rPr>
          <w:rFonts w:ascii="Garamond" w:hAnsi="Garamond" w:cstheme="minorHAnsi"/>
        </w:rPr>
      </w:pPr>
    </w:p>
    <w:p w:rsidR="00694E40" w:rsidRPr="00461D74" w:rsidRDefault="00694E40" w:rsidP="00164E4D">
      <w:pPr>
        <w:spacing w:line="360" w:lineRule="auto"/>
        <w:jc w:val="both"/>
        <w:rPr>
          <w:rFonts w:ascii="Garamond" w:hAnsi="Garamond" w:cstheme="minorHAnsi"/>
          <w:sz w:val="24"/>
          <w:szCs w:val="24"/>
        </w:rPr>
      </w:pPr>
      <w:r w:rsidRPr="00461D74">
        <w:rPr>
          <w:rFonts w:ascii="Garamond" w:hAnsi="Garamond" w:cstheme="minorHAnsi"/>
          <w:sz w:val="24"/>
          <w:szCs w:val="24"/>
        </w:rPr>
        <w:t xml:space="preserve">Now, the Aristotelian-Thomistic tradition could be construed as deficient in two ways. First, it </w:t>
      </w:r>
      <w:r w:rsidR="00EA78B2" w:rsidRPr="00461D74">
        <w:rPr>
          <w:rFonts w:ascii="Garamond" w:hAnsi="Garamond" w:cstheme="minorHAnsi"/>
          <w:sz w:val="24"/>
          <w:szCs w:val="24"/>
        </w:rPr>
        <w:t>may</w:t>
      </w:r>
      <w:r w:rsidRPr="00461D74">
        <w:rPr>
          <w:rFonts w:ascii="Garamond" w:hAnsi="Garamond" w:cstheme="minorHAnsi"/>
          <w:sz w:val="24"/>
          <w:szCs w:val="24"/>
        </w:rPr>
        <w:t xml:space="preserve"> be that Aristotelian-Thomistic tradition was</w:t>
      </w:r>
      <w:r w:rsidR="00BE69CC">
        <w:rPr>
          <w:rFonts w:ascii="Garamond" w:hAnsi="Garamond" w:cstheme="minorHAnsi"/>
          <w:sz w:val="24"/>
          <w:szCs w:val="24"/>
        </w:rPr>
        <w:t>,</w:t>
      </w:r>
      <w:r w:rsidRPr="00461D74">
        <w:rPr>
          <w:rFonts w:ascii="Garamond" w:hAnsi="Garamond" w:cstheme="minorHAnsi"/>
          <w:sz w:val="24"/>
          <w:szCs w:val="24"/>
        </w:rPr>
        <w:t xml:space="preserve"> in fact limited, and therefore, </w:t>
      </w:r>
      <w:r w:rsidR="00BE69CC">
        <w:rPr>
          <w:rFonts w:ascii="Garamond" w:hAnsi="Garamond" w:cstheme="minorHAnsi"/>
          <w:sz w:val="24"/>
          <w:szCs w:val="24"/>
        </w:rPr>
        <w:t>rightfully surpassed</w:t>
      </w:r>
      <w:r w:rsidRPr="00461D74">
        <w:rPr>
          <w:rFonts w:ascii="Garamond" w:hAnsi="Garamond" w:cstheme="minorHAnsi"/>
          <w:sz w:val="24"/>
          <w:szCs w:val="24"/>
        </w:rPr>
        <w:t xml:space="preserve"> precisely because it rested on problematic grounds which were effectively exposed through the subsequent historical, intellectual, and social transformations</w:t>
      </w:r>
      <w:r w:rsidR="00BE69CC">
        <w:rPr>
          <w:rFonts w:ascii="Garamond" w:hAnsi="Garamond" w:cstheme="minorHAnsi"/>
          <w:sz w:val="24"/>
          <w:szCs w:val="24"/>
        </w:rPr>
        <w:t>,</w:t>
      </w:r>
      <w:r w:rsidRPr="00461D74">
        <w:rPr>
          <w:rFonts w:ascii="Garamond" w:hAnsi="Garamond" w:cstheme="minorHAnsi"/>
          <w:sz w:val="24"/>
          <w:szCs w:val="24"/>
        </w:rPr>
        <w:t xml:space="preserve"> </w:t>
      </w:r>
      <w:r w:rsidR="00BE69CC">
        <w:rPr>
          <w:rFonts w:ascii="Garamond" w:hAnsi="Garamond" w:cstheme="minorHAnsi"/>
          <w:sz w:val="24"/>
          <w:szCs w:val="24"/>
        </w:rPr>
        <w:t>out of</w:t>
      </w:r>
      <w:r w:rsidRPr="00461D74">
        <w:rPr>
          <w:rFonts w:ascii="Garamond" w:hAnsi="Garamond" w:cstheme="minorHAnsi"/>
          <w:sz w:val="24"/>
          <w:szCs w:val="24"/>
        </w:rPr>
        <w:t xml:space="preserve"> which more novel and improved ways of thinking emerged.</w:t>
      </w:r>
      <w:r w:rsidRPr="00461D74">
        <w:rPr>
          <w:rStyle w:val="FootnoteReference"/>
          <w:rFonts w:ascii="Garamond" w:hAnsi="Garamond" w:cstheme="minorHAnsi"/>
          <w:sz w:val="24"/>
          <w:szCs w:val="24"/>
        </w:rPr>
        <w:footnoteReference w:id="141"/>
      </w:r>
      <w:r w:rsidRPr="00461D74">
        <w:rPr>
          <w:rFonts w:ascii="Garamond" w:hAnsi="Garamond" w:cstheme="minorHAnsi"/>
          <w:sz w:val="24"/>
          <w:szCs w:val="24"/>
        </w:rPr>
        <w:t xml:space="preserve"> Or secondly, it could be the case that the socio-historical transformation experienced by Western European society generated a set of </w:t>
      </w:r>
      <w:r w:rsidR="00DF55D4">
        <w:rPr>
          <w:rFonts w:ascii="Garamond" w:hAnsi="Garamond" w:cstheme="minorHAnsi"/>
          <w:sz w:val="24"/>
          <w:szCs w:val="24"/>
        </w:rPr>
        <w:t>social/</w:t>
      </w:r>
      <w:r w:rsidRPr="00461D74">
        <w:rPr>
          <w:rFonts w:ascii="Garamond" w:hAnsi="Garamond" w:cstheme="minorHAnsi"/>
          <w:sz w:val="24"/>
          <w:szCs w:val="24"/>
        </w:rPr>
        <w:t>moral problems that the Aristotelian-Thomistic tradition wasn’t adept in resolving;</w:t>
      </w:r>
      <w:r w:rsidRPr="00461D74">
        <w:rPr>
          <w:rStyle w:val="FootnoteReference"/>
          <w:rFonts w:ascii="Garamond" w:hAnsi="Garamond" w:cstheme="minorHAnsi"/>
          <w:sz w:val="24"/>
          <w:szCs w:val="24"/>
        </w:rPr>
        <w:footnoteReference w:id="142"/>
      </w:r>
      <w:r w:rsidRPr="00461D74">
        <w:rPr>
          <w:rFonts w:ascii="Garamond" w:hAnsi="Garamond" w:cstheme="minorHAnsi"/>
          <w:sz w:val="24"/>
          <w:szCs w:val="24"/>
        </w:rPr>
        <w:t xml:space="preserve"> and as a consequence of this, that tradition was amended and gradually surpassed precisely because Aristotelian-Thomism could no longer offer satisfactory answers to newly emerging normative problems. I should emphasize that in either case </w:t>
      </w:r>
      <w:r w:rsidR="008F00D6">
        <w:rPr>
          <w:rFonts w:ascii="Garamond" w:hAnsi="Garamond" w:cstheme="minorHAnsi"/>
          <w:sz w:val="24"/>
          <w:szCs w:val="24"/>
        </w:rPr>
        <w:t xml:space="preserve">we could sensibly speculate on, and perhaps point to, a range of </w:t>
      </w:r>
      <w:r w:rsidRPr="00461D74">
        <w:rPr>
          <w:rFonts w:ascii="Garamond" w:hAnsi="Garamond" w:cstheme="minorHAnsi"/>
          <w:sz w:val="24"/>
          <w:szCs w:val="24"/>
        </w:rPr>
        <w:t xml:space="preserve">social, historical, and intellectual reasons for the eclipse of Thomistic ethics. It would then appear that either MacIntyre’s account of historical development of traditions as progressive is in error, or his claims about the value of reviving Thomism; it is hard to see how </w:t>
      </w:r>
      <w:r w:rsidRPr="00461D74">
        <w:rPr>
          <w:rFonts w:ascii="Garamond" w:hAnsi="Garamond" w:cstheme="minorHAnsi"/>
          <w:sz w:val="24"/>
          <w:szCs w:val="24"/>
        </w:rPr>
        <w:lastRenderedPageBreak/>
        <w:t>he can hang onto both. This then is the crux of this first tension (or difficulty) that emerges for MacIntyre’s historical account of tradition-guided moral inquiry.</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Nonetheless, MacIntyre seems to have an easy way out of this dilemma, namely by insisting that he isn’t espousing a view that the traditions of moral inquiry are </w:t>
      </w:r>
      <w:r w:rsidRPr="00461D74">
        <w:rPr>
          <w:rFonts w:ascii="Garamond" w:hAnsi="Garamond" w:cstheme="minorHAnsi"/>
          <w:i/>
          <w:sz w:val="24"/>
          <w:szCs w:val="24"/>
        </w:rPr>
        <w:t xml:space="preserve">always </w:t>
      </w:r>
      <w:r w:rsidRPr="00461D74">
        <w:rPr>
          <w:rFonts w:ascii="Garamond" w:hAnsi="Garamond" w:cstheme="minorHAnsi"/>
          <w:sz w:val="24"/>
          <w:szCs w:val="24"/>
        </w:rPr>
        <w:t>progressive. He will certainly reply that traditions of morality can be marginalized for the wrong reasons.</w:t>
      </w:r>
      <w:r w:rsidRPr="00461D74">
        <w:rPr>
          <w:rStyle w:val="FootnoteReference"/>
          <w:rFonts w:ascii="Garamond" w:hAnsi="Garamond" w:cstheme="minorHAnsi"/>
          <w:sz w:val="24"/>
          <w:szCs w:val="24"/>
        </w:rPr>
        <w:footnoteReference w:id="143"/>
      </w:r>
      <w:r w:rsidRPr="00461D74">
        <w:rPr>
          <w:rFonts w:ascii="Garamond" w:hAnsi="Garamond" w:cstheme="minorHAnsi"/>
          <w:sz w:val="24"/>
          <w:szCs w:val="24"/>
        </w:rPr>
        <w:t xml:space="preserve"> Still there is a nagging worry in the background since it appears that MacIntyre’s hypotheses H3 and H4</w:t>
      </w:r>
      <w:r w:rsidR="001C16C4">
        <w:rPr>
          <w:rFonts w:ascii="Garamond" w:hAnsi="Garamond" w:cstheme="minorHAnsi"/>
          <w:sz w:val="24"/>
          <w:szCs w:val="24"/>
        </w:rPr>
        <w:t>,</w:t>
      </w:r>
      <w:r w:rsidRPr="00461D74">
        <w:rPr>
          <w:rFonts w:ascii="Garamond" w:hAnsi="Garamond" w:cstheme="minorHAnsi"/>
          <w:sz w:val="24"/>
          <w:szCs w:val="24"/>
        </w:rPr>
        <w:t xml:space="preserve"> identified in Chapter One,</w:t>
      </w:r>
      <w:r w:rsidRPr="00461D74">
        <w:rPr>
          <w:rStyle w:val="FootnoteReference"/>
          <w:rFonts w:ascii="Garamond" w:hAnsi="Garamond" w:cstheme="minorHAnsi"/>
          <w:sz w:val="24"/>
          <w:szCs w:val="24"/>
        </w:rPr>
        <w:footnoteReference w:id="144"/>
      </w:r>
      <w:r w:rsidRPr="00461D74">
        <w:rPr>
          <w:rFonts w:ascii="Garamond" w:hAnsi="Garamond" w:cstheme="minorHAnsi"/>
          <w:sz w:val="24"/>
          <w:szCs w:val="24"/>
        </w:rPr>
        <w:t xml:space="preserve"> show that as a </w:t>
      </w:r>
      <w:r w:rsidR="001C16C4">
        <w:rPr>
          <w:rFonts w:ascii="Garamond" w:hAnsi="Garamond" w:cstheme="minorHAnsi"/>
          <w:sz w:val="24"/>
          <w:szCs w:val="24"/>
        </w:rPr>
        <w:t>consequence</w:t>
      </w:r>
      <w:r w:rsidRPr="00461D74">
        <w:rPr>
          <w:rFonts w:ascii="Garamond" w:hAnsi="Garamond" w:cstheme="minorHAnsi"/>
          <w:sz w:val="24"/>
          <w:szCs w:val="24"/>
        </w:rPr>
        <w:t xml:space="preserve"> of the transformation of social structures</w:t>
      </w:r>
      <w:r w:rsidR="001C16C4">
        <w:rPr>
          <w:rFonts w:ascii="Garamond" w:hAnsi="Garamond" w:cstheme="minorHAnsi"/>
          <w:sz w:val="24"/>
          <w:szCs w:val="24"/>
        </w:rPr>
        <w:t>,</w:t>
      </w:r>
      <w:r w:rsidRPr="00461D74">
        <w:rPr>
          <w:rFonts w:ascii="Garamond" w:hAnsi="Garamond" w:cstheme="minorHAnsi"/>
          <w:sz w:val="24"/>
          <w:szCs w:val="24"/>
        </w:rPr>
        <w:t xml:space="preserve"> moral traditions</w:t>
      </w:r>
      <w:r w:rsidR="00C51C98">
        <w:rPr>
          <w:rFonts w:ascii="Garamond" w:hAnsi="Garamond" w:cstheme="minorHAnsi"/>
          <w:sz w:val="24"/>
          <w:szCs w:val="24"/>
        </w:rPr>
        <w:t xml:space="preserve"> </w:t>
      </w:r>
      <w:r w:rsidRPr="00461D74">
        <w:rPr>
          <w:rFonts w:ascii="Garamond" w:hAnsi="Garamond" w:cstheme="minorHAnsi"/>
          <w:sz w:val="24"/>
          <w:szCs w:val="24"/>
        </w:rPr>
        <w:t xml:space="preserve">could potentially </w:t>
      </w:r>
      <w:r w:rsidR="001C16C4">
        <w:rPr>
          <w:rFonts w:ascii="Garamond" w:hAnsi="Garamond" w:cstheme="minorHAnsi"/>
          <w:sz w:val="24"/>
          <w:szCs w:val="24"/>
        </w:rPr>
        <w:t>suffer from</w:t>
      </w:r>
      <w:r w:rsidRPr="00461D74">
        <w:rPr>
          <w:rFonts w:ascii="Garamond" w:hAnsi="Garamond" w:cstheme="minorHAnsi"/>
          <w:sz w:val="24"/>
          <w:szCs w:val="24"/>
        </w:rPr>
        <w:t xml:space="preserve"> </w:t>
      </w:r>
      <w:r w:rsidR="001C16C4" w:rsidRPr="001C16C4">
        <w:rPr>
          <w:rFonts w:ascii="Garamond" w:hAnsi="Garamond" w:cstheme="minorHAnsi"/>
          <w:sz w:val="24"/>
          <w:szCs w:val="24"/>
        </w:rPr>
        <w:t>diminution</w:t>
      </w:r>
      <w:r w:rsidRPr="00461D74">
        <w:rPr>
          <w:rFonts w:ascii="Garamond" w:hAnsi="Garamond" w:cstheme="minorHAnsi"/>
          <w:sz w:val="24"/>
          <w:szCs w:val="24"/>
        </w:rPr>
        <w:t>, or at least</w:t>
      </w:r>
      <w:r w:rsidR="001C16C4">
        <w:rPr>
          <w:rFonts w:ascii="Garamond" w:hAnsi="Garamond" w:cstheme="minorHAnsi"/>
          <w:sz w:val="24"/>
          <w:szCs w:val="24"/>
        </w:rPr>
        <w:t>,</w:t>
      </w:r>
      <w:r w:rsidRPr="00461D74">
        <w:rPr>
          <w:rFonts w:ascii="Garamond" w:hAnsi="Garamond" w:cstheme="minorHAnsi"/>
          <w:sz w:val="24"/>
          <w:szCs w:val="24"/>
        </w:rPr>
        <w:t xml:space="preserve"> </w:t>
      </w:r>
      <w:r w:rsidR="001C16C4">
        <w:rPr>
          <w:rFonts w:ascii="Garamond" w:hAnsi="Garamond" w:cstheme="minorHAnsi"/>
          <w:sz w:val="24"/>
          <w:szCs w:val="24"/>
        </w:rPr>
        <w:t>are unable to address</w:t>
      </w:r>
      <w:r w:rsidRPr="00461D74">
        <w:rPr>
          <w:rFonts w:ascii="Garamond" w:hAnsi="Garamond" w:cstheme="minorHAnsi"/>
          <w:sz w:val="24"/>
          <w:szCs w:val="24"/>
        </w:rPr>
        <w:t xml:space="preserve"> important </w:t>
      </w:r>
      <w:r w:rsidR="001C16C4">
        <w:rPr>
          <w:rFonts w:ascii="Garamond" w:hAnsi="Garamond" w:cstheme="minorHAnsi"/>
          <w:sz w:val="24"/>
          <w:szCs w:val="24"/>
        </w:rPr>
        <w:t>social-</w:t>
      </w:r>
      <w:r w:rsidRPr="00461D74">
        <w:rPr>
          <w:rFonts w:ascii="Garamond" w:hAnsi="Garamond" w:cstheme="minorHAnsi"/>
          <w:sz w:val="24"/>
          <w:szCs w:val="24"/>
        </w:rPr>
        <w:t>moral issues. This means that at least sometimes</w:t>
      </w:r>
      <w:r w:rsidR="00C51C98">
        <w:rPr>
          <w:rFonts w:ascii="Garamond" w:hAnsi="Garamond" w:cstheme="minorHAnsi"/>
          <w:sz w:val="24"/>
          <w:szCs w:val="24"/>
        </w:rPr>
        <w:t>,</w:t>
      </w:r>
      <w:r w:rsidRPr="00461D74">
        <w:rPr>
          <w:rFonts w:ascii="Garamond" w:hAnsi="Garamond" w:cstheme="minorHAnsi"/>
          <w:sz w:val="24"/>
          <w:szCs w:val="24"/>
        </w:rPr>
        <w:t xml:space="preserve"> traditions are not defeated through extended dialectical inquiry, but merely due to contingent historical changes </w:t>
      </w:r>
      <w:r w:rsidR="001C16C4">
        <w:rPr>
          <w:rFonts w:ascii="Garamond" w:hAnsi="Garamond" w:cstheme="minorHAnsi"/>
          <w:sz w:val="24"/>
          <w:szCs w:val="24"/>
        </w:rPr>
        <w:t>that undermine</w:t>
      </w:r>
      <w:r w:rsidRPr="00461D74">
        <w:rPr>
          <w:rFonts w:ascii="Garamond" w:hAnsi="Garamond" w:cstheme="minorHAnsi"/>
          <w:sz w:val="24"/>
          <w:szCs w:val="24"/>
        </w:rPr>
        <w:t xml:space="preserve"> </w:t>
      </w:r>
      <w:r w:rsidR="001C16C4">
        <w:rPr>
          <w:rFonts w:ascii="Garamond" w:hAnsi="Garamond" w:cstheme="minorHAnsi"/>
          <w:sz w:val="24"/>
          <w:szCs w:val="24"/>
        </w:rPr>
        <w:t xml:space="preserve">or transform the </w:t>
      </w:r>
      <w:r w:rsidRPr="00461D74">
        <w:rPr>
          <w:rFonts w:ascii="Garamond" w:hAnsi="Garamond" w:cstheme="minorHAnsi"/>
          <w:sz w:val="24"/>
          <w:szCs w:val="24"/>
        </w:rPr>
        <w:t>soci</w:t>
      </w:r>
      <w:r w:rsidR="001C16C4">
        <w:rPr>
          <w:rFonts w:ascii="Garamond" w:hAnsi="Garamond" w:cstheme="minorHAnsi"/>
          <w:sz w:val="24"/>
          <w:szCs w:val="24"/>
        </w:rPr>
        <w:t>et</w:t>
      </w:r>
      <w:r w:rsidRPr="00461D74">
        <w:rPr>
          <w:rFonts w:ascii="Garamond" w:hAnsi="Garamond" w:cstheme="minorHAnsi"/>
          <w:sz w:val="24"/>
          <w:szCs w:val="24"/>
        </w:rPr>
        <w:t xml:space="preserve">al </w:t>
      </w:r>
      <w:r w:rsidR="001C16C4">
        <w:rPr>
          <w:rFonts w:ascii="Garamond" w:hAnsi="Garamond" w:cstheme="minorHAnsi"/>
          <w:sz w:val="24"/>
          <w:szCs w:val="24"/>
        </w:rPr>
        <w:t>edifice</w:t>
      </w:r>
      <w:r w:rsidRPr="00461D74">
        <w:rPr>
          <w:rFonts w:ascii="Garamond" w:hAnsi="Garamond" w:cstheme="minorHAnsi"/>
          <w:sz w:val="24"/>
          <w:szCs w:val="24"/>
        </w:rPr>
        <w:t xml:space="preserve">. It also seems that Aristotelian-Thomism is a tradition that has been surpassed in the way described in hypotheses H3 and H4 (this is an example </w:t>
      </w:r>
      <w:r w:rsidR="001C16C4">
        <w:rPr>
          <w:rFonts w:ascii="Garamond" w:hAnsi="Garamond" w:cstheme="minorHAnsi"/>
          <w:sz w:val="24"/>
          <w:szCs w:val="24"/>
        </w:rPr>
        <w:t xml:space="preserve">in which </w:t>
      </w:r>
      <w:r w:rsidRPr="00461D74">
        <w:rPr>
          <w:rFonts w:ascii="Garamond" w:hAnsi="Garamond" w:cstheme="minorHAnsi"/>
          <w:sz w:val="24"/>
          <w:szCs w:val="24"/>
        </w:rPr>
        <w:t xml:space="preserve">MacIntyre’s H3 and H4 </w:t>
      </w:r>
      <w:r w:rsidR="001C16C4">
        <w:rPr>
          <w:rFonts w:ascii="Garamond" w:hAnsi="Garamond" w:cstheme="minorHAnsi"/>
          <w:sz w:val="24"/>
          <w:szCs w:val="24"/>
        </w:rPr>
        <w:t>could potentially</w:t>
      </w:r>
      <w:r w:rsidRPr="00461D74">
        <w:rPr>
          <w:rFonts w:ascii="Garamond" w:hAnsi="Garamond" w:cstheme="minorHAnsi"/>
          <w:sz w:val="24"/>
          <w:szCs w:val="24"/>
        </w:rPr>
        <w:t xml:space="preserve"> conflict with H5).</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MacIntyre’s account in </w:t>
      </w:r>
      <w:r w:rsidRPr="00461D74">
        <w:rPr>
          <w:rFonts w:ascii="Garamond" w:hAnsi="Garamond" w:cstheme="minorHAnsi"/>
          <w:i/>
          <w:sz w:val="24"/>
          <w:szCs w:val="24"/>
        </w:rPr>
        <w:t>After Virtue</w:t>
      </w:r>
      <w:r w:rsidRPr="00461D74">
        <w:rPr>
          <w:rFonts w:ascii="Garamond" w:hAnsi="Garamond" w:cstheme="minorHAnsi"/>
          <w:sz w:val="24"/>
          <w:szCs w:val="24"/>
        </w:rPr>
        <w:t xml:space="preserve"> precisely tries to show that our modern moral predicament is due to the fact that the Aristotelian tradition was sidelined in the transition to the modern era; and that we discarded important teleological </w:t>
      </w:r>
      <w:r w:rsidRPr="00461D74">
        <w:rPr>
          <w:rFonts w:ascii="Garamond" w:hAnsi="Garamond" w:cstheme="minorHAnsi"/>
          <w:sz w:val="24"/>
          <w:szCs w:val="24"/>
        </w:rPr>
        <w:lastRenderedPageBreak/>
        <w:t xml:space="preserve">resources that were available in the Aristotelian tradition. Nevertheless, in </w:t>
      </w:r>
      <w:r w:rsidRPr="00461D74">
        <w:rPr>
          <w:rFonts w:ascii="Garamond" w:hAnsi="Garamond" w:cstheme="minorHAnsi"/>
          <w:i/>
          <w:sz w:val="24"/>
          <w:szCs w:val="24"/>
        </w:rPr>
        <w:t>After Virtue</w:t>
      </w:r>
      <w:r w:rsidRPr="00461D74">
        <w:rPr>
          <w:rFonts w:ascii="Garamond" w:hAnsi="Garamond" w:cstheme="minorHAnsi"/>
          <w:sz w:val="24"/>
          <w:szCs w:val="24"/>
        </w:rPr>
        <w:t>, his account more or less accepts that</w:t>
      </w:r>
      <w:r w:rsidR="00622699">
        <w:rPr>
          <w:rFonts w:ascii="Garamond" w:hAnsi="Garamond" w:cstheme="minorHAnsi"/>
          <w:sz w:val="24"/>
          <w:szCs w:val="24"/>
        </w:rPr>
        <w:t>,</w:t>
      </w:r>
      <w:r w:rsidRPr="00461D74">
        <w:rPr>
          <w:rFonts w:ascii="Garamond" w:hAnsi="Garamond" w:cstheme="minorHAnsi"/>
          <w:sz w:val="24"/>
          <w:szCs w:val="24"/>
        </w:rPr>
        <w:t xml:space="preserve"> given the historical transformation of the contemporary social structure, we cannot go back to the Aristotelian tradition. MacIntyre then tries to formulate a new social teleology under his three-fold conception of (</w:t>
      </w:r>
      <w:proofErr w:type="spellStart"/>
      <w:r w:rsidRPr="00461D74">
        <w:rPr>
          <w:rFonts w:ascii="Garamond" w:hAnsi="Garamond" w:cstheme="minorHAnsi"/>
          <w:sz w:val="24"/>
          <w:szCs w:val="24"/>
        </w:rPr>
        <w:t>i</w:t>
      </w:r>
      <w:proofErr w:type="spellEnd"/>
      <w:r w:rsidRPr="00461D74">
        <w:rPr>
          <w:rFonts w:ascii="Garamond" w:hAnsi="Garamond" w:cstheme="minorHAnsi"/>
          <w:sz w:val="24"/>
          <w:szCs w:val="24"/>
        </w:rPr>
        <w:t>) practice; (ii) narrative unity of a human life; and (iii) tradition. What emerges from MacIntyre’s social teleology is a highly heterogeneous multiplicity of goods that are not always reconcilable.</w:t>
      </w:r>
      <w:r w:rsidRPr="00461D74">
        <w:rPr>
          <w:rStyle w:val="FootnoteReference"/>
          <w:rFonts w:ascii="Garamond" w:hAnsi="Garamond" w:cstheme="minorHAnsi"/>
          <w:sz w:val="24"/>
          <w:szCs w:val="24"/>
        </w:rPr>
        <w:footnoteReference w:id="145"/>
      </w:r>
      <w:r w:rsidRPr="00461D74">
        <w:rPr>
          <w:rFonts w:ascii="Garamond" w:hAnsi="Garamond" w:cstheme="minorHAnsi"/>
          <w:sz w:val="24"/>
          <w:szCs w:val="24"/>
        </w:rPr>
        <w:t xml:space="preserve"> Both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and Bernstein then argue that MacIntyre’s social teleology, taken together with his historical account of traditions, reinforces the view that emotivism is a morality that coherently describes moral life in the modern liberal social context.</w:t>
      </w:r>
      <w:r w:rsidRPr="00461D74">
        <w:rPr>
          <w:rStyle w:val="FootnoteReference"/>
          <w:rFonts w:ascii="Garamond" w:hAnsi="Garamond" w:cstheme="minorHAnsi"/>
          <w:sz w:val="24"/>
          <w:szCs w:val="24"/>
        </w:rPr>
        <w:footnoteReference w:id="146"/>
      </w:r>
      <w:r w:rsidRPr="00461D74">
        <w:rPr>
          <w:rFonts w:ascii="Garamond" w:hAnsi="Garamond" w:cstheme="minorHAnsi"/>
          <w:sz w:val="24"/>
          <w:szCs w:val="24"/>
        </w:rPr>
        <w:t xml:space="preserve"> On their view, MacIntyre’s three-fold account</w:t>
      </w:r>
      <w:r w:rsidR="00622699">
        <w:rPr>
          <w:rFonts w:ascii="Garamond" w:hAnsi="Garamond" w:cstheme="minorHAnsi"/>
          <w:sz w:val="24"/>
          <w:szCs w:val="24"/>
        </w:rPr>
        <w:t xml:space="preserve"> – owing to its ambiguous definition of the goods –</w:t>
      </w:r>
      <w:r w:rsidRPr="00461D74">
        <w:rPr>
          <w:rFonts w:ascii="Garamond" w:hAnsi="Garamond" w:cstheme="minorHAnsi"/>
          <w:sz w:val="24"/>
          <w:szCs w:val="24"/>
        </w:rPr>
        <w:t xml:space="preserve"> </w:t>
      </w:r>
      <w:r w:rsidR="00622699">
        <w:rPr>
          <w:rFonts w:ascii="Garamond" w:hAnsi="Garamond" w:cstheme="minorHAnsi"/>
          <w:sz w:val="24"/>
          <w:szCs w:val="24"/>
        </w:rPr>
        <w:t>appears</w:t>
      </w:r>
      <w:r w:rsidRPr="00461D74">
        <w:rPr>
          <w:rFonts w:ascii="Garamond" w:hAnsi="Garamond" w:cstheme="minorHAnsi"/>
          <w:sz w:val="24"/>
          <w:szCs w:val="24"/>
        </w:rPr>
        <w:t xml:space="preserve"> to strengthen, rather than diminish, the strength of the </w:t>
      </w:r>
      <w:proofErr w:type="spellStart"/>
      <w:r w:rsidRPr="00461D74">
        <w:rPr>
          <w:rFonts w:ascii="Garamond" w:hAnsi="Garamond" w:cstheme="minorHAnsi"/>
          <w:sz w:val="24"/>
          <w:szCs w:val="24"/>
        </w:rPr>
        <w:t>emotivist</w:t>
      </w:r>
      <w:proofErr w:type="spellEnd"/>
      <w:r w:rsidRPr="00461D74">
        <w:rPr>
          <w:rFonts w:ascii="Garamond" w:hAnsi="Garamond" w:cstheme="minorHAnsi"/>
          <w:sz w:val="24"/>
          <w:szCs w:val="24"/>
        </w:rPr>
        <w:t xml:space="preserve"> thesis.</w:t>
      </w:r>
      <w:r w:rsidRPr="00461D74">
        <w:rPr>
          <w:rStyle w:val="FootnoteReference"/>
          <w:rFonts w:ascii="Garamond" w:hAnsi="Garamond" w:cstheme="minorHAnsi"/>
          <w:sz w:val="24"/>
          <w:szCs w:val="24"/>
        </w:rPr>
        <w:footnoteReference w:id="147"/>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Now, on my view, much of MacIntyre’s later work, especially in </w:t>
      </w:r>
      <w:r w:rsidRPr="00461D74">
        <w:rPr>
          <w:rFonts w:ascii="Garamond" w:hAnsi="Garamond" w:cstheme="minorHAnsi"/>
          <w:i/>
          <w:iCs/>
          <w:sz w:val="24"/>
          <w:szCs w:val="24"/>
        </w:rPr>
        <w:t>Whose Justice</w:t>
      </w:r>
      <w:r w:rsidRPr="00461D74">
        <w:rPr>
          <w:rFonts w:ascii="Garamond" w:hAnsi="Garamond" w:cstheme="minorHAnsi"/>
          <w:sz w:val="24"/>
          <w:szCs w:val="24"/>
        </w:rPr>
        <w:t xml:space="preserve">, is motivated in large part as a response to these kinds of criticism. Thus, </w:t>
      </w:r>
      <w:r w:rsidR="00622699">
        <w:rPr>
          <w:rFonts w:ascii="Garamond" w:hAnsi="Garamond" w:cstheme="minorHAnsi"/>
          <w:sz w:val="24"/>
          <w:szCs w:val="24"/>
        </w:rPr>
        <w:t xml:space="preserve">the </w:t>
      </w:r>
      <w:r w:rsidRPr="00461D74">
        <w:rPr>
          <w:rFonts w:ascii="Garamond" w:hAnsi="Garamond" w:cstheme="minorHAnsi"/>
          <w:sz w:val="24"/>
          <w:szCs w:val="24"/>
        </w:rPr>
        <w:t xml:space="preserve">MacIntyre in </w:t>
      </w:r>
      <w:r w:rsidRPr="00461D74">
        <w:rPr>
          <w:rFonts w:ascii="Garamond" w:hAnsi="Garamond" w:cstheme="minorHAnsi"/>
          <w:i/>
          <w:iCs/>
          <w:sz w:val="24"/>
          <w:szCs w:val="24"/>
        </w:rPr>
        <w:t>Whose Justice</w:t>
      </w:r>
      <w:r w:rsidRPr="00461D74">
        <w:rPr>
          <w:rFonts w:ascii="Garamond" w:hAnsi="Garamond" w:cstheme="minorHAnsi"/>
          <w:sz w:val="24"/>
          <w:szCs w:val="24"/>
        </w:rPr>
        <w:t xml:space="preserve"> is less concerned with </w:t>
      </w:r>
      <w:r w:rsidR="00622699">
        <w:rPr>
          <w:rFonts w:ascii="Garamond" w:hAnsi="Garamond" w:cstheme="minorHAnsi"/>
          <w:sz w:val="24"/>
          <w:szCs w:val="24"/>
        </w:rPr>
        <w:t xml:space="preserve">the </w:t>
      </w:r>
      <w:r w:rsidRPr="00461D74">
        <w:rPr>
          <w:rFonts w:ascii="Garamond" w:hAnsi="Garamond" w:cstheme="minorHAnsi"/>
          <w:sz w:val="24"/>
          <w:szCs w:val="24"/>
        </w:rPr>
        <w:t xml:space="preserve">further </w:t>
      </w:r>
      <w:r w:rsidR="00622699">
        <w:rPr>
          <w:rFonts w:ascii="Garamond" w:hAnsi="Garamond" w:cstheme="minorHAnsi"/>
          <w:sz w:val="24"/>
          <w:szCs w:val="24"/>
        </w:rPr>
        <w:t>development of</w:t>
      </w:r>
      <w:r w:rsidRPr="00461D74">
        <w:rPr>
          <w:rFonts w:ascii="Garamond" w:hAnsi="Garamond" w:cstheme="minorHAnsi"/>
          <w:sz w:val="24"/>
          <w:szCs w:val="24"/>
        </w:rPr>
        <w:t xml:space="preserve"> his social teleology and three-fold account of the virtues, and more concerned with identifying and defending a tradition – Aristotelian-Thomism – that has the necessary teleological resources to answer critics like Bernstein and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And because he wants to undermine</w:t>
      </w:r>
      <w:r w:rsidR="00622699">
        <w:rPr>
          <w:rFonts w:ascii="Garamond" w:hAnsi="Garamond" w:cstheme="minorHAnsi"/>
          <w:sz w:val="24"/>
          <w:szCs w:val="24"/>
        </w:rPr>
        <w:t>,</w:t>
      </w:r>
      <w:r w:rsidRPr="00461D74">
        <w:rPr>
          <w:rFonts w:ascii="Garamond" w:hAnsi="Garamond" w:cstheme="minorHAnsi"/>
          <w:sz w:val="24"/>
          <w:szCs w:val="24"/>
        </w:rPr>
        <w:t xml:space="preserve"> rather than reinforce</w:t>
      </w:r>
      <w:r w:rsidR="00622699">
        <w:rPr>
          <w:rFonts w:ascii="Garamond" w:hAnsi="Garamond" w:cstheme="minorHAnsi"/>
          <w:sz w:val="24"/>
          <w:szCs w:val="24"/>
        </w:rPr>
        <w:t>,</w:t>
      </w:r>
      <w:r w:rsidRPr="00461D74">
        <w:rPr>
          <w:rFonts w:ascii="Garamond" w:hAnsi="Garamond" w:cstheme="minorHAnsi"/>
          <w:sz w:val="24"/>
          <w:szCs w:val="24"/>
        </w:rPr>
        <w:t xml:space="preserve"> the </w:t>
      </w:r>
      <w:proofErr w:type="spellStart"/>
      <w:r w:rsidRPr="00461D74">
        <w:rPr>
          <w:rFonts w:ascii="Garamond" w:hAnsi="Garamond" w:cstheme="minorHAnsi"/>
          <w:sz w:val="24"/>
          <w:szCs w:val="24"/>
        </w:rPr>
        <w:t>emotivist</w:t>
      </w:r>
      <w:proofErr w:type="spellEnd"/>
      <w:r w:rsidRPr="00461D74">
        <w:rPr>
          <w:rFonts w:ascii="Garamond" w:hAnsi="Garamond" w:cstheme="minorHAnsi"/>
          <w:sz w:val="24"/>
          <w:szCs w:val="24"/>
        </w:rPr>
        <w:t xml:space="preserve"> thesis, MacIntyre </w:t>
      </w:r>
      <w:r w:rsidR="00622699">
        <w:rPr>
          <w:rFonts w:ascii="Garamond" w:hAnsi="Garamond" w:cstheme="minorHAnsi"/>
          <w:sz w:val="24"/>
          <w:szCs w:val="24"/>
        </w:rPr>
        <w:t>wishes</w:t>
      </w:r>
      <w:r w:rsidRPr="00461D74">
        <w:rPr>
          <w:rFonts w:ascii="Garamond" w:hAnsi="Garamond" w:cstheme="minorHAnsi"/>
          <w:sz w:val="24"/>
          <w:szCs w:val="24"/>
        </w:rPr>
        <w:t xml:space="preserve"> to </w:t>
      </w:r>
      <w:r w:rsidR="00622699">
        <w:rPr>
          <w:rFonts w:ascii="Garamond" w:hAnsi="Garamond" w:cstheme="minorHAnsi"/>
          <w:sz w:val="24"/>
          <w:szCs w:val="24"/>
        </w:rPr>
        <w:t>recoup</w:t>
      </w:r>
      <w:r w:rsidRPr="00461D74">
        <w:rPr>
          <w:rFonts w:ascii="Garamond" w:hAnsi="Garamond" w:cstheme="minorHAnsi"/>
          <w:sz w:val="24"/>
          <w:szCs w:val="24"/>
        </w:rPr>
        <w:t xml:space="preserve"> a more robust substantive account of the good</w:t>
      </w:r>
      <w:r w:rsidR="00622699">
        <w:rPr>
          <w:rFonts w:ascii="Garamond" w:hAnsi="Garamond" w:cstheme="minorHAnsi"/>
          <w:sz w:val="24"/>
          <w:szCs w:val="24"/>
        </w:rPr>
        <w:t>, available in the Thomist tradition</w:t>
      </w:r>
      <w:r w:rsidRPr="00461D74">
        <w:rPr>
          <w:rFonts w:ascii="Garamond" w:hAnsi="Garamond" w:cstheme="minorHAnsi"/>
          <w:sz w:val="24"/>
          <w:szCs w:val="24"/>
        </w:rPr>
        <w:t xml:space="preserve">. Recall </w:t>
      </w:r>
      <w:r w:rsidR="00622699">
        <w:rPr>
          <w:rFonts w:ascii="Garamond" w:hAnsi="Garamond" w:cstheme="minorHAnsi"/>
          <w:sz w:val="24"/>
          <w:szCs w:val="24"/>
        </w:rPr>
        <w:t xml:space="preserve">now </w:t>
      </w:r>
      <w:r w:rsidRPr="00461D74">
        <w:rPr>
          <w:rFonts w:ascii="Garamond" w:hAnsi="Garamond" w:cstheme="minorHAnsi"/>
          <w:sz w:val="24"/>
          <w:szCs w:val="24"/>
        </w:rPr>
        <w:t xml:space="preserve">that MacIntyre’s three-fold social </w:t>
      </w:r>
      <w:r w:rsidRPr="00461D74">
        <w:rPr>
          <w:rFonts w:ascii="Garamond" w:hAnsi="Garamond" w:cstheme="minorHAnsi"/>
          <w:sz w:val="24"/>
          <w:szCs w:val="24"/>
        </w:rPr>
        <w:lastRenderedPageBreak/>
        <w:t xml:space="preserve">teleology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doesn’t engender a strong account of human good and human nature. On the other hand, the Aristotelian-Thomistic tradition – which he endorses in </w:t>
      </w:r>
      <w:r w:rsidRPr="00461D74">
        <w:rPr>
          <w:rFonts w:ascii="Garamond" w:hAnsi="Garamond" w:cstheme="minorHAnsi"/>
          <w:i/>
          <w:iCs/>
          <w:sz w:val="24"/>
          <w:szCs w:val="24"/>
        </w:rPr>
        <w:t>Whose Justice</w:t>
      </w:r>
      <w:r w:rsidRPr="00461D74">
        <w:rPr>
          <w:rFonts w:ascii="Garamond" w:hAnsi="Garamond" w:cstheme="minorHAnsi"/>
          <w:sz w:val="24"/>
          <w:szCs w:val="24"/>
        </w:rPr>
        <w:t xml:space="preserve"> – is an option that offers him a more substantive account of the good and a stronger teleology that potentially resolves these sorts of challenges. What I am suggesting here is that MacIntyre’s adoption of Aristotelian-Thomism generates a stronger teleology that allows MacIntyre to defend himself against the kinds of criticisms advanced by Bernstein and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However, in order for MacIntyre to recover the teleological resources available in Aristotelian Thomism he needs to explain how a tradition such as Aristotelian-Thomism can be sidelined for the wrong reasons, and show how those (teleological) resources can be revived and appropriated for use in contemporary debates. Now before I consider </w:t>
      </w:r>
      <w:r w:rsidR="00D006CC">
        <w:rPr>
          <w:rFonts w:ascii="Garamond" w:hAnsi="Garamond" w:cstheme="minorHAnsi"/>
          <w:sz w:val="24"/>
          <w:szCs w:val="24"/>
        </w:rPr>
        <w:t xml:space="preserve">the methodology through which </w:t>
      </w:r>
      <w:r w:rsidRPr="00461D74">
        <w:rPr>
          <w:rFonts w:ascii="Garamond" w:hAnsi="Garamond" w:cstheme="minorHAnsi"/>
          <w:sz w:val="24"/>
          <w:szCs w:val="24"/>
        </w:rPr>
        <w:t>MacIntyre engages in the revival of the teleological resources in Aristotelian-Thomism, we need to further disentangle the two ways in which traditions in moral inquiry progress or succeed each other.</w:t>
      </w:r>
      <w:r w:rsidRPr="00461D74">
        <w:rPr>
          <w:rStyle w:val="FootnoteReference"/>
          <w:rFonts w:ascii="Garamond" w:hAnsi="Garamond" w:cstheme="minorHAnsi"/>
          <w:sz w:val="24"/>
          <w:szCs w:val="24"/>
        </w:rPr>
        <w:footnoteReference w:id="148"/>
      </w:r>
      <w:r w:rsidRPr="00461D74">
        <w:rPr>
          <w:rFonts w:ascii="Garamond" w:hAnsi="Garamond" w:cstheme="minorHAnsi"/>
          <w:sz w:val="24"/>
          <w:szCs w:val="24"/>
        </w:rPr>
        <w:t xml:space="preserve"> I should emphasize the importance of this point for </w:t>
      </w:r>
      <w:r w:rsidR="00D006CC">
        <w:rPr>
          <w:rFonts w:ascii="Garamond" w:hAnsi="Garamond" w:cstheme="minorHAnsi"/>
          <w:sz w:val="24"/>
          <w:szCs w:val="24"/>
        </w:rPr>
        <w:t xml:space="preserve">advancing </w:t>
      </w:r>
      <w:r w:rsidRPr="00461D74">
        <w:rPr>
          <w:rFonts w:ascii="Garamond" w:hAnsi="Garamond" w:cstheme="minorHAnsi"/>
          <w:sz w:val="24"/>
          <w:szCs w:val="24"/>
        </w:rPr>
        <w:t>our discussion since it is only through disentangling these two aspects of progress that MacIntyre is able to offer a rational account of moral progress.</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Earlier, we observed that MacIntyre’s historical narrative draws our attention to the ways in which </w:t>
      </w:r>
      <w:r w:rsidR="006412A7">
        <w:rPr>
          <w:rFonts w:ascii="Garamond" w:hAnsi="Garamond" w:cstheme="minorHAnsi"/>
          <w:sz w:val="24"/>
          <w:szCs w:val="24"/>
        </w:rPr>
        <w:t>significant conflict</w:t>
      </w:r>
      <w:r w:rsidRPr="00461D74">
        <w:rPr>
          <w:rFonts w:ascii="Garamond" w:hAnsi="Garamond" w:cstheme="minorHAnsi"/>
          <w:sz w:val="24"/>
          <w:szCs w:val="24"/>
        </w:rPr>
        <w:t xml:space="preserve"> emerge</w:t>
      </w:r>
      <w:r w:rsidR="006412A7">
        <w:rPr>
          <w:rFonts w:ascii="Garamond" w:hAnsi="Garamond" w:cstheme="minorHAnsi"/>
          <w:sz w:val="24"/>
          <w:szCs w:val="24"/>
        </w:rPr>
        <w:t>s</w:t>
      </w:r>
      <w:r w:rsidRPr="00461D74">
        <w:rPr>
          <w:rFonts w:ascii="Garamond" w:hAnsi="Garamond" w:cstheme="minorHAnsi"/>
          <w:sz w:val="24"/>
          <w:szCs w:val="24"/>
        </w:rPr>
        <w:t xml:space="preserve"> in moral traditions, usually due to significant changes </w:t>
      </w:r>
      <w:r w:rsidR="006412A7">
        <w:rPr>
          <w:rFonts w:ascii="Garamond" w:hAnsi="Garamond" w:cstheme="minorHAnsi"/>
          <w:sz w:val="24"/>
          <w:szCs w:val="24"/>
        </w:rPr>
        <w:t>that affect</w:t>
      </w:r>
      <w:r w:rsidRPr="00461D74">
        <w:rPr>
          <w:rFonts w:ascii="Garamond" w:hAnsi="Garamond" w:cstheme="minorHAnsi"/>
          <w:sz w:val="24"/>
          <w:szCs w:val="24"/>
        </w:rPr>
        <w:t xml:space="preserve"> the social context. We </w:t>
      </w:r>
      <w:r w:rsidR="006412A7">
        <w:rPr>
          <w:rFonts w:ascii="Garamond" w:hAnsi="Garamond" w:cstheme="minorHAnsi"/>
          <w:sz w:val="24"/>
          <w:szCs w:val="24"/>
        </w:rPr>
        <w:t>also considered the standards that specify</w:t>
      </w:r>
      <w:r w:rsidRPr="00461D74">
        <w:rPr>
          <w:rFonts w:ascii="Garamond" w:hAnsi="Garamond" w:cstheme="minorHAnsi"/>
          <w:sz w:val="24"/>
          <w:szCs w:val="24"/>
        </w:rPr>
        <w:t xml:space="preserve"> </w:t>
      </w:r>
      <w:r w:rsidR="006412A7">
        <w:rPr>
          <w:rFonts w:ascii="Garamond" w:hAnsi="Garamond" w:cstheme="minorHAnsi"/>
          <w:sz w:val="24"/>
          <w:szCs w:val="24"/>
        </w:rPr>
        <w:t xml:space="preserve">whether a tradition achieves </w:t>
      </w:r>
      <w:r w:rsidRPr="00461D74">
        <w:rPr>
          <w:rFonts w:ascii="Garamond" w:hAnsi="Garamond" w:cstheme="minorHAnsi"/>
          <w:sz w:val="24"/>
          <w:szCs w:val="24"/>
        </w:rPr>
        <w:t xml:space="preserve">progress, for example </w:t>
      </w:r>
      <w:r w:rsidR="006412A7">
        <w:rPr>
          <w:rFonts w:ascii="Garamond" w:hAnsi="Garamond" w:cstheme="minorHAnsi"/>
          <w:sz w:val="24"/>
          <w:szCs w:val="24"/>
        </w:rPr>
        <w:t>when a tradition</w:t>
      </w:r>
      <w:r w:rsidRPr="00461D74">
        <w:rPr>
          <w:rFonts w:ascii="Garamond" w:hAnsi="Garamond" w:cstheme="minorHAnsi"/>
          <w:sz w:val="24"/>
          <w:szCs w:val="24"/>
        </w:rPr>
        <w:t xml:space="preserve"> </w:t>
      </w:r>
      <w:r w:rsidR="006412A7">
        <w:rPr>
          <w:rFonts w:ascii="Garamond" w:hAnsi="Garamond" w:cstheme="minorHAnsi"/>
          <w:sz w:val="24"/>
          <w:szCs w:val="24"/>
        </w:rPr>
        <w:t>offers</w:t>
      </w:r>
      <w:r w:rsidRPr="00461D74">
        <w:rPr>
          <w:rFonts w:ascii="Garamond" w:hAnsi="Garamond" w:cstheme="minorHAnsi"/>
          <w:sz w:val="24"/>
          <w:szCs w:val="24"/>
        </w:rPr>
        <w:t xml:space="preserve"> a resolution of </w:t>
      </w:r>
      <w:r w:rsidR="006412A7">
        <w:rPr>
          <w:rFonts w:ascii="Garamond" w:hAnsi="Garamond" w:cstheme="minorHAnsi"/>
          <w:sz w:val="24"/>
          <w:szCs w:val="24"/>
        </w:rPr>
        <w:t xml:space="preserve">those </w:t>
      </w:r>
      <w:r w:rsidRPr="00461D74">
        <w:rPr>
          <w:rFonts w:ascii="Garamond" w:hAnsi="Garamond" w:cstheme="minorHAnsi"/>
          <w:sz w:val="24"/>
          <w:szCs w:val="24"/>
        </w:rPr>
        <w:t>conflicts.</w:t>
      </w:r>
      <w:r w:rsidRPr="00461D74">
        <w:rPr>
          <w:rStyle w:val="FootnoteReference"/>
          <w:rFonts w:ascii="Garamond" w:hAnsi="Garamond" w:cstheme="minorHAnsi"/>
          <w:sz w:val="24"/>
          <w:szCs w:val="24"/>
        </w:rPr>
        <w:footnoteReference w:id="149"/>
      </w:r>
      <w:r w:rsidRPr="00461D74">
        <w:rPr>
          <w:rFonts w:ascii="Garamond" w:hAnsi="Garamond" w:cstheme="minorHAnsi"/>
          <w:sz w:val="24"/>
          <w:szCs w:val="24"/>
        </w:rPr>
        <w:t xml:space="preserve"> So for example </w:t>
      </w:r>
      <w:r w:rsidR="006412A7">
        <w:rPr>
          <w:rFonts w:ascii="Garamond" w:hAnsi="Garamond" w:cstheme="minorHAnsi"/>
          <w:sz w:val="24"/>
          <w:szCs w:val="24"/>
        </w:rPr>
        <w:t xml:space="preserve">when </w:t>
      </w:r>
      <w:r w:rsidRPr="00461D74">
        <w:rPr>
          <w:rFonts w:ascii="Garamond" w:hAnsi="Garamond" w:cstheme="minorHAnsi"/>
          <w:sz w:val="24"/>
          <w:szCs w:val="24"/>
        </w:rPr>
        <w:t>an earlier tradition is surpassed by a new emerging tradition</w:t>
      </w:r>
      <w:r w:rsidR="006412A7">
        <w:rPr>
          <w:rFonts w:ascii="Garamond" w:hAnsi="Garamond" w:cstheme="minorHAnsi"/>
          <w:sz w:val="24"/>
          <w:szCs w:val="24"/>
        </w:rPr>
        <w:t>,</w:t>
      </w:r>
      <w:r w:rsidRPr="00461D74">
        <w:rPr>
          <w:rFonts w:ascii="Garamond" w:hAnsi="Garamond" w:cstheme="minorHAnsi"/>
          <w:sz w:val="24"/>
          <w:szCs w:val="24"/>
        </w:rPr>
        <w:t xml:space="preserve"> the new tradition is able to </w:t>
      </w:r>
      <w:r w:rsidRPr="00461D74">
        <w:rPr>
          <w:rFonts w:ascii="Garamond" w:hAnsi="Garamond" w:cstheme="minorHAnsi"/>
          <w:sz w:val="24"/>
          <w:szCs w:val="24"/>
        </w:rPr>
        <w:lastRenderedPageBreak/>
        <w:t xml:space="preserve">solve the problems </w:t>
      </w:r>
      <w:r w:rsidR="006412A7">
        <w:rPr>
          <w:rFonts w:ascii="Garamond" w:hAnsi="Garamond" w:cstheme="minorHAnsi"/>
          <w:sz w:val="24"/>
          <w:szCs w:val="24"/>
        </w:rPr>
        <w:t>which</w:t>
      </w:r>
      <w:r w:rsidRPr="00461D74">
        <w:rPr>
          <w:rFonts w:ascii="Garamond" w:hAnsi="Garamond" w:cstheme="minorHAnsi"/>
          <w:sz w:val="24"/>
          <w:szCs w:val="24"/>
        </w:rPr>
        <w:t xml:space="preserve"> the earlier tradition</w:t>
      </w:r>
      <w:r w:rsidR="006412A7">
        <w:rPr>
          <w:rFonts w:ascii="Garamond" w:hAnsi="Garamond" w:cstheme="minorHAnsi"/>
          <w:sz w:val="24"/>
          <w:szCs w:val="24"/>
        </w:rPr>
        <w:t xml:space="preserve"> could not resolve</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50"/>
      </w:r>
      <w:r w:rsidRPr="00461D74">
        <w:rPr>
          <w:rFonts w:ascii="Garamond" w:hAnsi="Garamond" w:cstheme="minorHAnsi"/>
          <w:sz w:val="24"/>
          <w:szCs w:val="24"/>
        </w:rPr>
        <w:t xml:space="preserve"> It is in this sense that the Aristotelian tradition made intellectual progress by offering an ethics best equipped to resolving normative problems in the context of the polis, </w:t>
      </w:r>
      <w:r w:rsidR="006412A7">
        <w:rPr>
          <w:rFonts w:ascii="Garamond" w:hAnsi="Garamond" w:cstheme="minorHAnsi"/>
          <w:sz w:val="24"/>
          <w:szCs w:val="24"/>
        </w:rPr>
        <w:t xml:space="preserve">by affording </w:t>
      </w:r>
      <w:r w:rsidRPr="00461D74">
        <w:rPr>
          <w:rFonts w:ascii="Garamond" w:hAnsi="Garamond" w:cstheme="minorHAnsi"/>
          <w:sz w:val="24"/>
          <w:szCs w:val="24"/>
        </w:rPr>
        <w:t xml:space="preserve">a resolution </w:t>
      </w:r>
      <w:r w:rsidR="006412A7">
        <w:rPr>
          <w:rFonts w:ascii="Garamond" w:hAnsi="Garamond" w:cstheme="minorHAnsi"/>
          <w:sz w:val="24"/>
          <w:szCs w:val="24"/>
        </w:rPr>
        <w:t>to the conflicts –</w:t>
      </w:r>
      <w:r w:rsidRPr="00461D74">
        <w:rPr>
          <w:rFonts w:ascii="Garamond" w:hAnsi="Garamond" w:cstheme="minorHAnsi"/>
          <w:sz w:val="24"/>
          <w:szCs w:val="24"/>
        </w:rPr>
        <w:t xml:space="preserve"> conflicts which for MacIntyre were best expressed (</w:t>
      </w:r>
      <w:r w:rsidR="006412A7">
        <w:rPr>
          <w:rFonts w:ascii="Garamond" w:hAnsi="Garamond" w:cstheme="minorHAnsi"/>
          <w:sz w:val="24"/>
          <w:szCs w:val="24"/>
        </w:rPr>
        <w:t xml:space="preserve">or first </w:t>
      </w:r>
      <w:proofErr w:type="spellStart"/>
      <w:r w:rsidRPr="00461D74">
        <w:rPr>
          <w:rFonts w:ascii="Garamond" w:hAnsi="Garamond" w:cstheme="minorHAnsi"/>
          <w:sz w:val="24"/>
          <w:szCs w:val="24"/>
        </w:rPr>
        <w:t>problematized</w:t>
      </w:r>
      <w:proofErr w:type="spellEnd"/>
      <w:r w:rsidRPr="00461D74">
        <w:rPr>
          <w:rFonts w:ascii="Garamond" w:hAnsi="Garamond" w:cstheme="minorHAnsi"/>
          <w:sz w:val="24"/>
          <w:szCs w:val="24"/>
        </w:rPr>
        <w:t xml:space="preserve">) in Sophocles’ </w:t>
      </w:r>
      <w:proofErr w:type="spellStart"/>
      <w:r w:rsidRPr="00461D74">
        <w:rPr>
          <w:rFonts w:ascii="Garamond" w:hAnsi="Garamond" w:cstheme="minorHAnsi"/>
          <w:i/>
          <w:iCs/>
          <w:sz w:val="24"/>
          <w:szCs w:val="24"/>
        </w:rPr>
        <w:t>Philoctetes</w:t>
      </w:r>
      <w:proofErr w:type="spellEnd"/>
      <w:r w:rsidRPr="00461D74">
        <w:rPr>
          <w:rFonts w:ascii="Garamond" w:hAnsi="Garamond" w:cstheme="minorHAnsi"/>
          <w:sz w:val="24"/>
          <w:szCs w:val="24"/>
        </w:rPr>
        <w:t>. I</w:t>
      </w:r>
      <w:r w:rsidR="006412A7">
        <w:rPr>
          <w:rFonts w:ascii="Garamond" w:hAnsi="Garamond" w:cstheme="minorHAnsi"/>
          <w:sz w:val="24"/>
          <w:szCs w:val="24"/>
        </w:rPr>
        <w:t>t is in this sense that</w:t>
      </w:r>
      <w:r w:rsidRPr="00461D74">
        <w:rPr>
          <w:rFonts w:ascii="Garamond" w:hAnsi="Garamond" w:cstheme="minorHAnsi"/>
          <w:sz w:val="24"/>
          <w:szCs w:val="24"/>
        </w:rPr>
        <w:t xml:space="preserve"> we can </w:t>
      </w:r>
      <w:r w:rsidR="006412A7">
        <w:rPr>
          <w:rFonts w:ascii="Garamond" w:hAnsi="Garamond" w:cstheme="minorHAnsi"/>
          <w:sz w:val="24"/>
          <w:szCs w:val="24"/>
        </w:rPr>
        <w:t>argue in favor of</w:t>
      </w:r>
      <w:r w:rsidRPr="00461D74">
        <w:rPr>
          <w:rFonts w:ascii="Garamond" w:hAnsi="Garamond" w:cstheme="minorHAnsi"/>
          <w:sz w:val="24"/>
          <w:szCs w:val="24"/>
        </w:rPr>
        <w:t xml:space="preserve"> </w:t>
      </w:r>
      <w:r w:rsidR="006412A7">
        <w:rPr>
          <w:rFonts w:ascii="Garamond" w:hAnsi="Garamond" w:cstheme="minorHAnsi"/>
          <w:sz w:val="24"/>
          <w:szCs w:val="24"/>
        </w:rPr>
        <w:t>a</w:t>
      </w:r>
      <w:r w:rsidRPr="00461D74">
        <w:rPr>
          <w:rFonts w:ascii="Garamond" w:hAnsi="Garamond" w:cstheme="minorHAnsi"/>
          <w:sz w:val="24"/>
          <w:szCs w:val="24"/>
        </w:rPr>
        <w:t xml:space="preserve"> n</w:t>
      </w:r>
      <w:r w:rsidR="006412A7">
        <w:rPr>
          <w:rFonts w:ascii="Garamond" w:hAnsi="Garamond" w:cstheme="minorHAnsi"/>
          <w:sz w:val="24"/>
          <w:szCs w:val="24"/>
        </w:rPr>
        <w:t>ew tradition – viewed a</w:t>
      </w:r>
      <w:r w:rsidRPr="00461D74">
        <w:rPr>
          <w:rFonts w:ascii="Garamond" w:hAnsi="Garamond" w:cstheme="minorHAnsi"/>
          <w:sz w:val="24"/>
          <w:szCs w:val="24"/>
        </w:rPr>
        <w:t xml:space="preserve">s ‘progressive’ </w:t>
      </w:r>
      <w:r w:rsidR="006412A7">
        <w:rPr>
          <w:rFonts w:ascii="Garamond" w:hAnsi="Garamond" w:cstheme="minorHAnsi"/>
          <w:sz w:val="24"/>
          <w:szCs w:val="24"/>
        </w:rPr>
        <w:t xml:space="preserve">– </w:t>
      </w:r>
      <w:r w:rsidRPr="00461D74">
        <w:rPr>
          <w:rFonts w:ascii="Garamond" w:hAnsi="Garamond" w:cstheme="minorHAnsi"/>
          <w:sz w:val="24"/>
          <w:szCs w:val="24"/>
        </w:rPr>
        <w:t xml:space="preserve">defined in terms of </w:t>
      </w:r>
      <w:r w:rsidR="002C69E5">
        <w:rPr>
          <w:rFonts w:ascii="Garamond" w:hAnsi="Garamond" w:cstheme="minorHAnsi"/>
          <w:sz w:val="24"/>
          <w:szCs w:val="24"/>
        </w:rPr>
        <w:t>its ability to</w:t>
      </w:r>
      <w:r w:rsidRPr="00461D74">
        <w:rPr>
          <w:rFonts w:ascii="Garamond" w:hAnsi="Garamond" w:cstheme="minorHAnsi"/>
          <w:sz w:val="24"/>
          <w:szCs w:val="24"/>
        </w:rPr>
        <w:t xml:space="preserve"> </w:t>
      </w:r>
      <w:r w:rsidR="002C69E5">
        <w:rPr>
          <w:rFonts w:ascii="Garamond" w:hAnsi="Garamond" w:cstheme="minorHAnsi"/>
          <w:sz w:val="24"/>
          <w:szCs w:val="24"/>
        </w:rPr>
        <w:t>advance re</w:t>
      </w:r>
      <w:r w:rsidRPr="00461D74">
        <w:rPr>
          <w:rFonts w:ascii="Garamond" w:hAnsi="Garamond" w:cstheme="minorHAnsi"/>
          <w:sz w:val="24"/>
          <w:szCs w:val="24"/>
        </w:rPr>
        <w:t xml:space="preserve">solutions to a </w:t>
      </w:r>
      <w:r w:rsidR="002C69E5">
        <w:rPr>
          <w:rFonts w:ascii="Garamond" w:hAnsi="Garamond" w:cstheme="minorHAnsi"/>
          <w:sz w:val="24"/>
          <w:szCs w:val="24"/>
        </w:rPr>
        <w:t>range</w:t>
      </w:r>
      <w:r w:rsidRPr="00461D74">
        <w:rPr>
          <w:rFonts w:ascii="Garamond" w:hAnsi="Garamond" w:cstheme="minorHAnsi"/>
          <w:sz w:val="24"/>
          <w:szCs w:val="24"/>
        </w:rPr>
        <w:t xml:space="preserve"> of </w:t>
      </w:r>
      <w:r w:rsidR="002C69E5">
        <w:rPr>
          <w:rFonts w:ascii="Garamond" w:hAnsi="Garamond" w:cstheme="minorHAnsi"/>
          <w:sz w:val="24"/>
          <w:szCs w:val="24"/>
        </w:rPr>
        <w:t xml:space="preserve">social </w:t>
      </w:r>
      <w:r w:rsidRPr="00461D74">
        <w:rPr>
          <w:rFonts w:ascii="Garamond" w:hAnsi="Garamond" w:cstheme="minorHAnsi"/>
          <w:sz w:val="24"/>
          <w:szCs w:val="24"/>
        </w:rPr>
        <w:t>conflicts. Let us call this the ‘</w:t>
      </w:r>
      <w:r w:rsidRPr="00461D74">
        <w:rPr>
          <w:rFonts w:ascii="Garamond" w:hAnsi="Garamond" w:cstheme="minorHAnsi"/>
          <w:i/>
          <w:iCs/>
          <w:sz w:val="24"/>
          <w:szCs w:val="24"/>
        </w:rPr>
        <w:t>intellectual aspect of progress</w:t>
      </w:r>
      <w:r w:rsidR="002C69E5">
        <w:rPr>
          <w:rFonts w:ascii="Garamond" w:hAnsi="Garamond" w:cstheme="minorHAnsi"/>
          <w:i/>
          <w:iCs/>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51"/>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At this point the use of an example from philosophy of science can inform our discussion.</w:t>
      </w:r>
      <w:r w:rsidRPr="00461D74">
        <w:rPr>
          <w:rStyle w:val="FootnoteReference"/>
          <w:rFonts w:ascii="Garamond" w:hAnsi="Garamond" w:cstheme="minorHAnsi"/>
          <w:sz w:val="24"/>
          <w:szCs w:val="24"/>
        </w:rPr>
        <w:footnoteReference w:id="152"/>
      </w:r>
      <w:r w:rsidRPr="00461D74">
        <w:rPr>
          <w:rFonts w:ascii="Garamond" w:hAnsi="Garamond" w:cstheme="minorHAnsi"/>
          <w:sz w:val="24"/>
          <w:szCs w:val="24"/>
        </w:rPr>
        <w:t xml:space="preserve"> </w:t>
      </w:r>
      <w:r w:rsidR="00C97BAB">
        <w:rPr>
          <w:rFonts w:ascii="Garamond" w:hAnsi="Garamond" w:cstheme="minorHAnsi"/>
          <w:sz w:val="24"/>
          <w:szCs w:val="24"/>
        </w:rPr>
        <w:t xml:space="preserve">Here, </w:t>
      </w:r>
      <w:r w:rsidRPr="00461D74">
        <w:rPr>
          <w:rFonts w:ascii="Garamond" w:hAnsi="Garamond" w:cstheme="minorHAnsi"/>
          <w:sz w:val="24"/>
          <w:szCs w:val="24"/>
        </w:rPr>
        <w:t xml:space="preserve">I </w:t>
      </w:r>
      <w:r w:rsidR="00C97BAB">
        <w:rPr>
          <w:rFonts w:ascii="Garamond" w:hAnsi="Garamond" w:cstheme="minorHAnsi"/>
          <w:sz w:val="24"/>
          <w:szCs w:val="24"/>
        </w:rPr>
        <w:t>utilise</w:t>
      </w:r>
      <w:r w:rsidRPr="00461D74">
        <w:rPr>
          <w:rFonts w:ascii="Garamond" w:hAnsi="Garamond" w:cstheme="minorHAnsi"/>
          <w:sz w:val="24"/>
          <w:szCs w:val="24"/>
        </w:rPr>
        <w:t xml:space="preserve"> the example of</w:t>
      </w:r>
      <w:r w:rsidR="00C97BAB">
        <w:rPr>
          <w:rFonts w:ascii="Garamond" w:hAnsi="Garamond" w:cstheme="minorHAnsi"/>
          <w:sz w:val="24"/>
          <w:szCs w:val="24"/>
        </w:rPr>
        <w:t>fered by</w:t>
      </w:r>
      <w:r w:rsidRPr="00461D74">
        <w:rPr>
          <w:rFonts w:ascii="Garamond" w:hAnsi="Garamond" w:cstheme="minorHAnsi"/>
          <w:sz w:val="24"/>
          <w:szCs w:val="24"/>
        </w:rPr>
        <w:t xml:space="preserve"> Kuh</w:t>
      </w:r>
      <w:r w:rsidR="00482ECF">
        <w:rPr>
          <w:rFonts w:ascii="Garamond" w:hAnsi="Garamond" w:cstheme="minorHAnsi"/>
          <w:sz w:val="24"/>
          <w:szCs w:val="24"/>
        </w:rPr>
        <w:t>n in the philosophy of science</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53"/>
      </w:r>
      <w:r w:rsidRPr="00461D74">
        <w:rPr>
          <w:rFonts w:ascii="Garamond" w:hAnsi="Garamond" w:cstheme="minorHAnsi"/>
          <w:sz w:val="24"/>
          <w:szCs w:val="24"/>
        </w:rPr>
        <w:t xml:space="preserve"> On the </w:t>
      </w:r>
      <w:proofErr w:type="spellStart"/>
      <w:r w:rsidRPr="00461D74">
        <w:rPr>
          <w:rFonts w:ascii="Garamond" w:hAnsi="Garamond" w:cstheme="minorHAnsi"/>
          <w:sz w:val="24"/>
          <w:szCs w:val="24"/>
        </w:rPr>
        <w:t>Kuhnian</w:t>
      </w:r>
      <w:proofErr w:type="spellEnd"/>
      <w:r w:rsidRPr="00461D74">
        <w:rPr>
          <w:rFonts w:ascii="Garamond" w:hAnsi="Garamond" w:cstheme="minorHAnsi"/>
          <w:sz w:val="24"/>
          <w:szCs w:val="24"/>
        </w:rPr>
        <w:t xml:space="preserve"> model of scientific traditions,</w:t>
      </w:r>
      <w:r w:rsidRPr="00461D74">
        <w:rPr>
          <w:rStyle w:val="FootnoteReference"/>
          <w:rFonts w:ascii="Garamond" w:hAnsi="Garamond" w:cstheme="minorHAnsi"/>
          <w:sz w:val="24"/>
          <w:szCs w:val="24"/>
        </w:rPr>
        <w:footnoteReference w:id="154"/>
      </w:r>
      <w:r w:rsidRPr="00461D74">
        <w:rPr>
          <w:rFonts w:ascii="Garamond" w:hAnsi="Garamond" w:cstheme="minorHAnsi"/>
          <w:sz w:val="24"/>
          <w:szCs w:val="24"/>
        </w:rPr>
        <w:t xml:space="preserve"> scientific advance </w:t>
      </w:r>
      <w:r w:rsidR="00482ECF">
        <w:rPr>
          <w:rFonts w:ascii="Garamond" w:hAnsi="Garamond" w:cstheme="minorHAnsi"/>
          <w:sz w:val="24"/>
          <w:szCs w:val="24"/>
        </w:rPr>
        <w:t>depends</w:t>
      </w:r>
      <w:r w:rsidRPr="00461D74">
        <w:rPr>
          <w:rFonts w:ascii="Garamond" w:hAnsi="Garamond" w:cstheme="minorHAnsi"/>
          <w:sz w:val="24"/>
          <w:szCs w:val="24"/>
        </w:rPr>
        <w:t xml:space="preserve"> both on what Ku</w:t>
      </w:r>
      <w:r w:rsidR="00482ECF">
        <w:rPr>
          <w:rFonts w:ascii="Garamond" w:hAnsi="Garamond" w:cstheme="minorHAnsi"/>
          <w:sz w:val="24"/>
          <w:szCs w:val="24"/>
        </w:rPr>
        <w:t>hn identifies as normal science –</w:t>
      </w:r>
      <w:r w:rsidRPr="00461D74">
        <w:rPr>
          <w:rFonts w:ascii="Garamond" w:hAnsi="Garamond" w:cstheme="minorHAnsi"/>
          <w:sz w:val="24"/>
          <w:szCs w:val="24"/>
        </w:rPr>
        <w:t xml:space="preserve"> where scientists achieve advances in science by solving what ar</w:t>
      </w:r>
      <w:r w:rsidR="00482ECF">
        <w:rPr>
          <w:rFonts w:ascii="Garamond" w:hAnsi="Garamond" w:cstheme="minorHAnsi"/>
          <w:sz w:val="24"/>
          <w:szCs w:val="24"/>
        </w:rPr>
        <w:t>e more or less standard puzzles –</w:t>
      </w:r>
      <w:r w:rsidRPr="00461D74">
        <w:rPr>
          <w:rFonts w:ascii="Garamond" w:hAnsi="Garamond" w:cstheme="minorHAnsi"/>
          <w:sz w:val="24"/>
          <w:szCs w:val="24"/>
        </w:rPr>
        <w:t xml:space="preserve"> </w:t>
      </w:r>
      <w:r w:rsidR="00482ECF">
        <w:rPr>
          <w:rFonts w:ascii="Garamond" w:hAnsi="Garamond" w:cstheme="minorHAnsi"/>
          <w:sz w:val="24"/>
          <w:szCs w:val="24"/>
        </w:rPr>
        <w:t>as well as revolutionary science –</w:t>
      </w:r>
      <w:r w:rsidRPr="00461D74">
        <w:rPr>
          <w:rFonts w:ascii="Garamond" w:hAnsi="Garamond" w:cstheme="minorHAnsi"/>
          <w:sz w:val="24"/>
          <w:szCs w:val="24"/>
        </w:rPr>
        <w:t xml:space="preserve"> when the sheer number of anomalies and ad hoc procedures in a scientific tradition force scientists to fundamentally alter their approach to scientific problems. For Kuhn, during periods of revolutionary science, the basic premises underpinning the prevailing cosmology and metaphysics fail to adequately explain phenomena</w:t>
      </w:r>
      <w:r w:rsidR="00005C6A">
        <w:rPr>
          <w:rFonts w:ascii="Garamond" w:hAnsi="Garamond" w:cstheme="minorHAnsi"/>
          <w:sz w:val="24"/>
          <w:szCs w:val="24"/>
        </w:rPr>
        <w:t>,</w:t>
      </w:r>
      <w:r w:rsidRPr="00461D74">
        <w:rPr>
          <w:rFonts w:ascii="Garamond" w:hAnsi="Garamond" w:cstheme="minorHAnsi"/>
          <w:sz w:val="24"/>
          <w:szCs w:val="24"/>
        </w:rPr>
        <w:t xml:space="preserve"> and </w:t>
      </w:r>
      <w:r w:rsidR="00005C6A">
        <w:rPr>
          <w:rFonts w:ascii="Garamond" w:hAnsi="Garamond" w:cstheme="minorHAnsi"/>
          <w:sz w:val="24"/>
          <w:szCs w:val="24"/>
        </w:rPr>
        <w:t xml:space="preserve">therefore, they fail to advance a </w:t>
      </w:r>
      <w:r w:rsidRPr="00461D74">
        <w:rPr>
          <w:rFonts w:ascii="Garamond" w:hAnsi="Garamond" w:cstheme="minorHAnsi"/>
          <w:sz w:val="24"/>
          <w:szCs w:val="24"/>
        </w:rPr>
        <w:t xml:space="preserve">resolution of </w:t>
      </w:r>
      <w:r w:rsidR="00005C6A">
        <w:rPr>
          <w:rFonts w:ascii="Garamond" w:hAnsi="Garamond" w:cstheme="minorHAnsi"/>
          <w:sz w:val="24"/>
          <w:szCs w:val="24"/>
        </w:rPr>
        <w:t xml:space="preserve">the </w:t>
      </w:r>
      <w:r w:rsidRPr="00461D74">
        <w:rPr>
          <w:rFonts w:ascii="Garamond" w:hAnsi="Garamond" w:cstheme="minorHAnsi"/>
          <w:sz w:val="24"/>
          <w:szCs w:val="24"/>
        </w:rPr>
        <w:t xml:space="preserve">apparent conflict between theory and observation. Nonetheless, on rare occasions, new scientific traditions emerge from basic premises that specify the framework for a new world view – a new cosmology and metaphysics. What is relevant for the purpose of advancing </w:t>
      </w:r>
      <w:r w:rsidR="00A27EA9">
        <w:rPr>
          <w:rFonts w:ascii="Garamond" w:hAnsi="Garamond" w:cstheme="minorHAnsi"/>
          <w:sz w:val="24"/>
          <w:szCs w:val="24"/>
        </w:rPr>
        <w:t>my</w:t>
      </w:r>
      <w:r w:rsidRPr="00461D74">
        <w:rPr>
          <w:rFonts w:ascii="Garamond" w:hAnsi="Garamond" w:cstheme="minorHAnsi"/>
          <w:sz w:val="24"/>
          <w:szCs w:val="24"/>
        </w:rPr>
        <w:t xml:space="preserve"> argument is that </w:t>
      </w:r>
      <w:r w:rsidRPr="00461D74">
        <w:rPr>
          <w:rFonts w:ascii="Garamond" w:hAnsi="Garamond" w:cstheme="minorHAnsi"/>
          <w:sz w:val="24"/>
          <w:szCs w:val="24"/>
        </w:rPr>
        <w:lastRenderedPageBreak/>
        <w:t>for MacIntyre, the analogy from science can apply to moral inquiry.</w:t>
      </w:r>
      <w:r w:rsidRPr="00461D74">
        <w:rPr>
          <w:rStyle w:val="FootnoteReference"/>
          <w:rFonts w:ascii="Garamond" w:hAnsi="Garamond" w:cstheme="minorHAnsi"/>
          <w:sz w:val="24"/>
          <w:szCs w:val="24"/>
        </w:rPr>
        <w:footnoteReference w:id="155"/>
      </w:r>
      <w:r w:rsidRPr="00461D74" w:rsidDel="005F3EF8">
        <w:rPr>
          <w:rFonts w:ascii="Garamond" w:hAnsi="Garamond" w:cstheme="minorHAnsi"/>
          <w:sz w:val="24"/>
          <w:szCs w:val="24"/>
        </w:rPr>
        <w:t xml:space="preserve"> </w:t>
      </w:r>
      <w:r w:rsidRPr="00461D74">
        <w:rPr>
          <w:rFonts w:ascii="Garamond" w:hAnsi="Garamond" w:cstheme="minorHAnsi"/>
          <w:sz w:val="24"/>
          <w:szCs w:val="24"/>
        </w:rPr>
        <w:t>On this view, a new tradition emerges when it is better able to overcome limitations of some older tradition – namely, when it is better able to explain some feature of social or normative phenomena, and/or resolve a set of normative questions in ways that transcends the limitations of an earlier tradition. It is then, in a kind of intellectual or rational sense that moral inquiry is supposed to be historically progressive, and it is in this manner that the analogy between traditions in science and morality holds.</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Nonetheless, I emphasized earlier that for MacIntyre, this intellectual aspect of progress isn’t inevitable.</w:t>
      </w:r>
      <w:r w:rsidRPr="00461D74">
        <w:rPr>
          <w:rStyle w:val="FootnoteReference"/>
          <w:rFonts w:ascii="Garamond" w:hAnsi="Garamond" w:cstheme="minorHAnsi"/>
          <w:sz w:val="24"/>
          <w:szCs w:val="24"/>
        </w:rPr>
        <w:footnoteReference w:id="156"/>
      </w:r>
      <w:r w:rsidRPr="00461D74">
        <w:rPr>
          <w:rFonts w:ascii="Garamond" w:hAnsi="Garamond" w:cstheme="minorHAnsi"/>
          <w:sz w:val="24"/>
          <w:szCs w:val="24"/>
        </w:rPr>
        <w:t xml:space="preserve"> In fact, MacIntyre’s account not only hinges on showing how moral inquiry can get derailed, and hence, fail </w:t>
      </w:r>
      <w:r w:rsidR="003F2127">
        <w:rPr>
          <w:rFonts w:ascii="Garamond" w:hAnsi="Garamond" w:cstheme="minorHAnsi"/>
          <w:sz w:val="24"/>
          <w:szCs w:val="24"/>
        </w:rPr>
        <w:t>to</w:t>
      </w:r>
      <w:r w:rsidRPr="00461D74">
        <w:rPr>
          <w:rFonts w:ascii="Garamond" w:hAnsi="Garamond" w:cstheme="minorHAnsi"/>
          <w:sz w:val="24"/>
          <w:szCs w:val="24"/>
        </w:rPr>
        <w:t xml:space="preserve"> realiz</w:t>
      </w:r>
      <w:r w:rsidR="003F2127">
        <w:rPr>
          <w:rFonts w:ascii="Garamond" w:hAnsi="Garamond" w:cstheme="minorHAnsi"/>
          <w:sz w:val="24"/>
          <w:szCs w:val="24"/>
        </w:rPr>
        <w:t>e</w:t>
      </w:r>
      <w:r w:rsidRPr="00461D74">
        <w:rPr>
          <w:rFonts w:ascii="Garamond" w:hAnsi="Garamond" w:cstheme="minorHAnsi"/>
          <w:sz w:val="24"/>
          <w:szCs w:val="24"/>
        </w:rPr>
        <w:t xml:space="preserve"> progress, but in also </w:t>
      </w:r>
      <w:r w:rsidR="003F2127">
        <w:rPr>
          <w:rFonts w:ascii="Garamond" w:hAnsi="Garamond" w:cstheme="minorHAnsi"/>
          <w:sz w:val="24"/>
          <w:szCs w:val="24"/>
        </w:rPr>
        <w:t>demonstrating</w:t>
      </w:r>
      <w:r w:rsidRPr="00461D74">
        <w:rPr>
          <w:rFonts w:ascii="Garamond" w:hAnsi="Garamond" w:cstheme="minorHAnsi"/>
          <w:sz w:val="24"/>
          <w:szCs w:val="24"/>
        </w:rPr>
        <w:t xml:space="preserve"> how a tradition like Thomism, that on MacIntyre’s view possesses important intellectual resources, can be marginalized prematurely by later traditions </w:t>
      </w:r>
      <w:r w:rsidR="003F2127">
        <w:rPr>
          <w:rFonts w:ascii="Garamond" w:hAnsi="Garamond" w:cstheme="minorHAnsi"/>
          <w:sz w:val="24"/>
          <w:szCs w:val="24"/>
        </w:rPr>
        <w:t>– traditions which</w:t>
      </w:r>
      <w:r w:rsidRPr="00461D74">
        <w:rPr>
          <w:rFonts w:ascii="Garamond" w:hAnsi="Garamond" w:cstheme="minorHAnsi"/>
          <w:sz w:val="24"/>
          <w:szCs w:val="24"/>
        </w:rPr>
        <w:t xml:space="preserve"> do not possess important resources, precisely because they were discarded in the process. However, there is another aspect of ‘progress’ that we need to identify – namely, the ‘</w:t>
      </w:r>
      <w:r w:rsidRPr="00461D74">
        <w:rPr>
          <w:rFonts w:ascii="Garamond" w:hAnsi="Garamond" w:cstheme="minorHAnsi"/>
          <w:i/>
          <w:iCs/>
          <w:sz w:val="24"/>
          <w:szCs w:val="24"/>
        </w:rPr>
        <w:t>material aspect of progress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57"/>
      </w:r>
      <w:r w:rsidRPr="00461D74">
        <w:rPr>
          <w:rFonts w:ascii="Garamond" w:hAnsi="Garamond" w:cstheme="minorHAnsi"/>
          <w:sz w:val="24"/>
          <w:szCs w:val="24"/>
        </w:rPr>
        <w:t xml:space="preserve"> We could think of this aspect of progress in non-Marxist neutral terms</w:t>
      </w:r>
      <w:r w:rsidR="00A13728">
        <w:rPr>
          <w:rFonts w:ascii="Garamond" w:hAnsi="Garamond" w:cstheme="minorHAnsi"/>
          <w:sz w:val="24"/>
          <w:szCs w:val="24"/>
        </w:rPr>
        <w:t xml:space="preserve"> – namely, changes to the relevant sorts of material conditions</w:t>
      </w:r>
      <w:r w:rsidRPr="00461D74">
        <w:rPr>
          <w:rFonts w:ascii="Garamond" w:hAnsi="Garamond" w:cstheme="minorHAnsi"/>
          <w:sz w:val="24"/>
          <w:szCs w:val="24"/>
        </w:rPr>
        <w:t>.</w:t>
      </w:r>
      <w:r w:rsidR="00C15EC1">
        <w:rPr>
          <w:rStyle w:val="FootnoteReference"/>
          <w:rFonts w:ascii="Garamond" w:hAnsi="Garamond" w:cstheme="minorHAnsi"/>
          <w:sz w:val="24"/>
          <w:szCs w:val="24"/>
        </w:rPr>
        <w:footnoteReference w:id="158"/>
      </w:r>
      <w:r w:rsidRPr="00461D74">
        <w:rPr>
          <w:rFonts w:ascii="Garamond" w:hAnsi="Garamond" w:cstheme="minorHAnsi"/>
          <w:sz w:val="24"/>
          <w:szCs w:val="24"/>
        </w:rPr>
        <w:t xml:space="preserve"> </w:t>
      </w:r>
      <w:r w:rsidR="00A13728">
        <w:rPr>
          <w:rFonts w:ascii="Garamond" w:hAnsi="Garamond" w:cstheme="minorHAnsi"/>
          <w:sz w:val="24"/>
          <w:szCs w:val="24"/>
        </w:rPr>
        <w:t>On the neutral view, t</w:t>
      </w:r>
      <w:r w:rsidRPr="00461D74">
        <w:rPr>
          <w:rFonts w:ascii="Garamond" w:hAnsi="Garamond" w:cstheme="minorHAnsi"/>
          <w:sz w:val="24"/>
          <w:szCs w:val="24"/>
        </w:rPr>
        <w:t xml:space="preserve">he material aspect of progress can be defined in terms of an increase (or </w:t>
      </w:r>
      <w:r w:rsidR="00A13728">
        <w:rPr>
          <w:rFonts w:ascii="Garamond" w:hAnsi="Garamond" w:cstheme="minorHAnsi"/>
          <w:sz w:val="24"/>
          <w:szCs w:val="24"/>
        </w:rPr>
        <w:t xml:space="preserve">even </w:t>
      </w:r>
      <w:r w:rsidRPr="00461D74">
        <w:rPr>
          <w:rFonts w:ascii="Garamond" w:hAnsi="Garamond" w:cstheme="minorHAnsi"/>
          <w:sz w:val="24"/>
          <w:szCs w:val="24"/>
        </w:rPr>
        <w:t xml:space="preserve">a loss) of complexity </w:t>
      </w:r>
      <w:r w:rsidR="007E1668">
        <w:rPr>
          <w:rFonts w:ascii="Garamond" w:hAnsi="Garamond" w:cstheme="minorHAnsi"/>
          <w:sz w:val="24"/>
          <w:szCs w:val="24"/>
        </w:rPr>
        <w:t>in</w:t>
      </w:r>
      <w:r w:rsidRPr="00461D74">
        <w:rPr>
          <w:rFonts w:ascii="Garamond" w:hAnsi="Garamond" w:cstheme="minorHAnsi"/>
          <w:sz w:val="24"/>
          <w:szCs w:val="24"/>
        </w:rPr>
        <w:t xml:space="preserve"> the social structure, or even more generally, in terms of </w:t>
      </w:r>
      <w:r w:rsidR="00A13728">
        <w:rPr>
          <w:rFonts w:ascii="Garamond" w:hAnsi="Garamond" w:cstheme="minorHAnsi"/>
          <w:sz w:val="24"/>
          <w:szCs w:val="24"/>
        </w:rPr>
        <w:t xml:space="preserve">simply </w:t>
      </w:r>
      <w:r w:rsidRPr="00461D74">
        <w:rPr>
          <w:rFonts w:ascii="Garamond" w:hAnsi="Garamond" w:cstheme="minorHAnsi"/>
          <w:sz w:val="24"/>
          <w:szCs w:val="24"/>
        </w:rPr>
        <w:t xml:space="preserve">the historical progression and transformation of social structures. So for example, </w:t>
      </w:r>
      <w:r w:rsidRPr="00461D74">
        <w:rPr>
          <w:rFonts w:ascii="Garamond" w:hAnsi="Garamond" w:cstheme="minorHAnsi"/>
          <w:sz w:val="24"/>
          <w:szCs w:val="24"/>
        </w:rPr>
        <w:lastRenderedPageBreak/>
        <w:t xml:space="preserve">we could say that classical Greek society was one stage of material progress, while Homer’s archaic Greece is placed at an earlier stage; or that early modern Europe was another stage of material progress that succeeded the middle ages; or </w:t>
      </w:r>
      <w:r w:rsidR="004D064A">
        <w:rPr>
          <w:rFonts w:ascii="Garamond" w:hAnsi="Garamond" w:cstheme="minorHAnsi"/>
          <w:sz w:val="24"/>
          <w:szCs w:val="24"/>
        </w:rPr>
        <w:t>that</w:t>
      </w:r>
      <w:r w:rsidR="007E1668">
        <w:rPr>
          <w:rFonts w:ascii="Garamond" w:hAnsi="Garamond" w:cstheme="minorHAnsi"/>
          <w:sz w:val="24"/>
          <w:szCs w:val="24"/>
        </w:rPr>
        <w:t xml:space="preserve"> </w:t>
      </w:r>
      <w:r w:rsidRPr="00461D74">
        <w:rPr>
          <w:rFonts w:ascii="Garamond" w:hAnsi="Garamond" w:cstheme="minorHAnsi"/>
          <w:sz w:val="24"/>
          <w:szCs w:val="24"/>
        </w:rPr>
        <w:t>the gains contemporary liberal society has made over that of early modern Europe</w:t>
      </w:r>
      <w:r w:rsidR="007E1668">
        <w:rPr>
          <w:rFonts w:ascii="Garamond" w:hAnsi="Garamond" w:cstheme="minorHAnsi"/>
          <w:sz w:val="24"/>
          <w:szCs w:val="24"/>
        </w:rPr>
        <w:t>,</w:t>
      </w:r>
      <w:r w:rsidRPr="00461D74">
        <w:rPr>
          <w:rFonts w:ascii="Garamond" w:hAnsi="Garamond" w:cstheme="minorHAnsi"/>
          <w:sz w:val="24"/>
          <w:szCs w:val="24"/>
        </w:rPr>
        <w:t xml:space="preserve"> represent yet another stage. </w:t>
      </w:r>
      <w:r w:rsidR="00EA2F2E">
        <w:rPr>
          <w:rFonts w:ascii="Garamond" w:hAnsi="Garamond" w:cstheme="minorHAnsi"/>
          <w:sz w:val="24"/>
          <w:szCs w:val="24"/>
        </w:rPr>
        <w:t>All of t</w:t>
      </w:r>
      <w:r w:rsidRPr="00461D74">
        <w:rPr>
          <w:rFonts w:ascii="Garamond" w:hAnsi="Garamond" w:cstheme="minorHAnsi"/>
          <w:sz w:val="24"/>
          <w:szCs w:val="24"/>
        </w:rPr>
        <w:t xml:space="preserve">hese examples </w:t>
      </w:r>
      <w:r w:rsidR="00EA2F2E">
        <w:rPr>
          <w:rFonts w:ascii="Garamond" w:hAnsi="Garamond" w:cstheme="minorHAnsi"/>
          <w:sz w:val="24"/>
          <w:szCs w:val="24"/>
        </w:rPr>
        <w:t>described</w:t>
      </w:r>
      <w:r w:rsidRPr="00461D74">
        <w:rPr>
          <w:rFonts w:ascii="Garamond" w:hAnsi="Garamond" w:cstheme="minorHAnsi"/>
          <w:sz w:val="24"/>
          <w:szCs w:val="24"/>
        </w:rPr>
        <w:t xml:space="preserve"> an increase in the complexity of the social order; </w:t>
      </w:r>
      <w:r w:rsidR="00EA2F2E">
        <w:rPr>
          <w:rFonts w:ascii="Garamond" w:hAnsi="Garamond" w:cstheme="minorHAnsi"/>
          <w:sz w:val="24"/>
          <w:szCs w:val="24"/>
        </w:rPr>
        <w:t>but</w:t>
      </w:r>
      <w:r w:rsidRPr="00461D74">
        <w:rPr>
          <w:rFonts w:ascii="Garamond" w:hAnsi="Garamond" w:cstheme="minorHAnsi"/>
          <w:sz w:val="24"/>
          <w:szCs w:val="24"/>
        </w:rPr>
        <w:t xml:space="preserve"> we could similarly </w:t>
      </w:r>
      <w:r w:rsidR="00EA2F2E">
        <w:rPr>
          <w:rFonts w:ascii="Garamond" w:hAnsi="Garamond" w:cstheme="minorHAnsi"/>
          <w:sz w:val="24"/>
          <w:szCs w:val="24"/>
        </w:rPr>
        <w:t>argue</w:t>
      </w:r>
      <w:r w:rsidRPr="00461D74">
        <w:rPr>
          <w:rFonts w:ascii="Garamond" w:hAnsi="Garamond" w:cstheme="minorHAnsi"/>
          <w:sz w:val="24"/>
          <w:szCs w:val="24"/>
        </w:rPr>
        <w:t xml:space="preserve"> that while the early Middle Ages represented a later </w:t>
      </w:r>
      <w:r w:rsidR="00F762E0">
        <w:rPr>
          <w:rFonts w:ascii="Garamond" w:hAnsi="Garamond" w:cstheme="minorHAnsi"/>
          <w:sz w:val="24"/>
          <w:szCs w:val="24"/>
        </w:rPr>
        <w:t>(</w:t>
      </w:r>
      <w:r w:rsidRPr="00461D74">
        <w:rPr>
          <w:rFonts w:ascii="Garamond" w:hAnsi="Garamond" w:cstheme="minorHAnsi"/>
          <w:sz w:val="24"/>
          <w:szCs w:val="24"/>
        </w:rPr>
        <w:t>chronological</w:t>
      </w:r>
      <w:r w:rsidR="00F762E0">
        <w:rPr>
          <w:rFonts w:ascii="Garamond" w:hAnsi="Garamond" w:cstheme="minorHAnsi"/>
          <w:sz w:val="24"/>
          <w:szCs w:val="24"/>
        </w:rPr>
        <w:t>)</w:t>
      </w:r>
      <w:r w:rsidRPr="00461D74">
        <w:rPr>
          <w:rFonts w:ascii="Garamond" w:hAnsi="Garamond" w:cstheme="minorHAnsi"/>
          <w:sz w:val="24"/>
          <w:szCs w:val="24"/>
        </w:rPr>
        <w:t xml:space="preserve"> stage of progress than the Roman Empire, it represented an historical juncture which epitomized a loss of complexity in the social structure, relative to late (Roman) antiquity.</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While the material definition of progress is not necessarily inevitable – for example, human beings could potentially make the planet uninhabitable or a major natural disaster could wipe out humanity so that there is no longer any social structure to refer to – the conditions that satisfy this definition of progress is much less prohibitive than for example the conditions that would satisfy the definition for the intellectual aspect of progress. What should be emphasized is that for MacIntyre, it is possible to realize the material aspect of progress, without its intellectual aspect, and so we must draw a distinction between these two aspects.</w:t>
      </w:r>
      <w:r w:rsidRPr="00461D74">
        <w:rPr>
          <w:rStyle w:val="FootnoteReference"/>
          <w:rFonts w:ascii="Garamond" w:hAnsi="Garamond" w:cstheme="minorHAnsi"/>
          <w:sz w:val="24"/>
          <w:szCs w:val="24"/>
        </w:rPr>
        <w:footnoteReference w:id="159"/>
      </w:r>
      <w:r w:rsidRPr="00461D74">
        <w:rPr>
          <w:rFonts w:ascii="Garamond" w:hAnsi="Garamond" w:cstheme="minorHAnsi"/>
          <w:sz w:val="24"/>
          <w:szCs w:val="24"/>
        </w:rPr>
        <w:t xml:space="preserve"> </w:t>
      </w:r>
    </w:p>
    <w:p w:rsidR="00694E40" w:rsidRPr="00461D74" w:rsidRDefault="00694E40"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Here, I would like to suggest that MacIntyre’s criticism of contemporary ethics, the liberal tradition, and modern society, rests on how effectively he can maintain this distinction within the confines of his historical-contextualist account – an</w:t>
      </w:r>
      <w:r w:rsidR="00753D7B">
        <w:rPr>
          <w:rFonts w:ascii="Garamond" w:hAnsi="Garamond" w:cstheme="minorHAnsi"/>
          <w:sz w:val="24"/>
          <w:szCs w:val="24"/>
        </w:rPr>
        <w:t>d this</w:t>
      </w:r>
      <w:r w:rsidRPr="00461D74">
        <w:rPr>
          <w:rFonts w:ascii="Garamond" w:hAnsi="Garamond" w:cstheme="minorHAnsi"/>
          <w:sz w:val="24"/>
          <w:szCs w:val="24"/>
        </w:rPr>
        <w:t xml:space="preserve"> account </w:t>
      </w:r>
      <w:r w:rsidR="00753D7B">
        <w:rPr>
          <w:rFonts w:ascii="Garamond" w:hAnsi="Garamond" w:cstheme="minorHAnsi"/>
          <w:sz w:val="24"/>
          <w:szCs w:val="24"/>
        </w:rPr>
        <w:t xml:space="preserve">is </w:t>
      </w:r>
      <w:r w:rsidRPr="00461D74">
        <w:rPr>
          <w:rFonts w:ascii="Garamond" w:hAnsi="Garamond" w:cstheme="minorHAnsi"/>
          <w:sz w:val="24"/>
          <w:szCs w:val="24"/>
        </w:rPr>
        <w:t xml:space="preserve">ultimately a product of the close connection and mutual interdependence MacIntyre draws between ethics and the social structure. Given that </w:t>
      </w:r>
      <w:r w:rsidR="00C949EA">
        <w:rPr>
          <w:rFonts w:ascii="Garamond" w:hAnsi="Garamond" w:cstheme="minorHAnsi"/>
          <w:sz w:val="24"/>
          <w:szCs w:val="24"/>
        </w:rPr>
        <w:t>MacI</w:t>
      </w:r>
      <w:r w:rsidRPr="00461D74">
        <w:rPr>
          <w:rFonts w:ascii="Garamond" w:hAnsi="Garamond" w:cstheme="minorHAnsi"/>
          <w:sz w:val="24"/>
          <w:szCs w:val="24"/>
        </w:rPr>
        <w:t xml:space="preserve">ntyre agrees with the fact of material progress and he knows that there is no way of going back to the social-cum-historical context of the Thomistic </w:t>
      </w:r>
      <w:r w:rsidRPr="00461D74">
        <w:rPr>
          <w:rFonts w:ascii="Garamond" w:hAnsi="Garamond" w:cstheme="minorHAnsi"/>
          <w:sz w:val="24"/>
          <w:szCs w:val="24"/>
        </w:rPr>
        <w:lastRenderedPageBreak/>
        <w:t>tradition, the success of his project rests on whether he is able to grant the material aspect of progress, while continuing to maintain this distinction by offering a reasonable justification that – that traditions which superseded Aristotelian-Thomism, failed in realising the intellectual aspect of progress. If this attempt is then successful, MacIntyre can potentially capture important teleological insights from the Aristotelian-Thomistic tradition and appropriate them for use in contemporary moral inquiry, without violating his earlier (historicist-cum-contextualist) commitments.</w:t>
      </w:r>
    </w:p>
    <w:p w:rsidR="00694E40" w:rsidRDefault="00694E40" w:rsidP="004E7DA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the next section I turn to tracing the historical background to the decline of Aristotelian-Thomism, </w:t>
      </w:r>
      <w:r w:rsidR="00F7388A">
        <w:rPr>
          <w:rFonts w:ascii="Garamond" w:hAnsi="Garamond" w:cstheme="minorHAnsi"/>
          <w:sz w:val="24"/>
          <w:szCs w:val="24"/>
        </w:rPr>
        <w:t>in order to</w:t>
      </w:r>
      <w:r w:rsidRPr="00461D74">
        <w:rPr>
          <w:rFonts w:ascii="Garamond" w:hAnsi="Garamond" w:cstheme="minorHAnsi"/>
          <w:sz w:val="24"/>
          <w:szCs w:val="24"/>
        </w:rPr>
        <w:t>, at least as a first approximation, contend that MacIntyre will have a difficult task maintaining this distinction,</w:t>
      </w:r>
      <w:r w:rsidR="00DC2F26">
        <w:rPr>
          <w:rStyle w:val="FootnoteReference"/>
          <w:rFonts w:ascii="Garamond" w:hAnsi="Garamond" w:cstheme="minorHAnsi"/>
          <w:sz w:val="24"/>
          <w:szCs w:val="24"/>
        </w:rPr>
        <w:footnoteReference w:id="160"/>
      </w:r>
      <w:r w:rsidRPr="00461D74">
        <w:rPr>
          <w:rFonts w:ascii="Garamond" w:hAnsi="Garamond" w:cstheme="minorHAnsi"/>
          <w:sz w:val="24"/>
          <w:szCs w:val="24"/>
        </w:rPr>
        <w:t xml:space="preserve"> precisely because there is an alternative story – </w:t>
      </w:r>
      <w:r w:rsidRPr="00461D74">
        <w:rPr>
          <w:rFonts w:ascii="Garamond" w:hAnsi="Garamond" w:cstheme="minorHAnsi"/>
          <w:i/>
          <w:sz w:val="24"/>
          <w:szCs w:val="24"/>
        </w:rPr>
        <w:t>the story of science</w:t>
      </w:r>
      <w:r w:rsidRPr="00461D74">
        <w:rPr>
          <w:rFonts w:ascii="Garamond" w:hAnsi="Garamond" w:cstheme="minorHAnsi"/>
          <w:sz w:val="24"/>
          <w:szCs w:val="24"/>
        </w:rPr>
        <w:t xml:space="preserve"> – that could afford us a reasonable explanation for the decline of Thomism.</w:t>
      </w:r>
      <w:r w:rsidR="00C4726F">
        <w:rPr>
          <w:rStyle w:val="FootnoteReference"/>
          <w:rFonts w:ascii="Garamond" w:hAnsi="Garamond" w:cstheme="minorHAnsi"/>
          <w:sz w:val="24"/>
          <w:szCs w:val="24"/>
        </w:rPr>
        <w:footnoteReference w:id="161"/>
      </w:r>
      <w:r w:rsidR="009E7D68">
        <w:rPr>
          <w:rFonts w:ascii="Garamond" w:hAnsi="Garamond" w:cstheme="minorHAnsi"/>
          <w:sz w:val="24"/>
          <w:szCs w:val="24"/>
        </w:rPr>
        <w:t xml:space="preserve"> Still, I should qualify this</w:t>
      </w:r>
      <w:r w:rsidR="00C51C98">
        <w:rPr>
          <w:rFonts w:ascii="Garamond" w:hAnsi="Garamond" w:cstheme="minorHAnsi"/>
          <w:sz w:val="24"/>
          <w:szCs w:val="24"/>
        </w:rPr>
        <w:t>,</w:t>
      </w:r>
      <w:r w:rsidR="009E7D68">
        <w:rPr>
          <w:rFonts w:ascii="Garamond" w:hAnsi="Garamond" w:cstheme="minorHAnsi"/>
          <w:sz w:val="24"/>
          <w:szCs w:val="24"/>
        </w:rPr>
        <w:t xml:space="preserve"> since </w:t>
      </w:r>
      <w:r w:rsidR="00C51C98">
        <w:rPr>
          <w:rFonts w:ascii="Garamond" w:hAnsi="Garamond" w:cstheme="minorHAnsi"/>
          <w:sz w:val="24"/>
          <w:szCs w:val="24"/>
        </w:rPr>
        <w:t xml:space="preserve">I </w:t>
      </w:r>
      <w:r w:rsidR="009E7D68">
        <w:rPr>
          <w:rFonts w:ascii="Garamond" w:hAnsi="Garamond" w:cstheme="minorHAnsi"/>
          <w:sz w:val="24"/>
          <w:szCs w:val="24"/>
        </w:rPr>
        <w:t>do not mean to say there are no other stories that could form a more general narrative explanation for the decline of Thomism, or perhaps act as a component in a larger historical explanation for the intellectual and scientific progress made by Western European societies in the early modern period.</w:t>
      </w:r>
      <w:r w:rsidR="009E7D68">
        <w:rPr>
          <w:rStyle w:val="FootnoteReference"/>
          <w:rFonts w:ascii="Garamond" w:hAnsi="Garamond" w:cstheme="minorHAnsi"/>
          <w:sz w:val="24"/>
          <w:szCs w:val="24"/>
        </w:rPr>
        <w:footnoteReference w:id="162"/>
      </w:r>
    </w:p>
    <w:p w:rsidR="009103EF" w:rsidRPr="004E7DAA" w:rsidRDefault="009103EF" w:rsidP="009103EF">
      <w:pPr>
        <w:spacing w:line="360" w:lineRule="auto"/>
        <w:jc w:val="both"/>
        <w:rPr>
          <w:rFonts w:ascii="Garamond" w:hAnsi="Garamond" w:cstheme="minorHAnsi"/>
          <w:sz w:val="24"/>
          <w:szCs w:val="24"/>
        </w:rPr>
      </w:pPr>
    </w:p>
    <w:p w:rsidR="00016049" w:rsidRPr="00461D74" w:rsidRDefault="000B58AA" w:rsidP="00164E4D">
      <w:pPr>
        <w:pStyle w:val="Heading2"/>
        <w:spacing w:line="360" w:lineRule="auto"/>
        <w:jc w:val="both"/>
        <w:rPr>
          <w:rFonts w:cstheme="majorHAnsi"/>
        </w:rPr>
      </w:pPr>
      <w:bookmarkStart w:id="17" w:name="_Toc528077799"/>
      <w:r w:rsidRPr="00461D74">
        <w:rPr>
          <w:rFonts w:cstheme="majorHAnsi"/>
        </w:rPr>
        <w:t>3</w:t>
      </w:r>
      <w:r w:rsidR="00195ABA" w:rsidRPr="00461D74">
        <w:rPr>
          <w:rFonts w:cstheme="majorHAnsi"/>
        </w:rPr>
        <w:t xml:space="preserve">. </w:t>
      </w:r>
      <w:r w:rsidR="00016049" w:rsidRPr="00461D74">
        <w:rPr>
          <w:rFonts w:cstheme="majorHAnsi"/>
        </w:rPr>
        <w:t>The Background to the Decline of Thomism</w:t>
      </w:r>
      <w:bookmarkEnd w:id="17"/>
    </w:p>
    <w:p w:rsidR="00CA24A6" w:rsidRPr="00461D74" w:rsidRDefault="00CA24A6" w:rsidP="00164E4D">
      <w:pPr>
        <w:spacing w:line="360" w:lineRule="auto"/>
        <w:jc w:val="both"/>
        <w:rPr>
          <w:rFonts w:ascii="Garamond" w:hAnsi="Garamond" w:cstheme="minorHAnsi"/>
          <w:sz w:val="24"/>
          <w:szCs w:val="24"/>
          <w:lang w:val="en-GB"/>
        </w:rPr>
      </w:pP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 xml:space="preserve">Earlier, I indicated that the process of historical development in some sense has marginalized Aristotelian-Thomism as a mode of inquiry. Hence, MacIntyre has to offer an explanation for this marginalization </w:t>
      </w:r>
      <w:r w:rsidR="001F768A" w:rsidRPr="00461D74">
        <w:rPr>
          <w:rFonts w:ascii="Garamond" w:hAnsi="Garamond" w:cstheme="minorHAnsi"/>
          <w:sz w:val="24"/>
          <w:szCs w:val="24"/>
        </w:rPr>
        <w:t xml:space="preserve">because </w:t>
      </w:r>
      <w:r w:rsidRPr="00461D74">
        <w:rPr>
          <w:rFonts w:ascii="Garamond" w:hAnsi="Garamond" w:cstheme="minorHAnsi"/>
          <w:sz w:val="24"/>
          <w:szCs w:val="24"/>
        </w:rPr>
        <w:t xml:space="preserve">under his contextualist-historical account of the development of moral inquiry, traditions succeed each other. Just as important is the fact that not only does MacIntyre </w:t>
      </w:r>
      <w:r w:rsidR="003143F5" w:rsidRPr="00461D74">
        <w:rPr>
          <w:rFonts w:ascii="Garamond" w:hAnsi="Garamond" w:cstheme="minorHAnsi"/>
          <w:sz w:val="24"/>
          <w:szCs w:val="24"/>
        </w:rPr>
        <w:t xml:space="preserve">stress </w:t>
      </w:r>
      <w:r w:rsidRPr="00461D74">
        <w:rPr>
          <w:rFonts w:ascii="Garamond" w:hAnsi="Garamond" w:cstheme="minorHAnsi"/>
          <w:sz w:val="24"/>
          <w:szCs w:val="24"/>
        </w:rPr>
        <w:t xml:space="preserve">the developmental </w:t>
      </w:r>
      <w:r w:rsidR="003143F5" w:rsidRPr="00461D74">
        <w:rPr>
          <w:rFonts w:ascii="Garamond" w:hAnsi="Garamond" w:cstheme="minorHAnsi"/>
          <w:sz w:val="24"/>
          <w:szCs w:val="24"/>
        </w:rPr>
        <w:t xml:space="preserve">as well as the </w:t>
      </w:r>
      <w:r w:rsidRPr="00461D74">
        <w:rPr>
          <w:rFonts w:ascii="Garamond" w:hAnsi="Garamond" w:cstheme="minorHAnsi"/>
          <w:sz w:val="24"/>
          <w:szCs w:val="24"/>
        </w:rPr>
        <w:t>historical</w:t>
      </w:r>
      <w:r w:rsidR="003143F5" w:rsidRPr="00461D74">
        <w:rPr>
          <w:rFonts w:ascii="Garamond" w:hAnsi="Garamond" w:cstheme="minorHAnsi"/>
          <w:sz w:val="24"/>
          <w:szCs w:val="24"/>
        </w:rPr>
        <w:t xml:space="preserve">-contextual </w:t>
      </w:r>
      <w:r w:rsidRPr="00461D74">
        <w:rPr>
          <w:rFonts w:ascii="Garamond" w:hAnsi="Garamond" w:cstheme="minorHAnsi"/>
          <w:sz w:val="24"/>
          <w:szCs w:val="24"/>
        </w:rPr>
        <w:t>nature of tradition-guided moral inquiry</w:t>
      </w:r>
      <w:r w:rsidR="003143F5" w:rsidRPr="00461D74">
        <w:rPr>
          <w:rFonts w:ascii="Garamond" w:hAnsi="Garamond" w:cstheme="minorHAnsi"/>
          <w:sz w:val="24"/>
          <w:szCs w:val="24"/>
        </w:rPr>
        <w:t>,</w:t>
      </w:r>
      <w:r w:rsidRPr="00461D74">
        <w:rPr>
          <w:rFonts w:ascii="Garamond" w:hAnsi="Garamond" w:cstheme="minorHAnsi"/>
          <w:sz w:val="24"/>
          <w:szCs w:val="24"/>
        </w:rPr>
        <w:t xml:space="preserve"> </w:t>
      </w:r>
      <w:r w:rsidR="00EB7E3A">
        <w:rPr>
          <w:rFonts w:ascii="Garamond" w:hAnsi="Garamond" w:cstheme="minorHAnsi"/>
          <w:sz w:val="24"/>
          <w:szCs w:val="24"/>
        </w:rPr>
        <w:t xml:space="preserve">but also </w:t>
      </w:r>
      <w:r w:rsidRPr="00461D74">
        <w:rPr>
          <w:rFonts w:ascii="Garamond" w:hAnsi="Garamond" w:cstheme="minorHAnsi"/>
          <w:sz w:val="24"/>
          <w:szCs w:val="24"/>
        </w:rPr>
        <w:t xml:space="preserve">his account connects moral inquiry – and morality more generally – to the background social structure. So why was the Thomistic tradition displaced through historical developments in the history of morality, if it in fact was a superior tradition as MacIntyre claims? While we do not find an answer to this specific question in </w:t>
      </w:r>
      <w:r w:rsidRPr="00461D74">
        <w:rPr>
          <w:rFonts w:ascii="Garamond" w:hAnsi="Garamond" w:cstheme="minorHAnsi"/>
          <w:i/>
          <w:iCs/>
          <w:sz w:val="24"/>
          <w:szCs w:val="24"/>
        </w:rPr>
        <w:t xml:space="preserve">After </w:t>
      </w:r>
      <w:proofErr w:type="gramStart"/>
      <w:r w:rsidRPr="00461D74">
        <w:rPr>
          <w:rFonts w:ascii="Garamond" w:hAnsi="Garamond" w:cstheme="minorHAnsi"/>
          <w:i/>
          <w:iCs/>
          <w:sz w:val="24"/>
          <w:szCs w:val="24"/>
        </w:rPr>
        <w:t>Virtue</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63"/>
      </w:r>
      <w:r w:rsidRPr="00461D74">
        <w:rPr>
          <w:rFonts w:ascii="Garamond" w:hAnsi="Garamond" w:cstheme="minorHAnsi"/>
          <w:sz w:val="24"/>
          <w:szCs w:val="24"/>
        </w:rPr>
        <w:t xml:space="preserve"> nor in </w:t>
      </w:r>
      <w:r w:rsidRPr="00461D74">
        <w:rPr>
          <w:rFonts w:ascii="Garamond" w:hAnsi="Garamond" w:cstheme="minorHAnsi"/>
          <w:i/>
          <w:iCs/>
          <w:sz w:val="24"/>
          <w:szCs w:val="24"/>
        </w:rPr>
        <w:t>Whose Justice</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64"/>
      </w:r>
      <w:proofErr w:type="gramEnd"/>
      <w:r w:rsidRPr="00461D74">
        <w:rPr>
          <w:rFonts w:ascii="Garamond" w:hAnsi="Garamond" w:cstheme="minorHAnsi"/>
          <w:sz w:val="24"/>
          <w:szCs w:val="24"/>
        </w:rPr>
        <w:t xml:space="preserve"> MacIntyre broadly blames the marginalization of Aristotelian philosophy, and more specifically, Aristotle’s metaphysics and teleology, for the decline and eventual dismissal of Aristotelian ethics.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find that an account not so dissimilar to the one presented by MacIntyre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was offered by </w:t>
      </w:r>
      <w:proofErr w:type="spellStart"/>
      <w:r w:rsidRPr="00461D74">
        <w:rPr>
          <w:rFonts w:ascii="Garamond" w:hAnsi="Garamond" w:cstheme="minorHAnsi"/>
          <w:sz w:val="24"/>
          <w:szCs w:val="24"/>
        </w:rPr>
        <w:t>Anscombe</w:t>
      </w:r>
      <w:proofErr w:type="spellEnd"/>
      <w:r w:rsidRPr="00461D74">
        <w:rPr>
          <w:rFonts w:ascii="Garamond" w:hAnsi="Garamond" w:cstheme="minorHAnsi"/>
          <w:sz w:val="24"/>
          <w:szCs w:val="24"/>
        </w:rPr>
        <w:t xml:space="preserve"> in her seminal paper ‘Modern Moral Philosophy</w:t>
      </w:r>
      <w:r w:rsidR="009139FC">
        <w:rPr>
          <w:rFonts w:ascii="Garamond" w:hAnsi="Garamond" w:cstheme="minorHAnsi"/>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65"/>
      </w:r>
      <w:r w:rsidRPr="00461D74">
        <w:rPr>
          <w:rFonts w:ascii="Garamond" w:hAnsi="Garamond" w:cstheme="minorHAnsi"/>
          <w:sz w:val="24"/>
          <w:szCs w:val="24"/>
        </w:rPr>
        <w:t xml:space="preserve"> In this paper</w:t>
      </w:r>
      <w:r w:rsidR="00EB7E3A">
        <w:rPr>
          <w:rFonts w:ascii="Garamond" w:hAnsi="Garamond" w:cstheme="minorHAnsi"/>
          <w:sz w:val="24"/>
          <w:szCs w:val="24"/>
        </w:rPr>
        <w:t>,</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Anscombe</w:t>
      </w:r>
      <w:proofErr w:type="spellEnd"/>
      <w:r w:rsidRPr="00461D74">
        <w:rPr>
          <w:rFonts w:ascii="Garamond" w:hAnsi="Garamond" w:cstheme="minorHAnsi"/>
          <w:sz w:val="24"/>
          <w:szCs w:val="24"/>
        </w:rPr>
        <w:t xml:space="preserve"> suggests that the words we use in everyday moral language such as ‘ought</w:t>
      </w:r>
      <w:r w:rsidR="009139FC">
        <w:rPr>
          <w:rFonts w:ascii="Garamond" w:hAnsi="Garamond" w:cstheme="minorHAnsi"/>
          <w:sz w:val="24"/>
          <w:szCs w:val="24"/>
        </w:rPr>
        <w:t>,</w:t>
      </w:r>
      <w:r w:rsidRPr="00461D74">
        <w:rPr>
          <w:rFonts w:ascii="Garamond" w:hAnsi="Garamond" w:cstheme="minorHAnsi"/>
          <w:sz w:val="24"/>
          <w:szCs w:val="24"/>
        </w:rPr>
        <w:t>’ ‘duty</w:t>
      </w:r>
      <w:r w:rsidR="009139FC">
        <w:rPr>
          <w:rFonts w:ascii="Garamond" w:hAnsi="Garamond" w:cstheme="minorHAnsi"/>
          <w:sz w:val="24"/>
          <w:szCs w:val="24"/>
        </w:rPr>
        <w:t>,</w:t>
      </w:r>
      <w:r w:rsidRPr="00461D74">
        <w:rPr>
          <w:rFonts w:ascii="Garamond" w:hAnsi="Garamond" w:cstheme="minorHAnsi"/>
          <w:sz w:val="24"/>
          <w:szCs w:val="24"/>
        </w:rPr>
        <w:t>’ ‘obligation</w:t>
      </w:r>
      <w:r w:rsidR="009139FC">
        <w:rPr>
          <w:rFonts w:ascii="Garamond" w:hAnsi="Garamond" w:cstheme="minorHAnsi"/>
          <w:sz w:val="24"/>
          <w:szCs w:val="24"/>
        </w:rPr>
        <w:t>,</w:t>
      </w:r>
      <w:r w:rsidRPr="00461D74">
        <w:rPr>
          <w:rFonts w:ascii="Garamond" w:hAnsi="Garamond" w:cstheme="minorHAnsi"/>
          <w:sz w:val="24"/>
          <w:szCs w:val="24"/>
        </w:rPr>
        <w:t>’ ‘right</w:t>
      </w:r>
      <w:r w:rsidR="009139FC">
        <w:rPr>
          <w:rFonts w:ascii="Garamond" w:hAnsi="Garamond" w:cstheme="minorHAnsi"/>
          <w:sz w:val="24"/>
          <w:szCs w:val="24"/>
        </w:rPr>
        <w:t>,</w:t>
      </w:r>
      <w:r w:rsidRPr="00461D74">
        <w:rPr>
          <w:rFonts w:ascii="Garamond" w:hAnsi="Garamond" w:cstheme="minorHAnsi"/>
          <w:sz w:val="24"/>
          <w:szCs w:val="24"/>
        </w:rPr>
        <w:t>’ and ‘wrong</w:t>
      </w:r>
      <w:r w:rsidR="009139FC">
        <w:rPr>
          <w:rFonts w:ascii="Garamond" w:hAnsi="Garamond" w:cstheme="minorHAnsi"/>
          <w:sz w:val="24"/>
          <w:szCs w:val="24"/>
        </w:rPr>
        <w:t>,</w:t>
      </w:r>
      <w:r w:rsidRPr="00461D74">
        <w:rPr>
          <w:rFonts w:ascii="Garamond" w:hAnsi="Garamond" w:cstheme="minorHAnsi"/>
          <w:sz w:val="24"/>
          <w:szCs w:val="24"/>
        </w:rPr>
        <w:t>’ lack the conceptual background that made them intelligible; and that in fact</w:t>
      </w:r>
      <w:r w:rsidR="00813B2A">
        <w:rPr>
          <w:rFonts w:ascii="Garamond" w:hAnsi="Garamond" w:cstheme="minorHAnsi"/>
          <w:sz w:val="24"/>
          <w:szCs w:val="24"/>
        </w:rPr>
        <w:t>,</w:t>
      </w:r>
      <w:r w:rsidRPr="00461D74">
        <w:rPr>
          <w:rFonts w:ascii="Garamond" w:hAnsi="Garamond" w:cstheme="minorHAnsi"/>
          <w:sz w:val="24"/>
          <w:szCs w:val="24"/>
        </w:rPr>
        <w:t xml:space="preserve"> they are vestiges of a Christian divine-command ethics</w:t>
      </w:r>
      <w:r w:rsidR="00F25247">
        <w:rPr>
          <w:rFonts w:ascii="Garamond" w:hAnsi="Garamond" w:cstheme="minorHAnsi"/>
          <w:sz w:val="24"/>
          <w:szCs w:val="24"/>
        </w:rPr>
        <w:t>,</w:t>
      </w:r>
      <w:r w:rsidRPr="00461D74">
        <w:rPr>
          <w:rFonts w:ascii="Garamond" w:hAnsi="Garamond" w:cstheme="minorHAnsi"/>
          <w:sz w:val="24"/>
          <w:szCs w:val="24"/>
        </w:rPr>
        <w:t xml:space="preserve"> </w:t>
      </w:r>
      <w:r w:rsidR="00F25247">
        <w:rPr>
          <w:rFonts w:ascii="Garamond" w:hAnsi="Garamond" w:cstheme="minorHAnsi"/>
          <w:sz w:val="24"/>
          <w:szCs w:val="24"/>
        </w:rPr>
        <w:t>which</w:t>
      </w:r>
      <w:r w:rsidR="00F25247" w:rsidRPr="00461D74">
        <w:rPr>
          <w:rFonts w:ascii="Garamond" w:hAnsi="Garamond" w:cstheme="minorHAnsi"/>
          <w:sz w:val="24"/>
          <w:szCs w:val="24"/>
        </w:rPr>
        <w:t xml:space="preserve"> </w:t>
      </w:r>
      <w:r w:rsidR="00EB7E3A">
        <w:rPr>
          <w:rFonts w:ascii="Garamond" w:hAnsi="Garamond" w:cstheme="minorHAnsi"/>
          <w:sz w:val="24"/>
          <w:szCs w:val="24"/>
        </w:rPr>
        <w:t xml:space="preserve">became </w:t>
      </w:r>
      <w:r w:rsidRPr="00461D74">
        <w:rPr>
          <w:rFonts w:ascii="Garamond" w:hAnsi="Garamond" w:cstheme="minorHAnsi"/>
          <w:sz w:val="24"/>
          <w:szCs w:val="24"/>
        </w:rPr>
        <w:t xml:space="preserve">prevalent after </w:t>
      </w:r>
      <w:r w:rsidR="00813B2A">
        <w:rPr>
          <w:rFonts w:ascii="Garamond" w:hAnsi="Garamond" w:cstheme="minorHAnsi"/>
          <w:sz w:val="24"/>
          <w:szCs w:val="24"/>
        </w:rPr>
        <w:lastRenderedPageBreak/>
        <w:t xml:space="preserve">Aristotelian ethics and </w:t>
      </w:r>
      <w:r w:rsidR="00765795">
        <w:rPr>
          <w:rFonts w:ascii="Garamond" w:hAnsi="Garamond" w:cstheme="minorHAnsi"/>
          <w:sz w:val="24"/>
          <w:szCs w:val="24"/>
        </w:rPr>
        <w:t>its corresponding world-view,</w:t>
      </w:r>
      <w:r w:rsidR="00813B2A">
        <w:rPr>
          <w:rFonts w:ascii="Garamond" w:hAnsi="Garamond" w:cstheme="minorHAnsi"/>
          <w:sz w:val="24"/>
          <w:szCs w:val="24"/>
        </w:rPr>
        <w:t xml:space="preserve"> lost their prominence.</w:t>
      </w:r>
      <w:r w:rsidRPr="00461D74">
        <w:rPr>
          <w:rFonts w:ascii="Garamond" w:hAnsi="Garamond" w:cstheme="minorHAnsi"/>
          <w:sz w:val="24"/>
          <w:szCs w:val="24"/>
        </w:rPr>
        <w:t xml:space="preserve"> </w:t>
      </w:r>
      <w:r w:rsidR="00813B2A">
        <w:rPr>
          <w:rFonts w:ascii="Garamond" w:hAnsi="Garamond" w:cstheme="minorHAnsi"/>
          <w:sz w:val="24"/>
          <w:szCs w:val="24"/>
        </w:rPr>
        <w:t>N</w:t>
      </w:r>
      <w:r w:rsidR="00F25247">
        <w:rPr>
          <w:rFonts w:ascii="Garamond" w:hAnsi="Garamond" w:cstheme="minorHAnsi"/>
          <w:sz w:val="24"/>
          <w:szCs w:val="24"/>
        </w:rPr>
        <w:t>evertheless</w:t>
      </w:r>
      <w:r w:rsidR="00813B2A">
        <w:rPr>
          <w:rFonts w:ascii="Garamond" w:hAnsi="Garamond" w:cstheme="minorHAnsi"/>
          <w:sz w:val="24"/>
          <w:szCs w:val="24"/>
        </w:rPr>
        <w:t>,</w:t>
      </w:r>
      <w:r w:rsidR="00F25247" w:rsidRPr="00461D74">
        <w:rPr>
          <w:rFonts w:ascii="Garamond" w:hAnsi="Garamond" w:cstheme="minorHAnsi"/>
          <w:sz w:val="24"/>
          <w:szCs w:val="24"/>
        </w:rPr>
        <w:t xml:space="preserve"> </w:t>
      </w:r>
      <w:r w:rsidR="00813B2A">
        <w:rPr>
          <w:rFonts w:ascii="Garamond" w:hAnsi="Garamond" w:cstheme="minorHAnsi"/>
          <w:sz w:val="24"/>
          <w:szCs w:val="24"/>
        </w:rPr>
        <w:t xml:space="preserve">the influence of Christian ethics </w:t>
      </w:r>
      <w:r w:rsidR="00EB7E3A">
        <w:rPr>
          <w:rFonts w:ascii="Garamond" w:hAnsi="Garamond" w:cstheme="minorHAnsi"/>
          <w:sz w:val="24"/>
          <w:szCs w:val="24"/>
        </w:rPr>
        <w:t xml:space="preserve">came </w:t>
      </w:r>
      <w:r w:rsidR="00813B2A">
        <w:rPr>
          <w:rFonts w:ascii="Garamond" w:hAnsi="Garamond" w:cstheme="minorHAnsi"/>
          <w:sz w:val="24"/>
          <w:szCs w:val="24"/>
        </w:rPr>
        <w:t xml:space="preserve">under pressure </w:t>
      </w:r>
      <w:r w:rsidR="00EB7E3A">
        <w:rPr>
          <w:rFonts w:ascii="Garamond" w:hAnsi="Garamond" w:cstheme="minorHAnsi"/>
          <w:sz w:val="24"/>
          <w:szCs w:val="24"/>
        </w:rPr>
        <w:t>during</w:t>
      </w:r>
      <w:r w:rsidR="00813B2A">
        <w:rPr>
          <w:rFonts w:ascii="Garamond" w:hAnsi="Garamond" w:cstheme="minorHAnsi"/>
          <w:sz w:val="24"/>
          <w:szCs w:val="24"/>
        </w:rPr>
        <w:t xml:space="preserve"> a slow and steady decline </w:t>
      </w:r>
      <w:r w:rsidR="00EB7E3A">
        <w:rPr>
          <w:rFonts w:ascii="Garamond" w:hAnsi="Garamond" w:cstheme="minorHAnsi"/>
          <w:sz w:val="24"/>
          <w:szCs w:val="24"/>
        </w:rPr>
        <w:t>which became critical from the</w:t>
      </w:r>
      <w:r w:rsidRPr="00461D74">
        <w:rPr>
          <w:rFonts w:ascii="Garamond" w:hAnsi="Garamond" w:cstheme="minorHAnsi"/>
          <w:sz w:val="24"/>
          <w:szCs w:val="24"/>
        </w:rPr>
        <w:t xml:space="preserve"> </w:t>
      </w:r>
      <w:r w:rsidR="00F25247">
        <w:rPr>
          <w:rFonts w:ascii="Garamond" w:hAnsi="Garamond" w:cstheme="minorHAnsi"/>
          <w:sz w:val="24"/>
          <w:szCs w:val="24"/>
        </w:rPr>
        <w:t>late</w:t>
      </w:r>
      <w:r w:rsidR="00F25247" w:rsidRPr="00461D74">
        <w:rPr>
          <w:rFonts w:ascii="Garamond" w:hAnsi="Garamond" w:cstheme="minorHAnsi"/>
          <w:sz w:val="24"/>
          <w:szCs w:val="24"/>
        </w:rPr>
        <w:t xml:space="preserve"> </w:t>
      </w:r>
      <w:r w:rsidRPr="00461D74">
        <w:rPr>
          <w:rFonts w:ascii="Garamond" w:hAnsi="Garamond" w:cstheme="minorHAnsi"/>
          <w:sz w:val="24"/>
          <w:szCs w:val="24"/>
        </w:rPr>
        <w:t>18</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w:t>
      </w:r>
      <w:r w:rsidR="00EB7E3A">
        <w:rPr>
          <w:rFonts w:ascii="Garamond" w:hAnsi="Garamond" w:cstheme="minorHAnsi"/>
          <w:sz w:val="24"/>
          <w:szCs w:val="24"/>
        </w:rPr>
        <w:t xml:space="preserve"> onwards</w:t>
      </w:r>
      <w:r w:rsidRPr="00461D74">
        <w:rPr>
          <w:rFonts w:ascii="Garamond" w:hAnsi="Garamond" w:cstheme="minorHAnsi"/>
          <w:sz w:val="24"/>
          <w:szCs w:val="24"/>
        </w:rPr>
        <w:t xml:space="preserve">. For </w:t>
      </w:r>
      <w:proofErr w:type="spellStart"/>
      <w:r w:rsidRPr="00461D74">
        <w:rPr>
          <w:rFonts w:ascii="Garamond" w:hAnsi="Garamond" w:cstheme="minorHAnsi"/>
          <w:sz w:val="24"/>
          <w:szCs w:val="24"/>
        </w:rPr>
        <w:t>Anscombe</w:t>
      </w:r>
      <w:proofErr w:type="spellEnd"/>
      <w:r w:rsidRPr="00461D74">
        <w:rPr>
          <w:rFonts w:ascii="Garamond" w:hAnsi="Garamond" w:cstheme="minorHAnsi"/>
          <w:sz w:val="24"/>
          <w:szCs w:val="24"/>
        </w:rPr>
        <w:t xml:space="preserve">, the rational force of a divine command view of ethics began </w:t>
      </w:r>
      <w:r w:rsidR="00EB7E3A">
        <w:rPr>
          <w:rFonts w:ascii="Garamond" w:hAnsi="Garamond" w:cstheme="minorHAnsi"/>
          <w:sz w:val="24"/>
          <w:szCs w:val="24"/>
        </w:rPr>
        <w:t>this</w:t>
      </w:r>
      <w:r w:rsidRPr="00461D74">
        <w:rPr>
          <w:rFonts w:ascii="Garamond" w:hAnsi="Garamond" w:cstheme="minorHAnsi"/>
          <w:sz w:val="24"/>
          <w:szCs w:val="24"/>
        </w:rPr>
        <w:t xml:space="preserve"> decline </w:t>
      </w:r>
      <w:r w:rsidR="00813B2A">
        <w:rPr>
          <w:rFonts w:ascii="Garamond" w:hAnsi="Garamond" w:cstheme="minorHAnsi"/>
          <w:sz w:val="24"/>
          <w:szCs w:val="24"/>
        </w:rPr>
        <w:t>owing to the</w:t>
      </w:r>
      <w:r w:rsidRPr="00461D74">
        <w:rPr>
          <w:rFonts w:ascii="Garamond" w:hAnsi="Garamond" w:cstheme="minorHAnsi"/>
          <w:sz w:val="24"/>
          <w:szCs w:val="24"/>
        </w:rPr>
        <w:t xml:space="preserve"> onset of a </w:t>
      </w:r>
      <w:r w:rsidR="00813B2A">
        <w:rPr>
          <w:rFonts w:ascii="Garamond" w:hAnsi="Garamond" w:cstheme="minorHAnsi"/>
          <w:sz w:val="24"/>
          <w:szCs w:val="24"/>
        </w:rPr>
        <w:t>range</w:t>
      </w:r>
      <w:r w:rsidR="00813B2A" w:rsidRPr="00461D74">
        <w:rPr>
          <w:rFonts w:ascii="Garamond" w:hAnsi="Garamond" w:cstheme="minorHAnsi"/>
          <w:sz w:val="24"/>
          <w:szCs w:val="24"/>
        </w:rPr>
        <w:t xml:space="preserve"> </w:t>
      </w:r>
      <w:r w:rsidRPr="00461D74">
        <w:rPr>
          <w:rFonts w:ascii="Garamond" w:hAnsi="Garamond" w:cstheme="minorHAnsi"/>
          <w:sz w:val="24"/>
          <w:szCs w:val="24"/>
        </w:rPr>
        <w:t xml:space="preserve">of historical events beginning with the Protestant </w:t>
      </w:r>
      <w:r w:rsidR="00813B2A">
        <w:rPr>
          <w:rFonts w:ascii="Garamond" w:hAnsi="Garamond" w:cstheme="minorHAnsi"/>
          <w:sz w:val="24"/>
          <w:szCs w:val="24"/>
        </w:rPr>
        <w:t>R</w:t>
      </w:r>
      <w:r w:rsidRPr="00461D74">
        <w:rPr>
          <w:rFonts w:ascii="Garamond" w:hAnsi="Garamond" w:cstheme="minorHAnsi"/>
          <w:sz w:val="24"/>
          <w:szCs w:val="24"/>
        </w:rPr>
        <w:t>eformation</w:t>
      </w:r>
      <w:r w:rsidR="00813B2A">
        <w:rPr>
          <w:rFonts w:ascii="Garamond" w:hAnsi="Garamond" w:cstheme="minorHAnsi"/>
          <w:sz w:val="24"/>
          <w:szCs w:val="24"/>
        </w:rPr>
        <w:t>.</w:t>
      </w:r>
      <w:r w:rsidRPr="00461D74">
        <w:rPr>
          <w:rFonts w:ascii="Garamond" w:hAnsi="Garamond" w:cstheme="minorHAnsi"/>
          <w:sz w:val="24"/>
          <w:szCs w:val="24"/>
        </w:rPr>
        <w:t xml:space="preserve"> </w:t>
      </w:r>
      <w:r w:rsidR="00813B2A">
        <w:rPr>
          <w:rFonts w:ascii="Garamond" w:hAnsi="Garamond" w:cstheme="minorHAnsi"/>
          <w:sz w:val="24"/>
          <w:szCs w:val="24"/>
        </w:rPr>
        <w:t>Hence,</w:t>
      </w:r>
      <w:r w:rsidR="00813B2A" w:rsidRPr="00461D74">
        <w:rPr>
          <w:rFonts w:ascii="Garamond" w:hAnsi="Garamond" w:cstheme="minorHAnsi"/>
          <w:sz w:val="24"/>
          <w:szCs w:val="24"/>
        </w:rPr>
        <w:t xml:space="preserve"> </w:t>
      </w:r>
      <w:r w:rsidRPr="00461D74">
        <w:rPr>
          <w:rFonts w:ascii="Garamond" w:hAnsi="Garamond" w:cstheme="minorHAnsi"/>
          <w:sz w:val="24"/>
          <w:szCs w:val="24"/>
        </w:rPr>
        <w:t>by the 18</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w:t>
      </w:r>
      <w:r w:rsidR="00EB7E3A">
        <w:rPr>
          <w:rFonts w:ascii="Garamond" w:hAnsi="Garamond" w:cstheme="minorHAnsi"/>
          <w:sz w:val="24"/>
          <w:szCs w:val="24"/>
        </w:rPr>
        <w:t>,</w:t>
      </w:r>
      <w:r w:rsidRPr="00461D74">
        <w:rPr>
          <w:rFonts w:ascii="Garamond" w:hAnsi="Garamond" w:cstheme="minorHAnsi"/>
          <w:sz w:val="24"/>
          <w:szCs w:val="24"/>
        </w:rPr>
        <w:t xml:space="preserve"> philosophers, beginning with Hume, questioned whether one can derive moral </w:t>
      </w:r>
      <w:proofErr w:type="spellStart"/>
      <w:r w:rsidRPr="00461D74">
        <w:rPr>
          <w:rFonts w:ascii="Garamond" w:hAnsi="Garamond" w:cstheme="minorHAnsi"/>
          <w:sz w:val="24"/>
          <w:szCs w:val="24"/>
        </w:rPr>
        <w:t>oughts</w:t>
      </w:r>
      <w:proofErr w:type="spellEnd"/>
      <w:r w:rsidRPr="00461D74">
        <w:rPr>
          <w:rFonts w:ascii="Garamond" w:hAnsi="Garamond" w:cstheme="minorHAnsi"/>
          <w:sz w:val="24"/>
          <w:szCs w:val="24"/>
        </w:rPr>
        <w:t xml:space="preserve"> from non-moral premises. </w:t>
      </w:r>
      <w:proofErr w:type="spellStart"/>
      <w:r w:rsidRPr="00461D74">
        <w:rPr>
          <w:rFonts w:ascii="Garamond" w:hAnsi="Garamond" w:cstheme="minorHAnsi"/>
          <w:sz w:val="24"/>
          <w:szCs w:val="24"/>
        </w:rPr>
        <w:t>Anscombe</w:t>
      </w:r>
      <w:proofErr w:type="spellEnd"/>
      <w:r w:rsidRPr="00461D74">
        <w:rPr>
          <w:rFonts w:ascii="Garamond" w:hAnsi="Garamond" w:cstheme="minorHAnsi"/>
          <w:sz w:val="24"/>
          <w:szCs w:val="24"/>
        </w:rPr>
        <w:t xml:space="preserve"> concludes that without a divine command ethics and a theistic world-view of a divine law-giver, our ordinary moral language of ‘duty’, ‘obligation’, ‘right’ and ‘wrong’, cannot be sustained; </w:t>
      </w:r>
      <w:r w:rsidR="007D4ED9">
        <w:rPr>
          <w:rFonts w:ascii="Garamond" w:hAnsi="Garamond" w:cstheme="minorHAnsi"/>
          <w:sz w:val="24"/>
          <w:szCs w:val="24"/>
        </w:rPr>
        <w:t>thus,</w:t>
      </w:r>
      <w:r w:rsidR="007D4ED9" w:rsidRPr="00461D74">
        <w:rPr>
          <w:rFonts w:ascii="Garamond" w:hAnsi="Garamond" w:cstheme="minorHAnsi"/>
          <w:sz w:val="24"/>
          <w:szCs w:val="24"/>
        </w:rPr>
        <w:t xml:space="preserve"> </w:t>
      </w:r>
      <w:r w:rsidRPr="00461D74">
        <w:rPr>
          <w:rFonts w:ascii="Garamond" w:hAnsi="Garamond" w:cstheme="minorHAnsi"/>
          <w:sz w:val="24"/>
          <w:szCs w:val="24"/>
        </w:rPr>
        <w:t xml:space="preserve">our contemporary moral language suffers from a sort of dissonance. In the previous chapter we observed that MacIntyre identifies this dissonance as a kind of fragmentation of modern morality </w:t>
      </w:r>
      <w:r w:rsidR="007D4ED9">
        <w:rPr>
          <w:rFonts w:ascii="Garamond" w:hAnsi="Garamond" w:cstheme="minorHAnsi"/>
          <w:sz w:val="24"/>
          <w:szCs w:val="24"/>
        </w:rPr>
        <w:t>precisely because</w:t>
      </w:r>
      <w:r w:rsidR="007D4ED9" w:rsidRPr="00461D74">
        <w:rPr>
          <w:rFonts w:ascii="Garamond" w:hAnsi="Garamond" w:cstheme="minorHAnsi"/>
          <w:sz w:val="24"/>
          <w:szCs w:val="24"/>
        </w:rPr>
        <w:t xml:space="preserve"> </w:t>
      </w:r>
      <w:r w:rsidRPr="00461D74">
        <w:rPr>
          <w:rFonts w:ascii="Garamond" w:hAnsi="Garamond" w:cstheme="minorHAnsi"/>
          <w:sz w:val="24"/>
          <w:szCs w:val="24"/>
        </w:rPr>
        <w:t xml:space="preserve">various moral claims posited in our contemporary moral discourse </w:t>
      </w:r>
      <w:r w:rsidR="007D4ED9">
        <w:rPr>
          <w:rFonts w:ascii="Garamond" w:hAnsi="Garamond" w:cstheme="minorHAnsi"/>
          <w:sz w:val="24"/>
          <w:szCs w:val="24"/>
        </w:rPr>
        <w:t>appear to be</w:t>
      </w:r>
      <w:r w:rsidR="007D4ED9" w:rsidRPr="00461D74">
        <w:rPr>
          <w:rFonts w:ascii="Garamond" w:hAnsi="Garamond" w:cstheme="minorHAnsi"/>
          <w:sz w:val="24"/>
          <w:szCs w:val="24"/>
        </w:rPr>
        <w:t xml:space="preserve"> </w:t>
      </w:r>
      <w:r w:rsidRPr="00461D74">
        <w:rPr>
          <w:rFonts w:ascii="Garamond" w:hAnsi="Garamond" w:cstheme="minorHAnsi"/>
          <w:sz w:val="24"/>
          <w:szCs w:val="24"/>
        </w:rPr>
        <w:t>cut off from the particular historical context</w:t>
      </w:r>
      <w:r w:rsidR="007D4ED9">
        <w:rPr>
          <w:rFonts w:ascii="Garamond" w:hAnsi="Garamond" w:cstheme="minorHAnsi"/>
          <w:sz w:val="24"/>
          <w:szCs w:val="24"/>
        </w:rPr>
        <w:t xml:space="preserve"> that </w:t>
      </w:r>
      <w:r w:rsidR="00EB7E3A">
        <w:rPr>
          <w:rFonts w:ascii="Garamond" w:hAnsi="Garamond" w:cstheme="minorHAnsi"/>
          <w:sz w:val="24"/>
          <w:szCs w:val="24"/>
        </w:rPr>
        <w:t xml:space="preserve">made sense of them, </w:t>
      </w:r>
      <w:r w:rsidR="007D4ED9">
        <w:rPr>
          <w:rFonts w:ascii="Garamond" w:hAnsi="Garamond" w:cstheme="minorHAnsi"/>
          <w:sz w:val="24"/>
          <w:szCs w:val="24"/>
        </w:rPr>
        <w:t xml:space="preserve">and </w:t>
      </w:r>
      <w:r w:rsidRPr="00461D74">
        <w:rPr>
          <w:rFonts w:ascii="Garamond" w:hAnsi="Garamond" w:cstheme="minorHAnsi"/>
          <w:sz w:val="24"/>
          <w:szCs w:val="24"/>
        </w:rPr>
        <w:t>in which they were at home.</w:t>
      </w:r>
    </w:p>
    <w:p w:rsidR="00016049" w:rsidRPr="00461D74" w:rsidRDefault="00016049" w:rsidP="00C82A95">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However, before we can accept </w:t>
      </w:r>
      <w:r w:rsidR="00C82A95">
        <w:rPr>
          <w:rFonts w:ascii="Garamond" w:hAnsi="Garamond" w:cstheme="minorHAnsi"/>
          <w:sz w:val="24"/>
          <w:szCs w:val="24"/>
        </w:rPr>
        <w:t xml:space="preserve">the claim that Aristotelian-Thomism and its corresponding teleology was displaced for the wrong reasons, </w:t>
      </w:r>
      <w:r w:rsidRPr="00461D74">
        <w:rPr>
          <w:rFonts w:ascii="Garamond" w:hAnsi="Garamond" w:cstheme="minorHAnsi"/>
          <w:sz w:val="24"/>
          <w:szCs w:val="24"/>
        </w:rPr>
        <w:t xml:space="preserve">without inviting </w:t>
      </w:r>
      <w:r w:rsidR="00C82A95">
        <w:rPr>
          <w:rFonts w:ascii="Garamond" w:hAnsi="Garamond" w:cstheme="minorHAnsi"/>
          <w:sz w:val="24"/>
          <w:szCs w:val="24"/>
        </w:rPr>
        <w:t xml:space="preserve">further </w:t>
      </w:r>
      <w:r w:rsidRPr="00461D74">
        <w:rPr>
          <w:rFonts w:ascii="Garamond" w:hAnsi="Garamond" w:cstheme="minorHAnsi"/>
          <w:sz w:val="24"/>
          <w:szCs w:val="24"/>
        </w:rPr>
        <w:t>controversy, we need to very briefly acknowledge a series of social-cum-historical events that l</w:t>
      </w:r>
      <w:r w:rsidR="00EB7E3A">
        <w:rPr>
          <w:rFonts w:ascii="Garamond" w:hAnsi="Garamond" w:cstheme="minorHAnsi"/>
          <w:sz w:val="24"/>
          <w:szCs w:val="24"/>
        </w:rPr>
        <w:t>ies</w:t>
      </w:r>
      <w:r w:rsidRPr="00461D74">
        <w:rPr>
          <w:rFonts w:ascii="Garamond" w:hAnsi="Garamond" w:cstheme="minorHAnsi"/>
          <w:sz w:val="24"/>
          <w:szCs w:val="24"/>
        </w:rPr>
        <w:t xml:space="preserve"> in the background of the </w:t>
      </w:r>
      <w:r w:rsidR="00CE4C64">
        <w:rPr>
          <w:rFonts w:ascii="Garamond" w:hAnsi="Garamond" w:cstheme="minorHAnsi"/>
          <w:sz w:val="24"/>
          <w:szCs w:val="24"/>
        </w:rPr>
        <w:t>type</w:t>
      </w:r>
      <w:r w:rsidR="00CE4C64" w:rsidRPr="00461D74">
        <w:rPr>
          <w:rFonts w:ascii="Garamond" w:hAnsi="Garamond" w:cstheme="minorHAnsi"/>
          <w:sz w:val="24"/>
          <w:szCs w:val="24"/>
        </w:rPr>
        <w:t xml:space="preserve"> </w:t>
      </w:r>
      <w:r w:rsidRPr="00461D74">
        <w:rPr>
          <w:rFonts w:ascii="Garamond" w:hAnsi="Garamond" w:cstheme="minorHAnsi"/>
          <w:sz w:val="24"/>
          <w:szCs w:val="24"/>
        </w:rPr>
        <w:t xml:space="preserve">of historical argument which MacIntyre </w:t>
      </w:r>
      <w:r w:rsidR="00C82A95">
        <w:rPr>
          <w:rFonts w:ascii="Garamond" w:hAnsi="Garamond" w:cstheme="minorHAnsi"/>
          <w:sz w:val="24"/>
          <w:szCs w:val="24"/>
        </w:rPr>
        <w:t xml:space="preserve">appears to </w:t>
      </w:r>
      <w:r w:rsidRPr="00461D74">
        <w:rPr>
          <w:rFonts w:ascii="Garamond" w:hAnsi="Garamond" w:cstheme="minorHAnsi"/>
          <w:sz w:val="24"/>
          <w:szCs w:val="24"/>
        </w:rPr>
        <w:t xml:space="preserve">stipulate. I will briefly offer an historical account of the </w:t>
      </w:r>
      <w:r w:rsidR="00CE4C64">
        <w:rPr>
          <w:rFonts w:ascii="Garamond" w:hAnsi="Garamond" w:cstheme="minorHAnsi"/>
          <w:sz w:val="24"/>
          <w:szCs w:val="24"/>
        </w:rPr>
        <w:t xml:space="preserve">events and </w:t>
      </w:r>
      <w:r w:rsidRPr="00461D74">
        <w:rPr>
          <w:rFonts w:ascii="Garamond" w:hAnsi="Garamond" w:cstheme="minorHAnsi"/>
          <w:sz w:val="24"/>
          <w:szCs w:val="24"/>
        </w:rPr>
        <w:t xml:space="preserve">processes through which Aristotelian-Thomistic tradition and its respective social structure came under pressure. This history is in part a social history, and in part an intellectual history. Let us refer to this combined account as </w:t>
      </w:r>
      <w:r w:rsidRPr="00461D74">
        <w:rPr>
          <w:rFonts w:ascii="Garamond" w:hAnsi="Garamond" w:cstheme="minorHAnsi"/>
          <w:i/>
          <w:iCs/>
          <w:sz w:val="24"/>
          <w:szCs w:val="24"/>
        </w:rPr>
        <w:t>the story of science</w:t>
      </w:r>
      <w:r w:rsidRPr="00461D74">
        <w:rPr>
          <w:rFonts w:ascii="Garamond" w:hAnsi="Garamond" w:cstheme="minorHAnsi"/>
          <w:sz w:val="24"/>
          <w:szCs w:val="24"/>
        </w:rPr>
        <w:t>.</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The period which forms the bridge that connects the 13</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social context of Aquinas to the early modern period spans four very eventful centuries (14</w:t>
      </w:r>
      <w:r w:rsidRPr="00461D74">
        <w:rPr>
          <w:rFonts w:ascii="Garamond" w:hAnsi="Garamond" w:cstheme="minorHAnsi"/>
          <w:sz w:val="24"/>
          <w:szCs w:val="24"/>
          <w:vertAlign w:val="superscript"/>
        </w:rPr>
        <w:t>th</w:t>
      </w:r>
      <w:r w:rsidRPr="00461D74">
        <w:rPr>
          <w:rFonts w:ascii="Garamond" w:hAnsi="Garamond" w:cstheme="minorHAnsi"/>
          <w:sz w:val="24"/>
          <w:szCs w:val="24"/>
        </w:rPr>
        <w:t>-17</w:t>
      </w:r>
      <w:r w:rsidRPr="00461D74">
        <w:rPr>
          <w:rFonts w:ascii="Garamond" w:hAnsi="Garamond" w:cstheme="minorHAnsi"/>
          <w:sz w:val="24"/>
          <w:szCs w:val="24"/>
          <w:vertAlign w:val="superscript"/>
        </w:rPr>
        <w:t>th</w:t>
      </w:r>
      <w:r w:rsidRPr="00461D74">
        <w:rPr>
          <w:rFonts w:ascii="Garamond" w:hAnsi="Garamond" w:cstheme="minorHAnsi"/>
          <w:sz w:val="24"/>
          <w:szCs w:val="24"/>
        </w:rPr>
        <w:t>) in European history. During this period</w:t>
      </w:r>
      <w:r w:rsidR="00EB7E3A">
        <w:rPr>
          <w:rFonts w:ascii="Garamond" w:hAnsi="Garamond" w:cstheme="minorHAnsi"/>
          <w:sz w:val="24"/>
          <w:szCs w:val="24"/>
        </w:rPr>
        <w:t>,</w:t>
      </w:r>
      <w:r w:rsidRPr="00461D74">
        <w:rPr>
          <w:rFonts w:ascii="Garamond" w:hAnsi="Garamond" w:cstheme="minorHAnsi"/>
          <w:sz w:val="24"/>
          <w:szCs w:val="24"/>
        </w:rPr>
        <w:t xml:space="preserve"> a number of social upheavals fundamentally transformed the social structure of much of Western Europe. </w:t>
      </w:r>
      <w:r w:rsidRPr="00461D74">
        <w:rPr>
          <w:rFonts w:ascii="Garamond" w:hAnsi="Garamond" w:cstheme="minorHAnsi"/>
          <w:sz w:val="24"/>
          <w:szCs w:val="24"/>
        </w:rPr>
        <w:lastRenderedPageBreak/>
        <w:t>Massive population decline primarily due to the spread of the bubonic plague generated large-scale demographic changes in Europe. These events were followed by a series of long</w:t>
      </w:r>
      <w:r w:rsidR="00EB7E3A">
        <w:rPr>
          <w:rFonts w:ascii="Garamond" w:hAnsi="Garamond" w:cstheme="minorHAnsi"/>
          <w:sz w:val="24"/>
          <w:szCs w:val="24"/>
        </w:rPr>
        <w:t>-</w:t>
      </w:r>
      <w:r w:rsidR="00EE42A8">
        <w:rPr>
          <w:rFonts w:ascii="Garamond" w:hAnsi="Garamond" w:cstheme="minorHAnsi"/>
          <w:sz w:val="24"/>
          <w:szCs w:val="24"/>
        </w:rPr>
        <w:t xml:space="preserve">running </w:t>
      </w:r>
      <w:r w:rsidRPr="00461D74">
        <w:rPr>
          <w:rFonts w:ascii="Garamond" w:hAnsi="Garamond" w:cstheme="minorHAnsi"/>
          <w:sz w:val="24"/>
          <w:szCs w:val="24"/>
        </w:rPr>
        <w:t>European wars</w:t>
      </w:r>
      <w:r w:rsidR="00EE42A8">
        <w:rPr>
          <w:rFonts w:ascii="Garamond" w:hAnsi="Garamond" w:cstheme="minorHAnsi"/>
          <w:sz w:val="24"/>
          <w:szCs w:val="24"/>
        </w:rPr>
        <w:t xml:space="preserve"> that entangled France and England,</w:t>
      </w:r>
      <w:r w:rsidRPr="00461D74">
        <w:rPr>
          <w:rFonts w:ascii="Garamond" w:hAnsi="Garamond" w:cstheme="minorHAnsi"/>
          <w:sz w:val="24"/>
          <w:szCs w:val="24"/>
        </w:rPr>
        <w:t xml:space="preserve"> systemic famine </w:t>
      </w:r>
      <w:r w:rsidR="00A8427B">
        <w:rPr>
          <w:rFonts w:ascii="Garamond" w:hAnsi="Garamond" w:cstheme="minorHAnsi"/>
          <w:sz w:val="24"/>
          <w:szCs w:val="24"/>
        </w:rPr>
        <w:t>owing to</w:t>
      </w:r>
      <w:r w:rsidRPr="00461D74">
        <w:rPr>
          <w:rFonts w:ascii="Garamond" w:hAnsi="Garamond" w:cstheme="minorHAnsi"/>
          <w:sz w:val="24"/>
          <w:szCs w:val="24"/>
        </w:rPr>
        <w:t xml:space="preserve"> colder temperatures, i.e., the little ice-age, </w:t>
      </w:r>
      <w:r w:rsidR="00A8427B">
        <w:rPr>
          <w:rFonts w:ascii="Garamond" w:hAnsi="Garamond" w:cstheme="minorHAnsi"/>
          <w:sz w:val="24"/>
          <w:szCs w:val="24"/>
        </w:rPr>
        <w:t>as well as</w:t>
      </w:r>
      <w:r w:rsidR="00A8427B" w:rsidRPr="00461D74">
        <w:rPr>
          <w:rFonts w:ascii="Garamond" w:hAnsi="Garamond" w:cstheme="minorHAnsi"/>
          <w:sz w:val="24"/>
          <w:szCs w:val="24"/>
        </w:rPr>
        <w:t xml:space="preserve"> </w:t>
      </w:r>
      <w:r w:rsidR="00A8427B">
        <w:rPr>
          <w:rFonts w:ascii="Garamond" w:hAnsi="Garamond" w:cstheme="minorHAnsi"/>
          <w:sz w:val="24"/>
          <w:szCs w:val="24"/>
        </w:rPr>
        <w:t>a drastic</w:t>
      </w:r>
      <w:r w:rsidRPr="00461D74">
        <w:rPr>
          <w:rFonts w:ascii="Garamond" w:hAnsi="Garamond" w:cstheme="minorHAnsi"/>
          <w:sz w:val="24"/>
          <w:szCs w:val="24"/>
        </w:rPr>
        <w:t xml:space="preserve"> decline in the number of peasants working the field </w:t>
      </w:r>
      <w:r w:rsidR="00A8427B">
        <w:rPr>
          <w:rFonts w:ascii="Garamond" w:hAnsi="Garamond" w:cstheme="minorHAnsi"/>
          <w:sz w:val="24"/>
          <w:szCs w:val="24"/>
        </w:rPr>
        <w:t>on account of</w:t>
      </w:r>
      <w:r w:rsidRPr="00461D74">
        <w:rPr>
          <w:rFonts w:ascii="Garamond" w:hAnsi="Garamond" w:cstheme="minorHAnsi"/>
          <w:sz w:val="24"/>
          <w:szCs w:val="24"/>
        </w:rPr>
        <w:t xml:space="preserve"> the substantial decline in Europe’s population. The famine and population decline generated a number of peasant revolts in the late 14</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and placed the entire feudal social structure under strain. The invention of printing technology made available printed books and pamphlets to a much larger population which had previously been the domain of clergy and the aristocratic elite.</w:t>
      </w:r>
      <w:r w:rsidRPr="00461D74">
        <w:rPr>
          <w:rStyle w:val="FootnoteReference"/>
          <w:rFonts w:ascii="Garamond" w:hAnsi="Garamond" w:cstheme="minorHAnsi"/>
          <w:sz w:val="24"/>
          <w:szCs w:val="24"/>
        </w:rPr>
        <w:footnoteReference w:id="166"/>
      </w:r>
      <w:r w:rsidRPr="00461D74">
        <w:rPr>
          <w:rFonts w:ascii="Garamond" w:hAnsi="Garamond" w:cstheme="minorHAnsi"/>
          <w:sz w:val="24"/>
          <w:szCs w:val="24"/>
        </w:rPr>
        <w:t xml:space="preserve"> This</w:t>
      </w:r>
      <w:r w:rsidR="00EB7E3A">
        <w:rPr>
          <w:rFonts w:ascii="Garamond" w:hAnsi="Garamond" w:cstheme="minorHAnsi"/>
          <w:sz w:val="24"/>
          <w:szCs w:val="24"/>
        </w:rPr>
        <w:t>,</w:t>
      </w:r>
      <w:r w:rsidRPr="00461D74">
        <w:rPr>
          <w:rFonts w:ascii="Garamond" w:hAnsi="Garamond" w:cstheme="minorHAnsi"/>
          <w:sz w:val="24"/>
          <w:szCs w:val="24"/>
        </w:rPr>
        <w:t xml:space="preserve"> together with </w:t>
      </w:r>
      <w:r w:rsidR="00205CB5" w:rsidRPr="00461D74">
        <w:rPr>
          <w:rFonts w:ascii="Garamond" w:hAnsi="Garamond" w:cstheme="minorHAnsi"/>
          <w:sz w:val="24"/>
          <w:szCs w:val="24"/>
        </w:rPr>
        <w:t xml:space="preserve">the </w:t>
      </w:r>
      <w:r w:rsidRPr="00461D74">
        <w:rPr>
          <w:rFonts w:ascii="Garamond" w:hAnsi="Garamond" w:cstheme="minorHAnsi"/>
          <w:sz w:val="24"/>
          <w:szCs w:val="24"/>
        </w:rPr>
        <w:t xml:space="preserve">slow decline of the Byzantine </w:t>
      </w:r>
      <w:r w:rsidR="00A8427B">
        <w:rPr>
          <w:rFonts w:ascii="Garamond" w:hAnsi="Garamond" w:cstheme="minorHAnsi"/>
          <w:sz w:val="24"/>
          <w:szCs w:val="24"/>
        </w:rPr>
        <w:t>E</w:t>
      </w:r>
      <w:r w:rsidRPr="00461D74">
        <w:rPr>
          <w:rFonts w:ascii="Garamond" w:hAnsi="Garamond" w:cstheme="minorHAnsi"/>
          <w:sz w:val="24"/>
          <w:szCs w:val="24"/>
        </w:rPr>
        <w:t xml:space="preserve">mpire under increasing pressure initially from the Seljuk </w:t>
      </w:r>
      <w:r w:rsidR="00A8427B">
        <w:rPr>
          <w:rFonts w:ascii="Garamond" w:hAnsi="Garamond" w:cstheme="minorHAnsi"/>
          <w:sz w:val="24"/>
          <w:szCs w:val="24"/>
        </w:rPr>
        <w:t>E</w:t>
      </w:r>
      <w:r w:rsidRPr="00461D74">
        <w:rPr>
          <w:rFonts w:ascii="Garamond" w:hAnsi="Garamond" w:cstheme="minorHAnsi"/>
          <w:sz w:val="24"/>
          <w:szCs w:val="24"/>
        </w:rPr>
        <w:t>mpire, and later</w:t>
      </w:r>
      <w:r w:rsidR="00264FC8">
        <w:rPr>
          <w:rFonts w:ascii="Garamond" w:hAnsi="Garamond" w:cstheme="minorHAnsi"/>
          <w:sz w:val="24"/>
          <w:szCs w:val="24"/>
        </w:rPr>
        <w:t>,</w:t>
      </w:r>
      <w:r w:rsidRPr="00461D74">
        <w:rPr>
          <w:rFonts w:ascii="Garamond" w:hAnsi="Garamond" w:cstheme="minorHAnsi"/>
          <w:sz w:val="24"/>
          <w:szCs w:val="24"/>
        </w:rPr>
        <w:t xml:space="preserve"> </w:t>
      </w:r>
      <w:r w:rsidR="00264FC8">
        <w:rPr>
          <w:rFonts w:ascii="Garamond" w:hAnsi="Garamond" w:cstheme="minorHAnsi"/>
          <w:sz w:val="24"/>
          <w:szCs w:val="24"/>
        </w:rPr>
        <w:t xml:space="preserve">their </w:t>
      </w:r>
      <w:r w:rsidR="00A8427B">
        <w:rPr>
          <w:rFonts w:ascii="Garamond" w:hAnsi="Garamond" w:cstheme="minorHAnsi"/>
          <w:sz w:val="24"/>
          <w:szCs w:val="24"/>
        </w:rPr>
        <w:t>ultimate</w:t>
      </w:r>
      <w:r w:rsidRPr="00461D74">
        <w:rPr>
          <w:rFonts w:ascii="Garamond" w:hAnsi="Garamond" w:cstheme="minorHAnsi"/>
          <w:sz w:val="24"/>
          <w:szCs w:val="24"/>
        </w:rPr>
        <w:t xml:space="preserve"> defeat at the hands of the Ottoman </w:t>
      </w:r>
      <w:r w:rsidR="00A8427B">
        <w:rPr>
          <w:rFonts w:ascii="Garamond" w:hAnsi="Garamond" w:cstheme="minorHAnsi"/>
          <w:sz w:val="24"/>
          <w:szCs w:val="24"/>
        </w:rPr>
        <w:t>E</w:t>
      </w:r>
      <w:r w:rsidRPr="00461D74">
        <w:rPr>
          <w:rFonts w:ascii="Garamond" w:hAnsi="Garamond" w:cstheme="minorHAnsi"/>
          <w:sz w:val="24"/>
          <w:szCs w:val="24"/>
        </w:rPr>
        <w:t xml:space="preserve">mpire, precipitated a mass exodus of people and intellectual ideas – especially Platonic ideas – to Western Europe. While </w:t>
      </w:r>
      <w:r w:rsidR="00A8427B">
        <w:rPr>
          <w:rFonts w:ascii="Garamond" w:hAnsi="Garamond" w:cstheme="minorHAnsi"/>
          <w:sz w:val="24"/>
          <w:szCs w:val="24"/>
        </w:rPr>
        <w:t xml:space="preserve">the major works of </w:t>
      </w:r>
      <w:r w:rsidRPr="00461D74">
        <w:rPr>
          <w:rFonts w:ascii="Garamond" w:hAnsi="Garamond" w:cstheme="minorHAnsi"/>
          <w:sz w:val="24"/>
          <w:szCs w:val="24"/>
        </w:rPr>
        <w:t>Aristotle had been introduced to Europe much earlier</w:t>
      </w:r>
      <w:r w:rsidR="00EB7E3A">
        <w:rPr>
          <w:rFonts w:ascii="Garamond" w:hAnsi="Garamond" w:cstheme="minorHAnsi"/>
          <w:sz w:val="24"/>
          <w:szCs w:val="24"/>
        </w:rPr>
        <w:t>,</w:t>
      </w:r>
      <w:r w:rsidR="00A8427B">
        <w:rPr>
          <w:rFonts w:ascii="Garamond" w:hAnsi="Garamond" w:cstheme="minorHAnsi"/>
          <w:sz w:val="24"/>
          <w:szCs w:val="24"/>
        </w:rPr>
        <w:t xml:space="preserve"> starting</w:t>
      </w:r>
      <w:r w:rsidRPr="00461D74">
        <w:rPr>
          <w:rFonts w:ascii="Garamond" w:hAnsi="Garamond" w:cstheme="minorHAnsi"/>
          <w:sz w:val="24"/>
          <w:szCs w:val="24"/>
        </w:rPr>
        <w:t xml:space="preserve"> in the middle of the 12</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the introduction of Platonic texts in the 15</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together with the gradual social and economic recovery Europe experienced from the various social upheavals that plagued much of the continent in the late 14</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and early 15</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generated a new post-medieval intellectual curiosity for Greek antiquity – especially Plato – that reached its </w:t>
      </w:r>
      <w:r w:rsidR="00EB7E3A">
        <w:rPr>
          <w:rFonts w:ascii="Garamond" w:hAnsi="Garamond" w:cstheme="minorHAnsi"/>
          <w:sz w:val="24"/>
          <w:szCs w:val="24"/>
        </w:rPr>
        <w:t>climax</w:t>
      </w:r>
      <w:r w:rsidRPr="00461D74">
        <w:rPr>
          <w:rFonts w:ascii="Garamond" w:hAnsi="Garamond" w:cstheme="minorHAnsi"/>
          <w:sz w:val="24"/>
          <w:szCs w:val="24"/>
        </w:rPr>
        <w:t xml:space="preserve"> in the Renaissance.</w:t>
      </w:r>
    </w:p>
    <w:p w:rsidR="0094580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By the early 16</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w:t>
      </w:r>
      <w:r w:rsidR="00EB7E3A">
        <w:rPr>
          <w:rFonts w:ascii="Garamond" w:hAnsi="Garamond" w:cstheme="minorHAnsi"/>
          <w:sz w:val="24"/>
          <w:szCs w:val="24"/>
        </w:rPr>
        <w:t>,</w:t>
      </w:r>
      <w:r w:rsidRPr="00461D74">
        <w:rPr>
          <w:rFonts w:ascii="Garamond" w:hAnsi="Garamond" w:cstheme="minorHAnsi"/>
          <w:sz w:val="24"/>
          <w:szCs w:val="24"/>
        </w:rPr>
        <w:t xml:space="preserve"> feudalism – the prevailing social-cum-political structure that defined European societies in much of Western Europe from the 8</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to </w:t>
      </w:r>
      <w:r w:rsidR="008700F4">
        <w:rPr>
          <w:rFonts w:ascii="Garamond" w:hAnsi="Garamond" w:cstheme="minorHAnsi"/>
          <w:sz w:val="24"/>
          <w:szCs w:val="24"/>
        </w:rPr>
        <w:t xml:space="preserve">as late as </w:t>
      </w:r>
      <w:r w:rsidRPr="00461D74">
        <w:rPr>
          <w:rFonts w:ascii="Garamond" w:hAnsi="Garamond" w:cstheme="minorHAnsi"/>
          <w:sz w:val="24"/>
          <w:szCs w:val="24"/>
        </w:rPr>
        <w:t>the 15</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 was in </w:t>
      </w:r>
      <w:r w:rsidR="00EE42A8">
        <w:rPr>
          <w:rFonts w:ascii="Garamond" w:hAnsi="Garamond" w:cstheme="minorHAnsi"/>
          <w:sz w:val="24"/>
          <w:szCs w:val="24"/>
        </w:rPr>
        <w:t xml:space="preserve">steady </w:t>
      </w:r>
      <w:r w:rsidRPr="00461D74">
        <w:rPr>
          <w:rFonts w:ascii="Garamond" w:hAnsi="Garamond" w:cstheme="minorHAnsi"/>
          <w:sz w:val="24"/>
          <w:szCs w:val="24"/>
        </w:rPr>
        <w:t xml:space="preserve">retreat in favor of a new set of social, political, and economic relationships. The surge in intellectual interest in Platonic </w:t>
      </w:r>
      <w:r w:rsidRPr="00461D74">
        <w:rPr>
          <w:rFonts w:ascii="Garamond" w:hAnsi="Garamond" w:cstheme="minorHAnsi"/>
          <w:sz w:val="24"/>
          <w:szCs w:val="24"/>
        </w:rPr>
        <w:lastRenderedPageBreak/>
        <w:t>ideas –</w:t>
      </w:r>
      <w:r w:rsidR="008700F4">
        <w:rPr>
          <w:rFonts w:ascii="Garamond" w:hAnsi="Garamond" w:cstheme="minorHAnsi"/>
          <w:sz w:val="24"/>
          <w:szCs w:val="24"/>
        </w:rPr>
        <w:t xml:space="preserve"> </w:t>
      </w:r>
      <w:r w:rsidRPr="00461D74">
        <w:rPr>
          <w:rFonts w:ascii="Garamond" w:hAnsi="Garamond" w:cstheme="minorHAnsi"/>
          <w:sz w:val="24"/>
          <w:szCs w:val="24"/>
        </w:rPr>
        <w:t>especially Plato’s emphasis on mathematics</w:t>
      </w:r>
      <w:r w:rsidR="00EE42A8">
        <w:rPr>
          <w:rFonts w:ascii="Garamond" w:hAnsi="Garamond" w:cstheme="minorHAnsi"/>
          <w:sz w:val="24"/>
          <w:szCs w:val="24"/>
        </w:rPr>
        <w:t xml:space="preserve"> and its potential </w:t>
      </w:r>
      <w:r w:rsidR="00EB7E3A">
        <w:rPr>
          <w:rFonts w:ascii="Garamond" w:hAnsi="Garamond" w:cstheme="minorHAnsi"/>
          <w:sz w:val="24"/>
          <w:szCs w:val="24"/>
        </w:rPr>
        <w:t>for</w:t>
      </w:r>
      <w:r w:rsidRPr="00461D74">
        <w:rPr>
          <w:rFonts w:ascii="Garamond" w:hAnsi="Garamond" w:cstheme="minorHAnsi"/>
          <w:sz w:val="24"/>
          <w:szCs w:val="24"/>
        </w:rPr>
        <w:t xml:space="preserve"> the study of the natural world </w:t>
      </w:r>
      <w:r w:rsidR="00EE42A8">
        <w:rPr>
          <w:rFonts w:ascii="Garamond" w:hAnsi="Garamond" w:cstheme="minorHAnsi"/>
          <w:sz w:val="24"/>
          <w:szCs w:val="24"/>
        </w:rPr>
        <w:t xml:space="preserve">– </w:t>
      </w:r>
      <w:r w:rsidRPr="00461D74">
        <w:rPr>
          <w:rFonts w:ascii="Garamond" w:hAnsi="Garamond" w:cstheme="minorHAnsi"/>
          <w:sz w:val="24"/>
          <w:szCs w:val="24"/>
        </w:rPr>
        <w:t xml:space="preserve">would ultimately gain favor over Aristotelian ideas prevalent in the medieval period. Concurrent with the Renaissance, the </w:t>
      </w:r>
      <w:r w:rsidR="00205CB5" w:rsidRPr="00461D74">
        <w:rPr>
          <w:rFonts w:ascii="Garamond" w:hAnsi="Garamond" w:cstheme="minorHAnsi"/>
          <w:sz w:val="24"/>
          <w:szCs w:val="24"/>
        </w:rPr>
        <w:t>P</w:t>
      </w:r>
      <w:r w:rsidRPr="00461D74">
        <w:rPr>
          <w:rFonts w:ascii="Garamond" w:hAnsi="Garamond" w:cstheme="minorHAnsi"/>
          <w:sz w:val="24"/>
          <w:szCs w:val="24"/>
        </w:rPr>
        <w:t xml:space="preserve">rotestant </w:t>
      </w:r>
      <w:r w:rsidR="00205CB5" w:rsidRPr="00461D74">
        <w:rPr>
          <w:rFonts w:ascii="Garamond" w:hAnsi="Garamond" w:cstheme="minorHAnsi"/>
          <w:sz w:val="24"/>
          <w:szCs w:val="24"/>
        </w:rPr>
        <w:t>R</w:t>
      </w:r>
      <w:r w:rsidRPr="00461D74">
        <w:rPr>
          <w:rFonts w:ascii="Garamond" w:hAnsi="Garamond" w:cstheme="minorHAnsi"/>
          <w:sz w:val="24"/>
          <w:szCs w:val="24"/>
        </w:rPr>
        <w:t xml:space="preserve">eformation and the resulting schism eventually ushered in great religious and political upheavals that </w:t>
      </w:r>
      <w:r w:rsidR="00CE3F09">
        <w:rPr>
          <w:rFonts w:ascii="Garamond" w:hAnsi="Garamond" w:cstheme="minorHAnsi"/>
          <w:sz w:val="24"/>
          <w:szCs w:val="24"/>
        </w:rPr>
        <w:t xml:space="preserve">ultimately were a major factor in precipitating </w:t>
      </w:r>
      <w:r w:rsidRPr="00461D74">
        <w:rPr>
          <w:rFonts w:ascii="Garamond" w:hAnsi="Garamond" w:cstheme="minorHAnsi"/>
          <w:sz w:val="24"/>
          <w:szCs w:val="24"/>
        </w:rPr>
        <w:t xml:space="preserve">a </w:t>
      </w:r>
      <w:r w:rsidR="004E6080">
        <w:rPr>
          <w:rFonts w:ascii="Garamond" w:hAnsi="Garamond" w:cstheme="minorHAnsi"/>
          <w:sz w:val="24"/>
          <w:szCs w:val="24"/>
        </w:rPr>
        <w:t xml:space="preserve">new </w:t>
      </w:r>
      <w:r w:rsidRPr="00461D74">
        <w:rPr>
          <w:rFonts w:ascii="Garamond" w:hAnsi="Garamond" w:cstheme="minorHAnsi"/>
          <w:sz w:val="24"/>
          <w:szCs w:val="24"/>
        </w:rPr>
        <w:t xml:space="preserve">bloody and lengthy European war spanning the late </w:t>
      </w:r>
      <w:r w:rsidR="00945804">
        <w:rPr>
          <w:rFonts w:ascii="Garamond" w:hAnsi="Garamond" w:cstheme="minorHAnsi"/>
          <w:sz w:val="24"/>
          <w:szCs w:val="24"/>
        </w:rPr>
        <w:t>16</w:t>
      </w:r>
      <w:r w:rsidR="00DB00EA" w:rsidRPr="00DB00EA">
        <w:rPr>
          <w:rFonts w:ascii="Garamond" w:hAnsi="Garamond" w:cstheme="minorHAnsi"/>
          <w:sz w:val="24"/>
          <w:szCs w:val="24"/>
          <w:vertAlign w:val="superscript"/>
        </w:rPr>
        <w:t>th</w:t>
      </w:r>
      <w:r w:rsidR="00945804">
        <w:rPr>
          <w:rFonts w:ascii="Garamond" w:hAnsi="Garamond" w:cstheme="minorHAnsi"/>
          <w:sz w:val="24"/>
          <w:szCs w:val="24"/>
        </w:rPr>
        <w:t xml:space="preserve"> century</w:t>
      </w:r>
      <w:r w:rsidR="00945804" w:rsidRPr="00461D74">
        <w:rPr>
          <w:rFonts w:ascii="Garamond" w:hAnsi="Garamond" w:cstheme="minorHAnsi"/>
          <w:sz w:val="24"/>
          <w:szCs w:val="24"/>
        </w:rPr>
        <w:t xml:space="preserve"> </w:t>
      </w:r>
      <w:r w:rsidR="004E6080">
        <w:rPr>
          <w:rFonts w:ascii="Garamond" w:hAnsi="Garamond" w:cstheme="minorHAnsi"/>
          <w:sz w:val="24"/>
          <w:szCs w:val="24"/>
        </w:rPr>
        <w:t xml:space="preserve">and </w:t>
      </w:r>
      <w:r w:rsidRPr="00461D74">
        <w:rPr>
          <w:rFonts w:ascii="Garamond" w:hAnsi="Garamond" w:cstheme="minorHAnsi"/>
          <w:sz w:val="24"/>
          <w:szCs w:val="24"/>
        </w:rPr>
        <w:t xml:space="preserve">the </w:t>
      </w:r>
      <w:r w:rsidR="004E6080">
        <w:rPr>
          <w:rFonts w:ascii="Garamond" w:hAnsi="Garamond" w:cstheme="minorHAnsi"/>
          <w:sz w:val="24"/>
          <w:szCs w:val="24"/>
        </w:rPr>
        <w:t xml:space="preserve">first half of </w:t>
      </w:r>
      <w:r w:rsidR="00945804">
        <w:rPr>
          <w:rFonts w:ascii="Garamond" w:hAnsi="Garamond" w:cstheme="minorHAnsi"/>
          <w:sz w:val="24"/>
          <w:szCs w:val="24"/>
        </w:rPr>
        <w:t xml:space="preserve">the </w:t>
      </w:r>
      <w:r w:rsidRPr="00461D74">
        <w:rPr>
          <w:rFonts w:ascii="Garamond" w:hAnsi="Garamond" w:cstheme="minorHAnsi"/>
          <w:sz w:val="24"/>
          <w:szCs w:val="24"/>
        </w:rPr>
        <w:t>17</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w:t>
      </w:r>
    </w:p>
    <w:p w:rsidR="00016049" w:rsidRPr="00461D74" w:rsidRDefault="00945804" w:rsidP="00164E4D">
      <w:pPr>
        <w:spacing w:after="200" w:line="360" w:lineRule="auto"/>
        <w:ind w:firstLine="720"/>
        <w:jc w:val="both"/>
        <w:rPr>
          <w:rFonts w:ascii="Garamond" w:hAnsi="Garamond" w:cstheme="minorHAnsi"/>
          <w:sz w:val="24"/>
          <w:szCs w:val="24"/>
        </w:rPr>
      </w:pPr>
      <w:r>
        <w:rPr>
          <w:rFonts w:ascii="Garamond" w:hAnsi="Garamond" w:cstheme="minorHAnsi"/>
          <w:sz w:val="24"/>
          <w:szCs w:val="24"/>
        </w:rPr>
        <w:t xml:space="preserve">These events, taken together, </w:t>
      </w:r>
      <w:r w:rsidR="00016049" w:rsidRPr="00461D74">
        <w:rPr>
          <w:rFonts w:ascii="Garamond" w:hAnsi="Garamond" w:cstheme="minorHAnsi"/>
          <w:sz w:val="24"/>
          <w:szCs w:val="24"/>
        </w:rPr>
        <w:t xml:space="preserve">gradually marginalized the power of the church and marshaled the beginnings of what in hindsight turned out to be a systematic move to a more secular world-view. </w:t>
      </w:r>
      <w:r>
        <w:rPr>
          <w:rFonts w:ascii="Garamond" w:hAnsi="Garamond" w:cstheme="minorHAnsi"/>
          <w:sz w:val="24"/>
          <w:szCs w:val="24"/>
        </w:rPr>
        <w:t>In addition, they</w:t>
      </w:r>
      <w:r w:rsidR="00016049" w:rsidRPr="00461D74">
        <w:rPr>
          <w:rFonts w:ascii="Garamond" w:hAnsi="Garamond" w:cstheme="minorHAnsi"/>
          <w:sz w:val="24"/>
          <w:szCs w:val="24"/>
        </w:rPr>
        <w:t xml:space="preserve"> </w:t>
      </w:r>
      <w:r w:rsidR="00CB218F">
        <w:rPr>
          <w:rFonts w:ascii="Garamond" w:hAnsi="Garamond" w:cstheme="minorHAnsi"/>
          <w:sz w:val="24"/>
          <w:szCs w:val="24"/>
        </w:rPr>
        <w:t xml:space="preserve">hastened </w:t>
      </w:r>
      <w:r w:rsidR="00016049" w:rsidRPr="00461D74">
        <w:rPr>
          <w:rFonts w:ascii="Garamond" w:hAnsi="Garamond" w:cstheme="minorHAnsi"/>
          <w:sz w:val="24"/>
          <w:szCs w:val="24"/>
        </w:rPr>
        <w:t>the growth of more abstract and mathematical modes of inquiry – owing to some early successes in the late 16</w:t>
      </w:r>
      <w:r w:rsidR="00016049" w:rsidRPr="00461D74">
        <w:rPr>
          <w:rFonts w:ascii="Garamond" w:hAnsi="Garamond" w:cstheme="minorHAnsi"/>
          <w:sz w:val="24"/>
          <w:szCs w:val="24"/>
          <w:vertAlign w:val="superscript"/>
        </w:rPr>
        <w:t>th</w:t>
      </w:r>
      <w:r w:rsidR="00016049" w:rsidRPr="00461D74">
        <w:rPr>
          <w:rFonts w:ascii="Garamond" w:hAnsi="Garamond" w:cstheme="minorHAnsi"/>
          <w:sz w:val="24"/>
          <w:szCs w:val="24"/>
        </w:rPr>
        <w:t xml:space="preserve"> and early 17</w:t>
      </w:r>
      <w:r w:rsidR="00016049" w:rsidRPr="00461D74">
        <w:rPr>
          <w:rFonts w:ascii="Garamond" w:hAnsi="Garamond" w:cstheme="minorHAnsi"/>
          <w:sz w:val="24"/>
          <w:szCs w:val="24"/>
          <w:vertAlign w:val="superscript"/>
        </w:rPr>
        <w:t>th</w:t>
      </w:r>
      <w:r w:rsidR="00016049" w:rsidRPr="00461D74">
        <w:rPr>
          <w:rFonts w:ascii="Garamond" w:hAnsi="Garamond" w:cstheme="minorHAnsi"/>
          <w:sz w:val="24"/>
          <w:szCs w:val="24"/>
        </w:rPr>
        <w:t xml:space="preserve"> century – and precipitated the gradual decline of Scholastic and Aristotelian concepts, specifically Aristotle’s metaphysics and teleology.</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MacIntyre’s historical narrative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primarily focuses on the Enlightenment period, and the intellectual background immediately preceding the gradual decline of Aristotelian teleology in the latter part of the 17</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I would like to suggest that MacIntyre perhaps overlooks the important social, political, and intellectual background that spanned the 14</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to the 17</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and in so doing neglects an important implication of the historical narrative he outlines in both </w:t>
      </w:r>
      <w:r w:rsidRPr="00461D74">
        <w:rPr>
          <w:rFonts w:ascii="Garamond" w:hAnsi="Garamond" w:cstheme="minorHAnsi"/>
          <w:i/>
          <w:iCs/>
          <w:sz w:val="24"/>
          <w:szCs w:val="24"/>
        </w:rPr>
        <w:t>After Virtue</w:t>
      </w:r>
      <w:r w:rsidRPr="00461D74">
        <w:rPr>
          <w:rFonts w:ascii="Garamond" w:hAnsi="Garamond" w:cstheme="minorHAnsi"/>
          <w:sz w:val="24"/>
          <w:szCs w:val="24"/>
        </w:rPr>
        <w:t xml:space="preserve"> and </w:t>
      </w:r>
      <w:r w:rsidRPr="00461D74">
        <w:rPr>
          <w:rFonts w:ascii="Garamond" w:hAnsi="Garamond" w:cstheme="minorHAnsi"/>
          <w:i/>
          <w:iCs/>
          <w:sz w:val="24"/>
          <w:szCs w:val="24"/>
        </w:rPr>
        <w:t>Whose Justice</w:t>
      </w:r>
      <w:r w:rsidRPr="00461D74">
        <w:rPr>
          <w:rFonts w:ascii="Garamond" w:hAnsi="Garamond" w:cstheme="minorHAnsi"/>
          <w:sz w:val="24"/>
          <w:szCs w:val="24"/>
        </w:rPr>
        <w:t xml:space="preserve"> – an implication I explicitly outlined in hypothesis (H3) and (H4): namely, that massive disruption of the social context can precipitate the decline of moral traditions.</w:t>
      </w:r>
      <w:r w:rsidR="00F46F39">
        <w:rPr>
          <w:rStyle w:val="FootnoteReference"/>
          <w:rFonts w:ascii="Garamond" w:hAnsi="Garamond" w:cstheme="minorHAnsi"/>
          <w:sz w:val="24"/>
          <w:szCs w:val="24"/>
        </w:rPr>
        <w:footnoteReference w:id="167"/>
      </w:r>
    </w:p>
    <w:p w:rsidR="00B307F5"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Thus, the lesson that I would like to add to MacIntyre’s historical narrative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is that the set of social transformations that extended from the High Middle Ages to the Renaissance paved the way for new forms of rational inquiry that ultimately leave</w:t>
      </w:r>
      <w:r w:rsidR="000C7531" w:rsidRPr="00461D74">
        <w:rPr>
          <w:rFonts w:ascii="Garamond" w:hAnsi="Garamond" w:cstheme="minorHAnsi"/>
          <w:sz w:val="24"/>
          <w:szCs w:val="24"/>
        </w:rPr>
        <w:t>s</w:t>
      </w:r>
      <w:r w:rsidRPr="00461D74">
        <w:rPr>
          <w:rFonts w:ascii="Garamond" w:hAnsi="Garamond" w:cstheme="minorHAnsi"/>
          <w:sz w:val="24"/>
          <w:szCs w:val="24"/>
        </w:rPr>
        <w:t xml:space="preserve"> behind Aristotle’s metaphysics.</w:t>
      </w:r>
      <w:r w:rsidRPr="00461D74">
        <w:rPr>
          <w:rStyle w:val="FootnoteReference"/>
          <w:rFonts w:ascii="Garamond" w:hAnsi="Garamond" w:cstheme="minorHAnsi"/>
          <w:sz w:val="24"/>
          <w:szCs w:val="24"/>
        </w:rPr>
        <w:footnoteReference w:id="168"/>
      </w:r>
      <w:r w:rsidRPr="00461D74">
        <w:rPr>
          <w:rFonts w:ascii="Garamond" w:hAnsi="Garamond" w:cstheme="minorHAnsi"/>
          <w:sz w:val="24"/>
          <w:szCs w:val="24"/>
        </w:rPr>
        <w:t xml:space="preserve"> </w:t>
      </w:r>
      <w:r w:rsidR="00B307F5" w:rsidRPr="00461D74">
        <w:rPr>
          <w:rFonts w:ascii="Garamond" w:hAnsi="Garamond" w:cstheme="minorHAnsi"/>
          <w:sz w:val="24"/>
          <w:szCs w:val="24"/>
        </w:rPr>
        <w:t xml:space="preserve">This claim is in effect the upshot </w:t>
      </w:r>
      <w:r w:rsidR="004A2326">
        <w:rPr>
          <w:rFonts w:ascii="Garamond" w:hAnsi="Garamond" w:cstheme="minorHAnsi"/>
          <w:sz w:val="24"/>
          <w:szCs w:val="24"/>
        </w:rPr>
        <w:t xml:space="preserve">or implication </w:t>
      </w:r>
      <w:r w:rsidR="00B307F5" w:rsidRPr="00461D74">
        <w:rPr>
          <w:rFonts w:ascii="Garamond" w:hAnsi="Garamond" w:cstheme="minorHAnsi"/>
          <w:sz w:val="24"/>
          <w:szCs w:val="24"/>
        </w:rPr>
        <w:t>of the hypothesis (H3a) I outlined in the previous chapter.</w:t>
      </w:r>
    </w:p>
    <w:p w:rsidR="001C730D" w:rsidRPr="00461D74" w:rsidRDefault="00B307F5"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Now, given </w:t>
      </w:r>
      <w:r w:rsidR="00837214" w:rsidRPr="00461D74">
        <w:rPr>
          <w:rFonts w:ascii="Garamond" w:hAnsi="Garamond" w:cstheme="minorHAnsi"/>
          <w:sz w:val="24"/>
          <w:szCs w:val="24"/>
        </w:rPr>
        <w:t xml:space="preserve">the </w:t>
      </w:r>
      <w:r w:rsidRPr="00461D74">
        <w:rPr>
          <w:rFonts w:ascii="Garamond" w:hAnsi="Garamond" w:cstheme="minorHAnsi"/>
          <w:sz w:val="24"/>
          <w:szCs w:val="24"/>
        </w:rPr>
        <w:t xml:space="preserve">early successes </w:t>
      </w:r>
      <w:r w:rsidR="00837214" w:rsidRPr="00461D74">
        <w:rPr>
          <w:rFonts w:ascii="Garamond" w:hAnsi="Garamond" w:cstheme="minorHAnsi"/>
          <w:sz w:val="24"/>
          <w:szCs w:val="24"/>
        </w:rPr>
        <w:t>of</w:t>
      </w:r>
      <w:r w:rsidRPr="00461D74">
        <w:rPr>
          <w:rFonts w:ascii="Garamond" w:hAnsi="Garamond" w:cstheme="minorHAnsi"/>
          <w:sz w:val="24"/>
          <w:szCs w:val="24"/>
        </w:rPr>
        <w:t xml:space="preserve"> inquiry into </w:t>
      </w:r>
      <w:r w:rsidR="00837214" w:rsidRPr="00461D74">
        <w:rPr>
          <w:rFonts w:ascii="Garamond" w:hAnsi="Garamond" w:cstheme="minorHAnsi"/>
          <w:sz w:val="24"/>
          <w:szCs w:val="24"/>
        </w:rPr>
        <w:t>the natural world, i</w:t>
      </w:r>
      <w:r w:rsidR="00D75251" w:rsidRPr="00461D74">
        <w:rPr>
          <w:rFonts w:ascii="Garamond" w:hAnsi="Garamond" w:cstheme="minorHAnsi"/>
          <w:sz w:val="24"/>
          <w:szCs w:val="24"/>
        </w:rPr>
        <w:t xml:space="preserve">t seems </w:t>
      </w:r>
      <w:r w:rsidRPr="00461D74">
        <w:rPr>
          <w:rFonts w:ascii="Garamond" w:hAnsi="Garamond" w:cstheme="minorHAnsi"/>
          <w:sz w:val="24"/>
          <w:szCs w:val="24"/>
        </w:rPr>
        <w:t xml:space="preserve">conceivable </w:t>
      </w:r>
      <w:r w:rsidR="00D75251" w:rsidRPr="00461D74">
        <w:rPr>
          <w:rFonts w:ascii="Garamond" w:hAnsi="Garamond" w:cstheme="minorHAnsi"/>
          <w:sz w:val="24"/>
          <w:szCs w:val="24"/>
        </w:rPr>
        <w:t xml:space="preserve">then that </w:t>
      </w:r>
      <w:r w:rsidRPr="00461D74">
        <w:rPr>
          <w:rFonts w:ascii="Garamond" w:hAnsi="Garamond" w:cstheme="minorHAnsi"/>
          <w:sz w:val="24"/>
          <w:szCs w:val="24"/>
        </w:rPr>
        <w:t>different thinkers, pursuing</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diverse </w:t>
      </w:r>
      <w:r w:rsidR="00016049" w:rsidRPr="00461D74">
        <w:rPr>
          <w:rFonts w:ascii="Garamond" w:hAnsi="Garamond" w:cstheme="minorHAnsi"/>
          <w:sz w:val="24"/>
          <w:szCs w:val="24"/>
        </w:rPr>
        <w:t>forms of inquiry</w:t>
      </w:r>
      <w:r w:rsidR="00837214"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837214" w:rsidRPr="00461D74">
        <w:rPr>
          <w:rFonts w:ascii="Garamond" w:hAnsi="Garamond" w:cstheme="minorHAnsi"/>
          <w:sz w:val="24"/>
          <w:szCs w:val="24"/>
        </w:rPr>
        <w:t xml:space="preserve">came to believe </w:t>
      </w:r>
      <w:r w:rsidR="00016049" w:rsidRPr="00461D74">
        <w:rPr>
          <w:rFonts w:ascii="Garamond" w:hAnsi="Garamond" w:cstheme="minorHAnsi"/>
          <w:sz w:val="24"/>
          <w:szCs w:val="24"/>
        </w:rPr>
        <w:t xml:space="preserve">that the application of abstract concepts </w:t>
      </w:r>
      <w:r w:rsidR="00016049" w:rsidRPr="00461D74">
        <w:rPr>
          <w:rFonts w:ascii="Garamond" w:hAnsi="Garamond" w:cstheme="minorHAnsi"/>
          <w:i/>
          <w:sz w:val="24"/>
          <w:szCs w:val="24"/>
        </w:rPr>
        <w:t>sans</w:t>
      </w:r>
      <w:r w:rsidR="00016049" w:rsidRPr="00461D74">
        <w:rPr>
          <w:rFonts w:ascii="Garamond" w:hAnsi="Garamond" w:cstheme="minorHAnsi"/>
          <w:sz w:val="24"/>
          <w:szCs w:val="24"/>
        </w:rPr>
        <w:t xml:space="preserve"> </w:t>
      </w:r>
      <w:r w:rsidR="00016049" w:rsidRPr="00461D74">
        <w:rPr>
          <w:rFonts w:ascii="Garamond" w:hAnsi="Garamond" w:cstheme="minorHAnsi"/>
          <w:i/>
          <w:sz w:val="24"/>
          <w:szCs w:val="24"/>
        </w:rPr>
        <w:t>teleology</w:t>
      </w:r>
      <w:r w:rsidR="00837214" w:rsidRPr="00461D74">
        <w:rPr>
          <w:rFonts w:ascii="Garamond" w:hAnsi="Garamond" w:cstheme="minorHAnsi"/>
          <w:sz w:val="24"/>
          <w:szCs w:val="24"/>
        </w:rPr>
        <w:t>, could fashion new and interesting ways of advancing inquiry in other areas</w:t>
      </w:r>
      <w:r w:rsidR="00016049" w:rsidRPr="00461D74">
        <w:rPr>
          <w:rFonts w:ascii="Garamond" w:hAnsi="Garamond" w:cstheme="minorHAnsi"/>
          <w:sz w:val="24"/>
          <w:szCs w:val="24"/>
        </w:rPr>
        <w:t xml:space="preserve">. </w:t>
      </w:r>
      <w:r w:rsidR="00837214" w:rsidRPr="00461D74">
        <w:rPr>
          <w:rFonts w:ascii="Garamond" w:hAnsi="Garamond" w:cstheme="minorHAnsi"/>
          <w:sz w:val="24"/>
          <w:szCs w:val="24"/>
        </w:rPr>
        <w:t xml:space="preserve">And </w:t>
      </w:r>
      <w:r w:rsidR="00015715">
        <w:rPr>
          <w:rFonts w:ascii="Garamond" w:hAnsi="Garamond" w:cstheme="minorHAnsi"/>
          <w:sz w:val="24"/>
          <w:szCs w:val="24"/>
        </w:rPr>
        <w:t>granting</w:t>
      </w:r>
      <w:r w:rsidR="00016049" w:rsidRPr="00461D74">
        <w:rPr>
          <w:rFonts w:ascii="Garamond" w:hAnsi="Garamond" w:cstheme="minorHAnsi"/>
          <w:sz w:val="24"/>
          <w:szCs w:val="24"/>
        </w:rPr>
        <w:t xml:space="preserve"> </w:t>
      </w:r>
      <w:r w:rsidR="00837214"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early successes </w:t>
      </w:r>
      <w:r w:rsidR="00837214" w:rsidRPr="00461D74">
        <w:rPr>
          <w:rFonts w:ascii="Garamond" w:hAnsi="Garamond" w:cstheme="minorHAnsi"/>
          <w:sz w:val="24"/>
          <w:szCs w:val="24"/>
        </w:rPr>
        <w:t>of</w:t>
      </w:r>
      <w:r w:rsidR="00016049" w:rsidRPr="00461D74">
        <w:rPr>
          <w:rFonts w:ascii="Garamond" w:hAnsi="Garamond" w:cstheme="minorHAnsi"/>
          <w:sz w:val="24"/>
          <w:szCs w:val="24"/>
        </w:rPr>
        <w:t xml:space="preserve"> formulating theories that corroborate</w:t>
      </w:r>
      <w:r w:rsidR="00837214" w:rsidRPr="00461D74">
        <w:rPr>
          <w:rFonts w:ascii="Garamond" w:hAnsi="Garamond" w:cstheme="minorHAnsi"/>
          <w:sz w:val="24"/>
          <w:szCs w:val="24"/>
        </w:rPr>
        <w:t>d</w:t>
      </w:r>
      <w:r w:rsidR="00016049" w:rsidRPr="00461D74">
        <w:rPr>
          <w:rFonts w:ascii="Garamond" w:hAnsi="Garamond" w:cstheme="minorHAnsi"/>
          <w:sz w:val="24"/>
          <w:szCs w:val="24"/>
        </w:rPr>
        <w:t xml:space="preserve"> observation of the natural world, th</w:t>
      </w:r>
      <w:r w:rsidR="00837214" w:rsidRPr="00461D74">
        <w:rPr>
          <w:rFonts w:ascii="Garamond" w:hAnsi="Garamond" w:cstheme="minorHAnsi"/>
          <w:sz w:val="24"/>
          <w:szCs w:val="24"/>
        </w:rPr>
        <w:t>e new</w:t>
      </w:r>
      <w:r w:rsidR="00016049" w:rsidRPr="00461D74">
        <w:rPr>
          <w:rFonts w:ascii="Garamond" w:hAnsi="Garamond" w:cstheme="minorHAnsi"/>
          <w:sz w:val="24"/>
          <w:szCs w:val="24"/>
        </w:rPr>
        <w:t xml:space="preserve"> abstract</w:t>
      </w:r>
      <w:r w:rsidR="00837214" w:rsidRPr="00461D74">
        <w:rPr>
          <w:rFonts w:ascii="Garamond" w:hAnsi="Garamond" w:cstheme="minorHAnsi"/>
          <w:sz w:val="24"/>
          <w:szCs w:val="24"/>
        </w:rPr>
        <w:t xml:space="preserve"> </w:t>
      </w:r>
      <w:r w:rsidR="00016049" w:rsidRPr="00461D74">
        <w:rPr>
          <w:rFonts w:ascii="Garamond" w:hAnsi="Garamond" w:cstheme="minorHAnsi"/>
          <w:sz w:val="24"/>
          <w:szCs w:val="24"/>
        </w:rPr>
        <w:t>approach then engenders a revised conception of reasoning</w:t>
      </w:r>
      <w:r w:rsidR="00837214" w:rsidRPr="00461D74">
        <w:rPr>
          <w:rFonts w:ascii="Garamond" w:hAnsi="Garamond" w:cstheme="minorHAnsi"/>
          <w:sz w:val="24"/>
          <w:szCs w:val="24"/>
        </w:rPr>
        <w:t xml:space="preserve"> that </w:t>
      </w:r>
      <w:r w:rsidR="001C730D" w:rsidRPr="00461D74">
        <w:rPr>
          <w:rFonts w:ascii="Garamond" w:hAnsi="Garamond" w:cstheme="minorHAnsi"/>
          <w:sz w:val="24"/>
          <w:szCs w:val="24"/>
        </w:rPr>
        <w:t xml:space="preserve">appears to be not only promising, but also more </w:t>
      </w:r>
      <w:r w:rsidR="00837214" w:rsidRPr="00461D74">
        <w:rPr>
          <w:rFonts w:ascii="Garamond" w:hAnsi="Garamond" w:cstheme="minorHAnsi"/>
          <w:sz w:val="24"/>
          <w:szCs w:val="24"/>
        </w:rPr>
        <w:t xml:space="preserve">profitable </w:t>
      </w:r>
      <w:r w:rsidR="00016049" w:rsidRPr="00461D74">
        <w:rPr>
          <w:rFonts w:ascii="Garamond" w:hAnsi="Garamond" w:cstheme="minorHAnsi"/>
          <w:sz w:val="24"/>
          <w:szCs w:val="24"/>
        </w:rPr>
        <w:t xml:space="preserve">than scholastic philosophy </w:t>
      </w:r>
      <w:r w:rsidR="00837214" w:rsidRPr="00461D74">
        <w:rPr>
          <w:rFonts w:ascii="Garamond" w:hAnsi="Garamond" w:cstheme="minorHAnsi"/>
          <w:sz w:val="24"/>
          <w:szCs w:val="24"/>
        </w:rPr>
        <w:t>(</w:t>
      </w:r>
      <w:r w:rsidR="00016049" w:rsidRPr="00461D74">
        <w:rPr>
          <w:rFonts w:ascii="Garamond" w:hAnsi="Garamond" w:cstheme="minorHAnsi"/>
          <w:sz w:val="24"/>
          <w:szCs w:val="24"/>
        </w:rPr>
        <w:t xml:space="preserve">with its focus on </w:t>
      </w:r>
      <w:proofErr w:type="spellStart"/>
      <w:r w:rsidR="00016049" w:rsidRPr="00461D74">
        <w:rPr>
          <w:rFonts w:ascii="Garamond" w:hAnsi="Garamond" w:cstheme="minorHAnsi"/>
          <w:sz w:val="24"/>
          <w:szCs w:val="24"/>
        </w:rPr>
        <w:t>teleologically</w:t>
      </w:r>
      <w:proofErr w:type="spellEnd"/>
      <w:r w:rsidR="00016049" w:rsidRPr="00461D74">
        <w:rPr>
          <w:rFonts w:ascii="Garamond" w:hAnsi="Garamond" w:cstheme="minorHAnsi"/>
          <w:sz w:val="24"/>
          <w:szCs w:val="24"/>
        </w:rPr>
        <w:t>-laden ratiocination and dialectical arguments</w:t>
      </w:r>
      <w:r w:rsidR="00837214"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1C730D" w:rsidRPr="00461D74">
        <w:rPr>
          <w:rFonts w:ascii="Garamond" w:hAnsi="Garamond" w:cstheme="minorHAnsi"/>
          <w:sz w:val="24"/>
          <w:szCs w:val="24"/>
        </w:rPr>
        <w:t xml:space="preserve">In this context, </w:t>
      </w:r>
      <w:r w:rsidR="00D75251" w:rsidRPr="00461D74">
        <w:rPr>
          <w:rFonts w:ascii="Garamond" w:hAnsi="Garamond" w:cstheme="minorHAnsi"/>
          <w:sz w:val="24"/>
          <w:szCs w:val="24"/>
        </w:rPr>
        <w:t xml:space="preserve">it seems </w:t>
      </w:r>
      <w:r w:rsidR="00015715">
        <w:rPr>
          <w:rFonts w:ascii="Garamond" w:hAnsi="Garamond" w:cstheme="minorHAnsi"/>
          <w:sz w:val="24"/>
          <w:szCs w:val="24"/>
        </w:rPr>
        <w:t>only</w:t>
      </w:r>
      <w:r w:rsidR="00015715" w:rsidRPr="00461D74">
        <w:rPr>
          <w:rFonts w:ascii="Garamond" w:hAnsi="Garamond" w:cstheme="minorHAnsi"/>
          <w:sz w:val="24"/>
          <w:szCs w:val="24"/>
        </w:rPr>
        <w:t xml:space="preserve"> </w:t>
      </w:r>
      <w:r w:rsidR="00D75251" w:rsidRPr="00461D74">
        <w:rPr>
          <w:rFonts w:ascii="Garamond" w:hAnsi="Garamond" w:cstheme="minorHAnsi"/>
          <w:sz w:val="24"/>
          <w:szCs w:val="24"/>
        </w:rPr>
        <w:t>reasonable that t</w:t>
      </w:r>
      <w:r w:rsidR="00016049" w:rsidRPr="00461D74">
        <w:rPr>
          <w:rFonts w:ascii="Garamond" w:hAnsi="Garamond" w:cstheme="minorHAnsi"/>
          <w:sz w:val="24"/>
          <w:szCs w:val="24"/>
        </w:rPr>
        <w:t xml:space="preserve">he pursuit of a </w:t>
      </w:r>
      <w:r w:rsidR="00D75251" w:rsidRPr="00461D74">
        <w:rPr>
          <w:rFonts w:ascii="Garamond" w:hAnsi="Garamond" w:cstheme="minorHAnsi"/>
          <w:sz w:val="24"/>
          <w:szCs w:val="24"/>
        </w:rPr>
        <w:t xml:space="preserve">form of </w:t>
      </w:r>
      <w:r w:rsidR="00016049" w:rsidRPr="00461D74">
        <w:rPr>
          <w:rFonts w:ascii="Garamond" w:hAnsi="Garamond" w:cstheme="minorHAnsi"/>
          <w:sz w:val="24"/>
          <w:szCs w:val="24"/>
        </w:rPr>
        <w:t>rational inquiry – or more precisely</w:t>
      </w:r>
      <w:r w:rsidR="00D75251" w:rsidRPr="00461D74">
        <w:rPr>
          <w:rFonts w:ascii="Garamond" w:hAnsi="Garamond" w:cstheme="minorHAnsi"/>
          <w:sz w:val="24"/>
          <w:szCs w:val="24"/>
        </w:rPr>
        <w:t>, a</w:t>
      </w:r>
      <w:r w:rsidR="001C730D" w:rsidRPr="00461D74">
        <w:rPr>
          <w:rFonts w:ascii="Garamond" w:hAnsi="Garamond" w:cstheme="minorHAnsi"/>
          <w:sz w:val="24"/>
          <w:szCs w:val="24"/>
        </w:rPr>
        <w:t>n abstract</w:t>
      </w:r>
      <w:r w:rsidR="00016049" w:rsidRPr="00461D74">
        <w:rPr>
          <w:rFonts w:ascii="Garamond" w:hAnsi="Garamond" w:cstheme="minorHAnsi"/>
          <w:sz w:val="24"/>
          <w:szCs w:val="24"/>
        </w:rPr>
        <w:t xml:space="preserve"> non-teleological mechanistic </w:t>
      </w:r>
      <w:r w:rsidR="001C730D" w:rsidRPr="00461D74">
        <w:rPr>
          <w:rFonts w:ascii="Garamond" w:hAnsi="Garamond" w:cstheme="minorHAnsi"/>
          <w:sz w:val="24"/>
          <w:szCs w:val="24"/>
        </w:rPr>
        <w:t xml:space="preserve">methodology </w:t>
      </w:r>
      <w:r w:rsidR="00016049" w:rsidRPr="00461D74">
        <w:rPr>
          <w:rFonts w:ascii="Garamond" w:hAnsi="Garamond" w:cstheme="minorHAnsi"/>
          <w:sz w:val="24"/>
          <w:szCs w:val="24"/>
        </w:rPr>
        <w:t xml:space="preserve">– was naturally extended to </w:t>
      </w:r>
      <w:r w:rsidR="001C730D" w:rsidRPr="00461D74">
        <w:rPr>
          <w:rFonts w:ascii="Garamond" w:hAnsi="Garamond" w:cstheme="minorHAnsi"/>
          <w:sz w:val="24"/>
          <w:szCs w:val="24"/>
        </w:rPr>
        <w:t xml:space="preserve">other areas, including </w:t>
      </w:r>
      <w:r w:rsidR="00016049" w:rsidRPr="00461D74">
        <w:rPr>
          <w:rFonts w:ascii="Garamond" w:hAnsi="Garamond" w:cstheme="minorHAnsi"/>
          <w:sz w:val="24"/>
          <w:szCs w:val="24"/>
        </w:rPr>
        <w:t>social and moral inquiry.</w:t>
      </w:r>
    </w:p>
    <w:p w:rsidR="00016049" w:rsidRPr="00461D74" w:rsidRDefault="001C730D" w:rsidP="00164E4D">
      <w:pPr>
        <w:spacing w:after="200" w:line="360" w:lineRule="auto"/>
        <w:ind w:firstLine="720"/>
        <w:jc w:val="both"/>
        <w:rPr>
          <w:rFonts w:ascii="Garamond" w:hAnsi="Garamond" w:cstheme="minorHAnsi"/>
          <w:sz w:val="24"/>
          <w:szCs w:val="24"/>
          <w:lang w:val="en-GB"/>
        </w:rPr>
      </w:pPr>
      <w:r w:rsidRPr="00461D74">
        <w:rPr>
          <w:rFonts w:ascii="Garamond" w:hAnsi="Garamond" w:cstheme="minorHAnsi"/>
          <w:sz w:val="24"/>
          <w:szCs w:val="24"/>
        </w:rPr>
        <w:t>Therefore, t</w:t>
      </w:r>
      <w:r w:rsidR="00016049" w:rsidRPr="00461D74">
        <w:rPr>
          <w:rFonts w:ascii="Garamond" w:hAnsi="Garamond" w:cstheme="minorHAnsi"/>
          <w:sz w:val="24"/>
          <w:szCs w:val="24"/>
        </w:rPr>
        <w:t>he</w:t>
      </w:r>
      <w:r w:rsidR="00D75251" w:rsidRPr="00461D74">
        <w:rPr>
          <w:rFonts w:ascii="Garamond" w:hAnsi="Garamond" w:cstheme="minorHAnsi"/>
          <w:sz w:val="24"/>
          <w:szCs w:val="24"/>
        </w:rPr>
        <w:t xml:space="preserve"> change</w:t>
      </w:r>
      <w:r w:rsidRPr="00461D74">
        <w:rPr>
          <w:rFonts w:ascii="Garamond" w:hAnsi="Garamond" w:cstheme="minorHAnsi"/>
          <w:sz w:val="24"/>
          <w:szCs w:val="24"/>
        </w:rPr>
        <w:t>s</w:t>
      </w:r>
      <w:r w:rsidR="00D75251" w:rsidRPr="00461D74">
        <w:rPr>
          <w:rFonts w:ascii="Garamond" w:hAnsi="Garamond" w:cstheme="minorHAnsi"/>
          <w:sz w:val="24"/>
          <w:szCs w:val="24"/>
        </w:rPr>
        <w:t xml:space="preserve"> in </w:t>
      </w:r>
      <w:r w:rsidRPr="00461D74">
        <w:rPr>
          <w:rFonts w:ascii="Garamond" w:hAnsi="Garamond" w:cstheme="minorHAnsi"/>
          <w:sz w:val="24"/>
          <w:szCs w:val="24"/>
        </w:rPr>
        <w:t xml:space="preserve"> the methodology of</w:t>
      </w:r>
      <w:r w:rsidR="00D75251" w:rsidRPr="00461D74">
        <w:rPr>
          <w:rFonts w:ascii="Garamond" w:hAnsi="Garamond" w:cstheme="minorHAnsi"/>
          <w:sz w:val="24"/>
          <w:szCs w:val="24"/>
        </w:rPr>
        <w:t xml:space="preserve"> science and intellectual inquiry, as well as other historical social</w:t>
      </w:r>
      <w:r w:rsidR="005974DF" w:rsidRPr="00461D74">
        <w:rPr>
          <w:rFonts w:ascii="Garamond" w:hAnsi="Garamond" w:cstheme="minorHAnsi"/>
          <w:sz w:val="24"/>
          <w:szCs w:val="24"/>
        </w:rPr>
        <w:t>-cum-</w:t>
      </w:r>
      <w:r w:rsidR="00D75251" w:rsidRPr="00461D74">
        <w:rPr>
          <w:rFonts w:ascii="Garamond" w:hAnsi="Garamond" w:cstheme="minorHAnsi"/>
          <w:sz w:val="24"/>
          <w:szCs w:val="24"/>
        </w:rPr>
        <w:t xml:space="preserve">political </w:t>
      </w:r>
      <w:r w:rsidR="00016049" w:rsidRPr="00461D74">
        <w:rPr>
          <w:rFonts w:ascii="Garamond" w:hAnsi="Garamond" w:cstheme="minorHAnsi"/>
          <w:sz w:val="24"/>
          <w:szCs w:val="24"/>
        </w:rPr>
        <w:t>events</w:t>
      </w:r>
      <w:r w:rsidRPr="00461D74">
        <w:rPr>
          <w:rFonts w:ascii="Garamond" w:hAnsi="Garamond" w:cstheme="minorHAnsi"/>
          <w:sz w:val="24"/>
          <w:szCs w:val="24"/>
        </w:rPr>
        <w:t>,</w:t>
      </w:r>
      <w:r w:rsidR="00D75251" w:rsidRPr="00461D74">
        <w:rPr>
          <w:rFonts w:ascii="Garamond" w:hAnsi="Garamond" w:cstheme="minorHAnsi"/>
          <w:sz w:val="24"/>
          <w:szCs w:val="24"/>
        </w:rPr>
        <w:t xml:space="preserve"> </w:t>
      </w:r>
      <w:r w:rsidR="00016049" w:rsidRPr="00461D74">
        <w:rPr>
          <w:rFonts w:ascii="Garamond" w:hAnsi="Garamond" w:cstheme="minorHAnsi"/>
          <w:sz w:val="24"/>
          <w:szCs w:val="24"/>
        </w:rPr>
        <w:t>hasten</w:t>
      </w:r>
      <w:r w:rsidRPr="00461D74">
        <w:rPr>
          <w:rFonts w:ascii="Garamond" w:hAnsi="Garamond" w:cstheme="minorHAnsi"/>
          <w:sz w:val="24"/>
          <w:szCs w:val="24"/>
        </w:rPr>
        <w:t>s</w:t>
      </w:r>
      <w:r w:rsidR="00016049" w:rsidRPr="00461D74">
        <w:rPr>
          <w:rFonts w:ascii="Garamond" w:hAnsi="Garamond" w:cstheme="minorHAnsi"/>
          <w:sz w:val="24"/>
          <w:szCs w:val="24"/>
        </w:rPr>
        <w:t xml:space="preserve"> a general shift in social attitudes in regards to what was accepted as the pursuit of the good. Under Aquinas</w:t>
      </w:r>
      <w:r w:rsidR="00CB218F">
        <w:rPr>
          <w:rFonts w:ascii="Garamond" w:hAnsi="Garamond" w:cstheme="minorHAnsi"/>
          <w:sz w:val="24"/>
          <w:szCs w:val="24"/>
        </w:rPr>
        <w:t>,</w:t>
      </w:r>
      <w:r w:rsidR="00016049" w:rsidRPr="00461D74">
        <w:rPr>
          <w:rFonts w:ascii="Garamond" w:hAnsi="Garamond" w:cstheme="minorHAnsi"/>
          <w:sz w:val="24"/>
          <w:szCs w:val="24"/>
        </w:rPr>
        <w:t xml:space="preserve"> the conception of ‘the Good’ and the highest good </w:t>
      </w:r>
      <w:r w:rsidR="00CB218F">
        <w:rPr>
          <w:rFonts w:ascii="Garamond" w:hAnsi="Garamond" w:cstheme="minorHAnsi"/>
          <w:sz w:val="24"/>
          <w:szCs w:val="24"/>
        </w:rPr>
        <w:t xml:space="preserve">or </w:t>
      </w:r>
      <w:proofErr w:type="spellStart"/>
      <w:r w:rsidR="00016049" w:rsidRPr="00461D74">
        <w:rPr>
          <w:rFonts w:ascii="Garamond" w:hAnsi="Garamond" w:cstheme="minorHAnsi"/>
          <w:i/>
          <w:iCs/>
          <w:sz w:val="24"/>
          <w:szCs w:val="24"/>
        </w:rPr>
        <w:t>summum</w:t>
      </w:r>
      <w:proofErr w:type="spellEnd"/>
      <w:r w:rsidR="00016049" w:rsidRPr="00461D74">
        <w:rPr>
          <w:rFonts w:ascii="Garamond" w:hAnsi="Garamond" w:cstheme="minorHAnsi"/>
          <w:i/>
          <w:iCs/>
          <w:sz w:val="24"/>
          <w:szCs w:val="24"/>
        </w:rPr>
        <w:t xml:space="preserve"> </w:t>
      </w:r>
      <w:proofErr w:type="spellStart"/>
      <w:proofErr w:type="gramStart"/>
      <w:r w:rsidR="00016049" w:rsidRPr="00461D74">
        <w:rPr>
          <w:rFonts w:ascii="Garamond" w:hAnsi="Garamond" w:cstheme="minorHAnsi"/>
          <w:i/>
          <w:iCs/>
          <w:sz w:val="24"/>
          <w:szCs w:val="24"/>
        </w:rPr>
        <w:t>bonum</w:t>
      </w:r>
      <w:proofErr w:type="spellEnd"/>
      <w:r w:rsidR="00016049" w:rsidRPr="00461D74">
        <w:rPr>
          <w:rFonts w:ascii="Garamond" w:hAnsi="Garamond" w:cstheme="minorHAnsi"/>
          <w:sz w:val="24"/>
          <w:szCs w:val="24"/>
        </w:rPr>
        <w:t>,</w:t>
      </w:r>
      <w:proofErr w:type="gramEnd"/>
      <w:r w:rsidR="00016049" w:rsidRPr="00461D74">
        <w:rPr>
          <w:rFonts w:ascii="Garamond" w:hAnsi="Garamond" w:cstheme="minorHAnsi"/>
          <w:sz w:val="24"/>
          <w:szCs w:val="24"/>
        </w:rPr>
        <w:t xml:space="preserve"> is held to be union with God. However, the changes that accompanied the historical transition identified in the above, transformed the earlier Thomistic notions of what precisely the pursuit of ‘the Good’ entails. Consequently, save for </w:t>
      </w:r>
      <w:r w:rsidR="00016049" w:rsidRPr="00461D74">
        <w:rPr>
          <w:rFonts w:ascii="Garamond" w:hAnsi="Garamond" w:cstheme="minorHAnsi"/>
          <w:sz w:val="24"/>
          <w:szCs w:val="24"/>
        </w:rPr>
        <w:lastRenderedPageBreak/>
        <w:t xml:space="preserve">Aquinas’ account of Natural </w:t>
      </w:r>
      <w:r w:rsidR="009D5A58" w:rsidRPr="00461D74">
        <w:rPr>
          <w:rFonts w:ascii="Garamond" w:hAnsi="Garamond" w:cstheme="minorHAnsi"/>
          <w:sz w:val="24"/>
          <w:szCs w:val="24"/>
        </w:rPr>
        <w:t>L</w:t>
      </w:r>
      <w:r w:rsidR="00016049" w:rsidRPr="00461D74">
        <w:rPr>
          <w:rFonts w:ascii="Garamond" w:hAnsi="Garamond" w:cstheme="minorHAnsi"/>
          <w:sz w:val="24"/>
          <w:szCs w:val="24"/>
        </w:rPr>
        <w:t xml:space="preserve">aw which emerged from the Christian tradition and not Aristotle’s account, Aristotle’s metaphysics and its concomitant teleology are no longer held to be viable, in part because they seemed to stifle </w:t>
      </w:r>
      <w:r w:rsidR="00CB218F">
        <w:rPr>
          <w:rFonts w:ascii="Garamond" w:hAnsi="Garamond" w:cstheme="minorHAnsi"/>
          <w:sz w:val="24"/>
          <w:szCs w:val="24"/>
        </w:rPr>
        <w:t xml:space="preserve">the </w:t>
      </w:r>
      <w:r w:rsidR="00016049" w:rsidRPr="00461D74">
        <w:rPr>
          <w:rFonts w:ascii="Garamond" w:hAnsi="Garamond" w:cstheme="minorHAnsi"/>
          <w:sz w:val="24"/>
          <w:szCs w:val="24"/>
        </w:rPr>
        <w:t>development of inquiry in other areas</w:t>
      </w:r>
      <w:r w:rsidR="000C7531" w:rsidRPr="00461D74">
        <w:rPr>
          <w:rFonts w:ascii="Garamond" w:hAnsi="Garamond" w:cstheme="minorHAnsi"/>
          <w:sz w:val="24"/>
          <w:szCs w:val="24"/>
        </w:rPr>
        <w:t>,</w:t>
      </w:r>
      <w:r w:rsidR="00016049" w:rsidRPr="00461D74">
        <w:rPr>
          <w:rFonts w:ascii="Garamond" w:hAnsi="Garamond" w:cstheme="minorHAnsi"/>
          <w:sz w:val="24"/>
          <w:szCs w:val="24"/>
        </w:rPr>
        <w:t xml:space="preserve"> notably </w:t>
      </w:r>
      <w:r w:rsidR="000C7531" w:rsidRPr="00461D74">
        <w:rPr>
          <w:rFonts w:ascii="Garamond" w:hAnsi="Garamond" w:cstheme="minorHAnsi"/>
          <w:sz w:val="24"/>
          <w:szCs w:val="24"/>
        </w:rPr>
        <w:t xml:space="preserve">in </w:t>
      </w:r>
      <w:r w:rsidR="00016049" w:rsidRPr="00461D74">
        <w:rPr>
          <w:rFonts w:ascii="Garamond" w:hAnsi="Garamond" w:cstheme="minorHAnsi"/>
          <w:sz w:val="24"/>
          <w:szCs w:val="24"/>
        </w:rPr>
        <w:t>science. So for example Bacon</w:t>
      </w:r>
      <w:r w:rsidR="009D5A58"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169"/>
      </w:r>
      <w:r w:rsidR="00016049" w:rsidRPr="00461D74">
        <w:rPr>
          <w:rFonts w:ascii="Garamond" w:hAnsi="Garamond" w:cstheme="minorHAnsi"/>
          <w:sz w:val="24"/>
          <w:szCs w:val="24"/>
        </w:rPr>
        <w:t xml:space="preserve"> Descartes</w:t>
      </w:r>
      <w:r w:rsidR="009D5A58"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170"/>
      </w:r>
      <w:r w:rsidR="00016049" w:rsidRPr="00461D74">
        <w:rPr>
          <w:rFonts w:ascii="Garamond" w:hAnsi="Garamond" w:cstheme="minorHAnsi"/>
          <w:sz w:val="24"/>
          <w:szCs w:val="24"/>
        </w:rPr>
        <w:t xml:space="preserve"> and Spinoza</w:t>
      </w:r>
      <w:r w:rsidR="00016049" w:rsidRPr="00461D74">
        <w:rPr>
          <w:rStyle w:val="FootnoteReference"/>
          <w:rFonts w:ascii="Garamond" w:hAnsi="Garamond" w:cstheme="minorHAnsi"/>
          <w:sz w:val="24"/>
          <w:szCs w:val="24"/>
        </w:rPr>
        <w:footnoteReference w:id="171"/>
      </w:r>
      <w:r w:rsidR="00016049" w:rsidRPr="00461D74">
        <w:rPr>
          <w:rFonts w:ascii="Garamond" w:hAnsi="Garamond" w:cstheme="minorHAnsi"/>
          <w:sz w:val="24"/>
          <w:szCs w:val="24"/>
        </w:rPr>
        <w:t xml:space="preserve"> all come to reject Aristotle’s teleology (final cause) as a form of explanation </w:t>
      </w:r>
      <w:r w:rsidR="008E1B6E" w:rsidRPr="00461D74">
        <w:rPr>
          <w:rFonts w:ascii="Garamond" w:hAnsi="Garamond" w:cstheme="minorHAnsi"/>
          <w:sz w:val="24"/>
          <w:szCs w:val="24"/>
        </w:rPr>
        <w:t>appropriate to</w:t>
      </w:r>
      <w:r w:rsidR="00016049" w:rsidRPr="00461D74">
        <w:rPr>
          <w:rFonts w:ascii="Garamond" w:hAnsi="Garamond" w:cstheme="minorHAnsi"/>
          <w:sz w:val="24"/>
          <w:szCs w:val="24"/>
        </w:rPr>
        <w:t xml:space="preserve"> the natural world.</w:t>
      </w:r>
      <w:r w:rsidR="00016049" w:rsidRPr="00461D74">
        <w:rPr>
          <w:rStyle w:val="FootnoteReference"/>
          <w:rFonts w:ascii="Garamond" w:hAnsi="Garamond" w:cstheme="minorHAnsi"/>
          <w:sz w:val="24"/>
          <w:szCs w:val="24"/>
        </w:rPr>
        <w:footnoteReference w:id="172"/>
      </w:r>
      <w:r w:rsidR="00016049" w:rsidRPr="00461D74">
        <w:rPr>
          <w:rFonts w:ascii="Garamond" w:hAnsi="Garamond" w:cstheme="minorHAnsi"/>
          <w:sz w:val="24"/>
          <w:szCs w:val="24"/>
        </w:rPr>
        <w:t xml:space="preserve"> However, it is plausible to hold that because the distinction between philosophical inquiry and scientific inquiry </w:t>
      </w:r>
      <w:r w:rsidR="008E1B6E" w:rsidRPr="00461D74">
        <w:rPr>
          <w:rFonts w:ascii="Garamond" w:hAnsi="Garamond" w:cstheme="minorHAnsi"/>
          <w:sz w:val="24"/>
          <w:szCs w:val="24"/>
        </w:rPr>
        <w:t>had not</w:t>
      </w:r>
      <w:r w:rsidR="00016049" w:rsidRPr="00461D74">
        <w:rPr>
          <w:rFonts w:ascii="Garamond" w:hAnsi="Garamond" w:cstheme="minorHAnsi"/>
          <w:sz w:val="24"/>
          <w:szCs w:val="24"/>
        </w:rPr>
        <w:t xml:space="preserve"> taken a distinct form at that </w:t>
      </w:r>
      <w:r w:rsidR="008E1B6E" w:rsidRPr="00461D74">
        <w:rPr>
          <w:rFonts w:ascii="Garamond" w:hAnsi="Garamond" w:cstheme="minorHAnsi"/>
          <w:sz w:val="24"/>
          <w:szCs w:val="24"/>
        </w:rPr>
        <w:t>juncture</w:t>
      </w:r>
      <w:r w:rsidR="00016049" w:rsidRPr="00461D74">
        <w:rPr>
          <w:rFonts w:ascii="Garamond" w:hAnsi="Garamond" w:cstheme="minorHAnsi"/>
          <w:sz w:val="24"/>
          <w:szCs w:val="24"/>
        </w:rPr>
        <w:t>, Aristotle’s teleology gradually comes to be viewed as altogether archaic for all forms of inquiry.</w:t>
      </w:r>
      <w:r w:rsidR="00016049" w:rsidRPr="00461D74">
        <w:rPr>
          <w:rStyle w:val="FootnoteReference"/>
          <w:rFonts w:ascii="Garamond" w:hAnsi="Garamond" w:cstheme="minorHAnsi"/>
          <w:sz w:val="24"/>
          <w:szCs w:val="24"/>
        </w:rPr>
        <w:footnoteReference w:id="173"/>
      </w:r>
      <w:r w:rsidR="008E1B6E" w:rsidRPr="00461D74">
        <w:rPr>
          <w:rFonts w:ascii="Garamond" w:hAnsi="Garamond" w:cstheme="minorHAnsi"/>
          <w:sz w:val="24"/>
          <w:szCs w:val="24"/>
          <w:lang w:val="en-GB"/>
        </w:rPr>
        <w:t xml:space="preserve"> </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What is both significant and relevant to our discussion here is that as far as I can tell, MacIntyre’s work, famous for its emphasis on narrative social history, </w:t>
      </w:r>
      <w:r w:rsidR="006C1945" w:rsidRPr="00461D74">
        <w:rPr>
          <w:rFonts w:ascii="Garamond" w:hAnsi="Garamond" w:cstheme="minorHAnsi"/>
          <w:sz w:val="24"/>
          <w:szCs w:val="24"/>
        </w:rPr>
        <w:t xml:space="preserve">nonetheless </w:t>
      </w:r>
      <w:r w:rsidRPr="00461D74">
        <w:rPr>
          <w:rFonts w:ascii="Garamond" w:hAnsi="Garamond" w:cstheme="minorHAnsi"/>
          <w:sz w:val="24"/>
          <w:szCs w:val="24"/>
        </w:rPr>
        <w:t xml:space="preserve">mentions little concerning the effects of the above succession of events on the Western European social order, and the particular intellectual history that dislodged Aristotelian philosophy. Nevertheless, I should emphasize that the above historical reconstruction offers us precisely the same sort of historical </w:t>
      </w:r>
      <w:r w:rsidRPr="00461D74">
        <w:rPr>
          <w:rFonts w:ascii="Garamond" w:hAnsi="Garamond" w:cstheme="minorHAnsi"/>
          <w:sz w:val="24"/>
          <w:szCs w:val="24"/>
        </w:rPr>
        <w:lastRenderedPageBreak/>
        <w:t xml:space="preserve">argument that MacIntyre offers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and </w:t>
      </w:r>
      <w:r w:rsidRPr="00461D74">
        <w:rPr>
          <w:rFonts w:ascii="Garamond" w:hAnsi="Garamond" w:cstheme="minorHAnsi"/>
          <w:i/>
          <w:iCs/>
          <w:sz w:val="24"/>
          <w:szCs w:val="24"/>
        </w:rPr>
        <w:t>Whose Justice</w:t>
      </w:r>
      <w:r w:rsidRPr="00461D74">
        <w:rPr>
          <w:rFonts w:ascii="Garamond" w:hAnsi="Garamond" w:cstheme="minorHAnsi"/>
          <w:sz w:val="24"/>
          <w:szCs w:val="24"/>
        </w:rPr>
        <w:t xml:space="preserve">. Recall that MacIntyre’s H3 identifies the social transformations which rendered Homer’s ethics problematic and later in H4, a different set of transformations </w:t>
      </w:r>
      <w:r w:rsidR="0027238D">
        <w:rPr>
          <w:rFonts w:ascii="Garamond" w:hAnsi="Garamond" w:cstheme="minorHAnsi"/>
          <w:sz w:val="24"/>
          <w:szCs w:val="24"/>
        </w:rPr>
        <w:t>rendered</w:t>
      </w:r>
      <w:r w:rsidR="0027238D" w:rsidRPr="00461D74">
        <w:rPr>
          <w:rFonts w:ascii="Garamond" w:hAnsi="Garamond" w:cstheme="minorHAnsi"/>
          <w:sz w:val="24"/>
          <w:szCs w:val="24"/>
        </w:rPr>
        <w:t xml:space="preserve"> </w:t>
      </w:r>
      <w:r w:rsidRPr="00461D74">
        <w:rPr>
          <w:rFonts w:ascii="Garamond" w:hAnsi="Garamond" w:cstheme="minorHAnsi"/>
          <w:sz w:val="24"/>
          <w:szCs w:val="24"/>
        </w:rPr>
        <w:t xml:space="preserve">Aristotle’s ethics </w:t>
      </w:r>
      <w:r w:rsidR="0027238D">
        <w:rPr>
          <w:rFonts w:ascii="Garamond" w:hAnsi="Garamond" w:cstheme="minorHAnsi"/>
          <w:sz w:val="24"/>
          <w:szCs w:val="24"/>
        </w:rPr>
        <w:t>deficient in important respects</w:t>
      </w:r>
      <w:r w:rsidRPr="00461D74">
        <w:rPr>
          <w:rFonts w:ascii="Garamond" w:hAnsi="Garamond" w:cstheme="minorHAnsi"/>
          <w:sz w:val="24"/>
          <w:szCs w:val="24"/>
        </w:rPr>
        <w:t>. We should then ask</w:t>
      </w:r>
      <w:r w:rsidR="0027238D">
        <w:rPr>
          <w:rFonts w:ascii="Garamond" w:hAnsi="Garamond" w:cstheme="minorHAnsi"/>
          <w:sz w:val="24"/>
          <w:szCs w:val="24"/>
        </w:rPr>
        <w:t>:</w:t>
      </w:r>
      <w:r w:rsidRPr="00461D74">
        <w:rPr>
          <w:rFonts w:ascii="Garamond" w:hAnsi="Garamond" w:cstheme="minorHAnsi"/>
          <w:sz w:val="24"/>
          <w:szCs w:val="24"/>
        </w:rPr>
        <w:t xml:space="preserve"> why doesn’t the displacement of </w:t>
      </w:r>
      <w:r w:rsidR="0027238D">
        <w:rPr>
          <w:rFonts w:ascii="Garamond" w:hAnsi="Garamond" w:cstheme="minorHAnsi"/>
          <w:sz w:val="24"/>
          <w:szCs w:val="24"/>
        </w:rPr>
        <w:t>Aristotelian-</w:t>
      </w:r>
      <w:r w:rsidRPr="00461D74">
        <w:rPr>
          <w:rFonts w:ascii="Garamond" w:hAnsi="Garamond" w:cstheme="minorHAnsi"/>
          <w:sz w:val="24"/>
          <w:szCs w:val="24"/>
        </w:rPr>
        <w:t xml:space="preserve">Thomism by socio-historical forces – which precipitated the developments in our scientific understanding of the world and </w:t>
      </w:r>
      <w:r w:rsidR="0027238D">
        <w:rPr>
          <w:rFonts w:ascii="Garamond" w:hAnsi="Garamond" w:cstheme="minorHAnsi"/>
          <w:sz w:val="24"/>
          <w:szCs w:val="24"/>
        </w:rPr>
        <w:t>simultaneously</w:t>
      </w:r>
      <w:r w:rsidRPr="00461D74">
        <w:rPr>
          <w:rFonts w:ascii="Garamond" w:hAnsi="Garamond" w:cstheme="minorHAnsi"/>
          <w:sz w:val="24"/>
          <w:szCs w:val="24"/>
        </w:rPr>
        <w:t xml:space="preserve"> </w:t>
      </w:r>
      <w:proofErr w:type="spellStart"/>
      <w:r w:rsidR="0027238D">
        <w:rPr>
          <w:rFonts w:ascii="Garamond" w:hAnsi="Garamond" w:cstheme="minorHAnsi"/>
          <w:sz w:val="24"/>
          <w:szCs w:val="24"/>
        </w:rPr>
        <w:t>problematized</w:t>
      </w:r>
      <w:proofErr w:type="spellEnd"/>
      <w:r w:rsidR="0027238D" w:rsidRPr="00461D74">
        <w:rPr>
          <w:rFonts w:ascii="Garamond" w:hAnsi="Garamond" w:cstheme="minorHAnsi"/>
          <w:sz w:val="24"/>
          <w:szCs w:val="24"/>
        </w:rPr>
        <w:t xml:space="preserve"> </w:t>
      </w:r>
      <w:r w:rsidR="0027238D">
        <w:rPr>
          <w:rFonts w:ascii="Garamond" w:hAnsi="Garamond" w:cstheme="minorHAnsi"/>
          <w:sz w:val="24"/>
          <w:szCs w:val="24"/>
        </w:rPr>
        <w:t xml:space="preserve">the Aristotelian-Thomistic tradition </w:t>
      </w:r>
      <w:r w:rsidR="00170A43" w:rsidRPr="00461D74">
        <w:rPr>
          <w:rFonts w:ascii="Garamond" w:hAnsi="Garamond" w:cstheme="minorHAnsi"/>
          <w:sz w:val="24"/>
          <w:szCs w:val="24"/>
        </w:rPr>
        <w:t>–</w:t>
      </w:r>
      <w:r w:rsidRPr="00461D74">
        <w:rPr>
          <w:rFonts w:ascii="Garamond" w:hAnsi="Garamond" w:cstheme="minorHAnsi"/>
          <w:sz w:val="24"/>
          <w:szCs w:val="24"/>
        </w:rPr>
        <w:t xml:space="preserve"> disqualify it as a tradition of moral inquiry appropriate for the modern world? </w:t>
      </w:r>
      <w:r w:rsidR="00170A43" w:rsidRPr="00461D74">
        <w:rPr>
          <w:rFonts w:ascii="Garamond" w:hAnsi="Garamond" w:cstheme="minorHAnsi"/>
          <w:sz w:val="24"/>
          <w:szCs w:val="24"/>
        </w:rPr>
        <w:t xml:space="preserve">My central </w:t>
      </w:r>
      <w:r w:rsidRPr="00461D74">
        <w:rPr>
          <w:rFonts w:ascii="Garamond" w:hAnsi="Garamond" w:cstheme="minorHAnsi"/>
          <w:sz w:val="24"/>
          <w:szCs w:val="24"/>
        </w:rPr>
        <w:t>claim here is that the transition from Aquinas’ scholasticism into modernity involved a transformation of ideas, society, and culture in Western Europe – a transformation that dislodges the contingent socio-historical features pertinent to a Thomistic mode of inquiry</w:t>
      </w:r>
      <w:r w:rsidR="00024105">
        <w:rPr>
          <w:rFonts w:ascii="Garamond" w:hAnsi="Garamond" w:cstheme="minorHAnsi"/>
          <w:sz w:val="24"/>
          <w:szCs w:val="24"/>
        </w:rPr>
        <w:t>. Now,</w:t>
      </w:r>
      <w:r w:rsidR="001B4F93">
        <w:rPr>
          <w:rFonts w:ascii="Garamond" w:hAnsi="Garamond" w:cstheme="minorHAnsi"/>
          <w:sz w:val="24"/>
          <w:szCs w:val="24"/>
        </w:rPr>
        <w:t xml:space="preserve"> </w:t>
      </w:r>
      <w:r w:rsidR="00024105">
        <w:rPr>
          <w:rFonts w:ascii="Garamond" w:hAnsi="Garamond" w:cstheme="minorHAnsi"/>
          <w:sz w:val="24"/>
          <w:szCs w:val="24"/>
        </w:rPr>
        <w:t>in</w:t>
      </w:r>
      <w:r w:rsidR="001B4F93">
        <w:rPr>
          <w:rFonts w:ascii="Garamond" w:hAnsi="Garamond" w:cstheme="minorHAnsi"/>
          <w:sz w:val="24"/>
          <w:szCs w:val="24"/>
        </w:rPr>
        <w:t xml:space="preserve"> virtue of acknowledging MacIntyre’s commitments, </w:t>
      </w:r>
      <w:r w:rsidR="00024105">
        <w:rPr>
          <w:rFonts w:ascii="Garamond" w:hAnsi="Garamond" w:cstheme="minorHAnsi"/>
          <w:sz w:val="24"/>
          <w:szCs w:val="24"/>
        </w:rPr>
        <w:t xml:space="preserve">should </w:t>
      </w:r>
      <w:r w:rsidR="001B4F93">
        <w:rPr>
          <w:rFonts w:ascii="Garamond" w:hAnsi="Garamond" w:cstheme="minorHAnsi"/>
          <w:sz w:val="24"/>
          <w:szCs w:val="24"/>
        </w:rPr>
        <w:t xml:space="preserve">we </w:t>
      </w:r>
      <w:r w:rsidR="00024105">
        <w:rPr>
          <w:rFonts w:ascii="Garamond" w:hAnsi="Garamond" w:cstheme="minorHAnsi"/>
          <w:sz w:val="24"/>
          <w:szCs w:val="24"/>
        </w:rPr>
        <w:t>not</w:t>
      </w:r>
      <w:r w:rsidR="001B4F93">
        <w:rPr>
          <w:rFonts w:ascii="Garamond" w:hAnsi="Garamond" w:cstheme="minorHAnsi"/>
          <w:sz w:val="24"/>
          <w:szCs w:val="24"/>
        </w:rPr>
        <w:t xml:space="preserve"> then view Aquinas’ work as a response to a particular set of social-moral-intellectual circumstances </w:t>
      </w:r>
      <w:r w:rsidR="00F11F16">
        <w:rPr>
          <w:rFonts w:ascii="Garamond" w:hAnsi="Garamond" w:cstheme="minorHAnsi"/>
          <w:sz w:val="24"/>
          <w:szCs w:val="24"/>
        </w:rPr>
        <w:t>that</w:t>
      </w:r>
      <w:r w:rsidR="001B4F93">
        <w:rPr>
          <w:rFonts w:ascii="Garamond" w:hAnsi="Garamond" w:cstheme="minorHAnsi"/>
          <w:sz w:val="24"/>
          <w:szCs w:val="24"/>
        </w:rPr>
        <w:t xml:space="preserve"> emerged in </w:t>
      </w:r>
      <w:r w:rsidR="00024105">
        <w:rPr>
          <w:rFonts w:ascii="Garamond" w:hAnsi="Garamond" w:cstheme="minorHAnsi"/>
          <w:sz w:val="24"/>
          <w:szCs w:val="24"/>
        </w:rPr>
        <w:t>his world?</w:t>
      </w:r>
    </w:p>
    <w:p w:rsidR="00016049" w:rsidRPr="00461D74" w:rsidRDefault="00024105" w:rsidP="00164E4D">
      <w:pPr>
        <w:spacing w:after="200" w:line="360" w:lineRule="auto"/>
        <w:ind w:firstLine="720"/>
        <w:jc w:val="both"/>
        <w:rPr>
          <w:rFonts w:ascii="Garamond" w:hAnsi="Garamond" w:cstheme="minorHAnsi"/>
          <w:sz w:val="24"/>
          <w:szCs w:val="24"/>
        </w:rPr>
      </w:pPr>
      <w:r>
        <w:rPr>
          <w:rFonts w:ascii="Garamond" w:hAnsi="Garamond" w:cstheme="minorHAnsi"/>
          <w:sz w:val="24"/>
          <w:szCs w:val="24"/>
        </w:rPr>
        <w:t>I would like to maintain that</w:t>
      </w:r>
      <w:r w:rsidR="00016049" w:rsidRPr="00461D74">
        <w:rPr>
          <w:rFonts w:ascii="Garamond" w:hAnsi="Garamond" w:cstheme="minorHAnsi"/>
          <w:sz w:val="24"/>
          <w:szCs w:val="24"/>
        </w:rPr>
        <w:t xml:space="preserve"> if we accept MacIntyre’s claim that social norms are not constituted outside contingent social practices of particular historical communities,</w:t>
      </w:r>
      <w:r w:rsidR="00016049" w:rsidRPr="00461D74">
        <w:rPr>
          <w:rStyle w:val="FootnoteReference"/>
          <w:rFonts w:ascii="Garamond" w:hAnsi="Garamond" w:cstheme="minorHAnsi"/>
          <w:sz w:val="24"/>
          <w:szCs w:val="24"/>
        </w:rPr>
        <w:footnoteReference w:id="174"/>
      </w:r>
      <w:r w:rsidR="00016049" w:rsidRPr="00461D74">
        <w:rPr>
          <w:rFonts w:ascii="Garamond" w:hAnsi="Garamond" w:cstheme="minorHAnsi"/>
          <w:sz w:val="24"/>
          <w:szCs w:val="24"/>
        </w:rPr>
        <w:t xml:space="preserve"> it is not clear we can revive the Aristotelian-Thomistic tradition. For it appears that the Thomistic tradition was constituted not only in relation to the particular social practices </w:t>
      </w:r>
      <w:r>
        <w:rPr>
          <w:rFonts w:ascii="Garamond" w:hAnsi="Garamond" w:cstheme="minorHAnsi"/>
          <w:sz w:val="24"/>
          <w:szCs w:val="24"/>
        </w:rPr>
        <w:t>of</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historical community to which Aquinas belonged, but it was formulated to deal with a set of social and moral problems </w:t>
      </w:r>
      <w:r w:rsidR="00B9637C">
        <w:rPr>
          <w:rFonts w:ascii="Garamond" w:hAnsi="Garamond" w:cstheme="minorHAnsi"/>
          <w:sz w:val="24"/>
          <w:szCs w:val="24"/>
        </w:rPr>
        <w:t>born out of</w:t>
      </w:r>
      <w:r w:rsidR="00016049" w:rsidRPr="00461D74">
        <w:rPr>
          <w:rFonts w:ascii="Garamond" w:hAnsi="Garamond" w:cstheme="minorHAnsi"/>
          <w:sz w:val="24"/>
          <w:szCs w:val="24"/>
        </w:rPr>
        <w:t xml:space="preserve"> the particular </w:t>
      </w:r>
      <w:r w:rsidR="00B9637C">
        <w:rPr>
          <w:rFonts w:ascii="Garamond" w:hAnsi="Garamond" w:cstheme="minorHAnsi"/>
          <w:sz w:val="24"/>
          <w:szCs w:val="24"/>
        </w:rPr>
        <w:t xml:space="preserve">set of </w:t>
      </w:r>
      <w:r>
        <w:rPr>
          <w:rFonts w:ascii="Garamond" w:hAnsi="Garamond" w:cstheme="minorHAnsi"/>
          <w:sz w:val="24"/>
          <w:szCs w:val="24"/>
        </w:rPr>
        <w:t xml:space="preserve">circumstances that surrounded the </w:t>
      </w:r>
      <w:r w:rsidR="00016049" w:rsidRPr="00461D74">
        <w:rPr>
          <w:rFonts w:ascii="Garamond" w:hAnsi="Garamond" w:cstheme="minorHAnsi"/>
          <w:sz w:val="24"/>
          <w:szCs w:val="24"/>
        </w:rPr>
        <w:t>medieval feudal community of Aquinas. Recall that Mac</w:t>
      </w:r>
      <w:r w:rsidR="00170A43" w:rsidRPr="00461D74">
        <w:rPr>
          <w:rFonts w:ascii="Garamond" w:hAnsi="Garamond" w:cstheme="minorHAnsi"/>
          <w:sz w:val="24"/>
          <w:szCs w:val="24"/>
        </w:rPr>
        <w:t>I</w:t>
      </w:r>
      <w:r w:rsidR="00016049" w:rsidRPr="00461D74">
        <w:rPr>
          <w:rFonts w:ascii="Garamond" w:hAnsi="Garamond" w:cstheme="minorHAnsi"/>
          <w:sz w:val="24"/>
          <w:szCs w:val="24"/>
        </w:rPr>
        <w:t xml:space="preserve">ntyre argues in </w:t>
      </w:r>
      <w:r w:rsidR="00016049" w:rsidRPr="00461D74">
        <w:rPr>
          <w:rFonts w:ascii="Garamond" w:hAnsi="Garamond" w:cstheme="minorHAnsi"/>
          <w:i/>
          <w:iCs/>
          <w:sz w:val="24"/>
          <w:szCs w:val="24"/>
        </w:rPr>
        <w:t>Whose Justice</w:t>
      </w:r>
      <w:r w:rsidR="00016049" w:rsidRPr="00461D74">
        <w:rPr>
          <w:rFonts w:ascii="Garamond" w:hAnsi="Garamond" w:cstheme="minorHAnsi"/>
          <w:sz w:val="24"/>
          <w:szCs w:val="24"/>
        </w:rPr>
        <w:t xml:space="preserve"> that the marginalization of the polis rendered the Aristotelian tradition problematic </w:t>
      </w:r>
      <w:r w:rsidR="00170A43" w:rsidRPr="00461D74">
        <w:rPr>
          <w:rFonts w:ascii="Garamond" w:hAnsi="Garamond" w:cstheme="minorHAnsi"/>
          <w:sz w:val="24"/>
          <w:szCs w:val="24"/>
        </w:rPr>
        <w:t xml:space="preserve">precisely </w:t>
      </w:r>
      <w:r w:rsidR="00016049" w:rsidRPr="00461D74">
        <w:rPr>
          <w:rFonts w:ascii="Garamond" w:hAnsi="Garamond" w:cstheme="minorHAnsi"/>
          <w:sz w:val="24"/>
          <w:szCs w:val="24"/>
        </w:rPr>
        <w:t>because Aristotle’s account did</w:t>
      </w:r>
      <w:r w:rsidR="00CB218F">
        <w:rPr>
          <w:rFonts w:ascii="Garamond" w:hAnsi="Garamond" w:cstheme="minorHAnsi"/>
          <w:sz w:val="24"/>
          <w:szCs w:val="24"/>
        </w:rPr>
        <w:t xml:space="preserve"> not</w:t>
      </w:r>
      <w:r w:rsidR="00016049" w:rsidRPr="00461D74">
        <w:rPr>
          <w:rFonts w:ascii="Garamond" w:hAnsi="Garamond" w:cstheme="minorHAnsi"/>
          <w:sz w:val="24"/>
          <w:szCs w:val="24"/>
        </w:rPr>
        <w:t xml:space="preserve"> </w:t>
      </w:r>
      <w:r w:rsidR="00A468C2">
        <w:rPr>
          <w:rFonts w:ascii="Garamond" w:hAnsi="Garamond" w:cstheme="minorHAnsi"/>
          <w:sz w:val="24"/>
          <w:szCs w:val="24"/>
        </w:rPr>
        <w:t>possess</w:t>
      </w:r>
      <w:r w:rsidR="00A468C2"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resources to make sense of life outside the polis. On this view, the age of empire – the Roman </w:t>
      </w:r>
      <w:r w:rsidR="008E218C" w:rsidRPr="00461D74">
        <w:rPr>
          <w:rFonts w:ascii="Garamond" w:hAnsi="Garamond" w:cstheme="minorHAnsi"/>
          <w:sz w:val="24"/>
          <w:szCs w:val="24"/>
        </w:rPr>
        <w:t>E</w:t>
      </w:r>
      <w:r w:rsidR="00016049" w:rsidRPr="00461D74">
        <w:rPr>
          <w:rFonts w:ascii="Garamond" w:hAnsi="Garamond" w:cstheme="minorHAnsi"/>
          <w:sz w:val="24"/>
          <w:szCs w:val="24"/>
        </w:rPr>
        <w:t xml:space="preserve">mpire being the paradigmatic case – marginalized the polis. Consequently, new problems </w:t>
      </w:r>
      <w:r>
        <w:rPr>
          <w:rFonts w:ascii="Garamond" w:hAnsi="Garamond" w:cstheme="minorHAnsi"/>
          <w:sz w:val="24"/>
          <w:szCs w:val="24"/>
        </w:rPr>
        <w:t>emerged</w:t>
      </w:r>
      <w:r w:rsidR="00016049" w:rsidRPr="00461D74">
        <w:rPr>
          <w:rFonts w:ascii="Garamond" w:hAnsi="Garamond" w:cstheme="minorHAnsi"/>
          <w:sz w:val="24"/>
          <w:szCs w:val="24"/>
        </w:rPr>
        <w:t xml:space="preserve"> </w:t>
      </w:r>
      <w:r>
        <w:rPr>
          <w:rFonts w:ascii="Garamond" w:hAnsi="Garamond" w:cstheme="minorHAnsi"/>
          <w:sz w:val="24"/>
          <w:szCs w:val="24"/>
        </w:rPr>
        <w:t>when</w:t>
      </w:r>
      <w:r w:rsidR="00016049" w:rsidRPr="00461D74">
        <w:rPr>
          <w:rFonts w:ascii="Garamond" w:hAnsi="Garamond" w:cstheme="minorHAnsi"/>
          <w:sz w:val="24"/>
          <w:szCs w:val="24"/>
        </w:rPr>
        <w:t xml:space="preserve"> </w:t>
      </w:r>
      <w:r>
        <w:rPr>
          <w:rFonts w:ascii="Garamond" w:hAnsi="Garamond" w:cstheme="minorHAnsi"/>
          <w:sz w:val="24"/>
          <w:szCs w:val="24"/>
        </w:rPr>
        <w:t xml:space="preserve">the Stoics and others tried </w:t>
      </w:r>
      <w:r w:rsidR="00016049" w:rsidRPr="00461D74">
        <w:rPr>
          <w:rFonts w:ascii="Garamond" w:hAnsi="Garamond" w:cstheme="minorHAnsi"/>
          <w:sz w:val="24"/>
          <w:szCs w:val="24"/>
        </w:rPr>
        <w:t>to mak</w:t>
      </w:r>
      <w:r>
        <w:rPr>
          <w:rFonts w:ascii="Garamond" w:hAnsi="Garamond" w:cstheme="minorHAnsi"/>
          <w:sz w:val="24"/>
          <w:szCs w:val="24"/>
        </w:rPr>
        <w:t>e</w:t>
      </w:r>
      <w:r w:rsidR="00016049" w:rsidRPr="00461D74">
        <w:rPr>
          <w:rFonts w:ascii="Garamond" w:hAnsi="Garamond" w:cstheme="minorHAnsi"/>
          <w:sz w:val="24"/>
          <w:szCs w:val="24"/>
        </w:rPr>
        <w:t xml:space="preserve"> sense of questions </w:t>
      </w:r>
      <w:r w:rsidR="00016049" w:rsidRPr="00461D74">
        <w:rPr>
          <w:rFonts w:ascii="Garamond" w:hAnsi="Garamond" w:cstheme="minorHAnsi"/>
          <w:sz w:val="24"/>
          <w:szCs w:val="24"/>
        </w:rPr>
        <w:lastRenderedPageBreak/>
        <w:t>such as</w:t>
      </w:r>
      <w:r w:rsidR="004904D0">
        <w:rPr>
          <w:rFonts w:ascii="Garamond" w:hAnsi="Garamond" w:cstheme="minorHAnsi"/>
          <w:sz w:val="24"/>
          <w:szCs w:val="24"/>
        </w:rPr>
        <w:t>:</w:t>
      </w:r>
      <w:r w:rsidR="00016049" w:rsidRPr="00461D74">
        <w:rPr>
          <w:rFonts w:ascii="Garamond" w:hAnsi="Garamond" w:cstheme="minorHAnsi"/>
          <w:sz w:val="24"/>
          <w:szCs w:val="24"/>
        </w:rPr>
        <w:t xml:space="preserve"> how </w:t>
      </w:r>
      <w:r w:rsidR="004904D0">
        <w:rPr>
          <w:rFonts w:ascii="Garamond" w:hAnsi="Garamond" w:cstheme="minorHAnsi"/>
          <w:sz w:val="24"/>
          <w:szCs w:val="24"/>
        </w:rPr>
        <w:t>human</w:t>
      </w:r>
      <w:r w:rsidR="004904D0"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flourishing </w:t>
      </w:r>
      <w:r w:rsidR="004904D0">
        <w:rPr>
          <w:rFonts w:ascii="Garamond" w:hAnsi="Garamond" w:cstheme="minorHAnsi"/>
          <w:sz w:val="24"/>
          <w:szCs w:val="24"/>
        </w:rPr>
        <w:t>can be advanced and various good</w:t>
      </w:r>
      <w:r w:rsidR="00CB218F">
        <w:rPr>
          <w:rFonts w:ascii="Garamond" w:hAnsi="Garamond" w:cstheme="minorHAnsi"/>
          <w:sz w:val="24"/>
          <w:szCs w:val="24"/>
        </w:rPr>
        <w:t>s</w:t>
      </w:r>
      <w:r w:rsidR="004904D0">
        <w:rPr>
          <w:rFonts w:ascii="Garamond" w:hAnsi="Garamond" w:cstheme="minorHAnsi"/>
          <w:sz w:val="24"/>
          <w:szCs w:val="24"/>
        </w:rPr>
        <w:t xml:space="preserve"> organised </w:t>
      </w:r>
      <w:r w:rsidR="00CB218F">
        <w:rPr>
          <w:rFonts w:ascii="Garamond" w:hAnsi="Garamond" w:cstheme="minorHAnsi"/>
          <w:sz w:val="24"/>
          <w:szCs w:val="24"/>
        </w:rPr>
        <w:t>through</w:t>
      </w:r>
      <w:r w:rsidR="004904D0">
        <w:rPr>
          <w:rFonts w:ascii="Garamond" w:hAnsi="Garamond" w:cstheme="minorHAnsi"/>
          <w:sz w:val="24"/>
          <w:szCs w:val="24"/>
        </w:rPr>
        <w:t xml:space="preserve"> a stable cohesive social institution, i.e., the polis, when</w:t>
      </w:r>
      <w:r w:rsidR="004904D0"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there </w:t>
      </w:r>
      <w:r w:rsidR="004904D0">
        <w:rPr>
          <w:rFonts w:ascii="Garamond" w:hAnsi="Garamond" w:cstheme="minorHAnsi"/>
          <w:sz w:val="24"/>
          <w:szCs w:val="24"/>
        </w:rPr>
        <w:t xml:space="preserve">is </w:t>
      </w:r>
      <w:r w:rsidR="00016049" w:rsidRPr="00461D74">
        <w:rPr>
          <w:rFonts w:ascii="Garamond" w:hAnsi="Garamond" w:cstheme="minorHAnsi"/>
          <w:sz w:val="24"/>
          <w:szCs w:val="24"/>
        </w:rPr>
        <w:t>no longer a polis to speak of</w:t>
      </w:r>
      <w:r w:rsidR="004904D0">
        <w:rPr>
          <w:rFonts w:ascii="Garamond" w:hAnsi="Garamond" w:cstheme="minorHAnsi"/>
          <w:sz w:val="24"/>
          <w:szCs w:val="24"/>
        </w:rPr>
        <w:t xml:space="preserve"> (in the sense that </w:t>
      </w:r>
      <w:r w:rsidR="00C734DF">
        <w:rPr>
          <w:rFonts w:ascii="Garamond" w:hAnsi="Garamond" w:cstheme="minorHAnsi"/>
          <w:sz w:val="24"/>
          <w:szCs w:val="24"/>
        </w:rPr>
        <w:t>that institution continues to play a</w:t>
      </w:r>
      <w:r w:rsidR="004904D0">
        <w:rPr>
          <w:rFonts w:ascii="Garamond" w:hAnsi="Garamond" w:cstheme="minorHAnsi"/>
          <w:sz w:val="24"/>
          <w:szCs w:val="24"/>
        </w:rPr>
        <w:t xml:space="preserve"> principal role in organizing the </w:t>
      </w:r>
      <w:r w:rsidR="00C734DF">
        <w:rPr>
          <w:rFonts w:ascii="Garamond" w:hAnsi="Garamond" w:cstheme="minorHAnsi"/>
          <w:sz w:val="24"/>
          <w:szCs w:val="24"/>
        </w:rPr>
        <w:t>range of</w:t>
      </w:r>
      <w:r w:rsidR="004904D0">
        <w:rPr>
          <w:rFonts w:ascii="Garamond" w:hAnsi="Garamond" w:cstheme="minorHAnsi"/>
          <w:sz w:val="24"/>
          <w:szCs w:val="24"/>
        </w:rPr>
        <w:t xml:space="preserve"> </w:t>
      </w:r>
      <w:r w:rsidR="00C734DF">
        <w:rPr>
          <w:rFonts w:ascii="Garamond" w:hAnsi="Garamond" w:cstheme="minorHAnsi"/>
          <w:sz w:val="24"/>
          <w:szCs w:val="24"/>
        </w:rPr>
        <w:t xml:space="preserve">societal </w:t>
      </w:r>
      <w:r w:rsidR="004904D0">
        <w:rPr>
          <w:rFonts w:ascii="Garamond" w:hAnsi="Garamond" w:cstheme="minorHAnsi"/>
          <w:sz w:val="24"/>
          <w:szCs w:val="24"/>
        </w:rPr>
        <w:t>goods)?</w:t>
      </w:r>
      <w:r w:rsidR="00016049" w:rsidRPr="00461D74">
        <w:rPr>
          <w:rFonts w:ascii="Garamond" w:hAnsi="Garamond" w:cstheme="minorHAnsi"/>
          <w:sz w:val="24"/>
          <w:szCs w:val="24"/>
        </w:rPr>
        <w:t xml:space="preserve"> Here, the Aristotelian tradition wasn’t </w:t>
      </w:r>
      <w:r w:rsidR="00170A43" w:rsidRPr="00461D74">
        <w:rPr>
          <w:rFonts w:ascii="Garamond" w:hAnsi="Garamond" w:cstheme="minorHAnsi"/>
          <w:sz w:val="24"/>
          <w:szCs w:val="24"/>
        </w:rPr>
        <w:t xml:space="preserve">necessarily defeated through extended dialectical inquiry, </w:t>
      </w:r>
      <w:r w:rsidR="00016049" w:rsidRPr="00461D74">
        <w:rPr>
          <w:rFonts w:ascii="Garamond" w:hAnsi="Garamond" w:cstheme="minorHAnsi"/>
          <w:sz w:val="24"/>
          <w:szCs w:val="24"/>
        </w:rPr>
        <w:t xml:space="preserve">but simply because a number of historical </w:t>
      </w:r>
      <w:r w:rsidR="00993825">
        <w:rPr>
          <w:rFonts w:ascii="Garamond" w:hAnsi="Garamond" w:cstheme="minorHAnsi"/>
          <w:sz w:val="24"/>
          <w:szCs w:val="24"/>
        </w:rPr>
        <w:t>transformations</w:t>
      </w:r>
      <w:r w:rsidR="00993825"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material conditions </w:t>
      </w:r>
      <w:r w:rsidR="00170A43" w:rsidRPr="00461D74">
        <w:rPr>
          <w:rFonts w:ascii="Garamond" w:hAnsi="Garamond" w:cstheme="minorHAnsi"/>
          <w:sz w:val="24"/>
          <w:szCs w:val="24"/>
        </w:rPr>
        <w:t xml:space="preserve">ushered in </w:t>
      </w:r>
      <w:r w:rsidR="00016049" w:rsidRPr="00461D74">
        <w:rPr>
          <w:rFonts w:ascii="Garamond" w:hAnsi="Garamond" w:cstheme="minorHAnsi"/>
          <w:sz w:val="24"/>
          <w:szCs w:val="24"/>
        </w:rPr>
        <w:t>the empire</w:t>
      </w:r>
      <w:r w:rsidR="00D62BAF">
        <w:rPr>
          <w:rFonts w:ascii="Garamond" w:hAnsi="Garamond" w:cstheme="minorHAnsi"/>
          <w:sz w:val="24"/>
          <w:szCs w:val="24"/>
        </w:rPr>
        <w:t xml:space="preserve"> – or more precisely, the social structure and institutional arrangements associated with it – </w:t>
      </w:r>
      <w:r w:rsidR="00993825">
        <w:rPr>
          <w:rFonts w:ascii="Garamond" w:hAnsi="Garamond" w:cstheme="minorHAnsi"/>
          <w:sz w:val="24"/>
          <w:szCs w:val="24"/>
        </w:rPr>
        <w:t xml:space="preserve">which </w:t>
      </w:r>
      <w:r w:rsidR="00D62BAF">
        <w:rPr>
          <w:rFonts w:ascii="Garamond" w:hAnsi="Garamond" w:cstheme="minorHAnsi"/>
          <w:sz w:val="24"/>
          <w:szCs w:val="24"/>
        </w:rPr>
        <w:t>ultimately</w:t>
      </w:r>
      <w:r w:rsidR="00016049" w:rsidRPr="00461D74">
        <w:rPr>
          <w:rFonts w:ascii="Garamond" w:hAnsi="Garamond" w:cstheme="minorHAnsi"/>
          <w:sz w:val="24"/>
          <w:szCs w:val="24"/>
        </w:rPr>
        <w:t xml:space="preserve"> </w:t>
      </w:r>
      <w:r w:rsidR="00D62BAF">
        <w:rPr>
          <w:rFonts w:ascii="Garamond" w:hAnsi="Garamond" w:cstheme="minorHAnsi"/>
          <w:sz w:val="24"/>
          <w:szCs w:val="24"/>
        </w:rPr>
        <w:t>undermined</w:t>
      </w:r>
      <w:r w:rsidR="00D62BAF" w:rsidRPr="00461D74">
        <w:rPr>
          <w:rFonts w:ascii="Garamond" w:hAnsi="Garamond" w:cstheme="minorHAnsi"/>
          <w:sz w:val="24"/>
          <w:szCs w:val="24"/>
        </w:rPr>
        <w:t xml:space="preserve"> </w:t>
      </w:r>
      <w:r w:rsidR="00016049" w:rsidRPr="00461D74">
        <w:rPr>
          <w:rFonts w:ascii="Garamond" w:hAnsi="Garamond" w:cstheme="minorHAnsi"/>
          <w:sz w:val="24"/>
          <w:szCs w:val="24"/>
        </w:rPr>
        <w:t>the importance of the polis</w:t>
      </w:r>
      <w:r w:rsidR="004904D0">
        <w:rPr>
          <w:rFonts w:ascii="Garamond" w:hAnsi="Garamond" w:cstheme="minorHAnsi"/>
          <w:sz w:val="24"/>
          <w:szCs w:val="24"/>
        </w:rPr>
        <w:t xml:space="preserve"> as the institutional context that could continue to order human goods</w:t>
      </w:r>
      <w:r w:rsidR="00016049" w:rsidRPr="00461D74">
        <w:rPr>
          <w:rFonts w:ascii="Garamond" w:hAnsi="Garamond" w:cstheme="minorHAnsi"/>
          <w:sz w:val="24"/>
          <w:szCs w:val="24"/>
        </w:rPr>
        <w:t>.</w:t>
      </w:r>
    </w:p>
    <w:p w:rsidR="00016049" w:rsidRPr="00461D74" w:rsidRDefault="000873F3" w:rsidP="00164E4D">
      <w:pPr>
        <w:spacing w:after="200" w:line="360" w:lineRule="auto"/>
        <w:ind w:firstLine="720"/>
        <w:jc w:val="both"/>
        <w:rPr>
          <w:rFonts w:ascii="Garamond" w:hAnsi="Garamond" w:cstheme="minorHAnsi"/>
          <w:sz w:val="24"/>
          <w:szCs w:val="24"/>
        </w:rPr>
      </w:pPr>
      <w:r>
        <w:rPr>
          <w:rFonts w:ascii="Garamond" w:hAnsi="Garamond" w:cstheme="minorHAnsi"/>
          <w:sz w:val="24"/>
          <w:szCs w:val="24"/>
        </w:rPr>
        <w:t>It appears that by granting</w:t>
      </w:r>
      <w:r w:rsidRPr="00461D74">
        <w:rPr>
          <w:rFonts w:ascii="Garamond" w:hAnsi="Garamond" w:cstheme="minorHAnsi"/>
          <w:sz w:val="24"/>
          <w:szCs w:val="24"/>
        </w:rPr>
        <w:t xml:space="preserve"> </w:t>
      </w:r>
      <w:r w:rsidR="00170A43" w:rsidRPr="00461D74">
        <w:rPr>
          <w:rFonts w:ascii="Garamond" w:hAnsi="Garamond" w:cstheme="minorHAnsi"/>
          <w:sz w:val="24"/>
          <w:szCs w:val="24"/>
        </w:rPr>
        <w:t>the above</w:t>
      </w:r>
      <w:r w:rsidR="00016049" w:rsidRPr="00461D74">
        <w:rPr>
          <w:rFonts w:ascii="Garamond" w:hAnsi="Garamond" w:cstheme="minorHAnsi"/>
          <w:sz w:val="24"/>
          <w:szCs w:val="24"/>
        </w:rPr>
        <w:t xml:space="preserve">, it may be safe to assume that the </w:t>
      </w:r>
      <w:r w:rsidR="009C6F84">
        <w:rPr>
          <w:rFonts w:ascii="Garamond" w:hAnsi="Garamond" w:cstheme="minorHAnsi"/>
          <w:sz w:val="24"/>
          <w:szCs w:val="24"/>
        </w:rPr>
        <w:t>range</w:t>
      </w:r>
      <w:r w:rsidR="009C6F84"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of social problems that are generated in our contemporary context, are then very different </w:t>
      </w:r>
      <w:r w:rsidR="00626D35">
        <w:rPr>
          <w:rFonts w:ascii="Garamond" w:hAnsi="Garamond" w:cstheme="minorHAnsi"/>
          <w:sz w:val="24"/>
          <w:szCs w:val="24"/>
        </w:rPr>
        <w:t>from</w:t>
      </w:r>
      <w:r w:rsidR="00016049" w:rsidRPr="00461D74">
        <w:rPr>
          <w:rFonts w:ascii="Garamond" w:hAnsi="Garamond" w:cstheme="minorHAnsi"/>
          <w:sz w:val="24"/>
          <w:szCs w:val="24"/>
        </w:rPr>
        <w:t xml:space="preserve"> the problems which Aquinas faced while developing an ethics suitable for, and capable of</w:t>
      </w:r>
      <w:r w:rsidR="00170A43" w:rsidRPr="00461D74">
        <w:rPr>
          <w:rFonts w:ascii="Garamond" w:hAnsi="Garamond" w:cstheme="minorHAnsi"/>
          <w:sz w:val="24"/>
          <w:szCs w:val="24"/>
        </w:rPr>
        <w:t>,</w:t>
      </w:r>
      <w:r w:rsidR="00016049" w:rsidRPr="00461D74">
        <w:rPr>
          <w:rFonts w:ascii="Garamond" w:hAnsi="Garamond" w:cstheme="minorHAnsi"/>
          <w:sz w:val="24"/>
          <w:szCs w:val="24"/>
        </w:rPr>
        <w:t xml:space="preserve"> resolving the problems </w:t>
      </w:r>
      <w:r w:rsidR="00170A43" w:rsidRPr="00461D74">
        <w:rPr>
          <w:rFonts w:ascii="Garamond" w:hAnsi="Garamond" w:cstheme="minorHAnsi"/>
          <w:sz w:val="24"/>
          <w:szCs w:val="24"/>
        </w:rPr>
        <w:t xml:space="preserve">that emerged </w:t>
      </w:r>
      <w:r w:rsidR="00016049" w:rsidRPr="00461D74">
        <w:rPr>
          <w:rFonts w:ascii="Garamond" w:hAnsi="Garamond" w:cstheme="minorHAnsi"/>
          <w:sz w:val="24"/>
          <w:szCs w:val="24"/>
        </w:rPr>
        <w:t xml:space="preserve">in </w:t>
      </w:r>
      <w:r>
        <w:rPr>
          <w:rFonts w:ascii="Garamond" w:hAnsi="Garamond" w:cstheme="minorHAnsi"/>
          <w:sz w:val="24"/>
          <w:szCs w:val="24"/>
        </w:rPr>
        <w:t>his</w:t>
      </w:r>
      <w:r w:rsidRPr="00461D74">
        <w:rPr>
          <w:rFonts w:ascii="Garamond" w:hAnsi="Garamond" w:cstheme="minorHAnsi"/>
          <w:sz w:val="24"/>
          <w:szCs w:val="24"/>
        </w:rPr>
        <w:t xml:space="preserve"> </w:t>
      </w:r>
      <w:r w:rsidR="00016049" w:rsidRPr="00461D74">
        <w:rPr>
          <w:rFonts w:ascii="Garamond" w:hAnsi="Garamond" w:cstheme="minorHAnsi"/>
          <w:sz w:val="24"/>
          <w:szCs w:val="24"/>
        </w:rPr>
        <w:t>feudal society. Therefore, if we accept the above claims – claims which are implied by MacIntyre’s hypothesis (H3) and (H4) discussed in Chapter One – our contemporary social context renders Thomism, at least in an important sense, incommensurable with our modern social form and its associated structures.</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However, the reader might wonder whether I could have considered MacIntyre’s account more charitably, and that he will most likely have a reply to what I referred to as </w:t>
      </w:r>
      <w:r w:rsidR="009D5A58" w:rsidRPr="00461D74">
        <w:rPr>
          <w:rFonts w:ascii="Garamond" w:hAnsi="Garamond" w:cstheme="minorHAnsi"/>
          <w:sz w:val="24"/>
          <w:szCs w:val="24"/>
        </w:rPr>
        <w:t>‘</w:t>
      </w:r>
      <w:r w:rsidRPr="00461D74">
        <w:rPr>
          <w:rFonts w:ascii="Garamond" w:hAnsi="Garamond" w:cstheme="minorHAnsi"/>
          <w:sz w:val="24"/>
          <w:szCs w:val="24"/>
        </w:rPr>
        <w:t>the story of science</w:t>
      </w:r>
      <w:r w:rsidR="003D1913">
        <w:rPr>
          <w:rFonts w:ascii="Garamond" w:hAnsi="Garamond" w:cstheme="minorHAnsi"/>
          <w:sz w:val="24"/>
          <w:szCs w:val="24"/>
        </w:rPr>
        <w:t>.</w:t>
      </w:r>
      <w:r w:rsidR="009D5A58" w:rsidRPr="00461D74">
        <w:rPr>
          <w:rFonts w:ascii="Garamond" w:hAnsi="Garamond" w:cstheme="minorHAnsi"/>
          <w:sz w:val="24"/>
          <w:szCs w:val="24"/>
        </w:rPr>
        <w:t>’</w:t>
      </w:r>
      <w:r w:rsidRPr="00461D74">
        <w:rPr>
          <w:rFonts w:ascii="Garamond" w:hAnsi="Garamond" w:cstheme="minorHAnsi"/>
          <w:sz w:val="24"/>
          <w:szCs w:val="24"/>
        </w:rPr>
        <w:t xml:space="preserve"> I will grant that this is most likely the case</w:t>
      </w:r>
      <w:r w:rsidR="00591DBF">
        <w:rPr>
          <w:rFonts w:ascii="Garamond" w:hAnsi="Garamond" w:cstheme="minorHAnsi"/>
          <w:sz w:val="24"/>
          <w:szCs w:val="24"/>
        </w:rPr>
        <w:t>.</w:t>
      </w:r>
      <w:r w:rsidRPr="00461D74">
        <w:rPr>
          <w:rFonts w:ascii="Garamond" w:hAnsi="Garamond" w:cstheme="minorHAnsi"/>
          <w:sz w:val="24"/>
          <w:szCs w:val="24"/>
        </w:rPr>
        <w:t xml:space="preserve"> </w:t>
      </w:r>
      <w:r w:rsidR="00591DBF">
        <w:rPr>
          <w:rFonts w:ascii="Garamond" w:hAnsi="Garamond" w:cstheme="minorHAnsi"/>
          <w:sz w:val="24"/>
          <w:szCs w:val="24"/>
        </w:rPr>
        <w:t xml:space="preserve">Here </w:t>
      </w:r>
      <w:r w:rsidRPr="00461D74">
        <w:rPr>
          <w:rFonts w:ascii="Garamond" w:hAnsi="Garamond" w:cstheme="minorHAnsi"/>
          <w:sz w:val="24"/>
          <w:szCs w:val="24"/>
        </w:rPr>
        <w:t xml:space="preserve">MacIntyre </w:t>
      </w:r>
      <w:r w:rsidR="00591DBF">
        <w:rPr>
          <w:rFonts w:ascii="Garamond" w:hAnsi="Garamond" w:cstheme="minorHAnsi"/>
          <w:sz w:val="24"/>
          <w:szCs w:val="24"/>
        </w:rPr>
        <w:t xml:space="preserve">could </w:t>
      </w:r>
      <w:r w:rsidRPr="00461D74">
        <w:rPr>
          <w:rFonts w:ascii="Garamond" w:hAnsi="Garamond" w:cstheme="minorHAnsi"/>
          <w:sz w:val="24"/>
          <w:szCs w:val="24"/>
        </w:rPr>
        <w:t xml:space="preserve">accept the </w:t>
      </w:r>
      <w:r w:rsidR="003D1913">
        <w:rPr>
          <w:rFonts w:ascii="Garamond" w:hAnsi="Garamond" w:cstheme="minorHAnsi"/>
          <w:sz w:val="24"/>
          <w:szCs w:val="24"/>
        </w:rPr>
        <w:t xml:space="preserve">broad </w:t>
      </w:r>
      <w:r w:rsidRPr="00461D74">
        <w:rPr>
          <w:rFonts w:ascii="Garamond" w:hAnsi="Garamond" w:cstheme="minorHAnsi"/>
          <w:sz w:val="24"/>
          <w:szCs w:val="24"/>
        </w:rPr>
        <w:t xml:space="preserve">outlines of the story of science, but still counter that my rehashing of that history is somewhat crude and lacks some important details. MacIntyre will likely accept that a number of socio-historical contingencies prompted the intellectual, social, and historical, transformations </w:t>
      </w:r>
      <w:r w:rsidR="00D10A1F">
        <w:rPr>
          <w:rFonts w:ascii="Garamond" w:hAnsi="Garamond" w:cstheme="minorHAnsi"/>
          <w:sz w:val="24"/>
          <w:szCs w:val="24"/>
        </w:rPr>
        <w:t>which</w:t>
      </w:r>
      <w:r w:rsidR="003D1913">
        <w:rPr>
          <w:rFonts w:ascii="Garamond" w:hAnsi="Garamond" w:cstheme="minorHAnsi"/>
          <w:sz w:val="24"/>
          <w:szCs w:val="24"/>
        </w:rPr>
        <w:t xml:space="preserve"> </w:t>
      </w:r>
      <w:r w:rsidRPr="00461D74">
        <w:rPr>
          <w:rFonts w:ascii="Garamond" w:hAnsi="Garamond" w:cstheme="minorHAnsi"/>
          <w:sz w:val="24"/>
          <w:szCs w:val="24"/>
        </w:rPr>
        <w:t xml:space="preserve">I </w:t>
      </w:r>
      <w:r w:rsidR="003D1913">
        <w:rPr>
          <w:rFonts w:ascii="Garamond" w:hAnsi="Garamond" w:cstheme="minorHAnsi"/>
          <w:sz w:val="24"/>
          <w:szCs w:val="24"/>
        </w:rPr>
        <w:t xml:space="preserve">have </w:t>
      </w:r>
      <w:r w:rsidRPr="00461D74">
        <w:rPr>
          <w:rFonts w:ascii="Garamond" w:hAnsi="Garamond" w:cstheme="minorHAnsi"/>
          <w:sz w:val="24"/>
          <w:szCs w:val="24"/>
        </w:rPr>
        <w:t xml:space="preserve">outlined; and that taken together they rendered different aspects of the Aristotelian tradition problematic. </w:t>
      </w:r>
      <w:r w:rsidR="00123BC2">
        <w:rPr>
          <w:rFonts w:ascii="Garamond" w:hAnsi="Garamond" w:cstheme="minorHAnsi"/>
          <w:sz w:val="24"/>
          <w:szCs w:val="24"/>
        </w:rPr>
        <w:t>Yet,</w:t>
      </w:r>
      <w:r w:rsidR="00123BC2" w:rsidRPr="00461D74">
        <w:rPr>
          <w:rFonts w:ascii="Garamond" w:hAnsi="Garamond" w:cstheme="minorHAnsi"/>
          <w:sz w:val="24"/>
          <w:szCs w:val="24"/>
        </w:rPr>
        <w:t xml:space="preserve"> </w:t>
      </w:r>
      <w:r w:rsidRPr="00461D74">
        <w:rPr>
          <w:rFonts w:ascii="Garamond" w:hAnsi="Garamond" w:cstheme="minorHAnsi"/>
          <w:sz w:val="24"/>
          <w:szCs w:val="24"/>
        </w:rPr>
        <w:t xml:space="preserve">MacIntyre </w:t>
      </w:r>
      <w:r w:rsidR="00B66670" w:rsidRPr="00461D74">
        <w:rPr>
          <w:rFonts w:ascii="Garamond" w:hAnsi="Garamond" w:cstheme="minorHAnsi"/>
          <w:sz w:val="24"/>
          <w:szCs w:val="24"/>
        </w:rPr>
        <w:t>could reasonably argue that</w:t>
      </w:r>
      <w:r w:rsidRPr="00461D74">
        <w:rPr>
          <w:rFonts w:ascii="Garamond" w:hAnsi="Garamond" w:cstheme="minorHAnsi"/>
          <w:sz w:val="24"/>
          <w:szCs w:val="24"/>
        </w:rPr>
        <w:t xml:space="preserve"> our intellectual predecessors</w:t>
      </w:r>
      <w:r w:rsidR="00B66670" w:rsidRPr="00461D74">
        <w:rPr>
          <w:rFonts w:ascii="Garamond" w:hAnsi="Garamond" w:cstheme="minorHAnsi"/>
          <w:sz w:val="24"/>
          <w:szCs w:val="24"/>
        </w:rPr>
        <w:t>,</w:t>
      </w:r>
      <w:r w:rsidRPr="00461D74">
        <w:rPr>
          <w:rFonts w:ascii="Garamond" w:hAnsi="Garamond" w:cstheme="minorHAnsi"/>
          <w:sz w:val="24"/>
          <w:szCs w:val="24"/>
        </w:rPr>
        <w:t xml:space="preserve"> rather hastily and </w:t>
      </w:r>
      <w:r w:rsidR="00B66670" w:rsidRPr="00461D74">
        <w:rPr>
          <w:rFonts w:ascii="Garamond" w:hAnsi="Garamond" w:cstheme="minorHAnsi"/>
          <w:sz w:val="24"/>
          <w:szCs w:val="24"/>
        </w:rPr>
        <w:t xml:space="preserve">perhaps </w:t>
      </w:r>
      <w:r w:rsidRPr="00461D74">
        <w:rPr>
          <w:rFonts w:ascii="Garamond" w:hAnsi="Garamond" w:cstheme="minorHAnsi"/>
          <w:sz w:val="24"/>
          <w:szCs w:val="24"/>
        </w:rPr>
        <w:t>prematurely</w:t>
      </w:r>
      <w:r w:rsidR="00B66670" w:rsidRPr="00461D74">
        <w:rPr>
          <w:rFonts w:ascii="Garamond" w:hAnsi="Garamond" w:cstheme="minorHAnsi"/>
          <w:sz w:val="24"/>
          <w:szCs w:val="24"/>
        </w:rPr>
        <w:t>,</w:t>
      </w:r>
      <w:r w:rsidRPr="00461D74">
        <w:rPr>
          <w:rFonts w:ascii="Garamond" w:hAnsi="Garamond" w:cstheme="minorHAnsi"/>
          <w:sz w:val="24"/>
          <w:szCs w:val="24"/>
        </w:rPr>
        <w:t xml:space="preserve"> excluded </w:t>
      </w:r>
      <w:r w:rsidRPr="00461D74">
        <w:rPr>
          <w:rFonts w:ascii="Garamond" w:hAnsi="Garamond" w:cstheme="minorHAnsi"/>
          <w:sz w:val="24"/>
          <w:szCs w:val="24"/>
        </w:rPr>
        <w:lastRenderedPageBreak/>
        <w:t xml:space="preserve">important and credible components of the Aristotelian-Thomistic account, at least with respect to their plausibility and efficacy in moral inquiry. MacIntyre could then argue for reviving some version of teleology. We can view MacIntyre’s efforts in </w:t>
      </w:r>
      <w:r w:rsidRPr="00461D74">
        <w:rPr>
          <w:rFonts w:ascii="Garamond" w:hAnsi="Garamond" w:cstheme="minorHAnsi"/>
          <w:i/>
          <w:iCs/>
          <w:sz w:val="24"/>
          <w:szCs w:val="24"/>
        </w:rPr>
        <w:t>After Virtue</w:t>
      </w:r>
      <w:r w:rsidRPr="00461D74">
        <w:rPr>
          <w:rFonts w:ascii="Garamond" w:hAnsi="Garamond" w:cstheme="minorHAnsi"/>
          <w:sz w:val="24"/>
          <w:szCs w:val="24"/>
        </w:rPr>
        <w:t xml:space="preserve"> as aiming </w:t>
      </w:r>
      <w:r w:rsidR="003D1913">
        <w:rPr>
          <w:rFonts w:ascii="Garamond" w:hAnsi="Garamond" w:cstheme="minorHAnsi"/>
          <w:sz w:val="24"/>
          <w:szCs w:val="24"/>
        </w:rPr>
        <w:t>at</w:t>
      </w:r>
      <w:r w:rsidR="003D1913"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3D1913">
        <w:rPr>
          <w:rFonts w:ascii="Garamond" w:hAnsi="Garamond" w:cstheme="minorHAnsi"/>
          <w:sz w:val="24"/>
          <w:szCs w:val="24"/>
        </w:rPr>
        <w:t>weaker</w:t>
      </w:r>
      <w:r w:rsidRPr="00461D74">
        <w:rPr>
          <w:rFonts w:ascii="Garamond" w:hAnsi="Garamond" w:cstheme="minorHAnsi"/>
          <w:sz w:val="24"/>
          <w:szCs w:val="24"/>
        </w:rPr>
        <w:t xml:space="preserve"> </w:t>
      </w:r>
      <w:r w:rsidR="00626D35">
        <w:rPr>
          <w:rFonts w:ascii="Garamond" w:hAnsi="Garamond" w:cstheme="minorHAnsi"/>
          <w:sz w:val="24"/>
          <w:szCs w:val="24"/>
        </w:rPr>
        <w:t>conception</w:t>
      </w:r>
      <w:r w:rsidR="003D1913">
        <w:rPr>
          <w:rFonts w:ascii="Garamond" w:hAnsi="Garamond" w:cstheme="minorHAnsi"/>
          <w:sz w:val="24"/>
          <w:szCs w:val="24"/>
        </w:rPr>
        <w:t xml:space="preserve"> of </w:t>
      </w:r>
      <w:r w:rsidRPr="00461D74">
        <w:rPr>
          <w:rFonts w:ascii="Garamond" w:hAnsi="Garamond" w:cstheme="minorHAnsi"/>
          <w:sz w:val="24"/>
          <w:szCs w:val="24"/>
        </w:rPr>
        <w:t xml:space="preserve">teleology, </w:t>
      </w:r>
      <w:r w:rsidR="003D1913">
        <w:rPr>
          <w:rFonts w:ascii="Garamond" w:hAnsi="Garamond" w:cstheme="minorHAnsi"/>
          <w:sz w:val="24"/>
          <w:szCs w:val="24"/>
        </w:rPr>
        <w:t>but</w:t>
      </w:r>
      <w:r w:rsidR="003D1913" w:rsidRPr="00461D74">
        <w:rPr>
          <w:rFonts w:ascii="Garamond" w:hAnsi="Garamond" w:cstheme="minorHAnsi"/>
          <w:sz w:val="24"/>
          <w:szCs w:val="24"/>
        </w:rPr>
        <w:t xml:space="preserve"> </w:t>
      </w:r>
      <w:r w:rsidRPr="00461D74">
        <w:rPr>
          <w:rFonts w:ascii="Garamond" w:hAnsi="Garamond" w:cstheme="minorHAnsi"/>
          <w:sz w:val="24"/>
          <w:szCs w:val="24"/>
        </w:rPr>
        <w:t xml:space="preserve">later in </w:t>
      </w:r>
      <w:r w:rsidRPr="00461D74">
        <w:rPr>
          <w:rFonts w:ascii="Garamond" w:hAnsi="Garamond" w:cstheme="minorHAnsi"/>
          <w:i/>
          <w:iCs/>
          <w:sz w:val="24"/>
          <w:szCs w:val="24"/>
        </w:rPr>
        <w:t>Whose Justice</w:t>
      </w:r>
      <w:r w:rsidR="003D1913">
        <w:rPr>
          <w:rFonts w:ascii="Garamond" w:hAnsi="Garamond" w:cstheme="minorHAnsi"/>
          <w:sz w:val="24"/>
          <w:szCs w:val="24"/>
        </w:rPr>
        <w:t xml:space="preserve">, </w:t>
      </w:r>
      <w:r w:rsidRPr="00461D74">
        <w:rPr>
          <w:rFonts w:ascii="Garamond" w:hAnsi="Garamond" w:cstheme="minorHAnsi"/>
          <w:sz w:val="24"/>
          <w:szCs w:val="24"/>
        </w:rPr>
        <w:t xml:space="preserve">MacIntyre </w:t>
      </w:r>
      <w:r w:rsidR="00626D35">
        <w:rPr>
          <w:rFonts w:ascii="Garamond" w:hAnsi="Garamond" w:cstheme="minorHAnsi"/>
          <w:sz w:val="24"/>
          <w:szCs w:val="24"/>
        </w:rPr>
        <w:t>hankers</w:t>
      </w:r>
      <w:r w:rsidR="003D1913">
        <w:rPr>
          <w:rFonts w:ascii="Garamond" w:hAnsi="Garamond" w:cstheme="minorHAnsi"/>
          <w:sz w:val="24"/>
          <w:szCs w:val="24"/>
        </w:rPr>
        <w:t xml:space="preserve"> after</w:t>
      </w:r>
      <w:r w:rsidRPr="00461D74">
        <w:rPr>
          <w:rFonts w:ascii="Garamond" w:hAnsi="Garamond" w:cstheme="minorHAnsi"/>
          <w:sz w:val="24"/>
          <w:szCs w:val="24"/>
        </w:rPr>
        <w:t xml:space="preserve"> a stronger </w:t>
      </w:r>
      <w:r w:rsidR="003D1913">
        <w:rPr>
          <w:rFonts w:ascii="Garamond" w:hAnsi="Garamond" w:cstheme="minorHAnsi"/>
          <w:sz w:val="24"/>
          <w:szCs w:val="24"/>
        </w:rPr>
        <w:t>version</w:t>
      </w:r>
      <w:r w:rsidR="003D1913" w:rsidRPr="00461D74">
        <w:rPr>
          <w:rFonts w:ascii="Garamond" w:hAnsi="Garamond" w:cstheme="minorHAnsi"/>
          <w:sz w:val="24"/>
          <w:szCs w:val="24"/>
        </w:rPr>
        <w:t xml:space="preserve"> </w:t>
      </w:r>
      <w:r w:rsidRPr="00461D74">
        <w:rPr>
          <w:rFonts w:ascii="Garamond" w:hAnsi="Garamond" w:cstheme="minorHAnsi"/>
          <w:sz w:val="24"/>
          <w:szCs w:val="24"/>
        </w:rPr>
        <w:t>of teleology.</w:t>
      </w:r>
      <w:r w:rsidRPr="00461D74">
        <w:rPr>
          <w:rStyle w:val="FootnoteReference"/>
          <w:rFonts w:ascii="Garamond" w:hAnsi="Garamond" w:cstheme="minorHAnsi"/>
          <w:sz w:val="24"/>
          <w:szCs w:val="24"/>
        </w:rPr>
        <w:footnoteReference w:id="175"/>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addition, MacIntyre could also suggest that while I have offered a plausible general story – </w:t>
      </w:r>
      <w:r w:rsidR="00DB17ED">
        <w:rPr>
          <w:rFonts w:ascii="Garamond" w:hAnsi="Garamond" w:cstheme="minorHAnsi"/>
          <w:sz w:val="24"/>
          <w:szCs w:val="24"/>
        </w:rPr>
        <w:t>‘</w:t>
      </w:r>
      <w:r w:rsidRPr="00461D74">
        <w:rPr>
          <w:rFonts w:ascii="Garamond" w:hAnsi="Garamond" w:cstheme="minorHAnsi"/>
          <w:sz w:val="24"/>
          <w:szCs w:val="24"/>
        </w:rPr>
        <w:t>the story of science</w:t>
      </w:r>
      <w:r w:rsidR="00DB17ED">
        <w:rPr>
          <w:rFonts w:ascii="Garamond" w:hAnsi="Garamond" w:cstheme="minorHAnsi"/>
          <w:sz w:val="24"/>
          <w:szCs w:val="24"/>
        </w:rPr>
        <w:t>’</w:t>
      </w:r>
      <w:r w:rsidRPr="00461D74">
        <w:rPr>
          <w:rFonts w:ascii="Garamond" w:hAnsi="Garamond" w:cstheme="minorHAnsi"/>
          <w:sz w:val="24"/>
          <w:szCs w:val="24"/>
        </w:rPr>
        <w:t xml:space="preserve"> – for the decline of the Aristotelian position, there is a more detailed story which can show that at least when it comes to ethics, the teleological resources in Aristotelian Thomism were contingently discarded due to a number of intellectual mistakes; and that in the absence of these mistakes, our intellectual history could have unfolded differently</w:t>
      </w:r>
      <w:r w:rsidR="00DB17ED">
        <w:rPr>
          <w:rFonts w:ascii="Garamond" w:hAnsi="Garamond" w:cstheme="minorHAnsi"/>
          <w:sz w:val="24"/>
          <w:szCs w:val="24"/>
        </w:rPr>
        <w:t>,</w:t>
      </w:r>
      <w:r w:rsidRPr="00461D74">
        <w:rPr>
          <w:rFonts w:ascii="Garamond" w:hAnsi="Garamond" w:cstheme="minorHAnsi"/>
          <w:sz w:val="24"/>
          <w:szCs w:val="24"/>
        </w:rPr>
        <w:t xml:space="preserve"> and in ways </w:t>
      </w:r>
      <w:r w:rsidR="00190EA0">
        <w:rPr>
          <w:rFonts w:ascii="Garamond" w:hAnsi="Garamond" w:cstheme="minorHAnsi"/>
          <w:sz w:val="24"/>
          <w:szCs w:val="24"/>
        </w:rPr>
        <w:t>which</w:t>
      </w:r>
      <w:r w:rsidR="00190EA0" w:rsidRPr="00461D74">
        <w:rPr>
          <w:rFonts w:ascii="Garamond" w:hAnsi="Garamond" w:cstheme="minorHAnsi"/>
          <w:sz w:val="24"/>
          <w:szCs w:val="24"/>
        </w:rPr>
        <w:t xml:space="preserve"> </w:t>
      </w:r>
      <w:r w:rsidR="00190EA0">
        <w:rPr>
          <w:rFonts w:ascii="Garamond" w:hAnsi="Garamond" w:cstheme="minorHAnsi"/>
          <w:sz w:val="24"/>
          <w:szCs w:val="24"/>
        </w:rPr>
        <w:t xml:space="preserve">could have perhaps left </w:t>
      </w:r>
      <w:r w:rsidRPr="00461D74">
        <w:rPr>
          <w:rFonts w:ascii="Garamond" w:hAnsi="Garamond" w:cstheme="minorHAnsi"/>
          <w:sz w:val="24"/>
          <w:szCs w:val="24"/>
        </w:rPr>
        <w:t xml:space="preserve">those (important) </w:t>
      </w:r>
      <w:r w:rsidR="00190EA0">
        <w:rPr>
          <w:rFonts w:ascii="Garamond" w:hAnsi="Garamond" w:cstheme="minorHAnsi"/>
          <w:sz w:val="24"/>
          <w:szCs w:val="24"/>
        </w:rPr>
        <w:t xml:space="preserve">teleological </w:t>
      </w:r>
      <w:r w:rsidRPr="00461D74">
        <w:rPr>
          <w:rFonts w:ascii="Garamond" w:hAnsi="Garamond" w:cstheme="minorHAnsi"/>
          <w:sz w:val="24"/>
          <w:szCs w:val="24"/>
        </w:rPr>
        <w:t>resources</w:t>
      </w:r>
      <w:r w:rsidR="00626D35">
        <w:rPr>
          <w:rFonts w:ascii="Garamond" w:hAnsi="Garamond" w:cstheme="minorHAnsi"/>
          <w:sz w:val="24"/>
          <w:szCs w:val="24"/>
        </w:rPr>
        <w:t xml:space="preserve"> intact</w:t>
      </w:r>
      <w:r w:rsidRPr="00461D74">
        <w:rPr>
          <w:rFonts w:ascii="Garamond" w:hAnsi="Garamond" w:cstheme="minorHAnsi"/>
          <w:sz w:val="24"/>
          <w:szCs w:val="24"/>
        </w:rPr>
        <w:t>. He could suggest that were it not for these intellectual mistakes</w:t>
      </w:r>
      <w:r w:rsidR="00626D35">
        <w:rPr>
          <w:rFonts w:ascii="Garamond" w:hAnsi="Garamond" w:cstheme="minorHAnsi"/>
          <w:sz w:val="24"/>
          <w:szCs w:val="24"/>
        </w:rPr>
        <w:t>,</w:t>
      </w:r>
      <w:r w:rsidRPr="00461D74">
        <w:rPr>
          <w:rFonts w:ascii="Garamond" w:hAnsi="Garamond" w:cstheme="minorHAnsi"/>
          <w:sz w:val="24"/>
          <w:szCs w:val="24"/>
        </w:rPr>
        <w:t xml:space="preserve"> our predecessors could have safeguarded elements of Aristotelian teleology for use in ethics; and that </w:t>
      </w:r>
      <w:r w:rsidR="00170A43" w:rsidRPr="00461D74">
        <w:rPr>
          <w:rFonts w:ascii="Garamond" w:hAnsi="Garamond" w:cstheme="minorHAnsi"/>
          <w:sz w:val="24"/>
          <w:szCs w:val="24"/>
        </w:rPr>
        <w:t>by bracketing some of</w:t>
      </w:r>
      <w:r w:rsidRPr="00461D74">
        <w:rPr>
          <w:rFonts w:ascii="Garamond" w:hAnsi="Garamond" w:cstheme="minorHAnsi"/>
          <w:sz w:val="24"/>
          <w:szCs w:val="24"/>
        </w:rPr>
        <w:t xml:space="preserve"> the excesses of Aristotle’s metaphysics as it relates to science, some of those teleological resources could have been preserved</w:t>
      </w:r>
      <w:r w:rsidR="006710B8" w:rsidRPr="00461D74">
        <w:rPr>
          <w:rFonts w:ascii="Garamond" w:hAnsi="Garamond" w:cstheme="minorHAnsi"/>
          <w:sz w:val="24"/>
          <w:szCs w:val="24"/>
        </w:rPr>
        <w:t xml:space="preserve"> for use in ethics</w:t>
      </w:r>
      <w:r w:rsidRPr="00461D74">
        <w:rPr>
          <w:rFonts w:ascii="Garamond" w:hAnsi="Garamond" w:cstheme="minorHAnsi"/>
          <w:sz w:val="24"/>
          <w:szCs w:val="24"/>
        </w:rPr>
        <w:t>.</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considers the emergence of the </w:t>
      </w:r>
      <w:r w:rsidR="00456918" w:rsidRPr="00461D74">
        <w:rPr>
          <w:rFonts w:ascii="Garamond" w:hAnsi="Garamond" w:cstheme="minorHAnsi"/>
          <w:sz w:val="24"/>
          <w:szCs w:val="24"/>
        </w:rPr>
        <w:t>‘fact/value’</w:t>
      </w:r>
      <w:r w:rsidRPr="00461D74">
        <w:rPr>
          <w:rFonts w:ascii="Garamond" w:hAnsi="Garamond" w:cstheme="minorHAnsi"/>
          <w:sz w:val="24"/>
          <w:szCs w:val="24"/>
        </w:rPr>
        <w:t xml:space="preserve"> distinction as a pivotal development </w:t>
      </w:r>
      <w:r w:rsidR="00CA7E14">
        <w:rPr>
          <w:rFonts w:ascii="Garamond" w:hAnsi="Garamond" w:cstheme="minorHAnsi"/>
          <w:sz w:val="24"/>
          <w:szCs w:val="24"/>
        </w:rPr>
        <w:t>by</w:t>
      </w:r>
      <w:r w:rsidRPr="00461D74">
        <w:rPr>
          <w:rFonts w:ascii="Garamond" w:hAnsi="Garamond" w:cstheme="minorHAnsi"/>
          <w:sz w:val="24"/>
          <w:szCs w:val="24"/>
        </w:rPr>
        <w:t xml:space="preserve"> Enlightenment </w:t>
      </w:r>
      <w:r w:rsidR="00CA7E14">
        <w:rPr>
          <w:rFonts w:ascii="Garamond" w:hAnsi="Garamond" w:cstheme="minorHAnsi"/>
          <w:sz w:val="24"/>
          <w:szCs w:val="24"/>
        </w:rPr>
        <w:t>thinkers</w:t>
      </w:r>
      <w:r w:rsidR="00CA7E14" w:rsidRPr="00461D74">
        <w:rPr>
          <w:rFonts w:ascii="Garamond" w:hAnsi="Garamond" w:cstheme="minorHAnsi"/>
          <w:sz w:val="24"/>
          <w:szCs w:val="24"/>
        </w:rPr>
        <w:t xml:space="preserve"> </w:t>
      </w:r>
      <w:r w:rsidRPr="00461D74">
        <w:rPr>
          <w:rFonts w:ascii="Garamond" w:hAnsi="Garamond" w:cstheme="minorHAnsi"/>
          <w:sz w:val="24"/>
          <w:szCs w:val="24"/>
        </w:rPr>
        <w:t xml:space="preserve">– a development that not only further accelerated the erosion of the functional (or teleological) view of human </w:t>
      </w:r>
      <w:r w:rsidRPr="00461D74">
        <w:rPr>
          <w:rFonts w:ascii="Garamond" w:hAnsi="Garamond" w:cstheme="minorHAnsi"/>
          <w:sz w:val="24"/>
          <w:szCs w:val="24"/>
        </w:rPr>
        <w:lastRenderedPageBreak/>
        <w:t xml:space="preserve">nature, but </w:t>
      </w:r>
      <w:r w:rsidR="002A3CE8">
        <w:rPr>
          <w:rFonts w:ascii="Garamond" w:hAnsi="Garamond" w:cstheme="minorHAnsi"/>
          <w:sz w:val="24"/>
          <w:szCs w:val="24"/>
        </w:rPr>
        <w:t>undermined</w:t>
      </w:r>
      <w:r w:rsidR="002A3CE8" w:rsidRPr="00461D74">
        <w:rPr>
          <w:rFonts w:ascii="Garamond" w:hAnsi="Garamond" w:cstheme="minorHAnsi"/>
          <w:sz w:val="24"/>
          <w:szCs w:val="24"/>
        </w:rPr>
        <w:t xml:space="preserve"> </w:t>
      </w:r>
      <w:r w:rsidRPr="00461D74">
        <w:rPr>
          <w:rFonts w:ascii="Garamond" w:hAnsi="Garamond" w:cstheme="minorHAnsi"/>
          <w:sz w:val="24"/>
          <w:szCs w:val="24"/>
        </w:rPr>
        <w:t>the significance of value</w:t>
      </w:r>
      <w:r w:rsidR="002A3CE8">
        <w:rPr>
          <w:rFonts w:ascii="Garamond" w:hAnsi="Garamond" w:cstheme="minorHAnsi"/>
          <w:sz w:val="24"/>
          <w:szCs w:val="24"/>
        </w:rPr>
        <w:t xml:space="preserve"> considerations</w:t>
      </w:r>
      <w:r w:rsidRPr="00461D74">
        <w:rPr>
          <w:rFonts w:ascii="Garamond" w:hAnsi="Garamond" w:cstheme="minorHAnsi"/>
          <w:sz w:val="24"/>
          <w:szCs w:val="24"/>
        </w:rPr>
        <w:t xml:space="preserve"> in philosophical inquiry.</w:t>
      </w:r>
      <w:r w:rsidRPr="00461D74">
        <w:rPr>
          <w:rStyle w:val="FootnoteReference"/>
          <w:rFonts w:ascii="Garamond" w:hAnsi="Garamond" w:cstheme="minorHAnsi"/>
          <w:sz w:val="24"/>
          <w:szCs w:val="24"/>
        </w:rPr>
        <w:footnoteReference w:id="176"/>
      </w:r>
      <w:r w:rsidRPr="00461D74">
        <w:rPr>
          <w:rFonts w:ascii="Garamond" w:hAnsi="Garamond" w:cstheme="minorHAnsi"/>
          <w:sz w:val="24"/>
          <w:szCs w:val="24"/>
        </w:rPr>
        <w:t xml:space="preserve"> For MacIntyre, once a realist account of values ceased to be credible, philosophers ultimately accepted a conception of values </w:t>
      </w:r>
      <w:r w:rsidR="00CA7E14">
        <w:rPr>
          <w:rFonts w:ascii="Garamond" w:hAnsi="Garamond" w:cstheme="minorHAnsi"/>
          <w:sz w:val="24"/>
          <w:szCs w:val="24"/>
        </w:rPr>
        <w:t>in which values</w:t>
      </w:r>
      <w:r w:rsidR="00CA7E14" w:rsidRPr="00461D74">
        <w:rPr>
          <w:rFonts w:ascii="Garamond" w:hAnsi="Garamond" w:cstheme="minorHAnsi"/>
          <w:sz w:val="24"/>
          <w:szCs w:val="24"/>
        </w:rPr>
        <w:t xml:space="preserve"> </w:t>
      </w:r>
      <w:r w:rsidR="00CA7E14">
        <w:rPr>
          <w:rFonts w:ascii="Garamond" w:hAnsi="Garamond" w:cstheme="minorHAnsi"/>
          <w:sz w:val="24"/>
          <w:szCs w:val="24"/>
        </w:rPr>
        <w:t>no longer</w:t>
      </w:r>
      <w:r w:rsidRPr="00461D74">
        <w:rPr>
          <w:rFonts w:ascii="Garamond" w:hAnsi="Garamond" w:cstheme="minorHAnsi"/>
          <w:sz w:val="24"/>
          <w:szCs w:val="24"/>
        </w:rPr>
        <w:t xml:space="preserve"> possess </w:t>
      </w:r>
      <w:r w:rsidR="00CA7E14">
        <w:rPr>
          <w:rFonts w:ascii="Garamond" w:hAnsi="Garamond" w:cstheme="minorHAnsi"/>
          <w:sz w:val="24"/>
          <w:szCs w:val="24"/>
        </w:rPr>
        <w:t>the requisite</w:t>
      </w:r>
      <w:r w:rsidRPr="00461D74">
        <w:rPr>
          <w:rFonts w:ascii="Garamond" w:hAnsi="Garamond" w:cstheme="minorHAnsi"/>
          <w:sz w:val="24"/>
          <w:szCs w:val="24"/>
        </w:rPr>
        <w:t xml:space="preserve"> substantive force in practical deliberations. </w:t>
      </w:r>
      <w:r w:rsidR="00CA7E14">
        <w:rPr>
          <w:rFonts w:ascii="Garamond" w:hAnsi="Garamond" w:cstheme="minorHAnsi"/>
          <w:sz w:val="24"/>
          <w:szCs w:val="24"/>
        </w:rPr>
        <w:t>Nonetheless</w:t>
      </w:r>
      <w:r w:rsidRPr="00461D74">
        <w:rPr>
          <w:rFonts w:ascii="Garamond" w:hAnsi="Garamond" w:cstheme="minorHAnsi"/>
          <w:sz w:val="24"/>
          <w:szCs w:val="24"/>
        </w:rPr>
        <w:t xml:space="preserve">, </w:t>
      </w:r>
      <w:r w:rsidR="00CA7E14">
        <w:rPr>
          <w:rFonts w:ascii="Garamond" w:hAnsi="Garamond" w:cstheme="minorHAnsi"/>
          <w:sz w:val="24"/>
          <w:szCs w:val="24"/>
        </w:rPr>
        <w:t xml:space="preserve">in the previous chapter, </w:t>
      </w:r>
      <w:r w:rsidRPr="00461D74">
        <w:rPr>
          <w:rFonts w:ascii="Garamond" w:hAnsi="Garamond" w:cstheme="minorHAnsi"/>
          <w:sz w:val="24"/>
          <w:szCs w:val="24"/>
        </w:rPr>
        <w:t xml:space="preserve">we observed that on Aristotle’s functional account of human nature, Hume’s distinction between ‘is’ and ‘ought’ </w:t>
      </w:r>
      <w:r w:rsidR="00CA7E14">
        <w:rPr>
          <w:rFonts w:ascii="Garamond" w:hAnsi="Garamond" w:cstheme="minorHAnsi"/>
          <w:sz w:val="24"/>
          <w:szCs w:val="24"/>
        </w:rPr>
        <w:t>does not necessarily</w:t>
      </w:r>
      <w:r w:rsidRPr="00461D74">
        <w:rPr>
          <w:rFonts w:ascii="Garamond" w:hAnsi="Garamond" w:cstheme="minorHAnsi"/>
          <w:sz w:val="24"/>
          <w:szCs w:val="24"/>
        </w:rPr>
        <w:t xml:space="preserve"> hold. This is because for Aristotle we can derive ‘ought’ conclusion from ‘is’ premises since it is not obvious that we can always separate the question ‘what is it for a person to flourish and realize her potential as a human being?’ from the question ‘what action ought she </w:t>
      </w:r>
      <w:r w:rsidR="00CA7E14">
        <w:rPr>
          <w:rFonts w:ascii="Garamond" w:hAnsi="Garamond" w:cstheme="minorHAnsi"/>
          <w:sz w:val="24"/>
          <w:szCs w:val="24"/>
        </w:rPr>
        <w:t>consider</w:t>
      </w:r>
      <w:r w:rsidR="00CA7E14" w:rsidRPr="00461D74">
        <w:rPr>
          <w:rFonts w:ascii="Garamond" w:hAnsi="Garamond" w:cstheme="minorHAnsi"/>
          <w:sz w:val="24"/>
          <w:szCs w:val="24"/>
        </w:rPr>
        <w:t xml:space="preserve"> </w:t>
      </w:r>
      <w:r w:rsidRPr="00461D74">
        <w:rPr>
          <w:rFonts w:ascii="Garamond" w:hAnsi="Garamond" w:cstheme="minorHAnsi"/>
          <w:sz w:val="24"/>
          <w:szCs w:val="24"/>
        </w:rPr>
        <w:t xml:space="preserve">to </w:t>
      </w:r>
      <w:r w:rsidR="00CA7E14">
        <w:rPr>
          <w:rFonts w:ascii="Garamond" w:hAnsi="Garamond" w:cstheme="minorHAnsi"/>
          <w:sz w:val="24"/>
          <w:szCs w:val="24"/>
        </w:rPr>
        <w:t>advance</w:t>
      </w:r>
      <w:r w:rsidR="00CA7E14" w:rsidRPr="00461D74">
        <w:rPr>
          <w:rFonts w:ascii="Garamond" w:hAnsi="Garamond" w:cstheme="minorHAnsi"/>
          <w:sz w:val="24"/>
          <w:szCs w:val="24"/>
        </w:rPr>
        <w:t xml:space="preserve"> </w:t>
      </w:r>
      <w:r w:rsidRPr="00461D74">
        <w:rPr>
          <w:rFonts w:ascii="Garamond" w:hAnsi="Garamond" w:cstheme="minorHAnsi"/>
          <w:sz w:val="24"/>
          <w:szCs w:val="24"/>
        </w:rPr>
        <w:t>that potential?’</w:t>
      </w:r>
    </w:p>
    <w:p w:rsidR="00016049" w:rsidRPr="00461D74" w:rsidRDefault="00016049" w:rsidP="00164E4D">
      <w:pPr>
        <w:spacing w:after="200" w:line="360" w:lineRule="auto"/>
        <w:ind w:firstLine="720"/>
        <w:jc w:val="both"/>
        <w:rPr>
          <w:rFonts w:ascii="Garamond" w:hAnsi="Garamond" w:cstheme="minorHAnsi"/>
          <w:color w:val="222222"/>
          <w:sz w:val="24"/>
          <w:szCs w:val="24"/>
          <w:shd w:val="clear" w:color="auto" w:fill="FFFFFF"/>
        </w:rPr>
      </w:pPr>
      <w:r w:rsidRPr="00461D74">
        <w:rPr>
          <w:rFonts w:ascii="Garamond" w:hAnsi="Garamond" w:cstheme="minorHAnsi"/>
          <w:sz w:val="24"/>
          <w:szCs w:val="24"/>
        </w:rPr>
        <w:t>Therefore, MacIntyre is cognizant of the fact that the Aristotelian-Thomistic tradition has been displaced in the run up to the modern era, and accepts that the functional (teleological) account of human nature and the place of values in practical rationality were marginalized in the process. Yet, it is still possible for him to argue that once the mistakes of our intellectual predecessors are brought to light, we can recover important insights contained in these</w:t>
      </w:r>
      <w:r w:rsidR="004F63AB">
        <w:rPr>
          <w:rFonts w:ascii="Garamond" w:hAnsi="Garamond" w:cstheme="minorHAnsi"/>
          <w:sz w:val="24"/>
          <w:szCs w:val="24"/>
        </w:rPr>
        <w:t xml:space="preserve"> Aristotelian-Thomistic</w:t>
      </w:r>
      <w:r w:rsidRPr="00461D74">
        <w:rPr>
          <w:rFonts w:ascii="Garamond" w:hAnsi="Garamond" w:cstheme="minorHAnsi"/>
          <w:sz w:val="24"/>
          <w:szCs w:val="24"/>
        </w:rPr>
        <w:t xml:space="preserve"> concepts. </w:t>
      </w:r>
      <w:r w:rsidRPr="00461D74">
        <w:rPr>
          <w:rFonts w:ascii="Garamond" w:hAnsi="Garamond" w:cstheme="minorHAnsi"/>
          <w:color w:val="222222"/>
          <w:sz w:val="24"/>
          <w:szCs w:val="24"/>
          <w:shd w:val="clear" w:color="auto" w:fill="FFFFFF"/>
        </w:rPr>
        <w:t xml:space="preserve">Thus, MacIntyre can try to develop a </w:t>
      </w:r>
      <w:r w:rsidR="00454CDB" w:rsidRPr="00461D74">
        <w:rPr>
          <w:rFonts w:ascii="Garamond" w:hAnsi="Garamond" w:cstheme="minorHAnsi"/>
          <w:i/>
          <w:color w:val="222222"/>
          <w:sz w:val="24"/>
          <w:szCs w:val="24"/>
          <w:shd w:val="clear" w:color="auto" w:fill="FFFFFF"/>
        </w:rPr>
        <w:t>via media</w:t>
      </w:r>
      <w:r w:rsidRPr="00461D74">
        <w:rPr>
          <w:rFonts w:ascii="Garamond" w:hAnsi="Garamond" w:cstheme="minorHAnsi"/>
          <w:color w:val="222222"/>
          <w:sz w:val="24"/>
          <w:szCs w:val="24"/>
          <w:shd w:val="clear" w:color="auto" w:fill="FFFFFF"/>
        </w:rPr>
        <w:t xml:space="preserve"> where some form of teleology could be preserved. On this view, he can broadly accept </w:t>
      </w:r>
      <w:r w:rsidR="009D5A58" w:rsidRPr="00461D74">
        <w:rPr>
          <w:rFonts w:ascii="Garamond" w:hAnsi="Garamond" w:cstheme="minorHAnsi"/>
          <w:color w:val="222222"/>
          <w:sz w:val="24"/>
          <w:szCs w:val="24"/>
          <w:shd w:val="clear" w:color="auto" w:fill="FFFFFF"/>
        </w:rPr>
        <w:t>‘</w:t>
      </w:r>
      <w:r w:rsidRPr="00461D74">
        <w:rPr>
          <w:rFonts w:ascii="Garamond" w:hAnsi="Garamond" w:cstheme="minorHAnsi"/>
          <w:color w:val="222222"/>
          <w:sz w:val="24"/>
          <w:szCs w:val="24"/>
          <w:shd w:val="clear" w:color="auto" w:fill="FFFFFF"/>
        </w:rPr>
        <w:t>the story of science</w:t>
      </w:r>
      <w:r w:rsidR="001325CA">
        <w:rPr>
          <w:rFonts w:ascii="Garamond" w:hAnsi="Garamond" w:cstheme="minorHAnsi"/>
          <w:color w:val="222222"/>
          <w:sz w:val="24"/>
          <w:szCs w:val="24"/>
          <w:shd w:val="clear" w:color="auto" w:fill="FFFFFF"/>
        </w:rPr>
        <w:t>,</w:t>
      </w:r>
      <w:r w:rsidR="009D5A58" w:rsidRPr="00461D74">
        <w:rPr>
          <w:rFonts w:ascii="Garamond" w:hAnsi="Garamond" w:cstheme="minorHAnsi"/>
          <w:color w:val="222222"/>
          <w:sz w:val="24"/>
          <w:szCs w:val="24"/>
          <w:shd w:val="clear" w:color="auto" w:fill="FFFFFF"/>
        </w:rPr>
        <w:t>’</w:t>
      </w:r>
      <w:r w:rsidRPr="00461D74">
        <w:rPr>
          <w:rFonts w:ascii="Garamond" w:hAnsi="Garamond" w:cstheme="minorHAnsi"/>
          <w:color w:val="222222"/>
          <w:sz w:val="24"/>
          <w:szCs w:val="24"/>
          <w:shd w:val="clear" w:color="auto" w:fill="FFFFFF"/>
        </w:rPr>
        <w:t xml:space="preserve"> but argue that in the domain of ethics it was possible to safeguard some essential teleological insights of </w:t>
      </w:r>
      <w:r w:rsidR="00806B0F">
        <w:rPr>
          <w:rFonts w:ascii="Garamond" w:hAnsi="Garamond" w:cstheme="minorHAnsi"/>
          <w:color w:val="222222"/>
          <w:sz w:val="24"/>
          <w:szCs w:val="24"/>
          <w:shd w:val="clear" w:color="auto" w:fill="FFFFFF"/>
        </w:rPr>
        <w:t>that tradition</w:t>
      </w:r>
      <w:r w:rsidRPr="00461D74">
        <w:rPr>
          <w:rFonts w:ascii="Garamond" w:hAnsi="Garamond" w:cstheme="minorHAnsi"/>
          <w:color w:val="222222"/>
          <w:sz w:val="24"/>
          <w:szCs w:val="24"/>
          <w:shd w:val="clear" w:color="auto" w:fill="FFFFFF"/>
        </w:rPr>
        <w:t>.</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So does MacIntyre </w:t>
      </w:r>
      <w:r w:rsidR="001325CA">
        <w:rPr>
          <w:rFonts w:ascii="Garamond" w:hAnsi="Garamond" w:cstheme="minorHAnsi"/>
          <w:sz w:val="24"/>
          <w:szCs w:val="24"/>
        </w:rPr>
        <w:t>take</w:t>
      </w:r>
      <w:r w:rsidR="001325CA" w:rsidRPr="00461D74">
        <w:rPr>
          <w:rFonts w:ascii="Garamond" w:hAnsi="Garamond" w:cstheme="minorHAnsi"/>
          <w:sz w:val="24"/>
          <w:szCs w:val="24"/>
        </w:rPr>
        <w:t xml:space="preserve"> </w:t>
      </w:r>
      <w:r w:rsidRPr="00461D74">
        <w:rPr>
          <w:rFonts w:ascii="Garamond" w:hAnsi="Garamond" w:cstheme="minorHAnsi"/>
          <w:sz w:val="24"/>
          <w:szCs w:val="24"/>
        </w:rPr>
        <w:t xml:space="preserve">this challenge </w:t>
      </w:r>
      <w:r w:rsidR="001325CA">
        <w:rPr>
          <w:rFonts w:ascii="Garamond" w:hAnsi="Garamond" w:cstheme="minorHAnsi"/>
          <w:sz w:val="24"/>
          <w:szCs w:val="24"/>
        </w:rPr>
        <w:t>seriously for the sake of advancing a justification for a revival of</w:t>
      </w:r>
      <w:r w:rsidRPr="00461D74">
        <w:rPr>
          <w:rFonts w:ascii="Garamond" w:hAnsi="Garamond" w:cstheme="minorHAnsi"/>
          <w:sz w:val="24"/>
          <w:szCs w:val="24"/>
        </w:rPr>
        <w:t xml:space="preserve"> Aristotelian-Thomistic teleology? I</w:t>
      </w:r>
      <w:r w:rsidR="001325CA">
        <w:rPr>
          <w:rFonts w:ascii="Garamond" w:hAnsi="Garamond" w:cstheme="minorHAnsi"/>
          <w:sz w:val="24"/>
          <w:szCs w:val="24"/>
        </w:rPr>
        <w:t xml:space="preserve"> would</w:t>
      </w:r>
      <w:r w:rsidRPr="00461D74">
        <w:rPr>
          <w:rFonts w:ascii="Garamond" w:hAnsi="Garamond" w:cstheme="minorHAnsi"/>
          <w:sz w:val="24"/>
          <w:szCs w:val="24"/>
        </w:rPr>
        <w:t xml:space="preserve"> like to </w:t>
      </w:r>
      <w:r w:rsidR="001325CA">
        <w:rPr>
          <w:rFonts w:ascii="Garamond" w:hAnsi="Garamond" w:cstheme="minorHAnsi"/>
          <w:sz w:val="24"/>
          <w:szCs w:val="24"/>
        </w:rPr>
        <w:t>argue</w:t>
      </w:r>
      <w:r w:rsidR="001325CA" w:rsidRPr="00461D74">
        <w:rPr>
          <w:rFonts w:ascii="Garamond" w:hAnsi="Garamond" w:cstheme="minorHAnsi"/>
          <w:sz w:val="24"/>
          <w:szCs w:val="24"/>
        </w:rPr>
        <w:t xml:space="preserve"> </w:t>
      </w:r>
      <w:r w:rsidRPr="00461D74">
        <w:rPr>
          <w:rFonts w:ascii="Garamond" w:hAnsi="Garamond" w:cstheme="minorHAnsi"/>
          <w:sz w:val="24"/>
          <w:szCs w:val="24"/>
        </w:rPr>
        <w:t xml:space="preserve">that he </w:t>
      </w:r>
      <w:r w:rsidR="006710B8" w:rsidRPr="00461D74">
        <w:rPr>
          <w:rFonts w:ascii="Garamond" w:hAnsi="Garamond" w:cstheme="minorHAnsi"/>
          <w:sz w:val="24"/>
          <w:szCs w:val="24"/>
        </w:rPr>
        <w:t>does in fact view this as</w:t>
      </w:r>
      <w:r w:rsidRPr="00461D74">
        <w:rPr>
          <w:rFonts w:ascii="Garamond" w:hAnsi="Garamond" w:cstheme="minorHAnsi"/>
          <w:sz w:val="24"/>
          <w:szCs w:val="24"/>
        </w:rPr>
        <w:t xml:space="preserve"> a problem. MacIntyre in </w:t>
      </w:r>
      <w:r w:rsidRPr="00461D74">
        <w:rPr>
          <w:rFonts w:ascii="Garamond" w:hAnsi="Garamond" w:cstheme="minorHAnsi"/>
          <w:i/>
          <w:sz w:val="24"/>
          <w:szCs w:val="24"/>
        </w:rPr>
        <w:t xml:space="preserve">After Virtue </w:t>
      </w:r>
      <w:r w:rsidRPr="00461D74">
        <w:rPr>
          <w:rFonts w:ascii="Garamond" w:hAnsi="Garamond" w:cstheme="minorHAnsi"/>
          <w:sz w:val="24"/>
          <w:szCs w:val="24"/>
        </w:rPr>
        <w:t xml:space="preserve">states that the loss of Aristotle’s teleology is the reason for our current predicament, where ethical debates under liberal conditions are viewed, at least in principle, as interminable. </w:t>
      </w:r>
      <w:r w:rsidR="006710B8" w:rsidRPr="00461D74">
        <w:rPr>
          <w:rFonts w:ascii="Garamond" w:hAnsi="Garamond" w:cstheme="minorHAnsi"/>
          <w:sz w:val="24"/>
          <w:szCs w:val="24"/>
        </w:rPr>
        <w:t>However, i</w:t>
      </w:r>
      <w:r w:rsidRPr="00461D74">
        <w:rPr>
          <w:rFonts w:ascii="Garamond" w:hAnsi="Garamond" w:cstheme="minorHAnsi"/>
          <w:sz w:val="24"/>
          <w:szCs w:val="24"/>
        </w:rPr>
        <w:t xml:space="preserve">n </w:t>
      </w:r>
      <w:r w:rsidRPr="00461D74">
        <w:rPr>
          <w:rFonts w:ascii="Garamond" w:hAnsi="Garamond" w:cstheme="minorHAnsi"/>
          <w:i/>
          <w:sz w:val="24"/>
          <w:szCs w:val="24"/>
        </w:rPr>
        <w:t>After Virtue</w:t>
      </w:r>
      <w:r w:rsidRPr="00461D74">
        <w:rPr>
          <w:rFonts w:ascii="Garamond" w:hAnsi="Garamond" w:cstheme="minorHAnsi"/>
          <w:sz w:val="24"/>
          <w:szCs w:val="24"/>
        </w:rPr>
        <w:t xml:space="preserve">, he doesn’t think we can recover Aristotle’s </w:t>
      </w:r>
      <w:r w:rsidRPr="00461D74">
        <w:rPr>
          <w:rFonts w:ascii="Garamond" w:hAnsi="Garamond" w:cstheme="minorHAnsi"/>
          <w:sz w:val="24"/>
          <w:szCs w:val="24"/>
        </w:rPr>
        <w:lastRenderedPageBreak/>
        <w:t xml:space="preserve">metaphysical biology which underpins </w:t>
      </w:r>
      <w:r w:rsidR="006710B8" w:rsidRPr="00461D74">
        <w:rPr>
          <w:rFonts w:ascii="Garamond" w:hAnsi="Garamond" w:cstheme="minorHAnsi"/>
          <w:sz w:val="24"/>
          <w:szCs w:val="24"/>
        </w:rPr>
        <w:t xml:space="preserve">Aristotle’s </w:t>
      </w:r>
      <w:r w:rsidRPr="00461D74">
        <w:rPr>
          <w:rFonts w:ascii="Garamond" w:hAnsi="Garamond" w:cstheme="minorHAnsi"/>
          <w:sz w:val="24"/>
          <w:szCs w:val="24"/>
        </w:rPr>
        <w:t>teleology</w:t>
      </w:r>
      <w:r w:rsidR="006710B8" w:rsidRPr="00461D74">
        <w:rPr>
          <w:rFonts w:ascii="Garamond" w:hAnsi="Garamond" w:cstheme="minorHAnsi"/>
          <w:sz w:val="24"/>
          <w:szCs w:val="24"/>
        </w:rPr>
        <w:t>;</w:t>
      </w:r>
      <w:r w:rsidRPr="00461D74">
        <w:rPr>
          <w:rFonts w:ascii="Garamond" w:hAnsi="Garamond" w:cstheme="minorHAnsi"/>
          <w:sz w:val="24"/>
          <w:szCs w:val="24"/>
        </w:rPr>
        <w:t xml:space="preserve"> and so he offers a more modern three-fold social teleology. </w:t>
      </w:r>
      <w:r w:rsidR="006710B8" w:rsidRPr="00461D74">
        <w:rPr>
          <w:rFonts w:ascii="Garamond" w:hAnsi="Garamond" w:cstheme="minorHAnsi"/>
          <w:sz w:val="24"/>
          <w:szCs w:val="24"/>
        </w:rPr>
        <w:t xml:space="preserve">Thus </w:t>
      </w:r>
      <w:r w:rsidRPr="00461D74">
        <w:rPr>
          <w:rFonts w:ascii="Garamond" w:hAnsi="Garamond" w:cstheme="minorHAnsi"/>
          <w:sz w:val="24"/>
          <w:szCs w:val="24"/>
        </w:rPr>
        <w:t xml:space="preserve">it seems plausible to suggest that this effort in </w:t>
      </w:r>
      <w:r w:rsidRPr="00461D74">
        <w:rPr>
          <w:rFonts w:ascii="Garamond" w:hAnsi="Garamond" w:cstheme="minorHAnsi"/>
          <w:i/>
          <w:sz w:val="24"/>
          <w:szCs w:val="24"/>
        </w:rPr>
        <w:t>After Virtue</w:t>
      </w:r>
      <w:r w:rsidRPr="00461D74">
        <w:rPr>
          <w:rFonts w:ascii="Garamond" w:hAnsi="Garamond" w:cstheme="minorHAnsi"/>
          <w:sz w:val="24"/>
          <w:szCs w:val="24"/>
        </w:rPr>
        <w:t xml:space="preserve"> is for the </w:t>
      </w:r>
      <w:r w:rsidR="00891008">
        <w:rPr>
          <w:rFonts w:ascii="Garamond" w:hAnsi="Garamond" w:cstheme="minorHAnsi"/>
          <w:sz w:val="24"/>
          <w:szCs w:val="24"/>
        </w:rPr>
        <w:t>sake</w:t>
      </w:r>
      <w:r w:rsidR="00891008" w:rsidRPr="00461D74">
        <w:rPr>
          <w:rFonts w:ascii="Garamond" w:hAnsi="Garamond" w:cstheme="minorHAnsi"/>
          <w:sz w:val="24"/>
          <w:szCs w:val="24"/>
        </w:rPr>
        <w:t xml:space="preserve"> </w:t>
      </w:r>
      <w:r w:rsidRPr="00461D74">
        <w:rPr>
          <w:rFonts w:ascii="Garamond" w:hAnsi="Garamond" w:cstheme="minorHAnsi"/>
          <w:sz w:val="24"/>
          <w:szCs w:val="24"/>
        </w:rPr>
        <w:t xml:space="preserve">of capturing </w:t>
      </w:r>
      <w:r w:rsidR="00891008">
        <w:rPr>
          <w:rFonts w:ascii="Garamond" w:hAnsi="Garamond" w:cstheme="minorHAnsi"/>
          <w:sz w:val="24"/>
          <w:szCs w:val="24"/>
        </w:rPr>
        <w:t>some</w:t>
      </w:r>
      <w:r w:rsidRPr="00461D74">
        <w:rPr>
          <w:rFonts w:ascii="Garamond" w:hAnsi="Garamond" w:cstheme="minorHAnsi"/>
          <w:sz w:val="24"/>
          <w:szCs w:val="24"/>
        </w:rPr>
        <w:t xml:space="preserve"> form of teleology. I</w:t>
      </w:r>
      <w:r w:rsidR="00891008">
        <w:rPr>
          <w:rFonts w:ascii="Garamond" w:hAnsi="Garamond" w:cstheme="minorHAnsi"/>
          <w:sz w:val="24"/>
          <w:szCs w:val="24"/>
        </w:rPr>
        <w:t xml:space="preserve"> also</w:t>
      </w:r>
      <w:r w:rsidRPr="00461D74">
        <w:rPr>
          <w:rFonts w:ascii="Garamond" w:hAnsi="Garamond" w:cstheme="minorHAnsi"/>
          <w:sz w:val="24"/>
          <w:szCs w:val="24"/>
        </w:rPr>
        <w:t xml:space="preserve"> argued earlier that </w:t>
      </w:r>
      <w:r w:rsidR="00891008">
        <w:rPr>
          <w:rFonts w:ascii="Garamond" w:hAnsi="Garamond" w:cstheme="minorHAnsi"/>
          <w:sz w:val="24"/>
          <w:szCs w:val="24"/>
        </w:rPr>
        <w:t>owing to</w:t>
      </w:r>
      <w:r w:rsidRPr="00461D74">
        <w:rPr>
          <w:rFonts w:ascii="Garamond" w:hAnsi="Garamond" w:cstheme="minorHAnsi"/>
          <w:sz w:val="24"/>
          <w:szCs w:val="24"/>
        </w:rPr>
        <w:t xml:space="preserve"> the kinds of paradigmatic challenges posed by Bernstein and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to </w:t>
      </w:r>
      <w:r w:rsidR="00891008">
        <w:rPr>
          <w:rFonts w:ascii="Garamond" w:hAnsi="Garamond" w:cstheme="minorHAnsi"/>
          <w:sz w:val="24"/>
          <w:szCs w:val="24"/>
        </w:rPr>
        <w:t>his</w:t>
      </w:r>
      <w:r w:rsidR="00891008" w:rsidRPr="00461D74">
        <w:rPr>
          <w:rFonts w:ascii="Garamond" w:hAnsi="Garamond" w:cstheme="minorHAnsi"/>
          <w:sz w:val="24"/>
          <w:szCs w:val="24"/>
        </w:rPr>
        <w:t xml:space="preserve"> </w:t>
      </w:r>
      <w:r w:rsidRPr="00461D74">
        <w:rPr>
          <w:rFonts w:ascii="Garamond" w:hAnsi="Garamond" w:cstheme="minorHAnsi"/>
          <w:sz w:val="24"/>
          <w:szCs w:val="24"/>
        </w:rPr>
        <w:t xml:space="preserve">account in </w:t>
      </w:r>
      <w:r w:rsidRPr="00461D74">
        <w:rPr>
          <w:rFonts w:ascii="Garamond" w:hAnsi="Garamond" w:cstheme="minorHAnsi"/>
          <w:i/>
          <w:sz w:val="24"/>
          <w:szCs w:val="24"/>
        </w:rPr>
        <w:t>After Virtue</w:t>
      </w:r>
      <w:r w:rsidRPr="00461D74">
        <w:rPr>
          <w:rFonts w:ascii="Garamond" w:hAnsi="Garamond" w:cstheme="minorHAnsi"/>
          <w:sz w:val="24"/>
          <w:szCs w:val="24"/>
        </w:rPr>
        <w:t xml:space="preserve">, </w:t>
      </w:r>
      <w:r w:rsidR="00891008">
        <w:rPr>
          <w:rFonts w:ascii="Garamond" w:hAnsi="Garamond" w:cstheme="minorHAnsi"/>
          <w:sz w:val="24"/>
          <w:szCs w:val="24"/>
        </w:rPr>
        <w:t>MacIntyre’s</w:t>
      </w:r>
      <w:r w:rsidR="00891008" w:rsidRPr="00461D74">
        <w:rPr>
          <w:rFonts w:ascii="Garamond" w:hAnsi="Garamond" w:cstheme="minorHAnsi"/>
          <w:sz w:val="24"/>
          <w:szCs w:val="24"/>
        </w:rPr>
        <w:t xml:space="preserve"> </w:t>
      </w:r>
      <w:r w:rsidRPr="00461D74">
        <w:rPr>
          <w:rFonts w:ascii="Garamond" w:hAnsi="Garamond" w:cstheme="minorHAnsi"/>
          <w:sz w:val="24"/>
          <w:szCs w:val="24"/>
        </w:rPr>
        <w:t xml:space="preserve">later work can be fruitfully read as </w:t>
      </w:r>
      <w:r w:rsidR="00891008">
        <w:rPr>
          <w:rFonts w:ascii="Garamond" w:hAnsi="Garamond" w:cstheme="minorHAnsi"/>
          <w:sz w:val="24"/>
          <w:szCs w:val="24"/>
        </w:rPr>
        <w:t>him</w:t>
      </w:r>
      <w:r w:rsidR="00891008" w:rsidRPr="00461D74">
        <w:rPr>
          <w:rFonts w:ascii="Garamond" w:hAnsi="Garamond" w:cstheme="minorHAnsi"/>
          <w:sz w:val="24"/>
          <w:szCs w:val="24"/>
        </w:rPr>
        <w:t xml:space="preserve"> </w:t>
      </w:r>
      <w:r w:rsidRPr="00461D74">
        <w:rPr>
          <w:rFonts w:ascii="Garamond" w:hAnsi="Garamond" w:cstheme="minorHAnsi"/>
          <w:sz w:val="24"/>
          <w:szCs w:val="24"/>
        </w:rPr>
        <w:t>having taken up this challenge: namely, as an attempt to defend and revive the Aristotelian-Thomistic tradition and especially its teleology, and hence deflect the kinds of paradigmatic criticisms</w:t>
      </w:r>
      <w:r w:rsidR="00891008">
        <w:rPr>
          <w:rFonts w:ascii="Garamond" w:hAnsi="Garamond" w:cstheme="minorHAnsi"/>
          <w:sz w:val="24"/>
          <w:szCs w:val="24"/>
        </w:rPr>
        <w:t>,</w:t>
      </w:r>
      <w:r w:rsidRPr="00461D74">
        <w:rPr>
          <w:rFonts w:ascii="Garamond" w:hAnsi="Garamond" w:cstheme="minorHAnsi"/>
          <w:sz w:val="24"/>
          <w:szCs w:val="24"/>
        </w:rPr>
        <w:t xml:space="preserve"> raised against his account by Bernstein and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Thus, MacIntyre’s later efforts can be read as an attempt by him at reviving a more substantive account of the good, teleology</w:t>
      </w:r>
      <w:r w:rsidR="00891008">
        <w:rPr>
          <w:rFonts w:ascii="Garamond" w:hAnsi="Garamond" w:cstheme="minorHAnsi"/>
          <w:sz w:val="24"/>
          <w:szCs w:val="24"/>
        </w:rPr>
        <w:t>,</w:t>
      </w:r>
      <w:r w:rsidRPr="00461D74">
        <w:rPr>
          <w:rFonts w:ascii="Garamond" w:hAnsi="Garamond" w:cstheme="minorHAnsi"/>
          <w:sz w:val="24"/>
          <w:szCs w:val="24"/>
        </w:rPr>
        <w:t xml:space="preserve"> and human nature available in the tradition of Aristotelian-Thomism. So does MacIntyre himself engage in this </w:t>
      </w:r>
      <w:r w:rsidR="00891008">
        <w:rPr>
          <w:rFonts w:ascii="Garamond" w:hAnsi="Garamond" w:cstheme="minorHAnsi"/>
          <w:sz w:val="24"/>
          <w:szCs w:val="24"/>
        </w:rPr>
        <w:t>recovery</w:t>
      </w:r>
      <w:r w:rsidRPr="00461D74">
        <w:rPr>
          <w:rFonts w:ascii="Garamond" w:hAnsi="Garamond" w:cstheme="minorHAnsi"/>
          <w:sz w:val="24"/>
          <w:szCs w:val="24"/>
        </w:rPr>
        <w:t>?</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would like to suggest that he does, and </w:t>
      </w:r>
      <w:r w:rsidR="00891008">
        <w:rPr>
          <w:rFonts w:ascii="Garamond" w:hAnsi="Garamond" w:cstheme="minorHAnsi"/>
          <w:sz w:val="24"/>
          <w:szCs w:val="24"/>
        </w:rPr>
        <w:t>I argued in the previous chapter that he begins</w:t>
      </w:r>
      <w:r w:rsidRPr="00461D74">
        <w:rPr>
          <w:rFonts w:ascii="Garamond" w:hAnsi="Garamond" w:cstheme="minorHAnsi"/>
          <w:sz w:val="24"/>
          <w:szCs w:val="24"/>
        </w:rPr>
        <w:t xml:space="preserve"> </w:t>
      </w:r>
      <w:r w:rsidR="00891008">
        <w:rPr>
          <w:rFonts w:ascii="Garamond" w:hAnsi="Garamond" w:cstheme="minorHAnsi"/>
          <w:sz w:val="24"/>
          <w:szCs w:val="24"/>
        </w:rPr>
        <w:t>this work</w:t>
      </w:r>
      <w:r w:rsidRPr="00461D74">
        <w:rPr>
          <w:rFonts w:ascii="Garamond" w:hAnsi="Garamond" w:cstheme="minorHAnsi"/>
          <w:sz w:val="24"/>
          <w:szCs w:val="24"/>
        </w:rPr>
        <w:t xml:space="preserve"> in </w:t>
      </w:r>
      <w:r w:rsidRPr="00461D74">
        <w:rPr>
          <w:rFonts w:ascii="Garamond" w:hAnsi="Garamond" w:cstheme="minorHAnsi"/>
          <w:i/>
          <w:iCs/>
          <w:sz w:val="24"/>
          <w:szCs w:val="24"/>
        </w:rPr>
        <w:t>Whose Justice</w:t>
      </w:r>
      <w:r w:rsidRPr="00461D74">
        <w:rPr>
          <w:rFonts w:ascii="Garamond" w:hAnsi="Garamond" w:cstheme="minorHAnsi"/>
          <w:sz w:val="24"/>
          <w:szCs w:val="24"/>
        </w:rPr>
        <w:t xml:space="preserve">, </w:t>
      </w:r>
      <w:r w:rsidR="00891008">
        <w:rPr>
          <w:rFonts w:ascii="Garamond" w:hAnsi="Garamond" w:cstheme="minorHAnsi"/>
          <w:sz w:val="24"/>
          <w:szCs w:val="24"/>
        </w:rPr>
        <w:t>but</w:t>
      </w:r>
      <w:r w:rsidR="00891008" w:rsidRPr="00461D74">
        <w:rPr>
          <w:rFonts w:ascii="Garamond" w:hAnsi="Garamond" w:cstheme="minorHAnsi"/>
          <w:sz w:val="24"/>
          <w:szCs w:val="24"/>
        </w:rPr>
        <w:t xml:space="preserve"> </w:t>
      </w:r>
      <w:r w:rsidRPr="00461D74">
        <w:rPr>
          <w:rFonts w:ascii="Garamond" w:hAnsi="Garamond" w:cstheme="minorHAnsi"/>
          <w:sz w:val="24"/>
          <w:szCs w:val="24"/>
        </w:rPr>
        <w:t>later</w:t>
      </w:r>
      <w:r w:rsidR="00891008">
        <w:rPr>
          <w:rFonts w:ascii="Garamond" w:hAnsi="Garamond" w:cstheme="minorHAnsi"/>
          <w:sz w:val="24"/>
          <w:szCs w:val="24"/>
        </w:rPr>
        <w:t>, he expands on it</w:t>
      </w:r>
      <w:r w:rsidRPr="00461D74">
        <w:rPr>
          <w:rFonts w:ascii="Garamond" w:hAnsi="Garamond" w:cstheme="minorHAnsi"/>
          <w:sz w:val="24"/>
          <w:szCs w:val="24"/>
        </w:rPr>
        <w:t xml:space="preserve"> in his Aquinas Lecture. </w:t>
      </w:r>
      <w:r w:rsidR="00891008">
        <w:rPr>
          <w:rFonts w:ascii="Garamond" w:hAnsi="Garamond" w:cstheme="minorHAnsi"/>
          <w:sz w:val="24"/>
          <w:szCs w:val="24"/>
        </w:rPr>
        <w:t>Recall that i</w:t>
      </w:r>
      <w:r w:rsidRPr="00461D74">
        <w:rPr>
          <w:rFonts w:ascii="Garamond" w:hAnsi="Garamond" w:cstheme="minorHAnsi"/>
          <w:sz w:val="24"/>
          <w:szCs w:val="24"/>
        </w:rPr>
        <w:t xml:space="preserve">n </w:t>
      </w:r>
      <w:r w:rsidRPr="00461D74">
        <w:rPr>
          <w:rFonts w:ascii="Garamond" w:hAnsi="Garamond" w:cstheme="minorHAnsi"/>
          <w:i/>
          <w:sz w:val="24"/>
          <w:szCs w:val="24"/>
        </w:rPr>
        <w:t>Whose Justice</w:t>
      </w:r>
      <w:r w:rsidR="00891008">
        <w:rPr>
          <w:rFonts w:ascii="Garamond" w:hAnsi="Garamond" w:cstheme="minorHAnsi"/>
          <w:sz w:val="24"/>
          <w:szCs w:val="24"/>
        </w:rPr>
        <w:t xml:space="preserve">, </w:t>
      </w:r>
      <w:r w:rsidRPr="00461D74">
        <w:rPr>
          <w:rFonts w:ascii="Garamond" w:hAnsi="Garamond" w:cstheme="minorHAnsi"/>
          <w:sz w:val="24"/>
          <w:szCs w:val="24"/>
        </w:rPr>
        <w:t xml:space="preserve">MacIntyre expands on </w:t>
      </w:r>
      <w:r w:rsidR="00891008">
        <w:rPr>
          <w:rFonts w:ascii="Garamond" w:hAnsi="Garamond" w:cstheme="minorHAnsi"/>
          <w:sz w:val="24"/>
          <w:szCs w:val="24"/>
        </w:rPr>
        <w:t>the</w:t>
      </w:r>
      <w:r w:rsidR="00891008" w:rsidRPr="00461D74">
        <w:rPr>
          <w:rFonts w:ascii="Garamond" w:hAnsi="Garamond" w:cstheme="minorHAnsi"/>
          <w:sz w:val="24"/>
          <w:szCs w:val="24"/>
        </w:rPr>
        <w:t xml:space="preserve"> </w:t>
      </w:r>
      <w:r w:rsidRPr="00461D74">
        <w:rPr>
          <w:rFonts w:ascii="Garamond" w:hAnsi="Garamond" w:cstheme="minorHAnsi"/>
          <w:sz w:val="24"/>
          <w:szCs w:val="24"/>
        </w:rPr>
        <w:t>historical account of traditions, where traditions are seen to be succeeding each other; each succeeding tradition must defend its various claims dialectically against earlier traditions. During the course of this book MacIntyre then defends Aristotelian-Thomism and argues that it is the best tradition thus far. MacIntyre argue</w:t>
      </w:r>
      <w:r w:rsidR="00891008">
        <w:rPr>
          <w:rFonts w:ascii="Garamond" w:hAnsi="Garamond" w:cstheme="minorHAnsi"/>
          <w:sz w:val="24"/>
          <w:szCs w:val="24"/>
        </w:rPr>
        <w:t>d</w:t>
      </w:r>
      <w:r w:rsidRPr="00461D74">
        <w:rPr>
          <w:rFonts w:ascii="Garamond" w:hAnsi="Garamond" w:cstheme="minorHAnsi"/>
          <w:sz w:val="24"/>
          <w:szCs w:val="24"/>
        </w:rPr>
        <w:t xml:space="preserve"> that </w:t>
      </w:r>
      <w:r w:rsidR="006F1A83" w:rsidRPr="00461D74">
        <w:rPr>
          <w:rFonts w:ascii="Garamond" w:hAnsi="Garamond" w:cstheme="minorHAnsi"/>
          <w:sz w:val="24"/>
          <w:szCs w:val="24"/>
        </w:rPr>
        <w:t xml:space="preserve">not only </w:t>
      </w:r>
      <w:r w:rsidR="00626D35">
        <w:rPr>
          <w:rFonts w:ascii="Garamond" w:hAnsi="Garamond" w:cstheme="minorHAnsi"/>
          <w:sz w:val="24"/>
          <w:szCs w:val="24"/>
        </w:rPr>
        <w:t xml:space="preserve">was </w:t>
      </w:r>
      <w:r w:rsidRPr="00461D74">
        <w:rPr>
          <w:rFonts w:ascii="Garamond" w:hAnsi="Garamond" w:cstheme="minorHAnsi"/>
          <w:sz w:val="24"/>
          <w:szCs w:val="24"/>
        </w:rPr>
        <w:t xml:space="preserve">Aquinas able to imaginatively capture important insights from both the Aristotelian and the Christian tradition (in the form of Augustine), and thereby advance </w:t>
      </w:r>
      <w:r w:rsidR="006F1A83" w:rsidRPr="00461D74">
        <w:rPr>
          <w:rFonts w:ascii="Garamond" w:hAnsi="Garamond" w:cstheme="minorHAnsi"/>
          <w:sz w:val="24"/>
          <w:szCs w:val="24"/>
        </w:rPr>
        <w:t>a</w:t>
      </w:r>
      <w:r w:rsidRPr="00461D74">
        <w:rPr>
          <w:rFonts w:ascii="Garamond" w:hAnsi="Garamond" w:cstheme="minorHAnsi"/>
          <w:sz w:val="24"/>
          <w:szCs w:val="24"/>
        </w:rPr>
        <w:t xml:space="preserve">n ethics that was an improvement over </w:t>
      </w:r>
      <w:r w:rsidR="006F1A83" w:rsidRPr="00461D74">
        <w:rPr>
          <w:rFonts w:ascii="Garamond" w:hAnsi="Garamond" w:cstheme="minorHAnsi"/>
          <w:sz w:val="24"/>
          <w:szCs w:val="24"/>
        </w:rPr>
        <w:t xml:space="preserve">both </w:t>
      </w:r>
      <w:r w:rsidRPr="00461D74">
        <w:rPr>
          <w:rFonts w:ascii="Garamond" w:hAnsi="Garamond" w:cstheme="minorHAnsi"/>
          <w:sz w:val="24"/>
          <w:szCs w:val="24"/>
        </w:rPr>
        <w:t>earlier traditions</w:t>
      </w:r>
      <w:r w:rsidR="006F1A83" w:rsidRPr="00461D74">
        <w:rPr>
          <w:rFonts w:ascii="Garamond" w:hAnsi="Garamond" w:cstheme="minorHAnsi"/>
          <w:sz w:val="24"/>
          <w:szCs w:val="24"/>
        </w:rPr>
        <w:t xml:space="preserve">, </w:t>
      </w:r>
      <w:r w:rsidR="009D5A58" w:rsidRPr="00461D74">
        <w:rPr>
          <w:rFonts w:ascii="Garamond" w:hAnsi="Garamond" w:cstheme="minorHAnsi"/>
          <w:sz w:val="24"/>
          <w:szCs w:val="24"/>
        </w:rPr>
        <w:t xml:space="preserve">but </w:t>
      </w:r>
      <w:r w:rsidR="001470F5">
        <w:rPr>
          <w:rFonts w:ascii="Garamond" w:hAnsi="Garamond" w:cstheme="minorHAnsi"/>
          <w:sz w:val="24"/>
          <w:szCs w:val="24"/>
        </w:rPr>
        <w:t>he also suggests that</w:t>
      </w:r>
      <w:r w:rsidR="001470F5" w:rsidRPr="00461D74">
        <w:rPr>
          <w:rFonts w:ascii="Garamond" w:hAnsi="Garamond" w:cstheme="minorHAnsi"/>
          <w:sz w:val="24"/>
          <w:szCs w:val="24"/>
        </w:rPr>
        <w:t xml:space="preserve"> </w:t>
      </w:r>
      <w:r w:rsidR="003162F9" w:rsidRPr="00461D74">
        <w:rPr>
          <w:rFonts w:ascii="Garamond" w:hAnsi="Garamond" w:cstheme="minorHAnsi"/>
          <w:sz w:val="24"/>
          <w:szCs w:val="24"/>
        </w:rPr>
        <w:t xml:space="preserve">the </w:t>
      </w:r>
      <w:r w:rsidRPr="00461D74">
        <w:rPr>
          <w:rFonts w:ascii="Garamond" w:hAnsi="Garamond" w:cstheme="minorHAnsi"/>
          <w:sz w:val="24"/>
          <w:szCs w:val="24"/>
        </w:rPr>
        <w:t>Thomis</w:t>
      </w:r>
      <w:r w:rsidR="003162F9" w:rsidRPr="00461D74">
        <w:rPr>
          <w:rFonts w:ascii="Garamond" w:hAnsi="Garamond" w:cstheme="minorHAnsi"/>
          <w:sz w:val="24"/>
          <w:szCs w:val="24"/>
        </w:rPr>
        <w:t xml:space="preserve">tic tradition </w:t>
      </w:r>
      <w:r w:rsidRPr="00461D74">
        <w:rPr>
          <w:rFonts w:ascii="Garamond" w:hAnsi="Garamond" w:cstheme="minorHAnsi"/>
          <w:sz w:val="24"/>
          <w:szCs w:val="24"/>
        </w:rPr>
        <w:t>hasn’t been refuted dialectically</w:t>
      </w:r>
      <w:r w:rsidR="003162F9" w:rsidRPr="00461D74">
        <w:rPr>
          <w:rFonts w:ascii="Garamond" w:hAnsi="Garamond" w:cstheme="minorHAnsi"/>
          <w:sz w:val="24"/>
          <w:szCs w:val="24"/>
        </w:rPr>
        <w:t xml:space="preserve"> </w:t>
      </w:r>
      <w:r w:rsidR="006F1A83" w:rsidRPr="00461D74">
        <w:rPr>
          <w:rFonts w:ascii="Garamond" w:hAnsi="Garamond" w:cstheme="minorHAnsi"/>
          <w:sz w:val="24"/>
          <w:szCs w:val="24"/>
        </w:rPr>
        <w:t xml:space="preserve">by any of </w:t>
      </w:r>
      <w:r w:rsidR="003162F9" w:rsidRPr="00461D74">
        <w:rPr>
          <w:rFonts w:ascii="Garamond" w:hAnsi="Garamond" w:cstheme="minorHAnsi"/>
          <w:sz w:val="24"/>
          <w:szCs w:val="24"/>
        </w:rPr>
        <w:t xml:space="preserve">those later traditions; </w:t>
      </w:r>
      <w:r w:rsidR="008B2AD3" w:rsidRPr="00461D74">
        <w:rPr>
          <w:rFonts w:ascii="Garamond" w:hAnsi="Garamond" w:cstheme="minorHAnsi"/>
          <w:sz w:val="24"/>
          <w:szCs w:val="24"/>
        </w:rPr>
        <w:t xml:space="preserve">and this is </w:t>
      </w:r>
      <w:r w:rsidR="001470F5">
        <w:rPr>
          <w:rFonts w:ascii="Garamond" w:hAnsi="Garamond" w:cstheme="minorHAnsi"/>
          <w:sz w:val="24"/>
          <w:szCs w:val="24"/>
        </w:rPr>
        <w:t>the correct</w:t>
      </w:r>
      <w:r w:rsidR="001470F5" w:rsidRPr="00461D74">
        <w:rPr>
          <w:rFonts w:ascii="Garamond" w:hAnsi="Garamond" w:cstheme="minorHAnsi"/>
          <w:sz w:val="24"/>
          <w:szCs w:val="24"/>
        </w:rPr>
        <w:t xml:space="preserve"> </w:t>
      </w:r>
      <w:r w:rsidR="001470F5">
        <w:rPr>
          <w:rFonts w:ascii="Garamond" w:hAnsi="Garamond" w:cstheme="minorHAnsi"/>
          <w:sz w:val="24"/>
          <w:szCs w:val="24"/>
        </w:rPr>
        <w:t>model</w:t>
      </w:r>
      <w:r w:rsidR="001470F5" w:rsidRPr="00461D74">
        <w:rPr>
          <w:rFonts w:ascii="Garamond" w:hAnsi="Garamond" w:cstheme="minorHAnsi"/>
          <w:sz w:val="24"/>
          <w:szCs w:val="24"/>
        </w:rPr>
        <w:t xml:space="preserve"> </w:t>
      </w:r>
      <w:r w:rsidR="001470F5">
        <w:rPr>
          <w:rFonts w:ascii="Garamond" w:hAnsi="Garamond" w:cstheme="minorHAnsi"/>
          <w:sz w:val="24"/>
          <w:szCs w:val="24"/>
        </w:rPr>
        <w:t>for</w:t>
      </w:r>
      <w:r w:rsidR="001470F5" w:rsidRPr="00461D74">
        <w:rPr>
          <w:rFonts w:ascii="Garamond" w:hAnsi="Garamond" w:cstheme="minorHAnsi"/>
          <w:sz w:val="24"/>
          <w:szCs w:val="24"/>
        </w:rPr>
        <w:t xml:space="preserve"> </w:t>
      </w:r>
      <w:r w:rsidR="003162F9" w:rsidRPr="00461D74">
        <w:rPr>
          <w:rFonts w:ascii="Garamond" w:hAnsi="Garamond" w:cstheme="minorHAnsi"/>
          <w:sz w:val="24"/>
          <w:szCs w:val="24"/>
        </w:rPr>
        <w:t>evaluat</w:t>
      </w:r>
      <w:r w:rsidR="008B2AD3" w:rsidRPr="00461D74">
        <w:rPr>
          <w:rFonts w:ascii="Garamond" w:hAnsi="Garamond" w:cstheme="minorHAnsi"/>
          <w:sz w:val="24"/>
          <w:szCs w:val="24"/>
        </w:rPr>
        <w:t xml:space="preserve">ing </w:t>
      </w:r>
      <w:r w:rsidRPr="00461D74">
        <w:rPr>
          <w:rFonts w:ascii="Garamond" w:hAnsi="Garamond" w:cstheme="minorHAnsi"/>
          <w:sz w:val="24"/>
          <w:szCs w:val="24"/>
        </w:rPr>
        <w:t>the claims of later traditions</w:t>
      </w:r>
      <w:r w:rsidR="008B2AD3" w:rsidRPr="00461D74">
        <w:rPr>
          <w:rFonts w:ascii="Garamond" w:hAnsi="Garamond" w:cstheme="minorHAnsi"/>
          <w:sz w:val="24"/>
          <w:szCs w:val="24"/>
        </w:rPr>
        <w:t>,</w:t>
      </w:r>
      <w:r w:rsidRPr="00461D74">
        <w:rPr>
          <w:rFonts w:ascii="Garamond" w:hAnsi="Garamond" w:cstheme="minorHAnsi"/>
          <w:sz w:val="24"/>
          <w:szCs w:val="24"/>
        </w:rPr>
        <w:t xml:space="preserve"> against earlier</w:t>
      </w:r>
      <w:r w:rsidR="008B2AD3" w:rsidRPr="00461D74">
        <w:rPr>
          <w:rFonts w:ascii="Garamond" w:hAnsi="Garamond" w:cstheme="minorHAnsi"/>
          <w:sz w:val="24"/>
          <w:szCs w:val="24"/>
        </w:rPr>
        <w:t xml:space="preserve"> iterations.</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Therefore, at first blush, we might suppose that we ought to defend Thomistic ethics by employing dialectical reasoning</w:t>
      </w:r>
      <w:r w:rsidR="001470F5">
        <w:rPr>
          <w:rFonts w:ascii="Garamond" w:hAnsi="Garamond" w:cstheme="minorHAnsi"/>
          <w:sz w:val="24"/>
          <w:szCs w:val="24"/>
        </w:rPr>
        <w:t xml:space="preserve">. </w:t>
      </w:r>
      <w:r w:rsidR="00C411DE">
        <w:rPr>
          <w:rFonts w:ascii="Garamond" w:hAnsi="Garamond" w:cstheme="minorHAnsi"/>
          <w:sz w:val="24"/>
          <w:szCs w:val="24"/>
        </w:rPr>
        <w:t>We</w:t>
      </w:r>
      <w:r w:rsidRPr="00461D74">
        <w:rPr>
          <w:rFonts w:ascii="Garamond" w:hAnsi="Garamond" w:cstheme="minorHAnsi"/>
          <w:sz w:val="24"/>
          <w:szCs w:val="24"/>
        </w:rPr>
        <w:t xml:space="preserve"> </w:t>
      </w:r>
      <w:r w:rsidR="001470F5">
        <w:rPr>
          <w:rFonts w:ascii="Garamond" w:hAnsi="Garamond" w:cstheme="minorHAnsi"/>
          <w:sz w:val="24"/>
          <w:szCs w:val="24"/>
        </w:rPr>
        <w:t xml:space="preserve">might </w:t>
      </w:r>
      <w:r w:rsidR="00C411DE">
        <w:rPr>
          <w:rFonts w:ascii="Garamond" w:hAnsi="Garamond" w:cstheme="minorHAnsi"/>
          <w:sz w:val="24"/>
          <w:szCs w:val="24"/>
        </w:rPr>
        <w:t xml:space="preserve">then </w:t>
      </w:r>
      <w:r w:rsidRPr="00461D74">
        <w:rPr>
          <w:rFonts w:ascii="Garamond" w:hAnsi="Garamond" w:cstheme="minorHAnsi"/>
          <w:sz w:val="24"/>
          <w:szCs w:val="24"/>
        </w:rPr>
        <w:t xml:space="preserve">be </w:t>
      </w:r>
      <w:r w:rsidR="001470F5">
        <w:rPr>
          <w:rFonts w:ascii="Garamond" w:hAnsi="Garamond" w:cstheme="minorHAnsi"/>
          <w:sz w:val="24"/>
          <w:szCs w:val="24"/>
        </w:rPr>
        <w:t>puzzled</w:t>
      </w:r>
      <w:r w:rsidR="001470F5" w:rsidRPr="00461D74">
        <w:rPr>
          <w:rFonts w:ascii="Garamond" w:hAnsi="Garamond" w:cstheme="minorHAnsi"/>
          <w:sz w:val="24"/>
          <w:szCs w:val="24"/>
        </w:rPr>
        <w:t xml:space="preserve"> </w:t>
      </w:r>
      <w:r w:rsidRPr="00461D74">
        <w:rPr>
          <w:rFonts w:ascii="Garamond" w:hAnsi="Garamond" w:cstheme="minorHAnsi"/>
          <w:sz w:val="24"/>
          <w:szCs w:val="24"/>
        </w:rPr>
        <w:t>when MacIntyre in his Aquinas Lecture MacIntyre states that</w:t>
      </w:r>
    </w:p>
    <w:p w:rsidR="00016049" w:rsidRPr="00461D74" w:rsidRDefault="00016049" w:rsidP="00164E4D">
      <w:pPr>
        <w:adjustRightInd w:val="0"/>
        <w:spacing w:after="200" w:line="360" w:lineRule="auto"/>
        <w:ind w:left="1440"/>
        <w:jc w:val="both"/>
        <w:rPr>
          <w:rFonts w:ascii="Garamond" w:hAnsi="Garamond" w:cstheme="minorHAnsi"/>
        </w:rPr>
      </w:pPr>
      <w:r w:rsidRPr="00461D74">
        <w:rPr>
          <w:rFonts w:ascii="Garamond" w:hAnsi="Garamond" w:cstheme="minorHAnsi"/>
        </w:rPr>
        <w:t xml:space="preserve">“We are debarred, that is to say, from following Aristotle and Aquinas in employing any of those dialectical strategies which rely upon some appeal to what all the contending parties in a dispute have not yet put in question. How then are we to proceed? It is at this point that we have to resort to </w:t>
      </w:r>
      <w:proofErr w:type="spellStart"/>
      <w:r w:rsidRPr="00461D74">
        <w:rPr>
          <w:rFonts w:ascii="Garamond" w:hAnsi="Garamond" w:cstheme="minorHAnsi"/>
        </w:rPr>
        <w:t>unThomistic</w:t>
      </w:r>
      <w:proofErr w:type="spellEnd"/>
      <w:r w:rsidRPr="00461D74">
        <w:rPr>
          <w:rFonts w:ascii="Garamond" w:hAnsi="Garamond" w:cstheme="minorHAnsi"/>
        </w:rPr>
        <w:t xml:space="preserve"> means, in order to achieve Thomistic ends. What means are these?”</w:t>
      </w:r>
      <w:r w:rsidRPr="00461D74">
        <w:rPr>
          <w:rStyle w:val="FootnoteReference"/>
          <w:rFonts w:ascii="Garamond" w:hAnsi="Garamond" w:cstheme="minorHAnsi"/>
        </w:rPr>
        <w:footnoteReference w:id="177"/>
      </w:r>
    </w:p>
    <w:p w:rsidR="00016049" w:rsidRPr="00461D74" w:rsidRDefault="00016049" w:rsidP="00164E4D">
      <w:pPr>
        <w:adjustRightInd w:val="0"/>
        <w:spacing w:after="200" w:line="360" w:lineRule="auto"/>
        <w:jc w:val="both"/>
        <w:rPr>
          <w:rFonts w:ascii="Garamond" w:hAnsi="Garamond" w:cstheme="minorHAnsi"/>
          <w:sz w:val="24"/>
          <w:szCs w:val="24"/>
        </w:rPr>
      </w:pPr>
      <w:r w:rsidRPr="00461D74">
        <w:rPr>
          <w:rFonts w:ascii="Garamond" w:hAnsi="Garamond" w:cstheme="minorHAnsi"/>
          <w:sz w:val="24"/>
          <w:szCs w:val="24"/>
        </w:rPr>
        <w:t>MacIntyre goes on to say:</w:t>
      </w:r>
    </w:p>
    <w:p w:rsidR="00E560D0" w:rsidRPr="00461D74" w:rsidRDefault="00016049" w:rsidP="00164E4D">
      <w:pPr>
        <w:adjustRightInd w:val="0"/>
        <w:spacing w:after="200" w:line="360" w:lineRule="auto"/>
        <w:ind w:left="1440"/>
        <w:jc w:val="both"/>
        <w:rPr>
          <w:rFonts w:ascii="Garamond" w:hAnsi="Garamond" w:cstheme="minorHAnsi"/>
          <w:sz w:val="24"/>
          <w:szCs w:val="24"/>
        </w:rPr>
      </w:pPr>
      <w:r w:rsidRPr="00461D74">
        <w:rPr>
          <w:rFonts w:ascii="Garamond" w:hAnsi="Garamond" w:cstheme="minorHAnsi"/>
        </w:rPr>
        <w:t>“The provision of such a theory requires the construction of something akin to what Nietzsche called genealogy. The genealogical narrative has the function of not arguing with, but of disclosing something about the beliefs, presuppositions and activities of some class of persons. Characteristically it explains how they have come to be in some impasse and why they cannot recognize or diagnose adequately out of their own conceptual and argumentative resources the nature of their predicament. It provides a subversive history.”</w:t>
      </w:r>
      <w:r w:rsidRPr="00461D74">
        <w:rPr>
          <w:rStyle w:val="FootnoteReference"/>
          <w:rFonts w:ascii="Garamond" w:hAnsi="Garamond" w:cstheme="minorHAnsi"/>
        </w:rPr>
        <w:footnoteReference w:id="178"/>
      </w:r>
    </w:p>
    <w:p w:rsidR="00016049" w:rsidRDefault="001470F5" w:rsidP="00164E4D">
      <w:pPr>
        <w:spacing w:after="200" w:line="360" w:lineRule="auto"/>
        <w:jc w:val="both"/>
        <w:rPr>
          <w:rFonts w:ascii="Garamond" w:hAnsi="Garamond" w:cstheme="minorHAnsi"/>
          <w:sz w:val="24"/>
          <w:szCs w:val="24"/>
        </w:rPr>
      </w:pPr>
      <w:r>
        <w:rPr>
          <w:rFonts w:ascii="Garamond" w:hAnsi="Garamond" w:cstheme="minorHAnsi"/>
          <w:sz w:val="24"/>
          <w:szCs w:val="24"/>
        </w:rPr>
        <w:t>But</w:t>
      </w:r>
      <w:r w:rsidR="00016049" w:rsidRPr="00461D74">
        <w:rPr>
          <w:rFonts w:ascii="Garamond" w:hAnsi="Garamond" w:cstheme="minorHAnsi"/>
          <w:sz w:val="24"/>
          <w:szCs w:val="24"/>
        </w:rPr>
        <w:t xml:space="preserve">, given MacIntyre’s fondness for historically informed forms of arguments, we shouldn’t express too much surprise when MacIntyre offers up Nietzschean genealogy as a method to defend Aristotelian-Thomism, and </w:t>
      </w:r>
      <w:r w:rsidR="00626D35">
        <w:rPr>
          <w:rFonts w:ascii="Garamond" w:hAnsi="Garamond" w:cstheme="minorHAnsi"/>
          <w:sz w:val="24"/>
          <w:szCs w:val="24"/>
        </w:rPr>
        <w:t>reveal</w:t>
      </w:r>
      <w:r w:rsidR="00016049" w:rsidRPr="00461D74">
        <w:rPr>
          <w:rFonts w:ascii="Garamond" w:hAnsi="Garamond" w:cstheme="minorHAnsi"/>
          <w:sz w:val="24"/>
          <w:szCs w:val="24"/>
        </w:rPr>
        <w:t xml:space="preserve"> how Aristotelian-Thomism, and specifically the functional account of human nature and the teleological conception of human ends, were displaced by the forces of social and intellectual history.</w:t>
      </w:r>
    </w:p>
    <w:p w:rsidR="00016049" w:rsidRPr="00461D74" w:rsidRDefault="006A1944" w:rsidP="006A1944">
      <w:pPr>
        <w:spacing w:after="200" w:line="360" w:lineRule="auto"/>
        <w:ind w:left="1440"/>
        <w:jc w:val="both"/>
        <w:rPr>
          <w:rFonts w:ascii="Garamond" w:hAnsi="Garamond" w:cstheme="minorHAnsi"/>
        </w:rPr>
      </w:pPr>
      <w:r w:rsidRPr="006A1944">
        <w:rPr>
          <w:rFonts w:ascii="Garamond" w:hAnsi="Garamond" w:cstheme="minorHAnsi"/>
        </w:rPr>
        <w:lastRenderedPageBreak/>
        <w:t>“</w:t>
      </w:r>
      <w:r w:rsidRPr="006A1944">
        <w:rPr>
          <w:rFonts w:ascii="Garamond" w:hAnsi="Garamond" w:cs="Times New Roman"/>
        </w:rPr>
        <w:t xml:space="preserve">What I am going to suggest is that the predicaments of contemporary philosophy, whether analytic or deconstructive, are best understood as arising as a long-term consequence of the </w:t>
      </w:r>
      <w:r w:rsidRPr="006A1944">
        <w:rPr>
          <w:rFonts w:ascii="Garamond" w:hAnsi="Garamond" w:cs="Times New Roman"/>
          <w:i/>
        </w:rPr>
        <w:t>rejection of Aristotelian and Thomistic teleology at the threshold of the modern world</w:t>
      </w:r>
      <w:r w:rsidRPr="006A1944">
        <w:rPr>
          <w:rFonts w:ascii="Garamond" w:hAnsi="Garamond" w:cs="Times New Roman"/>
        </w:rPr>
        <w:t xml:space="preserve"> [emphasis mine].”</w:t>
      </w:r>
      <w:r>
        <w:rPr>
          <w:rStyle w:val="FootnoteReference"/>
          <w:rFonts w:ascii="Garamond" w:hAnsi="Garamond" w:cs="Times New Roman"/>
        </w:rPr>
        <w:footnoteReference w:id="179"/>
      </w:r>
      <w:r>
        <w:rPr>
          <w:rFonts w:ascii="Garamond" w:hAnsi="Garamond" w:cs="Times New Roman"/>
        </w:rPr>
        <w:t xml:space="preserve"> And “</w:t>
      </w:r>
      <w:r w:rsidR="00016049" w:rsidRPr="00461D74">
        <w:rPr>
          <w:rFonts w:ascii="Garamond" w:hAnsi="Garamond" w:cstheme="minorHAnsi"/>
        </w:rPr>
        <w:t>that certain strands in the history of philosophy are best</w:t>
      </w:r>
      <w:r>
        <w:rPr>
          <w:rFonts w:ascii="Garamond" w:hAnsi="Garamond" w:cstheme="minorHAnsi"/>
        </w:rPr>
        <w:t xml:space="preserve"> to be </w:t>
      </w:r>
      <w:r w:rsidR="00016049" w:rsidRPr="00461D74">
        <w:rPr>
          <w:rFonts w:ascii="Garamond" w:hAnsi="Garamond" w:cstheme="minorHAnsi"/>
        </w:rPr>
        <w:t>understood as consequences of the rejection of any Aristotelian and Thomistic conceptions of enquiry.”</w:t>
      </w:r>
      <w:r w:rsidR="00016049" w:rsidRPr="00461D74">
        <w:rPr>
          <w:rStyle w:val="FootnoteReference"/>
          <w:rFonts w:ascii="Garamond" w:hAnsi="Garamond" w:cstheme="minorHAnsi"/>
        </w:rPr>
        <w:footnoteReference w:id="180"/>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It then seems plausible that MacIntyre wants to demonstrate that the fragmentation in moral philosophy – which on MacIntyre’s view, is something that ethic</w:t>
      </w:r>
      <w:r w:rsidR="001470F5">
        <w:rPr>
          <w:rFonts w:ascii="Garamond" w:hAnsi="Garamond" w:cstheme="minorHAnsi"/>
          <w:sz w:val="24"/>
          <w:szCs w:val="24"/>
        </w:rPr>
        <w:t>al debate</w:t>
      </w:r>
      <w:r w:rsidRPr="00461D74">
        <w:rPr>
          <w:rFonts w:ascii="Garamond" w:hAnsi="Garamond" w:cstheme="minorHAnsi"/>
          <w:sz w:val="24"/>
          <w:szCs w:val="24"/>
        </w:rPr>
        <w:t xml:space="preserve">s suffer from in </w:t>
      </w:r>
      <w:r w:rsidR="001470F5">
        <w:rPr>
          <w:rFonts w:ascii="Garamond" w:hAnsi="Garamond" w:cstheme="minorHAnsi"/>
          <w:sz w:val="24"/>
          <w:szCs w:val="24"/>
        </w:rPr>
        <w:t>our contemporary</w:t>
      </w:r>
      <w:r w:rsidR="001470F5" w:rsidRPr="00461D74">
        <w:rPr>
          <w:rFonts w:ascii="Garamond" w:hAnsi="Garamond" w:cstheme="minorHAnsi"/>
          <w:sz w:val="24"/>
          <w:szCs w:val="24"/>
        </w:rPr>
        <w:t xml:space="preserve"> </w:t>
      </w:r>
      <w:r w:rsidRPr="00461D74">
        <w:rPr>
          <w:rFonts w:ascii="Garamond" w:hAnsi="Garamond" w:cstheme="minorHAnsi"/>
          <w:sz w:val="24"/>
          <w:szCs w:val="24"/>
        </w:rPr>
        <w:t>context – owes its genesis to the rejection of the Aristotelian-Thomist tradition</w:t>
      </w:r>
      <w:r w:rsidR="00551FAB">
        <w:rPr>
          <w:rFonts w:ascii="Garamond" w:hAnsi="Garamond" w:cstheme="minorHAnsi"/>
          <w:sz w:val="24"/>
          <w:szCs w:val="24"/>
        </w:rPr>
        <w:t xml:space="preserve"> in the early modern period</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81"/>
      </w:r>
      <w:r w:rsidRPr="00461D74">
        <w:rPr>
          <w:rFonts w:ascii="Garamond" w:hAnsi="Garamond" w:cstheme="minorHAnsi"/>
          <w:sz w:val="24"/>
          <w:szCs w:val="24"/>
        </w:rPr>
        <w:t xml:space="preserve"> Thus MacIntyre’s main line of argument in the last section of his Aquinas Lecture can be broadly construed as defending a version of the Aristotelian-Thomist metaphysics, but </w:t>
      </w:r>
      <w:r w:rsidR="001470F5">
        <w:rPr>
          <w:rFonts w:ascii="Garamond" w:hAnsi="Garamond" w:cstheme="minorHAnsi"/>
          <w:sz w:val="24"/>
          <w:szCs w:val="24"/>
        </w:rPr>
        <w:t>he also wants to make the case that</w:t>
      </w:r>
      <w:r w:rsidRPr="00461D74">
        <w:rPr>
          <w:rFonts w:ascii="Garamond" w:hAnsi="Garamond" w:cstheme="minorHAnsi"/>
          <w:sz w:val="24"/>
          <w:szCs w:val="24"/>
        </w:rPr>
        <w:t xml:space="preserve"> the teleological insights of </w:t>
      </w:r>
      <w:r w:rsidR="001470F5">
        <w:rPr>
          <w:rFonts w:ascii="Garamond" w:hAnsi="Garamond" w:cstheme="minorHAnsi"/>
          <w:sz w:val="24"/>
          <w:szCs w:val="24"/>
        </w:rPr>
        <w:t>the Aristotelian-Thomistic</w:t>
      </w:r>
      <w:r w:rsidR="001470F5" w:rsidRPr="00461D74">
        <w:rPr>
          <w:rFonts w:ascii="Garamond" w:hAnsi="Garamond" w:cstheme="minorHAnsi"/>
          <w:sz w:val="24"/>
          <w:szCs w:val="24"/>
        </w:rPr>
        <w:t xml:space="preserve"> </w:t>
      </w:r>
      <w:r w:rsidRPr="00461D74">
        <w:rPr>
          <w:rFonts w:ascii="Garamond" w:hAnsi="Garamond" w:cstheme="minorHAnsi"/>
          <w:sz w:val="24"/>
          <w:szCs w:val="24"/>
        </w:rPr>
        <w:t xml:space="preserve">tradition are </w:t>
      </w:r>
      <w:r w:rsidR="001470F5">
        <w:rPr>
          <w:rFonts w:ascii="Garamond" w:hAnsi="Garamond" w:cstheme="minorHAnsi"/>
          <w:sz w:val="24"/>
          <w:szCs w:val="24"/>
        </w:rPr>
        <w:t>very much</w:t>
      </w:r>
      <w:r w:rsidR="001470F5" w:rsidRPr="00461D74">
        <w:rPr>
          <w:rFonts w:ascii="Garamond" w:hAnsi="Garamond" w:cstheme="minorHAnsi"/>
          <w:sz w:val="24"/>
          <w:szCs w:val="24"/>
        </w:rPr>
        <w:t xml:space="preserve"> </w:t>
      </w:r>
      <w:r w:rsidRPr="00461D74">
        <w:rPr>
          <w:rFonts w:ascii="Garamond" w:hAnsi="Garamond" w:cstheme="minorHAnsi"/>
          <w:sz w:val="24"/>
          <w:szCs w:val="24"/>
        </w:rPr>
        <w:t>essential to advancing a coherent ethics that can get us out of the quagmire of interminability and fragmentation in moral debates.</w:t>
      </w:r>
      <w:r w:rsidRPr="00461D74">
        <w:rPr>
          <w:rStyle w:val="FootnoteReference"/>
          <w:rFonts w:ascii="Garamond" w:hAnsi="Garamond" w:cstheme="minorHAnsi"/>
          <w:sz w:val="24"/>
          <w:szCs w:val="24"/>
        </w:rPr>
        <w:footnoteReference w:id="182"/>
      </w:r>
    </w:p>
    <w:p w:rsidR="00016049" w:rsidRPr="00461D74" w:rsidRDefault="00A90594"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P</w:t>
      </w:r>
      <w:r w:rsidR="00016049" w:rsidRPr="00461D74">
        <w:rPr>
          <w:rFonts w:ascii="Garamond" w:hAnsi="Garamond" w:cstheme="minorHAnsi"/>
          <w:sz w:val="24"/>
          <w:szCs w:val="24"/>
        </w:rPr>
        <w:t xml:space="preserve">erhaps </w:t>
      </w:r>
      <w:r w:rsidRPr="00461D74">
        <w:rPr>
          <w:rFonts w:ascii="Garamond" w:hAnsi="Garamond" w:cstheme="minorHAnsi"/>
          <w:sz w:val="24"/>
          <w:szCs w:val="24"/>
        </w:rPr>
        <w:t xml:space="preserve">then </w:t>
      </w:r>
      <w:r w:rsidR="00016049" w:rsidRPr="00461D74">
        <w:rPr>
          <w:rFonts w:ascii="Garamond" w:hAnsi="Garamond" w:cstheme="minorHAnsi"/>
          <w:sz w:val="24"/>
          <w:szCs w:val="24"/>
        </w:rPr>
        <w:t xml:space="preserve">there is a way that we can defend the value of Thomism as </w:t>
      </w:r>
      <w:r w:rsidR="00D32CCC">
        <w:rPr>
          <w:rFonts w:ascii="Garamond" w:hAnsi="Garamond" w:cstheme="minorHAnsi"/>
          <w:sz w:val="24"/>
          <w:szCs w:val="24"/>
        </w:rPr>
        <w:t>the best</w:t>
      </w:r>
      <w:r w:rsidR="00D32CC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tradition by elucidating the ways in which </w:t>
      </w:r>
      <w:r w:rsidR="00016049" w:rsidRPr="00461D74">
        <w:rPr>
          <w:rFonts w:ascii="Garamond" w:hAnsi="Garamond" w:cstheme="minorHAnsi"/>
          <w:i/>
          <w:iCs/>
          <w:sz w:val="24"/>
          <w:szCs w:val="24"/>
        </w:rPr>
        <w:t>that tradition</w:t>
      </w:r>
      <w:r w:rsidR="00016049" w:rsidRPr="00461D74">
        <w:rPr>
          <w:rFonts w:ascii="Garamond" w:hAnsi="Garamond" w:cstheme="minorHAnsi"/>
          <w:sz w:val="24"/>
          <w:szCs w:val="24"/>
        </w:rPr>
        <w:t xml:space="preserve"> was marginalized, and demonstrating </w:t>
      </w:r>
      <w:r w:rsidR="005911D5">
        <w:rPr>
          <w:rFonts w:ascii="Garamond" w:hAnsi="Garamond" w:cstheme="minorHAnsi"/>
          <w:sz w:val="24"/>
          <w:szCs w:val="24"/>
        </w:rPr>
        <w:t xml:space="preserve">that </w:t>
      </w:r>
      <w:r w:rsidR="00016049" w:rsidRPr="00461D74">
        <w:rPr>
          <w:rFonts w:ascii="Garamond" w:hAnsi="Garamond" w:cstheme="minorHAnsi"/>
          <w:sz w:val="24"/>
          <w:szCs w:val="24"/>
        </w:rPr>
        <w:t xml:space="preserve">the </w:t>
      </w:r>
      <w:r w:rsidR="00D32CCC">
        <w:rPr>
          <w:rFonts w:ascii="Garamond" w:hAnsi="Garamond" w:cstheme="minorHAnsi"/>
          <w:sz w:val="24"/>
          <w:szCs w:val="24"/>
        </w:rPr>
        <w:t xml:space="preserve">source of its </w:t>
      </w:r>
      <w:r w:rsidR="00626D35">
        <w:rPr>
          <w:rFonts w:ascii="Garamond" w:hAnsi="Garamond" w:cstheme="minorHAnsi"/>
          <w:sz w:val="24"/>
          <w:szCs w:val="24"/>
        </w:rPr>
        <w:t>misguided rejection</w:t>
      </w:r>
      <w:r w:rsidR="00016049" w:rsidRPr="00461D74">
        <w:rPr>
          <w:rFonts w:ascii="Garamond" w:hAnsi="Garamond" w:cstheme="minorHAnsi"/>
          <w:sz w:val="24"/>
          <w:szCs w:val="24"/>
        </w:rPr>
        <w:t xml:space="preserve"> </w:t>
      </w:r>
      <w:r w:rsidR="00D32CCC">
        <w:rPr>
          <w:rFonts w:ascii="Garamond" w:hAnsi="Garamond" w:cstheme="minorHAnsi"/>
          <w:sz w:val="24"/>
          <w:szCs w:val="24"/>
        </w:rPr>
        <w:t xml:space="preserve">originates in </w:t>
      </w:r>
      <w:r w:rsidR="00016049" w:rsidRPr="00461D74">
        <w:rPr>
          <w:rFonts w:ascii="Garamond" w:hAnsi="Garamond" w:cstheme="minorHAnsi"/>
          <w:sz w:val="24"/>
          <w:szCs w:val="24"/>
        </w:rPr>
        <w:t xml:space="preserve">a series of avoidable mistakes on the part of our </w:t>
      </w:r>
      <w:r w:rsidR="00D32CCC">
        <w:rPr>
          <w:rFonts w:ascii="Garamond" w:hAnsi="Garamond" w:cstheme="minorHAnsi"/>
          <w:sz w:val="24"/>
          <w:szCs w:val="24"/>
        </w:rPr>
        <w:t xml:space="preserve">intellectual </w:t>
      </w:r>
      <w:r w:rsidR="00016049" w:rsidRPr="00461D74">
        <w:rPr>
          <w:rFonts w:ascii="Garamond" w:hAnsi="Garamond" w:cstheme="minorHAnsi"/>
          <w:sz w:val="24"/>
          <w:szCs w:val="24"/>
        </w:rPr>
        <w:t xml:space="preserve">predecessors. In accomplishing this task, MacIntyre can then revive the important teleological insights contained in the Aristotelian-Thomistic tradition, and appropriate them for use in our moral discourse, </w:t>
      </w:r>
      <w:r w:rsidR="00D32CCC">
        <w:rPr>
          <w:rFonts w:ascii="Garamond" w:hAnsi="Garamond" w:cstheme="minorHAnsi"/>
          <w:sz w:val="24"/>
          <w:szCs w:val="24"/>
        </w:rPr>
        <w:t>with an eye towards</w:t>
      </w:r>
      <w:r w:rsidR="00016049" w:rsidRPr="00461D74">
        <w:rPr>
          <w:rFonts w:ascii="Garamond" w:hAnsi="Garamond" w:cstheme="minorHAnsi"/>
          <w:sz w:val="24"/>
          <w:szCs w:val="24"/>
        </w:rPr>
        <w:t xml:space="preserve"> </w:t>
      </w:r>
      <w:r w:rsidR="00D32CCC">
        <w:rPr>
          <w:rFonts w:ascii="Garamond" w:hAnsi="Garamond" w:cstheme="minorHAnsi"/>
          <w:sz w:val="24"/>
          <w:szCs w:val="24"/>
        </w:rPr>
        <w:t>advancing</w:t>
      </w:r>
      <w:r w:rsidR="00D32CC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 more coherent </w:t>
      </w:r>
      <w:r w:rsidR="00D32CCC">
        <w:rPr>
          <w:rFonts w:ascii="Garamond" w:hAnsi="Garamond" w:cstheme="minorHAnsi"/>
          <w:sz w:val="24"/>
          <w:szCs w:val="24"/>
        </w:rPr>
        <w:t xml:space="preserve">structure for </w:t>
      </w:r>
      <w:r w:rsidR="00016049" w:rsidRPr="00461D74">
        <w:rPr>
          <w:rFonts w:ascii="Garamond" w:hAnsi="Garamond" w:cstheme="minorHAnsi"/>
          <w:sz w:val="24"/>
          <w:szCs w:val="24"/>
        </w:rPr>
        <w:t xml:space="preserve">moral </w:t>
      </w:r>
      <w:r w:rsidR="00D32CCC">
        <w:rPr>
          <w:rFonts w:ascii="Garamond" w:hAnsi="Garamond" w:cstheme="minorHAnsi"/>
          <w:sz w:val="24"/>
          <w:szCs w:val="24"/>
        </w:rPr>
        <w:t>debates</w:t>
      </w:r>
      <w:r w:rsidR="00016049" w:rsidRPr="00461D74">
        <w:rPr>
          <w:rFonts w:ascii="Garamond" w:hAnsi="Garamond" w:cstheme="minorHAnsi"/>
          <w:sz w:val="24"/>
          <w:szCs w:val="24"/>
        </w:rPr>
        <w:t>.</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am suggesting here that MacIntyre is </w:t>
      </w:r>
      <w:r w:rsidR="00EE1E8B">
        <w:rPr>
          <w:rFonts w:ascii="Garamond" w:hAnsi="Garamond" w:cstheme="minorHAnsi"/>
          <w:sz w:val="24"/>
          <w:szCs w:val="24"/>
        </w:rPr>
        <w:t>set on utilising</w:t>
      </w:r>
      <w:r w:rsidR="00EE1E8B" w:rsidRPr="00461D74">
        <w:rPr>
          <w:rFonts w:ascii="Garamond" w:hAnsi="Garamond" w:cstheme="minorHAnsi"/>
          <w:sz w:val="24"/>
          <w:szCs w:val="24"/>
        </w:rPr>
        <w:t xml:space="preserve"> </w:t>
      </w:r>
      <w:r w:rsidRPr="00461D74">
        <w:rPr>
          <w:rFonts w:ascii="Garamond" w:hAnsi="Garamond" w:cstheme="minorHAnsi"/>
          <w:sz w:val="24"/>
          <w:szCs w:val="24"/>
        </w:rPr>
        <w:t xml:space="preserve">genealogy </w:t>
      </w:r>
      <w:r w:rsidR="00EE1E8B">
        <w:rPr>
          <w:rFonts w:ascii="Garamond" w:hAnsi="Garamond" w:cstheme="minorHAnsi"/>
          <w:sz w:val="24"/>
          <w:szCs w:val="24"/>
        </w:rPr>
        <w:t xml:space="preserve">(or historical reconstruction) </w:t>
      </w:r>
      <w:r w:rsidRPr="00461D74">
        <w:rPr>
          <w:rFonts w:ascii="Garamond" w:hAnsi="Garamond" w:cstheme="minorHAnsi"/>
          <w:sz w:val="24"/>
          <w:szCs w:val="24"/>
        </w:rPr>
        <w:t>as a method</w:t>
      </w:r>
      <w:r w:rsidR="00EE1E8B">
        <w:rPr>
          <w:rFonts w:ascii="Garamond" w:hAnsi="Garamond" w:cstheme="minorHAnsi"/>
          <w:sz w:val="24"/>
          <w:szCs w:val="24"/>
        </w:rPr>
        <w:t>ology</w:t>
      </w:r>
      <w:r w:rsidRPr="00461D74">
        <w:rPr>
          <w:rFonts w:ascii="Garamond" w:hAnsi="Garamond" w:cstheme="minorHAnsi"/>
          <w:sz w:val="24"/>
          <w:szCs w:val="24"/>
        </w:rPr>
        <w:t xml:space="preserve"> </w:t>
      </w:r>
      <w:r w:rsidR="00EE1E8B">
        <w:rPr>
          <w:rFonts w:ascii="Garamond" w:hAnsi="Garamond" w:cstheme="minorHAnsi"/>
          <w:sz w:val="24"/>
          <w:szCs w:val="24"/>
        </w:rPr>
        <w:t xml:space="preserve">that can unearth </w:t>
      </w:r>
      <w:r w:rsidRPr="00461D74">
        <w:rPr>
          <w:rFonts w:ascii="Garamond" w:hAnsi="Garamond" w:cstheme="minorHAnsi"/>
          <w:sz w:val="24"/>
          <w:szCs w:val="24"/>
        </w:rPr>
        <w:t>the historical decline of Thomism as involving a series of errors</w:t>
      </w:r>
      <w:r w:rsidR="00EE1E8B">
        <w:rPr>
          <w:rFonts w:ascii="Garamond" w:hAnsi="Garamond" w:cstheme="minorHAnsi"/>
          <w:sz w:val="24"/>
          <w:szCs w:val="24"/>
        </w:rPr>
        <w:t>;</w:t>
      </w:r>
      <w:r w:rsidRPr="00461D74">
        <w:rPr>
          <w:rFonts w:ascii="Garamond" w:hAnsi="Garamond" w:cstheme="minorHAnsi"/>
          <w:sz w:val="24"/>
          <w:szCs w:val="24"/>
        </w:rPr>
        <w:t xml:space="preserve"> </w:t>
      </w:r>
      <w:r w:rsidR="00EE1E8B">
        <w:rPr>
          <w:rFonts w:ascii="Garamond" w:hAnsi="Garamond" w:cstheme="minorHAnsi"/>
          <w:sz w:val="24"/>
          <w:szCs w:val="24"/>
        </w:rPr>
        <w:t xml:space="preserve">and </w:t>
      </w:r>
      <w:r w:rsidR="004C008C">
        <w:rPr>
          <w:rFonts w:ascii="Garamond" w:hAnsi="Garamond" w:cstheme="minorHAnsi"/>
          <w:sz w:val="24"/>
          <w:szCs w:val="24"/>
        </w:rPr>
        <w:t xml:space="preserve">that, </w:t>
      </w:r>
      <w:r w:rsidR="00EE1E8B">
        <w:rPr>
          <w:rFonts w:ascii="Garamond" w:hAnsi="Garamond" w:cstheme="minorHAnsi"/>
          <w:sz w:val="24"/>
          <w:szCs w:val="24"/>
        </w:rPr>
        <w:t>by conceiving t</w:t>
      </w:r>
      <w:r w:rsidR="004C008C">
        <w:rPr>
          <w:rFonts w:ascii="Garamond" w:hAnsi="Garamond" w:cstheme="minorHAnsi"/>
          <w:sz w:val="24"/>
          <w:szCs w:val="24"/>
        </w:rPr>
        <w:t>hose errors in the proper light</w:t>
      </w:r>
      <w:r w:rsidR="00EE1E8B">
        <w:rPr>
          <w:rFonts w:ascii="Garamond" w:hAnsi="Garamond" w:cstheme="minorHAnsi"/>
          <w:sz w:val="24"/>
          <w:szCs w:val="24"/>
        </w:rPr>
        <w:t xml:space="preserve"> </w:t>
      </w:r>
      <w:r w:rsidRPr="00461D74">
        <w:rPr>
          <w:rFonts w:ascii="Garamond" w:hAnsi="Garamond" w:cstheme="minorHAnsi"/>
          <w:sz w:val="24"/>
          <w:szCs w:val="24"/>
        </w:rPr>
        <w:t xml:space="preserve">we can </w:t>
      </w:r>
      <w:r w:rsidR="00EE1E8B">
        <w:rPr>
          <w:rFonts w:ascii="Garamond" w:hAnsi="Garamond" w:cstheme="minorHAnsi"/>
          <w:sz w:val="24"/>
          <w:szCs w:val="24"/>
        </w:rPr>
        <w:t xml:space="preserve">perhaps set the stage for </w:t>
      </w:r>
      <w:r w:rsidRPr="00461D74">
        <w:rPr>
          <w:rFonts w:ascii="Garamond" w:hAnsi="Garamond" w:cstheme="minorHAnsi"/>
          <w:sz w:val="24"/>
          <w:szCs w:val="24"/>
        </w:rPr>
        <w:t>retriev</w:t>
      </w:r>
      <w:r w:rsidR="00EE1E8B">
        <w:rPr>
          <w:rFonts w:ascii="Garamond" w:hAnsi="Garamond" w:cstheme="minorHAnsi"/>
          <w:sz w:val="24"/>
          <w:szCs w:val="24"/>
        </w:rPr>
        <w:t>ing</w:t>
      </w:r>
      <w:r w:rsidRPr="00461D74">
        <w:rPr>
          <w:rFonts w:ascii="Garamond" w:hAnsi="Garamond" w:cstheme="minorHAnsi"/>
          <w:sz w:val="24"/>
          <w:szCs w:val="24"/>
        </w:rPr>
        <w:t xml:space="preserve"> important insights from the </w:t>
      </w:r>
      <w:r w:rsidR="00EE1E8B">
        <w:rPr>
          <w:rFonts w:ascii="Garamond" w:hAnsi="Garamond" w:cstheme="minorHAnsi"/>
          <w:sz w:val="24"/>
          <w:szCs w:val="24"/>
        </w:rPr>
        <w:t>Aristotelian-</w:t>
      </w:r>
      <w:r w:rsidRPr="00461D74">
        <w:rPr>
          <w:rFonts w:ascii="Garamond" w:hAnsi="Garamond" w:cstheme="minorHAnsi"/>
          <w:sz w:val="24"/>
          <w:szCs w:val="24"/>
        </w:rPr>
        <w:t xml:space="preserve">Thomist tradition. In this sense, by uncovering presuppositions hitherto granted, genealogy can </w:t>
      </w:r>
      <w:proofErr w:type="spellStart"/>
      <w:r w:rsidRPr="00461D74">
        <w:rPr>
          <w:rFonts w:ascii="Garamond" w:hAnsi="Garamond" w:cstheme="minorHAnsi"/>
          <w:sz w:val="24"/>
          <w:szCs w:val="24"/>
        </w:rPr>
        <w:t>problematize</w:t>
      </w:r>
      <w:proofErr w:type="spellEnd"/>
      <w:r w:rsidRPr="00461D74">
        <w:rPr>
          <w:rFonts w:ascii="Garamond" w:hAnsi="Garamond" w:cstheme="minorHAnsi"/>
          <w:sz w:val="24"/>
          <w:szCs w:val="24"/>
        </w:rPr>
        <w:t xml:space="preserve"> important (and hidden) aspects of this decline that have thus far been accepted without serious questioning. Thus, if we are to engage in an </w:t>
      </w:r>
      <w:proofErr w:type="spellStart"/>
      <w:r w:rsidRPr="00461D74">
        <w:rPr>
          <w:rFonts w:ascii="Garamond" w:hAnsi="Garamond" w:cstheme="minorHAnsi"/>
          <w:sz w:val="24"/>
          <w:szCs w:val="24"/>
        </w:rPr>
        <w:t>immanent</w:t>
      </w:r>
      <w:proofErr w:type="spellEnd"/>
      <w:r w:rsidRPr="00461D74">
        <w:rPr>
          <w:rFonts w:ascii="Garamond" w:hAnsi="Garamond" w:cstheme="minorHAnsi"/>
          <w:sz w:val="24"/>
          <w:szCs w:val="24"/>
        </w:rPr>
        <w:t xml:space="preserve"> critical appraisal of MacIntyre’s account we need to see whether his genealogy (or historical form of argument) can aid us in showing the historical mistakes precipitated the marginalization of Aristotelian-Thomist ethics, and in doing this, help recover the teleological (or functional) insights in </w:t>
      </w:r>
      <w:r w:rsidR="00EE1E8B">
        <w:rPr>
          <w:rFonts w:ascii="Garamond" w:hAnsi="Garamond" w:cstheme="minorHAnsi"/>
          <w:sz w:val="24"/>
          <w:szCs w:val="24"/>
        </w:rPr>
        <w:t>that</w:t>
      </w:r>
      <w:r w:rsidRPr="00461D74">
        <w:rPr>
          <w:rFonts w:ascii="Garamond" w:hAnsi="Garamond" w:cstheme="minorHAnsi"/>
          <w:sz w:val="24"/>
          <w:szCs w:val="24"/>
        </w:rPr>
        <w:t xml:space="preserve"> tradition. Thus, the decline of teleology and the rise of the </w:t>
      </w:r>
      <w:r w:rsidR="00456918" w:rsidRPr="00461D74">
        <w:rPr>
          <w:rFonts w:ascii="Garamond" w:hAnsi="Garamond" w:cstheme="minorHAnsi"/>
          <w:sz w:val="24"/>
          <w:szCs w:val="24"/>
        </w:rPr>
        <w:t>‘fact/value’</w:t>
      </w:r>
      <w:r w:rsidRPr="00461D74">
        <w:rPr>
          <w:rFonts w:ascii="Garamond" w:hAnsi="Garamond" w:cstheme="minorHAnsi"/>
          <w:sz w:val="24"/>
          <w:szCs w:val="24"/>
        </w:rPr>
        <w:t xml:space="preserve"> distinction are central elements to the historical narrative MacIntyre develops in </w:t>
      </w:r>
      <w:r w:rsidRPr="00461D74">
        <w:rPr>
          <w:rFonts w:ascii="Garamond" w:hAnsi="Garamond" w:cstheme="minorHAnsi"/>
          <w:i/>
          <w:sz w:val="24"/>
          <w:szCs w:val="24"/>
        </w:rPr>
        <w:t>After Virtue</w:t>
      </w:r>
      <w:r w:rsidRPr="00461D74">
        <w:rPr>
          <w:rFonts w:ascii="Garamond" w:hAnsi="Garamond" w:cstheme="minorHAnsi"/>
          <w:sz w:val="24"/>
          <w:szCs w:val="24"/>
        </w:rPr>
        <w:t xml:space="preserve">. But while in </w:t>
      </w:r>
      <w:r w:rsidRPr="00461D74">
        <w:rPr>
          <w:rFonts w:ascii="Garamond" w:hAnsi="Garamond" w:cstheme="minorHAnsi"/>
          <w:i/>
          <w:sz w:val="24"/>
          <w:szCs w:val="24"/>
        </w:rPr>
        <w:t>After Virtue</w:t>
      </w:r>
      <w:r w:rsidRPr="00461D74">
        <w:rPr>
          <w:rFonts w:ascii="Garamond" w:hAnsi="Garamond" w:cstheme="minorHAnsi"/>
          <w:sz w:val="24"/>
          <w:szCs w:val="24"/>
        </w:rPr>
        <w:t xml:space="preserve"> MacIntyre is seemingly rejecting Aristotle’s metaphysical biology</w:t>
      </w:r>
      <w:r w:rsidRPr="00461D74">
        <w:rPr>
          <w:rStyle w:val="FootnoteReference"/>
          <w:rFonts w:ascii="Garamond" w:hAnsi="Garamond" w:cstheme="minorHAnsi"/>
          <w:sz w:val="24"/>
          <w:szCs w:val="24"/>
        </w:rPr>
        <w:footnoteReference w:id="183"/>
      </w:r>
      <w:r w:rsidRPr="00461D74">
        <w:rPr>
          <w:rFonts w:ascii="Garamond" w:hAnsi="Garamond" w:cstheme="minorHAnsi"/>
          <w:sz w:val="24"/>
          <w:szCs w:val="24"/>
        </w:rPr>
        <w:t xml:space="preserve"> and more or less believes that we cannot recover the underpinnings of that teleology, in his later work starting with </w:t>
      </w:r>
      <w:r w:rsidRPr="00461D74">
        <w:rPr>
          <w:rFonts w:ascii="Garamond" w:hAnsi="Garamond" w:cstheme="minorHAnsi"/>
          <w:i/>
          <w:sz w:val="24"/>
          <w:szCs w:val="24"/>
        </w:rPr>
        <w:t>Whose Justice</w:t>
      </w:r>
      <w:r w:rsidRPr="00461D74">
        <w:rPr>
          <w:rFonts w:ascii="Garamond" w:hAnsi="Garamond" w:cstheme="minorHAnsi"/>
          <w:sz w:val="24"/>
          <w:szCs w:val="24"/>
        </w:rPr>
        <w:t xml:space="preserve">, he wants to recover the teleological insights of the Aristotelian-Thomist tradition. </w:t>
      </w:r>
      <w:r w:rsidR="00BC369E">
        <w:rPr>
          <w:rFonts w:ascii="Garamond" w:hAnsi="Garamond" w:cstheme="minorHAnsi"/>
          <w:sz w:val="24"/>
          <w:szCs w:val="24"/>
        </w:rPr>
        <w:t>Now</w:t>
      </w:r>
      <w:r w:rsidRPr="00461D74">
        <w:rPr>
          <w:rFonts w:ascii="Garamond" w:hAnsi="Garamond" w:cstheme="minorHAnsi"/>
          <w:sz w:val="24"/>
          <w:szCs w:val="24"/>
        </w:rPr>
        <w:t xml:space="preserve">, if MacIntyre can recapture the (teleological) insights contained in the Aristotelian-Thomistic tradition, it might afford him the resources he needs to </w:t>
      </w:r>
      <w:r w:rsidRPr="00461D74">
        <w:rPr>
          <w:rFonts w:ascii="Garamond" w:hAnsi="Garamond" w:cstheme="minorHAnsi"/>
          <w:sz w:val="24"/>
          <w:szCs w:val="24"/>
        </w:rPr>
        <w:lastRenderedPageBreak/>
        <w:t>resolve the tension that is the focus of this chapter, by showing how the displacement of the Aristotelian tradition by modern ethics was in fact a false step; and in doing so he can help realize a revival of the Aristotelian-Thomistic tradition.</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the next section, I will </w:t>
      </w:r>
      <w:r w:rsidR="00626D35">
        <w:rPr>
          <w:rFonts w:ascii="Garamond" w:hAnsi="Garamond" w:cstheme="minorHAnsi"/>
          <w:sz w:val="24"/>
          <w:szCs w:val="24"/>
        </w:rPr>
        <w:t xml:space="preserve">therefore </w:t>
      </w:r>
      <w:r w:rsidRPr="00461D74">
        <w:rPr>
          <w:rFonts w:ascii="Garamond" w:hAnsi="Garamond" w:cstheme="minorHAnsi"/>
          <w:sz w:val="24"/>
          <w:szCs w:val="24"/>
        </w:rPr>
        <w:t xml:space="preserve">assess what I take to be MacIntyre's attempt at offering a genealogy that </w:t>
      </w:r>
      <w:r w:rsidR="00EE1E8B">
        <w:rPr>
          <w:rFonts w:ascii="Garamond" w:hAnsi="Garamond" w:cstheme="minorHAnsi"/>
          <w:sz w:val="24"/>
          <w:szCs w:val="24"/>
        </w:rPr>
        <w:t>lays bare</w:t>
      </w:r>
      <w:r w:rsidR="00EE1E8B" w:rsidRPr="00461D74">
        <w:rPr>
          <w:rFonts w:ascii="Garamond" w:hAnsi="Garamond" w:cstheme="minorHAnsi"/>
          <w:sz w:val="24"/>
          <w:szCs w:val="24"/>
        </w:rPr>
        <w:t xml:space="preserve"> </w:t>
      </w:r>
      <w:r w:rsidR="00EE1E8B">
        <w:rPr>
          <w:rFonts w:ascii="Garamond" w:hAnsi="Garamond" w:cstheme="minorHAnsi"/>
          <w:sz w:val="24"/>
          <w:szCs w:val="24"/>
        </w:rPr>
        <w:t xml:space="preserve">the historical mechanism through which the historical stage was set for the dislodging of </w:t>
      </w:r>
      <w:r w:rsidRPr="00461D74">
        <w:rPr>
          <w:rFonts w:ascii="Garamond" w:hAnsi="Garamond" w:cstheme="minorHAnsi"/>
          <w:sz w:val="24"/>
          <w:szCs w:val="24"/>
        </w:rPr>
        <w:t>Aristotelian-Thomist ethics and</w:t>
      </w:r>
      <w:r w:rsidR="00EE1E8B">
        <w:rPr>
          <w:rFonts w:ascii="Garamond" w:hAnsi="Garamond" w:cstheme="minorHAnsi"/>
          <w:sz w:val="24"/>
          <w:szCs w:val="24"/>
        </w:rPr>
        <w:t xml:space="preserve"> its corresponding</w:t>
      </w:r>
      <w:r w:rsidRPr="00461D74">
        <w:rPr>
          <w:rFonts w:ascii="Garamond" w:hAnsi="Garamond" w:cstheme="minorHAnsi"/>
          <w:sz w:val="24"/>
          <w:szCs w:val="24"/>
        </w:rPr>
        <w:t xml:space="preserve"> teleology</w:t>
      </w:r>
      <w:r w:rsidR="00EE1E8B">
        <w:rPr>
          <w:rFonts w:ascii="Garamond" w:hAnsi="Garamond" w:cstheme="minorHAnsi"/>
          <w:sz w:val="24"/>
          <w:szCs w:val="24"/>
        </w:rPr>
        <w:t>,</w:t>
      </w:r>
      <w:r w:rsidRPr="00461D74">
        <w:rPr>
          <w:rFonts w:ascii="Garamond" w:hAnsi="Garamond" w:cstheme="minorHAnsi"/>
          <w:sz w:val="24"/>
          <w:szCs w:val="24"/>
        </w:rPr>
        <w:t xml:space="preserve"> </w:t>
      </w:r>
      <w:r w:rsidR="00EE1E8B">
        <w:rPr>
          <w:rFonts w:ascii="Garamond" w:hAnsi="Garamond" w:cstheme="minorHAnsi"/>
          <w:sz w:val="24"/>
          <w:szCs w:val="24"/>
        </w:rPr>
        <w:t>which originates</w:t>
      </w:r>
      <w:r w:rsidR="00EE1E8B" w:rsidRPr="00461D74">
        <w:rPr>
          <w:rFonts w:ascii="Garamond" w:hAnsi="Garamond" w:cstheme="minorHAnsi"/>
          <w:sz w:val="24"/>
          <w:szCs w:val="24"/>
        </w:rPr>
        <w:t xml:space="preserve"> </w:t>
      </w:r>
      <w:r w:rsidR="00626D35">
        <w:rPr>
          <w:rFonts w:ascii="Garamond" w:hAnsi="Garamond" w:cstheme="minorHAnsi"/>
          <w:sz w:val="24"/>
          <w:szCs w:val="24"/>
        </w:rPr>
        <w:t>in</w:t>
      </w:r>
      <w:r w:rsidRPr="00461D74">
        <w:rPr>
          <w:rFonts w:ascii="Garamond" w:hAnsi="Garamond" w:cstheme="minorHAnsi"/>
          <w:sz w:val="24"/>
          <w:szCs w:val="24"/>
        </w:rPr>
        <w:t xml:space="preserve"> a number of mistakes by </w:t>
      </w:r>
      <w:r w:rsidR="00EE1E8B">
        <w:rPr>
          <w:rFonts w:ascii="Garamond" w:hAnsi="Garamond" w:cstheme="minorHAnsi"/>
          <w:sz w:val="24"/>
          <w:szCs w:val="24"/>
        </w:rPr>
        <w:t>Renaissance</w:t>
      </w:r>
      <w:r w:rsidR="00EE1E8B" w:rsidRPr="00461D74">
        <w:rPr>
          <w:rFonts w:ascii="Garamond" w:hAnsi="Garamond" w:cstheme="minorHAnsi"/>
          <w:sz w:val="24"/>
          <w:szCs w:val="24"/>
        </w:rPr>
        <w:t xml:space="preserve"> </w:t>
      </w:r>
      <w:r w:rsidRPr="00461D74">
        <w:rPr>
          <w:rFonts w:ascii="Garamond" w:hAnsi="Garamond" w:cstheme="minorHAnsi"/>
          <w:sz w:val="24"/>
          <w:szCs w:val="24"/>
        </w:rPr>
        <w:t xml:space="preserve">adherents of that tradition. But before we begin considering this genealogy, I will briefly outline how I plan to advance the argument in </w:t>
      </w:r>
      <w:r w:rsidR="00626D35">
        <w:rPr>
          <w:rFonts w:ascii="Garamond" w:hAnsi="Garamond" w:cstheme="minorHAnsi"/>
          <w:sz w:val="24"/>
          <w:szCs w:val="24"/>
        </w:rPr>
        <w:t xml:space="preserve">the </w:t>
      </w:r>
      <w:r w:rsidRPr="00461D74">
        <w:rPr>
          <w:rFonts w:ascii="Garamond" w:hAnsi="Garamond" w:cstheme="minorHAnsi"/>
          <w:sz w:val="24"/>
          <w:szCs w:val="24"/>
        </w:rPr>
        <w:t>remainder of this chapter.</w:t>
      </w:r>
      <w:r w:rsidR="009A4A8D" w:rsidRPr="00461D74">
        <w:rPr>
          <w:rFonts w:ascii="Garamond" w:hAnsi="Garamond" w:cstheme="minorHAnsi"/>
          <w:sz w:val="24"/>
          <w:szCs w:val="24"/>
        </w:rPr>
        <w:t xml:space="preserve"> </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I will start by considering what I take to be a</w:t>
      </w:r>
      <w:r w:rsidR="00692520">
        <w:rPr>
          <w:rFonts w:ascii="Garamond" w:hAnsi="Garamond" w:cstheme="minorHAnsi"/>
          <w:sz w:val="24"/>
          <w:szCs w:val="24"/>
        </w:rPr>
        <w:t>n</w:t>
      </w:r>
      <w:r w:rsidRPr="00461D74">
        <w:rPr>
          <w:rFonts w:ascii="Garamond" w:hAnsi="Garamond" w:cstheme="minorHAnsi"/>
          <w:sz w:val="24"/>
          <w:szCs w:val="24"/>
        </w:rPr>
        <w:t xml:space="preserve"> </w:t>
      </w:r>
      <w:r w:rsidR="00692520">
        <w:rPr>
          <w:rFonts w:ascii="Garamond" w:hAnsi="Garamond" w:cstheme="minorHAnsi"/>
          <w:sz w:val="24"/>
          <w:szCs w:val="24"/>
        </w:rPr>
        <w:t>historical</w:t>
      </w:r>
      <w:r w:rsidR="00692520" w:rsidRPr="00461D74">
        <w:rPr>
          <w:rFonts w:ascii="Garamond" w:hAnsi="Garamond" w:cstheme="minorHAnsi"/>
          <w:sz w:val="24"/>
          <w:szCs w:val="24"/>
        </w:rPr>
        <w:t xml:space="preserve"> </w:t>
      </w:r>
      <w:r w:rsidR="00692520">
        <w:rPr>
          <w:rFonts w:ascii="Garamond" w:hAnsi="Garamond" w:cstheme="minorHAnsi"/>
          <w:sz w:val="24"/>
          <w:szCs w:val="24"/>
        </w:rPr>
        <w:t xml:space="preserve">(or genealogical) </w:t>
      </w:r>
      <w:r w:rsidRPr="00461D74">
        <w:rPr>
          <w:rFonts w:ascii="Garamond" w:hAnsi="Garamond" w:cstheme="minorHAnsi"/>
          <w:sz w:val="24"/>
          <w:szCs w:val="24"/>
        </w:rPr>
        <w:t xml:space="preserve">account that MacIntyre offers in ‘Rival </w:t>
      </w:r>
      <w:proofErr w:type="spellStart"/>
      <w:r w:rsidRPr="00461D74">
        <w:rPr>
          <w:rFonts w:ascii="Garamond" w:hAnsi="Garamond" w:cstheme="minorHAnsi"/>
          <w:sz w:val="24"/>
          <w:szCs w:val="24"/>
        </w:rPr>
        <w:t>Aristotles</w:t>
      </w:r>
      <w:proofErr w:type="spellEnd"/>
      <w:r w:rsidRPr="00461D74">
        <w:rPr>
          <w:rFonts w:ascii="Garamond" w:hAnsi="Garamond" w:cstheme="minorHAnsi"/>
          <w:sz w:val="24"/>
          <w:szCs w:val="24"/>
        </w:rPr>
        <w:t xml:space="preserve">: </w:t>
      </w:r>
      <w:r w:rsidRPr="00461D74">
        <w:rPr>
          <w:rFonts w:ascii="Garamond" w:hAnsi="Garamond" w:cstheme="minorHAnsi"/>
          <w:sz w:val="24"/>
          <w:szCs w:val="24"/>
          <w:lang w:val="en-GB"/>
        </w:rPr>
        <w:t xml:space="preserve">Aristotle </w:t>
      </w:r>
      <w:proofErr w:type="gramStart"/>
      <w:r w:rsidRPr="00461D74">
        <w:rPr>
          <w:rFonts w:ascii="Garamond" w:hAnsi="Garamond" w:cstheme="minorHAnsi"/>
          <w:sz w:val="24"/>
          <w:szCs w:val="24"/>
          <w:lang w:val="en-GB"/>
        </w:rPr>
        <w:t>Against</w:t>
      </w:r>
      <w:proofErr w:type="gramEnd"/>
      <w:r w:rsidRPr="00461D74">
        <w:rPr>
          <w:rFonts w:ascii="Garamond" w:hAnsi="Garamond" w:cstheme="minorHAnsi"/>
          <w:sz w:val="24"/>
          <w:szCs w:val="24"/>
          <w:lang w:val="en-GB"/>
        </w:rPr>
        <w:t xml:space="preserve"> Some Renaissance Aristotelians</w:t>
      </w:r>
      <w:r w:rsidR="005026B5">
        <w:rPr>
          <w:rFonts w:ascii="Garamond" w:hAnsi="Garamond" w:cstheme="minorHAnsi"/>
          <w:sz w:val="24"/>
          <w:szCs w:val="24"/>
          <w:lang w:val="en-GB"/>
        </w:rPr>
        <w:t>,</w:t>
      </w:r>
      <w:r w:rsidRPr="00461D74">
        <w:rPr>
          <w:rFonts w:ascii="Garamond" w:hAnsi="Garamond" w:cstheme="minorHAnsi"/>
          <w:sz w:val="24"/>
          <w:szCs w:val="24"/>
          <w:lang w:val="en-GB"/>
        </w:rPr>
        <w:t xml:space="preserve">’ </w:t>
      </w:r>
      <w:r w:rsidR="00671685" w:rsidRPr="00461D74">
        <w:rPr>
          <w:rFonts w:ascii="Garamond" w:hAnsi="Garamond" w:cstheme="minorHAnsi"/>
          <w:sz w:val="24"/>
          <w:szCs w:val="24"/>
          <w:lang w:val="en-GB"/>
        </w:rPr>
        <w:t>where</w:t>
      </w:r>
      <w:r w:rsidRPr="00461D74">
        <w:rPr>
          <w:rFonts w:ascii="Garamond" w:hAnsi="Garamond" w:cstheme="minorHAnsi"/>
          <w:sz w:val="24"/>
          <w:szCs w:val="24"/>
        </w:rPr>
        <w:t xml:space="preserve"> he </w:t>
      </w:r>
      <w:r w:rsidR="00671685" w:rsidRPr="00461D74">
        <w:rPr>
          <w:rFonts w:ascii="Garamond" w:hAnsi="Garamond" w:cstheme="minorHAnsi"/>
          <w:sz w:val="24"/>
          <w:szCs w:val="24"/>
        </w:rPr>
        <w:t xml:space="preserve">discusses </w:t>
      </w:r>
      <w:r w:rsidRPr="00461D74">
        <w:rPr>
          <w:rFonts w:ascii="Garamond" w:hAnsi="Garamond" w:cstheme="minorHAnsi"/>
          <w:sz w:val="24"/>
          <w:szCs w:val="24"/>
        </w:rPr>
        <w:t>the transition from Aristotelian ethics proper, to the Renaissance Aristotelian reconsideration of the same ethics.</w:t>
      </w:r>
      <w:r w:rsidRPr="00461D74">
        <w:rPr>
          <w:rStyle w:val="FootnoteReference"/>
          <w:rFonts w:ascii="Garamond" w:hAnsi="Garamond" w:cstheme="minorHAnsi"/>
          <w:sz w:val="24"/>
          <w:szCs w:val="24"/>
        </w:rPr>
        <w:footnoteReference w:id="184"/>
      </w:r>
      <w:r w:rsidRPr="00461D74">
        <w:rPr>
          <w:rFonts w:ascii="Garamond" w:hAnsi="Garamond" w:cstheme="minorHAnsi"/>
          <w:sz w:val="24"/>
          <w:szCs w:val="24"/>
        </w:rPr>
        <w:t xml:space="preserve"> In this paper MacIntyre outlines the following view: Renaissance Aristotelians had already </w:t>
      </w:r>
      <w:r w:rsidR="00671685" w:rsidRPr="00461D74">
        <w:rPr>
          <w:rFonts w:ascii="Garamond" w:hAnsi="Garamond" w:cstheme="minorHAnsi"/>
          <w:sz w:val="24"/>
          <w:szCs w:val="24"/>
        </w:rPr>
        <w:t xml:space="preserve">diverged </w:t>
      </w:r>
      <w:r w:rsidRPr="00461D74">
        <w:rPr>
          <w:rFonts w:ascii="Garamond" w:hAnsi="Garamond" w:cstheme="minorHAnsi"/>
          <w:sz w:val="24"/>
          <w:szCs w:val="24"/>
        </w:rPr>
        <w:t xml:space="preserve">considerably from Aristotle’s conception of ethics, in ways that undermined the Aristotelian-Thomistic tradition, and made the transition to the modern point of view all but inevitable. On the account </w:t>
      </w:r>
      <w:r w:rsidR="00D17B73">
        <w:rPr>
          <w:rFonts w:ascii="Garamond" w:hAnsi="Garamond" w:cstheme="minorHAnsi"/>
          <w:sz w:val="24"/>
          <w:szCs w:val="24"/>
        </w:rPr>
        <w:t xml:space="preserve">that </w:t>
      </w:r>
      <w:r w:rsidRPr="00461D74">
        <w:rPr>
          <w:rFonts w:ascii="Garamond" w:hAnsi="Garamond" w:cstheme="minorHAnsi"/>
          <w:sz w:val="24"/>
          <w:szCs w:val="24"/>
        </w:rPr>
        <w:t xml:space="preserve">MacIntyre </w:t>
      </w:r>
      <w:r w:rsidR="00D17B73">
        <w:rPr>
          <w:rFonts w:ascii="Garamond" w:hAnsi="Garamond" w:cstheme="minorHAnsi"/>
          <w:sz w:val="24"/>
          <w:szCs w:val="24"/>
        </w:rPr>
        <w:t>presents</w:t>
      </w:r>
      <w:r w:rsidRPr="00461D74">
        <w:rPr>
          <w:rFonts w:ascii="Garamond" w:hAnsi="Garamond" w:cstheme="minorHAnsi"/>
          <w:sz w:val="24"/>
          <w:szCs w:val="24"/>
        </w:rPr>
        <w:t>, moral education for Renaissance Aristotelians focuses primarily on theory</w:t>
      </w:r>
      <w:r w:rsidR="00D17B73">
        <w:rPr>
          <w:rFonts w:ascii="Garamond" w:hAnsi="Garamond" w:cstheme="minorHAnsi"/>
          <w:sz w:val="24"/>
          <w:szCs w:val="24"/>
        </w:rPr>
        <w:t>;</w:t>
      </w:r>
      <w:r w:rsidRPr="00461D74">
        <w:rPr>
          <w:rFonts w:ascii="Garamond" w:hAnsi="Garamond" w:cstheme="minorHAnsi"/>
          <w:sz w:val="24"/>
          <w:szCs w:val="24"/>
        </w:rPr>
        <w:t xml:space="preserve"> yet for Aristotle, an adequate education in ethics primarily emphasizes correct moral habituation through the practice of the virtues, learned by emulating those who already possess the requisite knowledge of the virtues. The implication of the </w:t>
      </w:r>
      <w:r w:rsidRPr="00461D74">
        <w:rPr>
          <w:rFonts w:ascii="Garamond" w:hAnsi="Garamond" w:cstheme="minorHAnsi"/>
          <w:sz w:val="24"/>
          <w:szCs w:val="24"/>
        </w:rPr>
        <w:lastRenderedPageBreak/>
        <w:t xml:space="preserve">argument that MacIntyre is advancing </w:t>
      </w:r>
      <w:r w:rsidR="00732DC2">
        <w:rPr>
          <w:rFonts w:ascii="Garamond" w:hAnsi="Garamond" w:cstheme="minorHAnsi"/>
          <w:sz w:val="24"/>
          <w:szCs w:val="24"/>
        </w:rPr>
        <w:t xml:space="preserve">here </w:t>
      </w:r>
      <w:r w:rsidRPr="00461D74">
        <w:rPr>
          <w:rFonts w:ascii="Garamond" w:hAnsi="Garamond" w:cstheme="minorHAnsi"/>
          <w:sz w:val="24"/>
          <w:szCs w:val="24"/>
        </w:rPr>
        <w:t>is that the departure of Renaissance Aristotelians from Aristotle</w:t>
      </w:r>
      <w:r w:rsidR="00721A64" w:rsidRPr="00461D74">
        <w:rPr>
          <w:rFonts w:ascii="Garamond" w:hAnsi="Garamond" w:cstheme="minorHAnsi"/>
          <w:sz w:val="24"/>
          <w:szCs w:val="24"/>
        </w:rPr>
        <w:t xml:space="preserve">’s own approach </w:t>
      </w:r>
      <w:r w:rsidRPr="00461D74">
        <w:rPr>
          <w:rFonts w:ascii="Garamond" w:hAnsi="Garamond" w:cstheme="minorHAnsi"/>
          <w:sz w:val="24"/>
          <w:szCs w:val="24"/>
        </w:rPr>
        <w:t>paved the way for the eventual demise of the Aristotelian-Thomistic tradition.</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However, I will </w:t>
      </w:r>
      <w:r w:rsidR="002C1529">
        <w:rPr>
          <w:rFonts w:ascii="Garamond" w:hAnsi="Garamond" w:cstheme="minorHAnsi"/>
          <w:sz w:val="24"/>
          <w:szCs w:val="24"/>
        </w:rPr>
        <w:t xml:space="preserve">nonetheless </w:t>
      </w:r>
      <w:r w:rsidRPr="00461D74">
        <w:rPr>
          <w:rFonts w:ascii="Garamond" w:hAnsi="Garamond" w:cstheme="minorHAnsi"/>
          <w:sz w:val="24"/>
          <w:szCs w:val="24"/>
        </w:rPr>
        <w:t xml:space="preserve">suggest that it </w:t>
      </w:r>
      <w:r w:rsidR="002C1529">
        <w:rPr>
          <w:rFonts w:ascii="Garamond" w:hAnsi="Garamond" w:cstheme="minorHAnsi"/>
          <w:sz w:val="24"/>
          <w:szCs w:val="24"/>
        </w:rPr>
        <w:t>remains</w:t>
      </w:r>
      <w:r w:rsidR="002C1529" w:rsidRPr="00461D74">
        <w:rPr>
          <w:rFonts w:ascii="Garamond" w:hAnsi="Garamond" w:cstheme="minorHAnsi"/>
          <w:sz w:val="24"/>
          <w:szCs w:val="24"/>
        </w:rPr>
        <w:t xml:space="preserve"> </w:t>
      </w:r>
      <w:r w:rsidRPr="00461D74">
        <w:rPr>
          <w:rFonts w:ascii="Garamond" w:hAnsi="Garamond" w:cstheme="minorHAnsi"/>
          <w:sz w:val="24"/>
          <w:szCs w:val="24"/>
        </w:rPr>
        <w:t xml:space="preserve">unlikely that MacIntyre can trace all the mistakes that contributed to the marginalization of the Aristotelian tradition back to Renaissance Aristotelians. I will argue that MacIntyre’s genealogy isn’t entirely convincing, </w:t>
      </w:r>
      <w:r w:rsidR="00897F20">
        <w:rPr>
          <w:rFonts w:ascii="Garamond" w:hAnsi="Garamond" w:cstheme="minorHAnsi"/>
          <w:sz w:val="24"/>
          <w:szCs w:val="24"/>
        </w:rPr>
        <w:t>for</w:t>
      </w:r>
      <w:r w:rsidR="00897F20" w:rsidRPr="00461D74">
        <w:rPr>
          <w:rFonts w:ascii="Garamond" w:hAnsi="Garamond" w:cstheme="minorHAnsi"/>
          <w:sz w:val="24"/>
          <w:szCs w:val="24"/>
        </w:rPr>
        <w:t xml:space="preserve"> </w:t>
      </w:r>
      <w:r w:rsidRPr="00461D74">
        <w:rPr>
          <w:rFonts w:ascii="Garamond" w:hAnsi="Garamond" w:cstheme="minorHAnsi"/>
          <w:sz w:val="24"/>
          <w:szCs w:val="24"/>
        </w:rPr>
        <w:t>it appears that in other places in his work,</w:t>
      </w:r>
      <w:r w:rsidRPr="00461D74">
        <w:rPr>
          <w:rStyle w:val="FootnoteReference"/>
          <w:rFonts w:ascii="Garamond" w:hAnsi="Garamond" w:cstheme="minorHAnsi"/>
          <w:sz w:val="24"/>
          <w:szCs w:val="24"/>
        </w:rPr>
        <w:footnoteReference w:id="185"/>
      </w:r>
      <w:r w:rsidRPr="00461D74">
        <w:rPr>
          <w:rFonts w:ascii="Garamond" w:hAnsi="Garamond" w:cstheme="minorHAnsi"/>
          <w:sz w:val="24"/>
          <w:szCs w:val="24"/>
        </w:rPr>
        <w:t xml:space="preserve"> MacIntyre presents a set of claims that potentially undermine</w:t>
      </w:r>
      <w:r w:rsidR="002C1529">
        <w:rPr>
          <w:rFonts w:ascii="Garamond" w:hAnsi="Garamond" w:cstheme="minorHAnsi"/>
          <w:sz w:val="24"/>
          <w:szCs w:val="24"/>
        </w:rPr>
        <w:t>s</w:t>
      </w:r>
      <w:r w:rsidRPr="00461D74">
        <w:rPr>
          <w:rFonts w:ascii="Garamond" w:hAnsi="Garamond" w:cstheme="minorHAnsi"/>
          <w:sz w:val="24"/>
          <w:szCs w:val="24"/>
        </w:rPr>
        <w:t xml:space="preserve"> the arguments he raises against Renaissance Aristotelians</w:t>
      </w:r>
      <w:r w:rsidR="002C1529">
        <w:rPr>
          <w:rFonts w:ascii="Garamond" w:hAnsi="Garamond" w:cstheme="minorHAnsi"/>
          <w:sz w:val="24"/>
          <w:szCs w:val="24"/>
        </w:rPr>
        <w:t xml:space="preserve"> in support of his genealogy</w:t>
      </w:r>
      <w:r w:rsidRPr="00461D74">
        <w:rPr>
          <w:rFonts w:ascii="Garamond" w:hAnsi="Garamond" w:cstheme="minorHAnsi"/>
          <w:sz w:val="24"/>
          <w:szCs w:val="24"/>
        </w:rPr>
        <w:t>. What are these different claims? In the paper ‘Natural Law as Subversive: The Case of Aquinas</w:t>
      </w:r>
      <w:r w:rsidR="00897F20">
        <w:rPr>
          <w:rFonts w:ascii="Garamond" w:hAnsi="Garamond" w:cstheme="minorHAnsi"/>
          <w:sz w:val="24"/>
          <w:szCs w:val="24"/>
        </w:rPr>
        <w:t>,</w:t>
      </w:r>
      <w:r w:rsidRPr="00461D74">
        <w:rPr>
          <w:rFonts w:ascii="Garamond" w:hAnsi="Garamond" w:cstheme="minorHAnsi"/>
          <w:sz w:val="24"/>
          <w:szCs w:val="24"/>
        </w:rPr>
        <w:t xml:space="preserve"> MacIntyre’s describes Aquinas’ Natural Law account as a consequence of Aquinas’ synthesis of insights gathered from Aristotle and Augustine. Yet Aquinas’ explanation of natural law and natural reason, so it seems, gravitates towards a more modern conception of reason and law – one that is in an important sense un-Aristotelian. I will then suggest that in addition to those Renaissance Aristotelians, who on MacIntyre’s account share the blame for ultimately undermining Aristotelian ethics, </w:t>
      </w:r>
      <w:r w:rsidRPr="00461D74">
        <w:rPr>
          <w:rFonts w:ascii="Garamond" w:hAnsi="Garamond" w:cstheme="minorHAnsi"/>
          <w:i/>
          <w:iCs/>
          <w:sz w:val="24"/>
          <w:szCs w:val="24"/>
        </w:rPr>
        <w:t xml:space="preserve">Aquinas himself had likewise pulled away from important </w:t>
      </w:r>
      <w:r w:rsidR="002C1529">
        <w:rPr>
          <w:rFonts w:ascii="Garamond" w:hAnsi="Garamond" w:cstheme="minorHAnsi"/>
          <w:i/>
          <w:iCs/>
          <w:sz w:val="24"/>
          <w:szCs w:val="24"/>
        </w:rPr>
        <w:t>constitutive</w:t>
      </w:r>
      <w:r w:rsidR="002C1529" w:rsidRPr="00461D74">
        <w:rPr>
          <w:rFonts w:ascii="Garamond" w:hAnsi="Garamond" w:cstheme="minorHAnsi"/>
          <w:i/>
          <w:iCs/>
          <w:sz w:val="24"/>
          <w:szCs w:val="24"/>
        </w:rPr>
        <w:t xml:space="preserve"> </w:t>
      </w:r>
      <w:r w:rsidR="002C1529">
        <w:rPr>
          <w:rFonts w:ascii="Garamond" w:hAnsi="Garamond" w:cstheme="minorHAnsi"/>
          <w:i/>
          <w:iCs/>
          <w:sz w:val="24"/>
          <w:szCs w:val="24"/>
        </w:rPr>
        <w:t>aspects of</w:t>
      </w:r>
      <w:r w:rsidRPr="00461D74">
        <w:rPr>
          <w:rFonts w:ascii="Garamond" w:hAnsi="Garamond" w:cstheme="minorHAnsi"/>
          <w:i/>
          <w:iCs/>
          <w:sz w:val="24"/>
          <w:szCs w:val="24"/>
        </w:rPr>
        <w:t xml:space="preserve"> Aristotle’s ethics</w:t>
      </w:r>
      <w:r w:rsidRPr="00461D74">
        <w:rPr>
          <w:rFonts w:ascii="Garamond" w:hAnsi="Garamond" w:cstheme="minorHAnsi"/>
          <w:sz w:val="24"/>
          <w:szCs w:val="24"/>
        </w:rPr>
        <w:t xml:space="preserve">. Consequently, it is difficult to see why the former should be held responsible for misdirecting the Aristotelian tradition, unless we </w:t>
      </w:r>
      <w:r w:rsidR="007D3C30">
        <w:rPr>
          <w:rFonts w:ascii="Garamond" w:hAnsi="Garamond" w:cstheme="minorHAnsi"/>
          <w:sz w:val="24"/>
          <w:szCs w:val="24"/>
        </w:rPr>
        <w:t>also</w:t>
      </w:r>
      <w:r w:rsidR="007D3C30" w:rsidRPr="00461D74">
        <w:rPr>
          <w:rFonts w:ascii="Garamond" w:hAnsi="Garamond" w:cstheme="minorHAnsi"/>
          <w:sz w:val="24"/>
          <w:szCs w:val="24"/>
        </w:rPr>
        <w:t xml:space="preserve"> </w:t>
      </w:r>
      <w:r w:rsidR="007D3C30">
        <w:rPr>
          <w:rFonts w:ascii="Garamond" w:hAnsi="Garamond" w:cstheme="minorHAnsi"/>
          <w:sz w:val="24"/>
          <w:szCs w:val="24"/>
        </w:rPr>
        <w:t>accept</w:t>
      </w:r>
      <w:r w:rsidR="007D3C30" w:rsidRPr="00461D74">
        <w:rPr>
          <w:rFonts w:ascii="Garamond" w:hAnsi="Garamond" w:cstheme="minorHAnsi"/>
          <w:sz w:val="24"/>
          <w:szCs w:val="24"/>
        </w:rPr>
        <w:t xml:space="preserve"> </w:t>
      </w:r>
      <w:r w:rsidRPr="00461D74">
        <w:rPr>
          <w:rFonts w:ascii="Garamond" w:hAnsi="Garamond" w:cstheme="minorHAnsi"/>
          <w:sz w:val="24"/>
          <w:szCs w:val="24"/>
        </w:rPr>
        <w:t xml:space="preserve">that Aquinas is similarly blame-worthy for deviating from Aristotle. </w:t>
      </w:r>
      <w:r w:rsidR="002C1529">
        <w:rPr>
          <w:rFonts w:ascii="Garamond" w:hAnsi="Garamond" w:cstheme="minorHAnsi"/>
          <w:sz w:val="24"/>
          <w:szCs w:val="24"/>
        </w:rPr>
        <w:t xml:space="preserve">However, if </w:t>
      </w:r>
      <w:r w:rsidR="00EA4597">
        <w:rPr>
          <w:rFonts w:ascii="Garamond" w:hAnsi="Garamond" w:cstheme="minorHAnsi"/>
          <w:sz w:val="24"/>
          <w:szCs w:val="24"/>
        </w:rPr>
        <w:t>this is acknowledged</w:t>
      </w:r>
      <w:r w:rsidR="002C1529">
        <w:rPr>
          <w:rFonts w:ascii="Garamond" w:hAnsi="Garamond" w:cstheme="minorHAnsi"/>
          <w:sz w:val="24"/>
          <w:szCs w:val="24"/>
        </w:rPr>
        <w:t>,</w:t>
      </w:r>
      <w:r w:rsidR="002C1529" w:rsidRPr="00461D74">
        <w:rPr>
          <w:rFonts w:ascii="Garamond" w:hAnsi="Garamond" w:cstheme="minorHAnsi"/>
          <w:sz w:val="24"/>
          <w:szCs w:val="24"/>
        </w:rPr>
        <w:t xml:space="preserve"> </w:t>
      </w:r>
      <w:r w:rsidRPr="00461D74">
        <w:rPr>
          <w:rFonts w:ascii="Garamond" w:hAnsi="Garamond" w:cstheme="minorHAnsi"/>
          <w:sz w:val="24"/>
          <w:szCs w:val="24"/>
        </w:rPr>
        <w:t>the result</w:t>
      </w:r>
      <w:r w:rsidR="002C1529">
        <w:rPr>
          <w:rFonts w:ascii="Garamond" w:hAnsi="Garamond" w:cstheme="minorHAnsi"/>
          <w:sz w:val="24"/>
          <w:szCs w:val="24"/>
        </w:rPr>
        <w:t>s</w:t>
      </w:r>
      <w:r w:rsidRPr="00461D74">
        <w:rPr>
          <w:rFonts w:ascii="Garamond" w:hAnsi="Garamond" w:cstheme="minorHAnsi"/>
          <w:sz w:val="24"/>
          <w:szCs w:val="24"/>
        </w:rPr>
        <w:t xml:space="preserve"> of MacIntyre’s genealogy </w:t>
      </w:r>
      <w:r w:rsidR="002C1529">
        <w:rPr>
          <w:rFonts w:ascii="Garamond" w:hAnsi="Garamond" w:cstheme="minorHAnsi"/>
          <w:sz w:val="24"/>
          <w:szCs w:val="24"/>
        </w:rPr>
        <w:t>are</w:t>
      </w:r>
      <w:r w:rsidR="002C1529" w:rsidRPr="00461D74">
        <w:rPr>
          <w:rFonts w:ascii="Garamond" w:hAnsi="Garamond" w:cstheme="minorHAnsi"/>
          <w:sz w:val="24"/>
          <w:szCs w:val="24"/>
        </w:rPr>
        <w:t xml:space="preserve"> </w:t>
      </w:r>
      <w:r w:rsidRPr="00461D74">
        <w:rPr>
          <w:rFonts w:ascii="Garamond" w:hAnsi="Garamond" w:cstheme="minorHAnsi"/>
          <w:sz w:val="24"/>
          <w:szCs w:val="24"/>
        </w:rPr>
        <w:t xml:space="preserve">at best mixed, and on my view, </w:t>
      </w:r>
      <w:r w:rsidR="002C1529">
        <w:rPr>
          <w:rFonts w:ascii="Garamond" w:hAnsi="Garamond" w:cstheme="minorHAnsi"/>
          <w:sz w:val="24"/>
          <w:szCs w:val="24"/>
        </w:rPr>
        <w:t>this account doesn’t ultimately advance the goals it sets out to accomplish</w:t>
      </w:r>
      <w:r w:rsidRPr="00461D74">
        <w:rPr>
          <w:rFonts w:ascii="Garamond" w:hAnsi="Garamond" w:cstheme="minorHAnsi"/>
          <w:sz w:val="24"/>
          <w:szCs w:val="24"/>
        </w:rPr>
        <w:t>.</w:t>
      </w:r>
    </w:p>
    <w:p w:rsidR="00016049" w:rsidRPr="00461D74" w:rsidRDefault="00016049" w:rsidP="00164E4D">
      <w:pPr>
        <w:spacing w:after="200" w:line="360" w:lineRule="auto"/>
        <w:ind w:firstLine="720"/>
        <w:jc w:val="both"/>
        <w:rPr>
          <w:rFonts w:ascii="Garamond" w:hAnsi="Garamond" w:cstheme="minorHAnsi"/>
          <w:strike/>
          <w:sz w:val="24"/>
          <w:szCs w:val="24"/>
        </w:rPr>
      </w:pPr>
      <w:r w:rsidRPr="00461D74">
        <w:rPr>
          <w:rFonts w:ascii="Garamond" w:hAnsi="Garamond" w:cstheme="minorHAnsi"/>
          <w:sz w:val="24"/>
          <w:szCs w:val="24"/>
        </w:rPr>
        <w:t xml:space="preserve">I will therefore suggest that while MacIntyre’s genealogy sets out to offer an account of why the Thomistic tradition was marginalized, it isn’t terribly convincing. For example, if the Aristotelian-Thomistic tradition was in good order </w:t>
      </w:r>
      <w:r w:rsidRPr="00461D74">
        <w:rPr>
          <w:rFonts w:ascii="Garamond" w:hAnsi="Garamond" w:cstheme="minorHAnsi"/>
          <w:sz w:val="24"/>
          <w:szCs w:val="24"/>
        </w:rPr>
        <w:lastRenderedPageBreak/>
        <w:t xml:space="preserve">perhaps it wouldn’t have been corrupted by later Aristotelians; or perhaps because it was not able to deal with practical problems that emerged in the Renaissance, various attempts were made to modify the tradition, so that on the one hand it could be preserved, while on the other, it could be improved so as to become capable of addressing the new set of problems raised by the transition to the Renaissance. Another problem for MacIntyre is </w:t>
      </w:r>
      <w:r w:rsidR="00A76A5D">
        <w:rPr>
          <w:rFonts w:ascii="Garamond" w:hAnsi="Garamond" w:cstheme="minorHAnsi"/>
          <w:sz w:val="24"/>
          <w:szCs w:val="24"/>
        </w:rPr>
        <w:t>‘</w:t>
      </w:r>
      <w:r w:rsidRPr="00461D74">
        <w:rPr>
          <w:rFonts w:ascii="Garamond" w:hAnsi="Garamond" w:cstheme="minorHAnsi"/>
          <w:sz w:val="24"/>
          <w:szCs w:val="24"/>
        </w:rPr>
        <w:t>the story of science</w:t>
      </w:r>
      <w:r w:rsidR="00A76A5D">
        <w:rPr>
          <w:rFonts w:ascii="Garamond" w:hAnsi="Garamond" w:cstheme="minorHAnsi"/>
          <w:sz w:val="24"/>
          <w:szCs w:val="24"/>
        </w:rPr>
        <w:t>’</w:t>
      </w:r>
      <w:r w:rsidRPr="00461D74">
        <w:rPr>
          <w:rFonts w:ascii="Garamond" w:hAnsi="Garamond" w:cstheme="minorHAnsi"/>
          <w:sz w:val="24"/>
          <w:szCs w:val="24"/>
        </w:rPr>
        <w:t xml:space="preserve"> </w:t>
      </w:r>
      <w:r w:rsidR="00EA4597">
        <w:rPr>
          <w:rFonts w:ascii="Garamond" w:hAnsi="Garamond" w:cstheme="minorHAnsi"/>
          <w:sz w:val="24"/>
          <w:szCs w:val="24"/>
        </w:rPr>
        <w:t xml:space="preserve">which </w:t>
      </w:r>
      <w:r w:rsidRPr="00461D74">
        <w:rPr>
          <w:rFonts w:ascii="Garamond" w:hAnsi="Garamond" w:cstheme="minorHAnsi"/>
          <w:sz w:val="24"/>
          <w:szCs w:val="24"/>
        </w:rPr>
        <w:t>I outlined earlier</w:t>
      </w:r>
      <w:r w:rsidR="00A76A5D">
        <w:rPr>
          <w:rFonts w:ascii="Garamond" w:hAnsi="Garamond" w:cstheme="minorHAnsi"/>
          <w:sz w:val="24"/>
          <w:szCs w:val="24"/>
        </w:rPr>
        <w:t>, in virtue of the fact that it accentuates</w:t>
      </w:r>
      <w:r w:rsidRPr="00461D74">
        <w:rPr>
          <w:rFonts w:ascii="Garamond" w:hAnsi="Garamond" w:cstheme="minorHAnsi"/>
          <w:sz w:val="24"/>
          <w:szCs w:val="24"/>
        </w:rPr>
        <w:t xml:space="preserve"> the difficulties of preserving the metaphysics in the Thomistic tradition</w:t>
      </w:r>
      <w:r w:rsidR="00671685" w:rsidRPr="00461D74">
        <w:rPr>
          <w:rFonts w:ascii="Garamond" w:hAnsi="Garamond" w:cstheme="minorHAnsi"/>
          <w:sz w:val="24"/>
          <w:szCs w:val="24"/>
        </w:rPr>
        <w:t>,</w:t>
      </w:r>
      <w:r w:rsidRPr="00461D74">
        <w:rPr>
          <w:rFonts w:ascii="Garamond" w:hAnsi="Garamond" w:cstheme="minorHAnsi"/>
          <w:sz w:val="24"/>
          <w:szCs w:val="24"/>
        </w:rPr>
        <w:t xml:space="preserve"> </w:t>
      </w:r>
      <w:r w:rsidR="00A76A5D">
        <w:rPr>
          <w:rFonts w:ascii="Garamond" w:hAnsi="Garamond" w:cstheme="minorHAnsi"/>
          <w:sz w:val="24"/>
          <w:szCs w:val="24"/>
        </w:rPr>
        <w:t>since</w:t>
      </w:r>
      <w:r w:rsidR="00A76A5D" w:rsidRPr="00461D74">
        <w:rPr>
          <w:rFonts w:ascii="Garamond" w:hAnsi="Garamond" w:cstheme="minorHAnsi"/>
          <w:sz w:val="24"/>
          <w:szCs w:val="24"/>
        </w:rPr>
        <w:t xml:space="preserve"> </w:t>
      </w:r>
      <w:r w:rsidRPr="00461D74">
        <w:rPr>
          <w:rFonts w:ascii="Garamond" w:hAnsi="Garamond" w:cstheme="minorHAnsi"/>
          <w:sz w:val="24"/>
          <w:szCs w:val="24"/>
        </w:rPr>
        <w:t>it</w:t>
      </w:r>
      <w:r w:rsidR="00A76A5D">
        <w:rPr>
          <w:rFonts w:ascii="Garamond" w:hAnsi="Garamond" w:cstheme="minorHAnsi"/>
          <w:sz w:val="24"/>
          <w:szCs w:val="24"/>
        </w:rPr>
        <w:t xml:space="preserve">s </w:t>
      </w:r>
      <w:r w:rsidR="00EA4597">
        <w:rPr>
          <w:rFonts w:ascii="Garamond" w:hAnsi="Garamond" w:cstheme="minorHAnsi"/>
          <w:sz w:val="24"/>
          <w:szCs w:val="24"/>
        </w:rPr>
        <w:t xml:space="preserve">entire </w:t>
      </w:r>
      <w:r w:rsidR="00A76A5D">
        <w:rPr>
          <w:rFonts w:ascii="Garamond" w:hAnsi="Garamond" w:cstheme="minorHAnsi"/>
          <w:sz w:val="24"/>
          <w:szCs w:val="24"/>
        </w:rPr>
        <w:t>framework</w:t>
      </w:r>
      <w:r w:rsidRPr="00461D74">
        <w:rPr>
          <w:rFonts w:ascii="Garamond" w:hAnsi="Garamond" w:cstheme="minorHAnsi"/>
          <w:sz w:val="24"/>
          <w:szCs w:val="24"/>
        </w:rPr>
        <w:t xml:space="preserve"> </w:t>
      </w:r>
      <w:r w:rsidR="00A76A5D">
        <w:rPr>
          <w:rFonts w:ascii="Garamond" w:hAnsi="Garamond" w:cstheme="minorHAnsi"/>
          <w:sz w:val="24"/>
          <w:szCs w:val="24"/>
        </w:rPr>
        <w:t>came</w:t>
      </w:r>
      <w:r w:rsidRPr="00461D74">
        <w:rPr>
          <w:rFonts w:ascii="Garamond" w:hAnsi="Garamond" w:cstheme="minorHAnsi"/>
          <w:sz w:val="24"/>
          <w:szCs w:val="24"/>
        </w:rPr>
        <w:t xml:space="preserve"> to be viewed as problematic. And because the framework of </w:t>
      </w:r>
      <w:r w:rsidR="00EA4597">
        <w:rPr>
          <w:rFonts w:ascii="Garamond" w:hAnsi="Garamond" w:cstheme="minorHAnsi"/>
          <w:sz w:val="24"/>
          <w:szCs w:val="24"/>
        </w:rPr>
        <w:t xml:space="preserve">the </w:t>
      </w:r>
      <w:r w:rsidRPr="00461D74">
        <w:rPr>
          <w:rFonts w:ascii="Garamond" w:hAnsi="Garamond" w:cstheme="minorHAnsi"/>
          <w:sz w:val="24"/>
          <w:szCs w:val="24"/>
        </w:rPr>
        <w:t>Aristotelian-Thomistic tradition in ethics rested on important concepts that originated in Aristotle’s metaphysics and teleology, it is plausible to assume that the Aristotelian-Thomist ethics as a whole became philosophically problematic</w:t>
      </w:r>
      <w:r w:rsidR="00A76A5D">
        <w:rPr>
          <w:rFonts w:ascii="Garamond" w:hAnsi="Garamond" w:cstheme="minorHAnsi"/>
          <w:sz w:val="24"/>
          <w:szCs w:val="24"/>
        </w:rPr>
        <w:t>,</w:t>
      </w:r>
      <w:r w:rsidRPr="00461D74">
        <w:rPr>
          <w:rFonts w:ascii="Garamond" w:hAnsi="Garamond" w:cstheme="minorHAnsi"/>
          <w:sz w:val="24"/>
          <w:szCs w:val="24"/>
        </w:rPr>
        <w:t xml:space="preserve"> </w:t>
      </w:r>
      <w:r w:rsidR="00A76A5D">
        <w:rPr>
          <w:rFonts w:ascii="Garamond" w:hAnsi="Garamond" w:cstheme="minorHAnsi"/>
          <w:sz w:val="24"/>
          <w:szCs w:val="24"/>
        </w:rPr>
        <w:t xml:space="preserve">primarily </w:t>
      </w:r>
      <w:r w:rsidRPr="00461D74">
        <w:rPr>
          <w:rFonts w:ascii="Garamond" w:hAnsi="Garamond" w:cstheme="minorHAnsi"/>
          <w:sz w:val="24"/>
          <w:szCs w:val="24"/>
        </w:rPr>
        <w:t xml:space="preserve">for this reason rather than those identified by MacIntyre. </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Therefore, I will suggest that the MacIntyre</w:t>
      </w:r>
      <w:r w:rsidR="00671685" w:rsidRPr="00461D74">
        <w:rPr>
          <w:rFonts w:ascii="Garamond" w:hAnsi="Garamond" w:cstheme="minorHAnsi"/>
          <w:sz w:val="24"/>
          <w:szCs w:val="24"/>
        </w:rPr>
        <w:t>’s genealogy for the decline of Thomism</w:t>
      </w:r>
      <w:r w:rsidRPr="00461D74">
        <w:rPr>
          <w:rFonts w:ascii="Garamond" w:hAnsi="Garamond" w:cstheme="minorHAnsi"/>
          <w:sz w:val="24"/>
          <w:szCs w:val="24"/>
        </w:rPr>
        <w:t xml:space="preserve"> is inadequate, </w:t>
      </w:r>
      <w:r w:rsidR="00671685" w:rsidRPr="00461D74">
        <w:rPr>
          <w:rFonts w:ascii="Garamond" w:hAnsi="Garamond" w:cstheme="minorHAnsi"/>
          <w:sz w:val="24"/>
          <w:szCs w:val="24"/>
        </w:rPr>
        <w:t xml:space="preserve">because </w:t>
      </w:r>
      <w:r w:rsidRPr="00461D74">
        <w:rPr>
          <w:rFonts w:ascii="Garamond" w:hAnsi="Garamond" w:cstheme="minorHAnsi"/>
          <w:sz w:val="24"/>
          <w:szCs w:val="24"/>
        </w:rPr>
        <w:t xml:space="preserve">it </w:t>
      </w:r>
      <w:r w:rsidR="00671685" w:rsidRPr="00461D74">
        <w:rPr>
          <w:rFonts w:ascii="Garamond" w:hAnsi="Garamond" w:cstheme="minorHAnsi"/>
          <w:sz w:val="24"/>
          <w:szCs w:val="24"/>
        </w:rPr>
        <w:t xml:space="preserve">is </w:t>
      </w:r>
      <w:r w:rsidRPr="00461D74">
        <w:rPr>
          <w:rFonts w:ascii="Garamond" w:hAnsi="Garamond" w:cstheme="minorHAnsi"/>
          <w:sz w:val="24"/>
          <w:szCs w:val="24"/>
        </w:rPr>
        <w:t xml:space="preserve">not </w:t>
      </w:r>
      <w:r w:rsidR="00671685" w:rsidRPr="00461D74">
        <w:rPr>
          <w:rFonts w:ascii="Garamond" w:hAnsi="Garamond" w:cstheme="minorHAnsi"/>
          <w:sz w:val="24"/>
          <w:szCs w:val="24"/>
        </w:rPr>
        <w:t xml:space="preserve">able to </w:t>
      </w:r>
      <w:r w:rsidRPr="00461D74">
        <w:rPr>
          <w:rFonts w:ascii="Garamond" w:hAnsi="Garamond" w:cstheme="minorHAnsi"/>
          <w:sz w:val="24"/>
          <w:szCs w:val="24"/>
        </w:rPr>
        <w:t xml:space="preserve">resolve the first tension or difficulty which I alluded to earlier: namely, MacIntyre has to explain </w:t>
      </w:r>
      <w:r w:rsidRPr="00461D74">
        <w:rPr>
          <w:rFonts w:ascii="Garamond" w:hAnsi="Garamond" w:cstheme="minorHAnsi"/>
          <w:i/>
          <w:sz w:val="24"/>
          <w:szCs w:val="24"/>
        </w:rPr>
        <w:t>why Thomism has been displaced in the historical narrative account of tradition-guided moral inquiry</w:t>
      </w:r>
      <w:r w:rsidRPr="00461D74">
        <w:rPr>
          <w:rFonts w:ascii="Garamond" w:hAnsi="Garamond" w:cstheme="minorHAnsi"/>
          <w:sz w:val="24"/>
          <w:szCs w:val="24"/>
        </w:rPr>
        <w:t>? Finally, I will argue that the genealogical account MacIntyre provides in ‘Rival Aristotle’s: Aristotle Against Some Renaissance Aristotelians</w:t>
      </w:r>
      <w:r w:rsidR="001A0931">
        <w:rPr>
          <w:rFonts w:ascii="Garamond" w:hAnsi="Garamond" w:cstheme="minorHAnsi"/>
          <w:sz w:val="24"/>
          <w:szCs w:val="24"/>
        </w:rPr>
        <w:t>,</w:t>
      </w:r>
      <w:r w:rsidRPr="00461D74">
        <w:rPr>
          <w:rFonts w:ascii="Garamond" w:hAnsi="Garamond" w:cstheme="minorHAnsi"/>
          <w:sz w:val="24"/>
          <w:szCs w:val="24"/>
        </w:rPr>
        <w:t xml:space="preserve">’ while it </w:t>
      </w:r>
      <w:r w:rsidR="001A0931">
        <w:rPr>
          <w:rFonts w:ascii="Garamond" w:hAnsi="Garamond" w:cstheme="minorHAnsi"/>
          <w:sz w:val="24"/>
          <w:szCs w:val="24"/>
        </w:rPr>
        <w:t>advances</w:t>
      </w:r>
      <w:r w:rsidRPr="00461D74">
        <w:rPr>
          <w:rFonts w:ascii="Garamond" w:hAnsi="Garamond" w:cstheme="minorHAnsi"/>
          <w:sz w:val="24"/>
          <w:szCs w:val="24"/>
        </w:rPr>
        <w:t xml:space="preserve"> a possible answer </w:t>
      </w:r>
      <w:r w:rsidR="00BC6097">
        <w:rPr>
          <w:rFonts w:ascii="Garamond" w:hAnsi="Garamond" w:cstheme="minorHAnsi"/>
          <w:sz w:val="24"/>
          <w:szCs w:val="24"/>
        </w:rPr>
        <w:t xml:space="preserve">as </w:t>
      </w:r>
      <w:r w:rsidRPr="00461D74">
        <w:rPr>
          <w:rFonts w:ascii="Garamond" w:hAnsi="Garamond" w:cstheme="minorHAnsi"/>
          <w:sz w:val="24"/>
          <w:szCs w:val="24"/>
        </w:rPr>
        <w:t>to why the Aristotelian-Thomistic account and especially its teleology was marginalized, nonetheless suffers from the fact that in other places,</w:t>
      </w:r>
      <w:r w:rsidRPr="00461D74">
        <w:rPr>
          <w:rStyle w:val="FootnoteReference"/>
          <w:rFonts w:ascii="Garamond" w:hAnsi="Garamond" w:cstheme="minorHAnsi"/>
          <w:sz w:val="24"/>
          <w:szCs w:val="24"/>
        </w:rPr>
        <w:footnoteReference w:id="186"/>
      </w:r>
      <w:r w:rsidRPr="00461D74">
        <w:rPr>
          <w:rFonts w:ascii="Garamond" w:hAnsi="Garamond" w:cstheme="minorHAnsi"/>
          <w:sz w:val="24"/>
          <w:szCs w:val="24"/>
        </w:rPr>
        <w:t xml:space="preserve"> MacIntyre’s account appears to offer </w:t>
      </w:r>
      <w:r w:rsidR="001A0931">
        <w:rPr>
          <w:rFonts w:ascii="Garamond" w:hAnsi="Garamond" w:cstheme="minorHAnsi"/>
          <w:sz w:val="24"/>
          <w:szCs w:val="24"/>
        </w:rPr>
        <w:t xml:space="preserve">potential </w:t>
      </w:r>
      <w:r w:rsidRPr="00461D74">
        <w:rPr>
          <w:rFonts w:ascii="Garamond" w:hAnsi="Garamond" w:cstheme="minorHAnsi"/>
          <w:sz w:val="24"/>
          <w:szCs w:val="24"/>
        </w:rPr>
        <w:t xml:space="preserve">counter-examples that undermine </w:t>
      </w:r>
      <w:r w:rsidR="001A0931">
        <w:rPr>
          <w:rFonts w:ascii="Garamond" w:hAnsi="Garamond" w:cstheme="minorHAnsi"/>
          <w:sz w:val="24"/>
          <w:szCs w:val="24"/>
        </w:rPr>
        <w:t>the sort of arguments he offers in his genealogy</w:t>
      </w:r>
      <w:r w:rsidR="00721A9B">
        <w:rPr>
          <w:rFonts w:ascii="Garamond" w:hAnsi="Garamond" w:cstheme="minorHAnsi"/>
          <w:sz w:val="24"/>
          <w:szCs w:val="24"/>
        </w:rPr>
        <w:t>, f</w:t>
      </w:r>
      <w:r w:rsidRPr="00461D74">
        <w:rPr>
          <w:rFonts w:ascii="Garamond" w:hAnsi="Garamond" w:cstheme="minorHAnsi"/>
          <w:sz w:val="24"/>
          <w:szCs w:val="24"/>
        </w:rPr>
        <w:t xml:space="preserve">or it appears that Aquinas </w:t>
      </w:r>
      <w:r w:rsidR="00721A9B">
        <w:rPr>
          <w:rFonts w:ascii="Garamond" w:hAnsi="Garamond" w:cstheme="minorHAnsi"/>
          <w:sz w:val="24"/>
          <w:szCs w:val="24"/>
        </w:rPr>
        <w:t xml:space="preserve">himself </w:t>
      </w:r>
      <w:r w:rsidR="00721A9B" w:rsidRPr="00461D74">
        <w:rPr>
          <w:rFonts w:ascii="Garamond" w:hAnsi="Garamond" w:cstheme="minorHAnsi"/>
          <w:sz w:val="24"/>
          <w:szCs w:val="24"/>
        </w:rPr>
        <w:t>had</w:t>
      </w:r>
      <w:r w:rsidR="0019170F">
        <w:rPr>
          <w:rFonts w:ascii="Garamond" w:hAnsi="Garamond" w:cstheme="minorHAnsi"/>
          <w:sz w:val="24"/>
          <w:szCs w:val="24"/>
        </w:rPr>
        <w:t xml:space="preserve"> </w:t>
      </w:r>
      <w:r w:rsidRPr="00461D74">
        <w:rPr>
          <w:rFonts w:ascii="Garamond" w:hAnsi="Garamond" w:cstheme="minorHAnsi"/>
          <w:sz w:val="24"/>
          <w:szCs w:val="24"/>
        </w:rPr>
        <w:t xml:space="preserve">conceptually </w:t>
      </w:r>
      <w:r w:rsidR="00721A9B">
        <w:rPr>
          <w:rFonts w:ascii="Garamond" w:hAnsi="Garamond" w:cstheme="minorHAnsi"/>
          <w:sz w:val="24"/>
          <w:szCs w:val="24"/>
        </w:rPr>
        <w:t>distanced his account</w:t>
      </w:r>
      <w:r w:rsidR="00721A9B" w:rsidRPr="00461D74">
        <w:rPr>
          <w:rFonts w:ascii="Garamond" w:hAnsi="Garamond" w:cstheme="minorHAnsi"/>
          <w:sz w:val="24"/>
          <w:szCs w:val="24"/>
        </w:rPr>
        <w:t xml:space="preserve"> </w:t>
      </w:r>
      <w:r w:rsidRPr="00461D74">
        <w:rPr>
          <w:rFonts w:ascii="Garamond" w:hAnsi="Garamond" w:cstheme="minorHAnsi"/>
          <w:sz w:val="24"/>
          <w:szCs w:val="24"/>
        </w:rPr>
        <w:t>from a</w:t>
      </w:r>
      <w:r w:rsidR="0019170F">
        <w:rPr>
          <w:rFonts w:ascii="Garamond" w:hAnsi="Garamond" w:cstheme="minorHAnsi"/>
          <w:sz w:val="24"/>
          <w:szCs w:val="24"/>
        </w:rPr>
        <w:t>n orthodox</w:t>
      </w:r>
      <w:r w:rsidRPr="00461D74">
        <w:rPr>
          <w:rFonts w:ascii="Garamond" w:hAnsi="Garamond" w:cstheme="minorHAnsi"/>
          <w:sz w:val="24"/>
          <w:szCs w:val="24"/>
        </w:rPr>
        <w:t xml:space="preserve"> Aristotelian </w:t>
      </w:r>
      <w:r w:rsidR="00721A9B">
        <w:rPr>
          <w:rFonts w:ascii="Garamond" w:hAnsi="Garamond" w:cstheme="minorHAnsi"/>
          <w:sz w:val="24"/>
          <w:szCs w:val="24"/>
        </w:rPr>
        <w:t>conception</w:t>
      </w:r>
      <w:r w:rsidR="00721A9B" w:rsidRPr="00461D74">
        <w:rPr>
          <w:rFonts w:ascii="Garamond" w:hAnsi="Garamond" w:cstheme="minorHAnsi"/>
          <w:sz w:val="24"/>
          <w:szCs w:val="24"/>
        </w:rPr>
        <w:t xml:space="preserve"> </w:t>
      </w:r>
      <w:r w:rsidRPr="00461D74">
        <w:rPr>
          <w:rFonts w:ascii="Garamond" w:hAnsi="Garamond" w:cstheme="minorHAnsi"/>
          <w:sz w:val="24"/>
          <w:szCs w:val="24"/>
        </w:rPr>
        <w:t>of ethics.</w:t>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I will </w:t>
      </w:r>
      <w:r w:rsidR="0019170F">
        <w:rPr>
          <w:rFonts w:ascii="Garamond" w:hAnsi="Garamond" w:cstheme="minorHAnsi"/>
          <w:sz w:val="24"/>
          <w:szCs w:val="24"/>
        </w:rPr>
        <w:t xml:space="preserve">then </w:t>
      </w:r>
      <w:r w:rsidRPr="00461D74">
        <w:rPr>
          <w:rFonts w:ascii="Garamond" w:hAnsi="Garamond" w:cstheme="minorHAnsi"/>
          <w:sz w:val="24"/>
          <w:szCs w:val="24"/>
        </w:rPr>
        <w:t>argue that the conceptual positions that are taken up by Renaissance Aristotelians are not dramatically different in form from those taken up earlier by Aquinas; and that they can be viewed as a natural progression from the account offered by Aquinas. The upshot of this claim is that it potentially undermines the purpose of MacIntyre’s genealogy. While it is still the case that MacIntyre’s genealogy offers us a possible descriptive account for the marginalization of Aristotelian-Thomism, and especially, the functional/teleological view of human nature, it fails to provide us</w:t>
      </w:r>
      <w:r w:rsidR="00721A64" w:rsidRPr="00461D74">
        <w:rPr>
          <w:rFonts w:ascii="Garamond" w:hAnsi="Garamond" w:cstheme="minorHAnsi"/>
          <w:sz w:val="24"/>
          <w:szCs w:val="24"/>
        </w:rPr>
        <w:t xml:space="preserve"> with</w:t>
      </w:r>
      <w:r w:rsidRPr="00461D74">
        <w:rPr>
          <w:rFonts w:ascii="Garamond" w:hAnsi="Garamond" w:cstheme="minorHAnsi"/>
          <w:sz w:val="24"/>
          <w:szCs w:val="24"/>
        </w:rPr>
        <w:t xml:space="preserve"> the sort of explanation that could potentially challenge </w:t>
      </w:r>
      <w:r w:rsidR="00D568DE" w:rsidRPr="00461D74">
        <w:rPr>
          <w:rFonts w:ascii="Garamond" w:hAnsi="Garamond" w:cstheme="minorHAnsi"/>
          <w:sz w:val="24"/>
          <w:szCs w:val="24"/>
        </w:rPr>
        <w:t>the</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Humean</w:t>
      </w:r>
      <w:proofErr w:type="spellEnd"/>
      <w:r w:rsidRPr="00461D74">
        <w:rPr>
          <w:rFonts w:ascii="Garamond" w:hAnsi="Garamond" w:cstheme="minorHAnsi"/>
          <w:sz w:val="24"/>
          <w:szCs w:val="24"/>
        </w:rPr>
        <w:t xml:space="preserve"> premises from which the distinction between ‘is’ and ‘ought’, and ‘fact’ and ‘value’, emerged.</w:t>
      </w:r>
      <w:r w:rsidR="00DA73D7">
        <w:rPr>
          <w:rStyle w:val="FootnoteReference"/>
          <w:rFonts w:ascii="Garamond" w:hAnsi="Garamond" w:cstheme="minorHAnsi"/>
          <w:sz w:val="24"/>
          <w:szCs w:val="24"/>
        </w:rPr>
        <w:footnoteReference w:id="187"/>
      </w:r>
      <w:r w:rsidRPr="00461D74">
        <w:rPr>
          <w:rFonts w:ascii="Garamond" w:hAnsi="Garamond" w:cstheme="minorHAnsi"/>
          <w:sz w:val="24"/>
          <w:szCs w:val="24"/>
        </w:rPr>
        <w:t xml:space="preserve"> And since MacIntyre’s goal is the </w:t>
      </w:r>
      <w:r w:rsidR="00953BCA">
        <w:rPr>
          <w:rFonts w:ascii="Garamond" w:hAnsi="Garamond" w:cstheme="minorHAnsi"/>
          <w:sz w:val="24"/>
          <w:szCs w:val="24"/>
        </w:rPr>
        <w:t>revival</w:t>
      </w:r>
      <w:r w:rsidR="00953BCA" w:rsidRPr="00461D74">
        <w:rPr>
          <w:rFonts w:ascii="Garamond" w:hAnsi="Garamond" w:cstheme="minorHAnsi"/>
          <w:sz w:val="24"/>
          <w:szCs w:val="24"/>
        </w:rPr>
        <w:t xml:space="preserve"> </w:t>
      </w:r>
      <w:r w:rsidRPr="00461D74">
        <w:rPr>
          <w:rFonts w:ascii="Garamond" w:hAnsi="Garamond" w:cstheme="minorHAnsi"/>
          <w:sz w:val="24"/>
          <w:szCs w:val="24"/>
        </w:rPr>
        <w:t>of t</w:t>
      </w:r>
      <w:r w:rsidR="00D568DE" w:rsidRPr="00461D74">
        <w:rPr>
          <w:rFonts w:ascii="Garamond" w:hAnsi="Garamond" w:cstheme="minorHAnsi"/>
          <w:sz w:val="24"/>
          <w:szCs w:val="24"/>
        </w:rPr>
        <w:t>eleolog</w:t>
      </w:r>
      <w:r w:rsidR="00953BCA">
        <w:rPr>
          <w:rFonts w:ascii="Garamond" w:hAnsi="Garamond" w:cstheme="minorHAnsi"/>
          <w:sz w:val="24"/>
          <w:szCs w:val="24"/>
        </w:rPr>
        <w:t>ical (or functional) forms of explanation</w:t>
      </w:r>
      <w:r w:rsidR="00D568DE" w:rsidRPr="00461D74">
        <w:rPr>
          <w:rFonts w:ascii="Garamond" w:hAnsi="Garamond" w:cstheme="minorHAnsi"/>
          <w:sz w:val="24"/>
          <w:szCs w:val="24"/>
        </w:rPr>
        <w:t xml:space="preserve"> </w:t>
      </w:r>
      <w:r w:rsidR="00953BCA">
        <w:rPr>
          <w:rFonts w:ascii="Garamond" w:hAnsi="Garamond" w:cstheme="minorHAnsi"/>
          <w:sz w:val="24"/>
          <w:szCs w:val="24"/>
        </w:rPr>
        <w:t xml:space="preserve">with respect to </w:t>
      </w:r>
      <w:r w:rsidRPr="00461D74">
        <w:rPr>
          <w:rFonts w:ascii="Garamond" w:hAnsi="Garamond" w:cstheme="minorHAnsi"/>
          <w:sz w:val="24"/>
          <w:szCs w:val="24"/>
        </w:rPr>
        <w:t>human nature</w:t>
      </w:r>
      <w:r w:rsidR="00953BCA">
        <w:rPr>
          <w:rFonts w:ascii="Garamond" w:hAnsi="Garamond" w:cstheme="minorHAnsi"/>
          <w:sz w:val="24"/>
          <w:szCs w:val="24"/>
        </w:rPr>
        <w:t xml:space="preserve"> and the human good</w:t>
      </w:r>
      <w:r w:rsidRPr="00461D74">
        <w:rPr>
          <w:rFonts w:ascii="Garamond" w:hAnsi="Garamond" w:cstheme="minorHAnsi"/>
          <w:sz w:val="24"/>
          <w:szCs w:val="24"/>
        </w:rPr>
        <w:t>, the failure of his genealogy to effectively challenge</w:t>
      </w:r>
      <w:r w:rsidR="00D568DE" w:rsidRPr="00461D74">
        <w:rPr>
          <w:rFonts w:ascii="Garamond" w:hAnsi="Garamond" w:cstheme="minorHAnsi"/>
          <w:sz w:val="24"/>
          <w:szCs w:val="24"/>
        </w:rPr>
        <w:t xml:space="preserve"> Hume’s premises </w:t>
      </w:r>
      <w:r w:rsidR="00093710">
        <w:rPr>
          <w:rFonts w:ascii="Garamond" w:hAnsi="Garamond" w:cstheme="minorHAnsi"/>
          <w:sz w:val="24"/>
          <w:szCs w:val="24"/>
        </w:rPr>
        <w:t>which</w:t>
      </w:r>
      <w:r w:rsidR="00D568DE" w:rsidRPr="00461D74">
        <w:rPr>
          <w:rFonts w:ascii="Garamond" w:hAnsi="Garamond" w:cstheme="minorHAnsi"/>
          <w:sz w:val="24"/>
          <w:szCs w:val="24"/>
        </w:rPr>
        <w:t xml:space="preserve"> underwrite</w:t>
      </w:r>
      <w:r w:rsidRPr="00461D74">
        <w:rPr>
          <w:rFonts w:ascii="Garamond" w:hAnsi="Garamond" w:cstheme="minorHAnsi"/>
          <w:sz w:val="24"/>
          <w:szCs w:val="24"/>
        </w:rPr>
        <w:t xml:space="preserve"> </w:t>
      </w:r>
      <w:r w:rsidR="00D568DE" w:rsidRPr="00461D74">
        <w:rPr>
          <w:rFonts w:ascii="Garamond" w:hAnsi="Garamond" w:cstheme="minorHAnsi"/>
          <w:sz w:val="24"/>
          <w:szCs w:val="24"/>
        </w:rPr>
        <w:t xml:space="preserve">the </w:t>
      </w:r>
      <w:r w:rsidR="00456918" w:rsidRPr="00461D74">
        <w:rPr>
          <w:rFonts w:ascii="Garamond" w:hAnsi="Garamond" w:cstheme="minorHAnsi"/>
          <w:sz w:val="24"/>
          <w:szCs w:val="24"/>
        </w:rPr>
        <w:t>‘fact/value’</w:t>
      </w:r>
      <w:r w:rsidR="00D568DE" w:rsidRPr="00461D74">
        <w:rPr>
          <w:rFonts w:ascii="Garamond" w:hAnsi="Garamond" w:cstheme="minorHAnsi"/>
          <w:sz w:val="24"/>
          <w:szCs w:val="24"/>
        </w:rPr>
        <w:t xml:space="preserve"> and the </w:t>
      </w:r>
      <w:r w:rsidR="00456918" w:rsidRPr="00461D74">
        <w:rPr>
          <w:rFonts w:ascii="Garamond" w:hAnsi="Garamond" w:cstheme="minorHAnsi"/>
          <w:sz w:val="24"/>
          <w:szCs w:val="24"/>
        </w:rPr>
        <w:t>‘</w:t>
      </w:r>
      <w:r w:rsidR="00D568DE" w:rsidRPr="00461D74">
        <w:rPr>
          <w:rFonts w:ascii="Garamond" w:hAnsi="Garamond" w:cstheme="minorHAnsi"/>
          <w:sz w:val="24"/>
          <w:szCs w:val="24"/>
        </w:rPr>
        <w:t>science</w:t>
      </w:r>
      <w:r w:rsidR="00456918" w:rsidRPr="00461D74">
        <w:rPr>
          <w:rFonts w:ascii="Garamond" w:hAnsi="Garamond" w:cstheme="minorHAnsi"/>
          <w:sz w:val="24"/>
          <w:szCs w:val="24"/>
        </w:rPr>
        <w:t>/</w:t>
      </w:r>
      <w:r w:rsidR="00D568DE" w:rsidRPr="00461D74">
        <w:rPr>
          <w:rFonts w:ascii="Garamond" w:hAnsi="Garamond" w:cstheme="minorHAnsi"/>
          <w:sz w:val="24"/>
          <w:szCs w:val="24"/>
        </w:rPr>
        <w:t>ethics</w:t>
      </w:r>
      <w:r w:rsidR="00456918" w:rsidRPr="00461D74">
        <w:rPr>
          <w:rFonts w:ascii="Garamond" w:hAnsi="Garamond" w:cstheme="minorHAnsi"/>
          <w:sz w:val="24"/>
          <w:szCs w:val="24"/>
        </w:rPr>
        <w:t>’</w:t>
      </w:r>
      <w:r w:rsidR="00D568DE" w:rsidRPr="00461D74">
        <w:rPr>
          <w:rFonts w:ascii="Garamond" w:hAnsi="Garamond" w:cstheme="minorHAnsi"/>
          <w:sz w:val="24"/>
          <w:szCs w:val="24"/>
        </w:rPr>
        <w:t xml:space="preserve"> distinctions, limits the possibilities </w:t>
      </w:r>
      <w:r w:rsidR="00953BCA">
        <w:rPr>
          <w:rFonts w:ascii="Garamond" w:hAnsi="Garamond" w:cstheme="minorHAnsi"/>
          <w:sz w:val="24"/>
          <w:szCs w:val="24"/>
        </w:rPr>
        <w:t>that his account can successfully defend</w:t>
      </w:r>
      <w:r w:rsidR="00D568DE" w:rsidRPr="00461D74">
        <w:rPr>
          <w:rFonts w:ascii="Garamond" w:hAnsi="Garamond" w:cstheme="minorHAnsi"/>
          <w:sz w:val="24"/>
          <w:szCs w:val="24"/>
        </w:rPr>
        <w:t xml:space="preserve"> </w:t>
      </w:r>
      <w:r w:rsidR="00953BCA">
        <w:rPr>
          <w:rFonts w:ascii="Garamond" w:hAnsi="Garamond" w:cstheme="minorHAnsi"/>
          <w:sz w:val="24"/>
          <w:szCs w:val="24"/>
        </w:rPr>
        <w:t>that sort of view</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88"/>
      </w:r>
    </w:p>
    <w:p w:rsidR="00016049"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now </w:t>
      </w:r>
      <w:r w:rsidR="003C3578" w:rsidRPr="00461D74">
        <w:rPr>
          <w:rFonts w:ascii="Garamond" w:hAnsi="Garamond" w:cstheme="minorHAnsi"/>
          <w:sz w:val="24"/>
          <w:szCs w:val="24"/>
        </w:rPr>
        <w:t>turn to the consideration of</w:t>
      </w:r>
      <w:r w:rsidRPr="00461D74">
        <w:rPr>
          <w:rFonts w:ascii="Garamond" w:hAnsi="Garamond" w:cstheme="minorHAnsi"/>
          <w:sz w:val="24"/>
          <w:szCs w:val="24"/>
        </w:rPr>
        <w:t xml:space="preserve"> MacIntyre’s </w:t>
      </w:r>
      <w:r w:rsidR="003C3578" w:rsidRPr="00461D74">
        <w:rPr>
          <w:rFonts w:ascii="Garamond" w:hAnsi="Garamond" w:cstheme="minorHAnsi"/>
          <w:sz w:val="24"/>
          <w:szCs w:val="24"/>
        </w:rPr>
        <w:t>account in</w:t>
      </w:r>
      <w:r w:rsidRPr="00461D74">
        <w:rPr>
          <w:rFonts w:ascii="Garamond" w:hAnsi="Garamond" w:cstheme="minorHAnsi"/>
          <w:sz w:val="24"/>
          <w:szCs w:val="24"/>
        </w:rPr>
        <w:t xml:space="preserve"> ‘Rival Aristotle’s: Aristotle </w:t>
      </w:r>
      <w:proofErr w:type="gramStart"/>
      <w:r w:rsidRPr="00461D74">
        <w:rPr>
          <w:rFonts w:ascii="Garamond" w:hAnsi="Garamond" w:cstheme="minorHAnsi"/>
          <w:sz w:val="24"/>
          <w:szCs w:val="24"/>
        </w:rPr>
        <w:t>Against</w:t>
      </w:r>
      <w:proofErr w:type="gramEnd"/>
      <w:r w:rsidRPr="00461D74">
        <w:rPr>
          <w:rFonts w:ascii="Garamond" w:hAnsi="Garamond" w:cstheme="minorHAnsi"/>
          <w:sz w:val="24"/>
          <w:szCs w:val="24"/>
        </w:rPr>
        <w:t xml:space="preserve"> Some Renaissance Aristotelians</w:t>
      </w:r>
      <w:r w:rsidR="00EE1E8B">
        <w:rPr>
          <w:rFonts w:ascii="Garamond" w:hAnsi="Garamond" w:cstheme="minorHAnsi"/>
          <w:sz w:val="24"/>
          <w:szCs w:val="24"/>
        </w:rPr>
        <w:t>,</w:t>
      </w:r>
      <w:r w:rsidRPr="00461D74">
        <w:rPr>
          <w:rFonts w:ascii="Garamond" w:hAnsi="Garamond" w:cstheme="minorHAnsi"/>
          <w:sz w:val="24"/>
          <w:szCs w:val="24"/>
        </w:rPr>
        <w:t xml:space="preserve">’ a paper which I take to be a brief </w:t>
      </w:r>
      <w:r w:rsidR="003C3578" w:rsidRPr="00461D74">
        <w:rPr>
          <w:rFonts w:ascii="Garamond" w:hAnsi="Garamond" w:cstheme="minorHAnsi"/>
          <w:sz w:val="24"/>
          <w:szCs w:val="24"/>
        </w:rPr>
        <w:t xml:space="preserve">historical (or </w:t>
      </w:r>
      <w:r w:rsidRPr="00461D74">
        <w:rPr>
          <w:rFonts w:ascii="Garamond" w:hAnsi="Garamond" w:cstheme="minorHAnsi"/>
          <w:sz w:val="24"/>
          <w:szCs w:val="24"/>
        </w:rPr>
        <w:t>genealogical</w:t>
      </w:r>
      <w:r w:rsidR="003C3578" w:rsidRPr="00461D74">
        <w:rPr>
          <w:rFonts w:ascii="Garamond" w:hAnsi="Garamond" w:cstheme="minorHAnsi"/>
          <w:sz w:val="24"/>
          <w:szCs w:val="24"/>
        </w:rPr>
        <w:t>)</w:t>
      </w:r>
      <w:r w:rsidRPr="00461D74">
        <w:rPr>
          <w:rFonts w:ascii="Garamond" w:hAnsi="Garamond" w:cstheme="minorHAnsi"/>
          <w:sz w:val="24"/>
          <w:szCs w:val="24"/>
        </w:rPr>
        <w:t xml:space="preserve"> account for the decline of the Aristotelian-Thomistic tradition. </w:t>
      </w:r>
      <w:r w:rsidR="003C3578" w:rsidRPr="00461D74">
        <w:rPr>
          <w:rFonts w:ascii="Garamond" w:hAnsi="Garamond" w:cstheme="minorHAnsi"/>
          <w:sz w:val="24"/>
          <w:szCs w:val="24"/>
        </w:rPr>
        <w:t xml:space="preserve">Here, </w:t>
      </w:r>
      <w:r w:rsidRPr="00461D74">
        <w:rPr>
          <w:rFonts w:ascii="Garamond" w:hAnsi="Garamond" w:cstheme="minorHAnsi"/>
          <w:sz w:val="24"/>
          <w:szCs w:val="24"/>
        </w:rPr>
        <w:t xml:space="preserve">I will consider MacIntyre’s argument to see </w:t>
      </w:r>
      <w:r w:rsidR="003C3578" w:rsidRPr="00461D74">
        <w:rPr>
          <w:rFonts w:ascii="Garamond" w:hAnsi="Garamond" w:cstheme="minorHAnsi"/>
          <w:sz w:val="24"/>
          <w:szCs w:val="24"/>
        </w:rPr>
        <w:t xml:space="preserve">whether </w:t>
      </w:r>
      <w:r w:rsidRPr="00461D74">
        <w:rPr>
          <w:rFonts w:ascii="Garamond" w:hAnsi="Garamond" w:cstheme="minorHAnsi"/>
          <w:sz w:val="24"/>
          <w:szCs w:val="24"/>
        </w:rPr>
        <w:t xml:space="preserve">MacIntyre succeeds in </w:t>
      </w:r>
      <w:r w:rsidR="003C3578" w:rsidRPr="00461D74">
        <w:rPr>
          <w:rFonts w:ascii="Garamond" w:hAnsi="Garamond" w:cstheme="minorHAnsi"/>
          <w:sz w:val="24"/>
          <w:szCs w:val="24"/>
        </w:rPr>
        <w:t>offering a compelling</w:t>
      </w:r>
      <w:r w:rsidRPr="00461D74">
        <w:rPr>
          <w:rFonts w:ascii="Garamond" w:hAnsi="Garamond" w:cstheme="minorHAnsi"/>
          <w:sz w:val="24"/>
          <w:szCs w:val="24"/>
        </w:rPr>
        <w:t xml:space="preserve"> </w:t>
      </w:r>
      <w:r w:rsidR="003C3578" w:rsidRPr="00461D74">
        <w:rPr>
          <w:rFonts w:ascii="Garamond" w:hAnsi="Garamond" w:cstheme="minorHAnsi"/>
          <w:sz w:val="24"/>
          <w:szCs w:val="24"/>
        </w:rPr>
        <w:t>argument for the mistaken (or wrongful) marginalisation of</w:t>
      </w:r>
      <w:r w:rsidRPr="00461D74">
        <w:rPr>
          <w:rFonts w:ascii="Garamond" w:hAnsi="Garamond" w:cstheme="minorHAnsi"/>
          <w:sz w:val="24"/>
          <w:szCs w:val="24"/>
        </w:rPr>
        <w:t xml:space="preserve"> </w:t>
      </w:r>
      <w:r w:rsidR="003C3578" w:rsidRPr="00461D74">
        <w:rPr>
          <w:rFonts w:ascii="Garamond" w:hAnsi="Garamond" w:cstheme="minorHAnsi"/>
          <w:sz w:val="24"/>
          <w:szCs w:val="24"/>
        </w:rPr>
        <w:t xml:space="preserve">the </w:t>
      </w:r>
      <w:r w:rsidRPr="00461D74">
        <w:rPr>
          <w:rFonts w:ascii="Garamond" w:hAnsi="Garamond" w:cstheme="minorHAnsi"/>
          <w:sz w:val="24"/>
          <w:szCs w:val="24"/>
        </w:rPr>
        <w:t xml:space="preserve">Aristotelian-Thomistic tradition. </w:t>
      </w:r>
      <w:r w:rsidR="003C3578" w:rsidRPr="00461D74">
        <w:rPr>
          <w:rFonts w:ascii="Garamond" w:hAnsi="Garamond" w:cstheme="minorHAnsi"/>
          <w:sz w:val="24"/>
          <w:szCs w:val="24"/>
        </w:rPr>
        <w:t xml:space="preserve">A persuasive explanation by MacIntyre could potentially present us with a resolution of the first difficulty (or </w:t>
      </w:r>
      <w:r w:rsidRPr="00461D74">
        <w:rPr>
          <w:rFonts w:ascii="Garamond" w:hAnsi="Garamond" w:cstheme="minorHAnsi"/>
          <w:sz w:val="24"/>
          <w:szCs w:val="24"/>
        </w:rPr>
        <w:t>tension</w:t>
      </w:r>
      <w:r w:rsidR="003C3578" w:rsidRPr="00461D74">
        <w:rPr>
          <w:rFonts w:ascii="Garamond" w:hAnsi="Garamond" w:cstheme="minorHAnsi"/>
          <w:sz w:val="24"/>
          <w:szCs w:val="24"/>
        </w:rPr>
        <w:t>)</w:t>
      </w:r>
      <w:r w:rsidRPr="00461D74">
        <w:rPr>
          <w:rFonts w:ascii="Garamond" w:hAnsi="Garamond" w:cstheme="minorHAnsi"/>
          <w:sz w:val="24"/>
          <w:szCs w:val="24"/>
        </w:rPr>
        <w:t xml:space="preserve"> </w:t>
      </w:r>
      <w:r w:rsidR="003C3578" w:rsidRPr="00461D74">
        <w:rPr>
          <w:rFonts w:ascii="Garamond" w:hAnsi="Garamond" w:cstheme="minorHAnsi"/>
          <w:sz w:val="24"/>
          <w:szCs w:val="24"/>
        </w:rPr>
        <w:t xml:space="preserve">generated under </w:t>
      </w:r>
      <w:r w:rsidR="009A26D4">
        <w:rPr>
          <w:rFonts w:ascii="Garamond" w:hAnsi="Garamond" w:cstheme="minorHAnsi"/>
          <w:sz w:val="24"/>
          <w:szCs w:val="24"/>
        </w:rPr>
        <w:t>his</w:t>
      </w:r>
      <w:r w:rsidR="009A26D4" w:rsidRPr="00461D74">
        <w:rPr>
          <w:rFonts w:ascii="Garamond" w:hAnsi="Garamond" w:cstheme="minorHAnsi"/>
          <w:sz w:val="24"/>
          <w:szCs w:val="24"/>
        </w:rPr>
        <w:t xml:space="preserve"> </w:t>
      </w:r>
      <w:r w:rsidR="003C3578" w:rsidRPr="00461D74">
        <w:rPr>
          <w:rFonts w:ascii="Garamond" w:hAnsi="Garamond" w:cstheme="minorHAnsi"/>
          <w:sz w:val="24"/>
          <w:szCs w:val="24"/>
        </w:rPr>
        <w:t>account</w:t>
      </w:r>
      <w:r w:rsidRPr="00461D74">
        <w:rPr>
          <w:rFonts w:ascii="Garamond" w:hAnsi="Garamond" w:cstheme="minorHAnsi"/>
          <w:sz w:val="24"/>
          <w:szCs w:val="24"/>
        </w:rPr>
        <w:t>.</w:t>
      </w:r>
    </w:p>
    <w:p w:rsidR="00E80546" w:rsidRPr="00461D74" w:rsidRDefault="00E80546" w:rsidP="009103EF">
      <w:pPr>
        <w:spacing w:after="200" w:line="360" w:lineRule="auto"/>
        <w:jc w:val="both"/>
        <w:rPr>
          <w:rFonts w:ascii="Garamond" w:hAnsi="Garamond" w:cstheme="minorHAnsi"/>
          <w:sz w:val="24"/>
          <w:szCs w:val="24"/>
        </w:rPr>
      </w:pPr>
    </w:p>
    <w:p w:rsidR="00016049" w:rsidRPr="00461D74" w:rsidRDefault="000B58AA" w:rsidP="00164E4D">
      <w:pPr>
        <w:pStyle w:val="Heading2"/>
        <w:spacing w:line="360" w:lineRule="auto"/>
        <w:jc w:val="both"/>
        <w:rPr>
          <w:rFonts w:cstheme="majorHAnsi"/>
        </w:rPr>
      </w:pPr>
      <w:bookmarkStart w:id="18" w:name="_Toc528077800"/>
      <w:r w:rsidRPr="00461D74">
        <w:rPr>
          <w:rFonts w:cstheme="majorHAnsi"/>
        </w:rPr>
        <w:t>4</w:t>
      </w:r>
      <w:r w:rsidR="00195ABA" w:rsidRPr="00461D74">
        <w:rPr>
          <w:rFonts w:cstheme="majorHAnsi"/>
        </w:rPr>
        <w:t xml:space="preserve">. </w:t>
      </w:r>
      <w:r w:rsidR="00016049" w:rsidRPr="00461D74">
        <w:rPr>
          <w:rFonts w:cstheme="majorHAnsi"/>
        </w:rPr>
        <w:t>Aristotle and Renaissance Aristotelian</w:t>
      </w:r>
      <w:bookmarkEnd w:id="18"/>
    </w:p>
    <w:p w:rsidR="00CA24A6" w:rsidRPr="00461D74" w:rsidRDefault="00CA24A6" w:rsidP="00164E4D">
      <w:pPr>
        <w:spacing w:line="360" w:lineRule="auto"/>
        <w:jc w:val="both"/>
        <w:rPr>
          <w:rFonts w:ascii="Garamond" w:hAnsi="Garamond" w:cstheme="minorHAnsi"/>
          <w:sz w:val="24"/>
          <w:szCs w:val="24"/>
        </w:rPr>
      </w:pPr>
    </w:p>
    <w:p w:rsidR="00016049" w:rsidRPr="00461D74" w:rsidRDefault="00016049" w:rsidP="00A77C19">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w:t>
      </w:r>
      <w:r w:rsidR="00291B5E">
        <w:rPr>
          <w:rFonts w:ascii="Garamond" w:hAnsi="Garamond" w:cstheme="minorHAnsi"/>
          <w:sz w:val="24"/>
          <w:szCs w:val="24"/>
        </w:rPr>
        <w:t>an</w:t>
      </w:r>
      <w:r w:rsidR="00291B5E" w:rsidRPr="00461D74">
        <w:rPr>
          <w:rFonts w:ascii="Garamond" w:hAnsi="Garamond" w:cstheme="minorHAnsi"/>
          <w:sz w:val="24"/>
          <w:szCs w:val="24"/>
        </w:rPr>
        <w:t xml:space="preserve"> </w:t>
      </w:r>
      <w:r w:rsidRPr="00461D74">
        <w:rPr>
          <w:rFonts w:ascii="Garamond" w:hAnsi="Garamond" w:cstheme="minorHAnsi"/>
          <w:sz w:val="24"/>
          <w:szCs w:val="24"/>
        </w:rPr>
        <w:t>important paper</w:t>
      </w:r>
      <w:r w:rsidR="005B6E75" w:rsidRPr="00461D74">
        <w:rPr>
          <w:rFonts w:ascii="Garamond" w:hAnsi="Garamond" w:cstheme="minorHAnsi"/>
          <w:sz w:val="24"/>
          <w:szCs w:val="24"/>
        </w:rPr>
        <w:t xml:space="preserve"> “Rival </w:t>
      </w:r>
      <w:proofErr w:type="spellStart"/>
      <w:r w:rsidR="005B6E75" w:rsidRPr="00461D74">
        <w:rPr>
          <w:rFonts w:ascii="Garamond" w:hAnsi="Garamond" w:cstheme="minorHAnsi"/>
          <w:sz w:val="24"/>
          <w:szCs w:val="24"/>
        </w:rPr>
        <w:t>Aristotles</w:t>
      </w:r>
      <w:proofErr w:type="spellEnd"/>
      <w:r w:rsidR="00A05095" w:rsidRPr="00461D74">
        <w:rPr>
          <w:rFonts w:ascii="Garamond" w:hAnsi="Garamond" w:cstheme="minorHAnsi"/>
          <w:sz w:val="24"/>
          <w:szCs w:val="24"/>
        </w:rPr>
        <w:t>,</w:t>
      </w:r>
      <w:r w:rsidR="005B6E75" w:rsidRPr="00461D74">
        <w:rPr>
          <w:rFonts w:ascii="Garamond" w:hAnsi="Garamond" w:cstheme="minorHAnsi"/>
          <w:sz w:val="24"/>
          <w:szCs w:val="24"/>
        </w:rPr>
        <w:t>”</w:t>
      </w:r>
      <w:r w:rsidR="00A05095" w:rsidRPr="00461D74">
        <w:rPr>
          <w:rStyle w:val="FootnoteReference"/>
          <w:rFonts w:ascii="Garamond" w:hAnsi="Garamond" w:cstheme="minorHAnsi"/>
          <w:sz w:val="24"/>
          <w:szCs w:val="24"/>
        </w:rPr>
        <w:t xml:space="preserve"> </w:t>
      </w:r>
      <w:r w:rsidRPr="00461D74">
        <w:rPr>
          <w:rFonts w:ascii="Garamond" w:hAnsi="Garamond" w:cstheme="minorHAnsi"/>
          <w:sz w:val="24"/>
          <w:szCs w:val="24"/>
        </w:rPr>
        <w:t>MacIntyre elaborates Aristotle’s views on the practice of the virtues by stating that</w:t>
      </w:r>
    </w:p>
    <w:p w:rsidR="00016049" w:rsidRPr="00461D74" w:rsidRDefault="00016049" w:rsidP="00A77C19">
      <w:pPr>
        <w:spacing w:line="360" w:lineRule="auto"/>
        <w:ind w:left="1440"/>
        <w:jc w:val="both"/>
        <w:rPr>
          <w:rFonts w:ascii="Garamond" w:hAnsi="Garamond" w:cstheme="minorHAnsi"/>
          <w:sz w:val="24"/>
          <w:szCs w:val="24"/>
        </w:rPr>
      </w:pPr>
      <w:r w:rsidRPr="00461D74">
        <w:rPr>
          <w:rFonts w:ascii="Garamond" w:hAnsi="Garamond" w:cstheme="minorHAnsi"/>
        </w:rPr>
        <w:t>“Aristotle argues that arguments by themselves are insufficient to make human beings good….so practical habituation in the exercise of the virtues has to precede education in moral theory. But it is not just that such habituation is required for those who are able to understand and be responsive to argument. It is also that only those who have undergone such habituation will be in a position to theorize well about issues of practice.”</w:t>
      </w:r>
      <w:r w:rsidRPr="00461D74">
        <w:rPr>
          <w:rStyle w:val="FootnoteReference"/>
          <w:rFonts w:ascii="Garamond" w:hAnsi="Garamond" w:cstheme="minorHAnsi"/>
        </w:rPr>
        <w:footnoteReference w:id="189"/>
      </w: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 xml:space="preserve">Here, MacIntyre is drawing attention to a chief aspect of Aristotle’s account which emphasizes the role of practice and habituation as a prerequisite for a satisfactory moral education. On this view, we learn proper habits and familiarize ourselves with the virtues through actively practicing and exercising relevant actions that count as virtuous. This will initially involve emulating and learning from those who </w:t>
      </w:r>
      <w:r w:rsidR="00572C3E">
        <w:rPr>
          <w:rFonts w:ascii="Garamond" w:hAnsi="Garamond" w:cstheme="minorHAnsi"/>
          <w:sz w:val="24"/>
          <w:szCs w:val="24"/>
        </w:rPr>
        <w:t>are</w:t>
      </w:r>
      <w:r w:rsidR="00572C3E" w:rsidRPr="00461D74">
        <w:rPr>
          <w:rFonts w:ascii="Garamond" w:hAnsi="Garamond" w:cstheme="minorHAnsi"/>
          <w:sz w:val="24"/>
          <w:szCs w:val="24"/>
        </w:rPr>
        <w:t xml:space="preserve"> </w:t>
      </w:r>
      <w:r w:rsidRPr="00461D74">
        <w:rPr>
          <w:rFonts w:ascii="Garamond" w:hAnsi="Garamond" w:cstheme="minorHAnsi"/>
          <w:sz w:val="24"/>
          <w:szCs w:val="24"/>
        </w:rPr>
        <w:t>already well-versed in the virtues and who more or less possess the requisite knowledge to act virtuously. Hence, for Aristotle, practic</w:t>
      </w:r>
      <w:r w:rsidR="007A3328">
        <w:rPr>
          <w:rFonts w:ascii="Garamond" w:hAnsi="Garamond" w:cstheme="minorHAnsi"/>
          <w:sz w:val="24"/>
          <w:szCs w:val="24"/>
        </w:rPr>
        <w:t>ing</w:t>
      </w:r>
      <w:r w:rsidRPr="00461D74">
        <w:rPr>
          <w:rFonts w:ascii="Garamond" w:hAnsi="Garamond" w:cstheme="minorHAnsi"/>
          <w:sz w:val="24"/>
          <w:szCs w:val="24"/>
        </w:rPr>
        <w:t xml:space="preserve"> virtuous actions, </w:t>
      </w:r>
      <w:r w:rsidR="007A3328">
        <w:rPr>
          <w:rFonts w:ascii="Garamond" w:hAnsi="Garamond" w:cstheme="minorHAnsi"/>
          <w:sz w:val="24"/>
          <w:szCs w:val="24"/>
        </w:rPr>
        <w:t xml:space="preserve">forming correct habits, </w:t>
      </w:r>
      <w:r w:rsidRPr="00461D74">
        <w:rPr>
          <w:rFonts w:ascii="Garamond" w:hAnsi="Garamond" w:cstheme="minorHAnsi"/>
          <w:sz w:val="24"/>
          <w:szCs w:val="24"/>
        </w:rPr>
        <w:t xml:space="preserve">and </w:t>
      </w:r>
      <w:r w:rsidR="007A3328">
        <w:rPr>
          <w:rFonts w:ascii="Garamond" w:hAnsi="Garamond" w:cstheme="minorHAnsi"/>
          <w:sz w:val="24"/>
          <w:szCs w:val="24"/>
        </w:rPr>
        <w:t xml:space="preserve">thus </w:t>
      </w:r>
      <w:r w:rsidRPr="00461D74">
        <w:rPr>
          <w:rFonts w:ascii="Garamond" w:hAnsi="Garamond" w:cstheme="minorHAnsi"/>
          <w:sz w:val="24"/>
          <w:szCs w:val="24"/>
        </w:rPr>
        <w:t>becoming accustomed to correctly exercising the virtues, precedes theorizing in moral philosophy.</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 implication of the above argument – that effective theorizing can only occur after we have adequately learned the proper habits that allow us act virtuously – can be described using the contrast between ‘knowledge how’ and ‘knowledge that</w:t>
      </w:r>
      <w:r w:rsidR="007D19C7">
        <w:rPr>
          <w:rFonts w:ascii="Garamond" w:hAnsi="Garamond" w:cstheme="minorHAnsi"/>
          <w:sz w:val="24"/>
          <w:szCs w:val="24"/>
        </w:rPr>
        <w:t>.</w:t>
      </w:r>
      <w:r w:rsidRPr="00461D74">
        <w:rPr>
          <w:rFonts w:ascii="Garamond" w:hAnsi="Garamond" w:cstheme="minorHAnsi"/>
          <w:sz w:val="24"/>
          <w:szCs w:val="24"/>
        </w:rPr>
        <w:t xml:space="preserve">’ </w:t>
      </w:r>
      <w:r w:rsidR="007A3328">
        <w:rPr>
          <w:rFonts w:ascii="Garamond" w:hAnsi="Garamond" w:cstheme="minorHAnsi"/>
          <w:sz w:val="24"/>
          <w:szCs w:val="24"/>
        </w:rPr>
        <w:t>By utilising this distinction</w:t>
      </w:r>
      <w:r w:rsidR="00EA4597">
        <w:rPr>
          <w:rFonts w:ascii="Garamond" w:hAnsi="Garamond" w:cstheme="minorHAnsi"/>
          <w:sz w:val="24"/>
          <w:szCs w:val="24"/>
        </w:rPr>
        <w:t>,</w:t>
      </w:r>
      <w:r w:rsidR="007A3328">
        <w:rPr>
          <w:rFonts w:ascii="Garamond" w:hAnsi="Garamond" w:cstheme="minorHAnsi"/>
          <w:sz w:val="24"/>
          <w:szCs w:val="24"/>
        </w:rPr>
        <w:t xml:space="preserve"> we can state that</w:t>
      </w:r>
      <w:r w:rsidRPr="00461D74">
        <w:rPr>
          <w:rFonts w:ascii="Garamond" w:hAnsi="Garamond" w:cstheme="minorHAnsi"/>
          <w:sz w:val="24"/>
          <w:szCs w:val="24"/>
        </w:rPr>
        <w:t xml:space="preserve"> in order for an individual to develop into a virtuous person, she must first come to grasp </w:t>
      </w:r>
      <w:r w:rsidRPr="00461D74">
        <w:rPr>
          <w:rFonts w:ascii="Garamond" w:hAnsi="Garamond" w:cstheme="minorHAnsi"/>
          <w:sz w:val="24"/>
          <w:szCs w:val="24"/>
        </w:rPr>
        <w:lastRenderedPageBreak/>
        <w:t>‘knowledge how.’ Only after emulating educated teachers and practicing the actions that count as virtuous, can we begin to inquire theoretically into the virtues, and hence acquire ‘knowledge that</w:t>
      </w:r>
      <w:r w:rsidR="007D19C7">
        <w:rPr>
          <w:rFonts w:ascii="Garamond" w:hAnsi="Garamond" w:cstheme="minorHAnsi"/>
          <w:sz w:val="24"/>
          <w:szCs w:val="24"/>
        </w:rPr>
        <w:t>.</w:t>
      </w:r>
      <w:r w:rsidRPr="00461D74">
        <w:rPr>
          <w:rFonts w:ascii="Garamond" w:hAnsi="Garamond" w:cstheme="minorHAnsi"/>
          <w:sz w:val="24"/>
          <w:szCs w:val="24"/>
        </w:rPr>
        <w:t>’ Thus, we need to first possess an adequate understanding of ‘knowledge how’ before we can make correct theoretical judgments and arguments with respect to ‘knowledge that.’</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then </w:t>
      </w:r>
      <w:r w:rsidR="001C4100" w:rsidRPr="00461D74">
        <w:rPr>
          <w:rFonts w:ascii="Garamond" w:hAnsi="Garamond" w:cstheme="minorHAnsi"/>
          <w:sz w:val="24"/>
          <w:szCs w:val="24"/>
        </w:rPr>
        <w:t xml:space="preserve">engages with </w:t>
      </w:r>
      <w:r w:rsidR="005177EA" w:rsidRPr="00461D74">
        <w:rPr>
          <w:rFonts w:ascii="Garamond" w:hAnsi="Garamond" w:cstheme="minorHAnsi"/>
          <w:sz w:val="24"/>
          <w:szCs w:val="24"/>
        </w:rPr>
        <w:t xml:space="preserve">Francesco </w:t>
      </w:r>
      <w:proofErr w:type="spellStart"/>
      <w:r w:rsidRPr="00461D74">
        <w:rPr>
          <w:rFonts w:ascii="Garamond" w:hAnsi="Garamond" w:cstheme="minorHAnsi"/>
          <w:sz w:val="24"/>
          <w:szCs w:val="24"/>
        </w:rPr>
        <w:t>Piccolomini</w:t>
      </w:r>
      <w:proofErr w:type="spellEnd"/>
      <w:r w:rsidR="001C4100" w:rsidRPr="00461D74">
        <w:rPr>
          <w:rFonts w:ascii="Garamond" w:hAnsi="Garamond" w:cstheme="minorHAnsi"/>
          <w:sz w:val="24"/>
          <w:szCs w:val="24"/>
        </w:rPr>
        <w:t>,</w:t>
      </w:r>
      <w:r w:rsidRPr="00461D74">
        <w:rPr>
          <w:rFonts w:ascii="Garamond" w:hAnsi="Garamond" w:cstheme="minorHAnsi"/>
          <w:sz w:val="24"/>
          <w:szCs w:val="24"/>
        </w:rPr>
        <w:t xml:space="preserve"> who</w:t>
      </w:r>
      <w:r w:rsidR="00FC6DED">
        <w:rPr>
          <w:rFonts w:ascii="Garamond" w:hAnsi="Garamond" w:cstheme="minorHAnsi"/>
          <w:sz w:val="24"/>
          <w:szCs w:val="24"/>
        </w:rPr>
        <w:t>m</w:t>
      </w:r>
      <w:r w:rsidRPr="00461D74">
        <w:rPr>
          <w:rFonts w:ascii="Garamond" w:hAnsi="Garamond" w:cstheme="minorHAnsi"/>
          <w:sz w:val="24"/>
          <w:szCs w:val="24"/>
        </w:rPr>
        <w:t xml:space="preserve"> I </w:t>
      </w:r>
      <w:r w:rsidR="00FC6DED">
        <w:rPr>
          <w:rFonts w:ascii="Garamond" w:hAnsi="Garamond" w:cstheme="minorHAnsi"/>
          <w:sz w:val="24"/>
          <w:szCs w:val="24"/>
        </w:rPr>
        <w:t>believe</w:t>
      </w:r>
      <w:r w:rsidR="00FC6DED" w:rsidRPr="00461D74">
        <w:rPr>
          <w:rFonts w:ascii="Garamond" w:hAnsi="Garamond" w:cstheme="minorHAnsi"/>
          <w:sz w:val="24"/>
          <w:szCs w:val="24"/>
        </w:rPr>
        <w:t xml:space="preserve"> </w:t>
      </w:r>
      <w:r w:rsidRPr="00461D74">
        <w:rPr>
          <w:rFonts w:ascii="Garamond" w:hAnsi="Garamond" w:cstheme="minorHAnsi"/>
          <w:sz w:val="24"/>
          <w:szCs w:val="24"/>
        </w:rPr>
        <w:t xml:space="preserve">MacIntyre is presenting as a paradigmatic example of a Renaissance Aristotelian. On MacIntyre’s view,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other Renaissance Aristotelians assign higher value to theorizing in ethics and teaching of moral philosophy, than to the practice of the virtues. They therefore depart from Aristotle in seeing moral theory and philosophy as more important than practice and habituation into the virtues. For example,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views moral philosophy taught in the university</w:t>
      </w:r>
      <w:r w:rsidR="001C4100" w:rsidRPr="00461D74">
        <w:rPr>
          <w:rFonts w:ascii="Garamond" w:hAnsi="Garamond" w:cstheme="minorHAnsi"/>
          <w:sz w:val="24"/>
          <w:szCs w:val="24"/>
        </w:rPr>
        <w:t xml:space="preserve"> </w:t>
      </w:r>
      <w:r w:rsidR="00721A64" w:rsidRPr="00461D74">
        <w:rPr>
          <w:rFonts w:ascii="Garamond" w:hAnsi="Garamond" w:cstheme="minorHAnsi"/>
          <w:sz w:val="24"/>
          <w:szCs w:val="24"/>
        </w:rPr>
        <w:t>–</w:t>
      </w:r>
      <w:r w:rsidRPr="00461D74">
        <w:rPr>
          <w:rFonts w:ascii="Garamond" w:hAnsi="Garamond" w:cstheme="minorHAnsi"/>
          <w:sz w:val="24"/>
          <w:szCs w:val="24"/>
        </w:rPr>
        <w:t xml:space="preserve"> </w:t>
      </w:r>
      <w:r w:rsidR="001C4100" w:rsidRPr="00461D74">
        <w:rPr>
          <w:rFonts w:ascii="Garamond" w:hAnsi="Garamond" w:cstheme="minorHAnsi"/>
          <w:sz w:val="24"/>
          <w:szCs w:val="24"/>
        </w:rPr>
        <w:t xml:space="preserve">what </w:t>
      </w:r>
      <w:r w:rsidRPr="00461D74">
        <w:rPr>
          <w:rFonts w:ascii="Garamond" w:hAnsi="Garamond" w:cstheme="minorHAnsi"/>
          <w:sz w:val="24"/>
          <w:szCs w:val="24"/>
        </w:rPr>
        <w:t xml:space="preserve">he </w:t>
      </w:r>
      <w:r w:rsidR="001C4100" w:rsidRPr="00461D74">
        <w:rPr>
          <w:rFonts w:ascii="Garamond" w:hAnsi="Garamond" w:cstheme="minorHAnsi"/>
          <w:sz w:val="24"/>
          <w:szCs w:val="24"/>
        </w:rPr>
        <w:t>identifies</w:t>
      </w:r>
      <w:r w:rsidRPr="00461D74">
        <w:rPr>
          <w:rFonts w:ascii="Garamond" w:hAnsi="Garamond" w:cstheme="minorHAnsi"/>
          <w:sz w:val="24"/>
          <w:szCs w:val="24"/>
        </w:rPr>
        <w:t xml:space="preserve"> as education in civil science</w:t>
      </w:r>
      <w:r w:rsidR="001C4100" w:rsidRPr="00461D74">
        <w:rPr>
          <w:rFonts w:ascii="Garamond" w:hAnsi="Garamond" w:cstheme="minorHAnsi"/>
          <w:sz w:val="24"/>
          <w:szCs w:val="24"/>
        </w:rPr>
        <w:t xml:space="preserve"> </w:t>
      </w:r>
      <w:r w:rsidR="00721A64" w:rsidRPr="00461D74">
        <w:rPr>
          <w:rFonts w:ascii="Garamond" w:hAnsi="Garamond" w:cstheme="minorHAnsi"/>
          <w:sz w:val="24"/>
          <w:szCs w:val="24"/>
        </w:rPr>
        <w:t>–</w:t>
      </w:r>
      <w:r w:rsidR="001C4100" w:rsidRPr="00461D74">
        <w:rPr>
          <w:rFonts w:ascii="Garamond" w:hAnsi="Garamond" w:cstheme="minorHAnsi"/>
          <w:sz w:val="24"/>
          <w:szCs w:val="24"/>
        </w:rPr>
        <w:t xml:space="preserve"> as </w:t>
      </w:r>
      <w:r w:rsidRPr="00461D74">
        <w:rPr>
          <w:rFonts w:ascii="Garamond" w:hAnsi="Garamond" w:cstheme="minorHAnsi"/>
          <w:sz w:val="24"/>
          <w:szCs w:val="24"/>
        </w:rPr>
        <w:t>an important part of cultivating the virtues and states that “The virtues are to be understood by and inculcated through the teaching of the exponent of civil science</w:t>
      </w:r>
      <w:r w:rsidR="005F7E29">
        <w:rPr>
          <w:rFonts w:ascii="Garamond" w:hAnsi="Garamond" w:cstheme="minorHAnsi"/>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90"/>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makes the case to the Venetian senate for teaching moral philosophy to the young in his discussion on the nature of </w:t>
      </w:r>
      <w:proofErr w:type="spellStart"/>
      <w:r w:rsidRPr="00461D74">
        <w:rPr>
          <w:rFonts w:ascii="Garamond" w:hAnsi="Garamond" w:cstheme="minorHAnsi"/>
          <w:i/>
          <w:iCs/>
          <w:sz w:val="24"/>
          <w:szCs w:val="24"/>
        </w:rPr>
        <w:t>paideia</w:t>
      </w:r>
      <w:proofErr w:type="spellEnd"/>
      <w:r w:rsidRPr="00461D74">
        <w:rPr>
          <w:rFonts w:ascii="Garamond" w:hAnsi="Garamond" w:cstheme="minorHAnsi"/>
          <w:sz w:val="24"/>
          <w:szCs w:val="24"/>
        </w:rPr>
        <w:t xml:space="preserve"> comprised of both theoretical and practical instructions in moral philosophy to the young.</w:t>
      </w:r>
      <w:r w:rsidRPr="00461D74">
        <w:rPr>
          <w:rStyle w:val="FootnoteReference"/>
          <w:rFonts w:ascii="Garamond" w:hAnsi="Garamond" w:cstheme="minorHAnsi"/>
          <w:sz w:val="24"/>
          <w:szCs w:val="24"/>
        </w:rPr>
        <w:footnoteReference w:id="191"/>
      </w:r>
      <w:r w:rsidRPr="00461D74">
        <w:rPr>
          <w:rFonts w:ascii="Garamond" w:hAnsi="Garamond" w:cstheme="minorHAnsi"/>
          <w:sz w:val="24"/>
          <w:szCs w:val="24"/>
        </w:rPr>
        <w:t xml:space="preserve"> And such an understanding o</w:t>
      </w:r>
      <w:r w:rsidR="00721A64" w:rsidRPr="00461D74">
        <w:rPr>
          <w:rFonts w:ascii="Garamond" w:hAnsi="Garamond" w:cstheme="minorHAnsi"/>
          <w:sz w:val="24"/>
          <w:szCs w:val="24"/>
        </w:rPr>
        <w:t>f</w:t>
      </w:r>
      <w:r w:rsidRPr="00461D74">
        <w:rPr>
          <w:rFonts w:ascii="Garamond" w:hAnsi="Garamond" w:cstheme="minorHAnsi"/>
          <w:sz w:val="24"/>
          <w:szCs w:val="24"/>
        </w:rPr>
        <w:t xml:space="preserve"> the place of moral philosophy isn’t necessarily unique to </w:t>
      </w:r>
      <w:proofErr w:type="spellStart"/>
      <w:r w:rsidRPr="00461D74">
        <w:rPr>
          <w:rFonts w:ascii="Garamond" w:hAnsi="Garamond" w:cstheme="minorHAnsi"/>
          <w:sz w:val="24"/>
          <w:szCs w:val="24"/>
        </w:rPr>
        <w:t>Piccolomini</w:t>
      </w:r>
      <w:proofErr w:type="spellEnd"/>
      <w:r w:rsidR="00EA4597">
        <w:rPr>
          <w:rFonts w:ascii="Garamond" w:hAnsi="Garamond" w:cstheme="minorHAnsi"/>
          <w:sz w:val="24"/>
          <w:szCs w:val="24"/>
        </w:rPr>
        <w:t>,</w:t>
      </w:r>
      <w:r w:rsidRPr="00461D74">
        <w:rPr>
          <w:rFonts w:ascii="Garamond" w:hAnsi="Garamond" w:cstheme="minorHAnsi"/>
          <w:sz w:val="24"/>
          <w:szCs w:val="24"/>
        </w:rPr>
        <w:t xml:space="preserve"> as </w:t>
      </w:r>
      <w:proofErr w:type="spellStart"/>
      <w:r w:rsidRPr="00461D74">
        <w:rPr>
          <w:rFonts w:ascii="Garamond" w:hAnsi="Garamond" w:cstheme="minorHAnsi"/>
          <w:sz w:val="24"/>
          <w:szCs w:val="24"/>
        </w:rPr>
        <w:t>Giovita</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Ravizza</w:t>
      </w:r>
      <w:proofErr w:type="spellEnd"/>
      <w:r w:rsidRPr="00461D74">
        <w:rPr>
          <w:rFonts w:ascii="Garamond" w:hAnsi="Garamond" w:cstheme="minorHAnsi"/>
          <w:sz w:val="24"/>
          <w:szCs w:val="24"/>
        </w:rPr>
        <w:t xml:space="preserve">, a contemporary of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r w:rsidR="005F7E29">
        <w:rPr>
          <w:rFonts w:ascii="Garamond" w:hAnsi="Garamond" w:cstheme="minorHAnsi"/>
          <w:sz w:val="24"/>
          <w:szCs w:val="24"/>
        </w:rPr>
        <w:t>similarly held</w:t>
      </w:r>
      <w:r w:rsidRPr="00461D74">
        <w:rPr>
          <w:rFonts w:ascii="Garamond" w:hAnsi="Garamond" w:cstheme="minorHAnsi"/>
          <w:sz w:val="24"/>
          <w:szCs w:val="24"/>
        </w:rPr>
        <w:t xml:space="preserve"> that moral improvement of young pupils was the primary aim of a moral education, and that teaching moral philosophy to young adolescence should be encouraged.</w:t>
      </w:r>
      <w:r w:rsidRPr="00461D74">
        <w:rPr>
          <w:rStyle w:val="FootnoteReference"/>
          <w:rFonts w:ascii="Garamond" w:hAnsi="Garamond" w:cstheme="minorHAnsi"/>
          <w:sz w:val="24"/>
          <w:szCs w:val="24"/>
        </w:rPr>
        <w:footnoteReference w:id="192"/>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characterizes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w:t>
      </w:r>
      <w:r w:rsidR="009427C8" w:rsidRPr="00461D74">
        <w:rPr>
          <w:rFonts w:ascii="Garamond" w:hAnsi="Garamond" w:cstheme="minorHAnsi"/>
          <w:sz w:val="24"/>
          <w:szCs w:val="24"/>
        </w:rPr>
        <w:t>(</w:t>
      </w:r>
      <w:proofErr w:type="spellStart"/>
      <w:r w:rsidR="00AA2A48">
        <w:fldChar w:fldCharType="begin"/>
      </w:r>
      <w:r w:rsidR="00266607">
        <w:instrText>HYPERLINK "https://en.wiktionary.org/wiki/%CF%86%CF%81%CF%8C%CE%BD%CE%B7%CF%83%CE%B9%CF%82" \o "wikt:φρόνησις"</w:instrText>
      </w:r>
      <w:r w:rsidR="00AA2A48">
        <w:fldChar w:fldCharType="separate"/>
      </w:r>
      <w:r w:rsidR="009427C8" w:rsidRPr="00461D74">
        <w:rPr>
          <w:rStyle w:val="Hyperlink"/>
          <w:rFonts w:ascii="Garamond" w:hAnsi="Garamond" w:cstheme="minorHAnsi"/>
          <w:color w:val="auto"/>
          <w:sz w:val="24"/>
          <w:szCs w:val="24"/>
          <w:u w:val="none"/>
        </w:rPr>
        <w:t>φρόνησ</w:t>
      </w:r>
      <w:r w:rsidR="009427C8" w:rsidRPr="00461D74">
        <w:rPr>
          <w:rStyle w:val="Hyperlink"/>
          <w:rFonts w:ascii="Garamond" w:cstheme="minorHAnsi"/>
          <w:color w:val="auto"/>
          <w:sz w:val="24"/>
          <w:szCs w:val="24"/>
          <w:u w:val="none"/>
        </w:rPr>
        <w:t>ῐ</w:t>
      </w:r>
      <w:r w:rsidR="009427C8" w:rsidRPr="00461D74">
        <w:rPr>
          <w:rStyle w:val="Hyperlink"/>
          <w:rFonts w:ascii="Garamond" w:hAnsi="Garamond" w:cstheme="minorHAnsi"/>
          <w:color w:val="auto"/>
          <w:sz w:val="24"/>
          <w:szCs w:val="24"/>
          <w:u w:val="none"/>
        </w:rPr>
        <w:t>ς</w:t>
      </w:r>
      <w:proofErr w:type="spellEnd"/>
      <w:r w:rsidR="00AA2A48">
        <w:fldChar w:fldCharType="end"/>
      </w:r>
      <w:r w:rsidR="009427C8" w:rsidRPr="00461D74">
        <w:rPr>
          <w:rFonts w:ascii="Garamond" w:hAnsi="Garamond" w:cstheme="minorHAnsi"/>
          <w:sz w:val="24"/>
          <w:szCs w:val="24"/>
        </w:rPr>
        <w:t>)</w:t>
      </w:r>
      <w:r w:rsidR="009C37AC">
        <w:rPr>
          <w:rStyle w:val="FootnoteReference"/>
          <w:rFonts w:ascii="Garamond" w:hAnsi="Garamond" w:cstheme="minorHAnsi"/>
          <w:sz w:val="24"/>
          <w:szCs w:val="24"/>
        </w:rPr>
        <w:footnoteReference w:id="193"/>
      </w:r>
      <w:r w:rsidR="009427C8" w:rsidRPr="00461D74">
        <w:rPr>
          <w:rFonts w:ascii="Garamond" w:hAnsi="Garamond" w:cstheme="minorHAnsi"/>
          <w:sz w:val="24"/>
          <w:szCs w:val="24"/>
        </w:rPr>
        <w:t xml:space="preserve"> </w:t>
      </w:r>
      <w:r w:rsidRPr="00461D74">
        <w:rPr>
          <w:rFonts w:ascii="Garamond" w:hAnsi="Garamond" w:cstheme="minorHAnsi"/>
          <w:sz w:val="24"/>
          <w:szCs w:val="24"/>
        </w:rPr>
        <w:t xml:space="preserve">as the prime virtue and emphasizes its important role in educating the young in moral theorizing. And in his address to </w:t>
      </w:r>
      <w:r w:rsidRPr="00461D74">
        <w:rPr>
          <w:rFonts w:ascii="Garamond" w:hAnsi="Garamond" w:cstheme="minorHAnsi"/>
          <w:sz w:val="24"/>
          <w:szCs w:val="24"/>
        </w:rPr>
        <w:lastRenderedPageBreak/>
        <w:t xml:space="preserve">the Venetian senate,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argues that in order to secure the success of the republic – in this case Venice – educating the young into the virtue of prudence is essential to ensure that the republic has rulers who are virtuous.</w:t>
      </w:r>
      <w:r w:rsidRPr="00461D74">
        <w:rPr>
          <w:rStyle w:val="FootnoteReference"/>
          <w:rFonts w:ascii="Garamond" w:hAnsi="Garamond" w:cstheme="minorHAnsi"/>
          <w:sz w:val="24"/>
          <w:szCs w:val="24"/>
        </w:rPr>
        <w:footnoteReference w:id="194"/>
      </w:r>
      <w:r w:rsidRPr="00461D74">
        <w:rPr>
          <w:rFonts w:ascii="Garamond" w:hAnsi="Garamond" w:cstheme="minorHAnsi"/>
          <w:sz w:val="24"/>
          <w:szCs w:val="24"/>
        </w:rPr>
        <w:t xml:space="preserve">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then asks: what </w:t>
      </w:r>
      <w:r w:rsidR="003966CB">
        <w:rPr>
          <w:rFonts w:ascii="Garamond" w:hAnsi="Garamond" w:cstheme="minorHAnsi"/>
          <w:sz w:val="24"/>
          <w:szCs w:val="24"/>
        </w:rPr>
        <w:t>definition</w:t>
      </w:r>
      <w:r w:rsidR="003966CB" w:rsidRPr="00461D74">
        <w:rPr>
          <w:rFonts w:ascii="Garamond" w:hAnsi="Garamond" w:cstheme="minorHAnsi"/>
          <w:sz w:val="24"/>
          <w:szCs w:val="24"/>
        </w:rPr>
        <w:t xml:space="preserve"> </w:t>
      </w:r>
      <w:r w:rsidRPr="00461D74">
        <w:rPr>
          <w:rFonts w:ascii="Garamond" w:hAnsi="Garamond" w:cstheme="minorHAnsi"/>
          <w:sz w:val="24"/>
          <w:szCs w:val="24"/>
        </w:rPr>
        <w:t xml:space="preserve">of prudence </w:t>
      </w:r>
      <w:r w:rsidR="003966CB">
        <w:rPr>
          <w:rFonts w:ascii="Garamond" w:hAnsi="Garamond" w:cstheme="minorHAnsi"/>
          <w:sz w:val="24"/>
          <w:szCs w:val="24"/>
        </w:rPr>
        <w:t>does</w:t>
      </w:r>
      <w:r w:rsidR="003966CB"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r w:rsidR="003966CB">
        <w:rPr>
          <w:rFonts w:ascii="Garamond" w:hAnsi="Garamond" w:cstheme="minorHAnsi"/>
          <w:sz w:val="24"/>
          <w:szCs w:val="24"/>
        </w:rPr>
        <w:t>argue</w:t>
      </w:r>
      <w:r w:rsidRPr="00461D74">
        <w:rPr>
          <w:rFonts w:ascii="Garamond" w:hAnsi="Garamond" w:cstheme="minorHAnsi"/>
          <w:sz w:val="24"/>
          <w:szCs w:val="24"/>
        </w:rPr>
        <w:t xml:space="preserve"> for? MacIntyre explains that for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allows for the correct application of theoretical knowledge in relation to exercising the right action in a variety of situations. However, recall that Aristotle account of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differs </w:t>
      </w:r>
      <w:r w:rsidR="00F70009">
        <w:rPr>
          <w:rFonts w:ascii="Garamond" w:hAnsi="Garamond" w:cstheme="minorHAnsi"/>
          <w:sz w:val="24"/>
          <w:szCs w:val="24"/>
        </w:rPr>
        <w:t>given that</w:t>
      </w:r>
      <w:r w:rsidR="00F70009" w:rsidRPr="00461D74">
        <w:rPr>
          <w:rFonts w:ascii="Garamond" w:hAnsi="Garamond" w:cstheme="minorHAnsi"/>
          <w:sz w:val="24"/>
          <w:szCs w:val="24"/>
        </w:rPr>
        <w:t xml:space="preserve"> </w:t>
      </w:r>
      <w:r w:rsidRPr="00461D74">
        <w:rPr>
          <w:rFonts w:ascii="Garamond" w:hAnsi="Garamond" w:cstheme="minorHAnsi"/>
          <w:sz w:val="24"/>
          <w:szCs w:val="24"/>
        </w:rPr>
        <w:t xml:space="preserve">it does not necessarily involve </w:t>
      </w:r>
      <w:r w:rsidR="00F70009">
        <w:rPr>
          <w:rFonts w:ascii="Garamond" w:hAnsi="Garamond" w:cstheme="minorHAnsi"/>
          <w:sz w:val="24"/>
          <w:szCs w:val="24"/>
        </w:rPr>
        <w:t>the</w:t>
      </w:r>
      <w:r w:rsidRPr="00461D74">
        <w:rPr>
          <w:rFonts w:ascii="Garamond" w:hAnsi="Garamond" w:cstheme="minorHAnsi"/>
          <w:sz w:val="24"/>
          <w:szCs w:val="24"/>
        </w:rPr>
        <w:t xml:space="preserve"> application of theoretical knowledge. On Aristotle’s account, to be a virtuous individual one requires the type of training that involves the practice of correct habits and actions in particular situations, in order that one may cultivate the virtues. So a moral teacher by the example of her actions in this or that particular circumstance provides the standard of virtuous action to her students:</w:t>
      </w:r>
    </w:p>
    <w:p w:rsidR="00016049" w:rsidRPr="00461D74" w:rsidRDefault="00016049" w:rsidP="00164E4D">
      <w:pPr>
        <w:spacing w:line="360" w:lineRule="auto"/>
        <w:ind w:left="1440"/>
        <w:jc w:val="both"/>
        <w:rPr>
          <w:rFonts w:ascii="Garamond" w:hAnsi="Garamond" w:cstheme="minorHAnsi"/>
          <w:sz w:val="24"/>
          <w:szCs w:val="24"/>
        </w:rPr>
      </w:pPr>
      <w:r w:rsidRPr="00461D74">
        <w:rPr>
          <w:rFonts w:ascii="Garamond" w:hAnsi="Garamond" w:cstheme="minorHAnsi"/>
        </w:rPr>
        <w:t>“We learn how to act virtuously, while engaging in and learning how to act well in the activities of everyday social life. So we learn how to act courageously, for example, as part of learning how to live the military life – although not only military life – and we learn how to act generously as part of learning how to manage or to share in managing the income and expenditures of the household.”</w:t>
      </w:r>
      <w:r w:rsidRPr="00461D74">
        <w:rPr>
          <w:rStyle w:val="FootnoteReference"/>
          <w:rFonts w:ascii="Garamond" w:hAnsi="Garamond" w:cstheme="minorHAnsi"/>
        </w:rPr>
        <w:footnoteReference w:id="195"/>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considers the above accounts in order to draw our attention to the contrast between Aristotle and </w:t>
      </w:r>
      <w:proofErr w:type="spellStart"/>
      <w:r w:rsidRPr="00461D74">
        <w:rPr>
          <w:rFonts w:ascii="Garamond" w:hAnsi="Garamond" w:cstheme="minorHAnsi"/>
          <w:sz w:val="24"/>
          <w:szCs w:val="24"/>
        </w:rPr>
        <w:t>Piccolomini</w:t>
      </w:r>
      <w:proofErr w:type="spellEnd"/>
      <w:r w:rsidR="001C4100" w:rsidRPr="00461D74">
        <w:rPr>
          <w:rFonts w:ascii="Garamond" w:hAnsi="Garamond" w:cstheme="minorHAnsi"/>
          <w:sz w:val="24"/>
          <w:szCs w:val="24"/>
        </w:rPr>
        <w:t>. MacIntyre argues that</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Aristotelian ethics </w:t>
      </w:r>
      <w:r w:rsidR="001C4100" w:rsidRPr="00461D74">
        <w:rPr>
          <w:rFonts w:ascii="Garamond" w:hAnsi="Garamond" w:cstheme="minorHAnsi"/>
          <w:sz w:val="24"/>
          <w:szCs w:val="24"/>
        </w:rPr>
        <w:t>w</w:t>
      </w:r>
      <w:r w:rsidRPr="00461D74">
        <w:rPr>
          <w:rFonts w:ascii="Garamond" w:hAnsi="Garamond" w:cstheme="minorHAnsi"/>
          <w:sz w:val="24"/>
          <w:szCs w:val="24"/>
        </w:rPr>
        <w:t>as a radical departure from Aristotle</w:t>
      </w:r>
      <w:r w:rsidR="001C4100" w:rsidRPr="00461D74">
        <w:rPr>
          <w:rFonts w:ascii="Garamond" w:hAnsi="Garamond" w:cstheme="minorHAnsi"/>
          <w:sz w:val="24"/>
          <w:szCs w:val="24"/>
        </w:rPr>
        <w:t>. Why? Because</w:t>
      </w:r>
      <w:r w:rsidRPr="00461D74">
        <w:rPr>
          <w:rFonts w:ascii="Garamond" w:hAnsi="Garamond" w:cstheme="minorHAnsi"/>
          <w:sz w:val="24"/>
          <w:szCs w:val="24"/>
        </w:rPr>
        <w:t xml:space="preserve"> Aristotle believed that it would be a mistake to educate the young in moral philosophy and moral theorizing, for the young have not had the chance to adequately practice virtuous actions and therefore the</w:t>
      </w:r>
      <w:r w:rsidR="006F1A3D" w:rsidRPr="00461D74">
        <w:rPr>
          <w:rFonts w:ascii="Garamond" w:hAnsi="Garamond" w:cstheme="minorHAnsi"/>
          <w:sz w:val="24"/>
          <w:szCs w:val="24"/>
        </w:rPr>
        <w:t>y</w:t>
      </w:r>
      <w:r w:rsidRPr="00461D74">
        <w:rPr>
          <w:rFonts w:ascii="Garamond" w:hAnsi="Garamond" w:cstheme="minorHAnsi"/>
          <w:sz w:val="24"/>
          <w:szCs w:val="24"/>
        </w:rPr>
        <w:t xml:space="preserve"> lack the necessary degree of habituation. As I noted earlier, Aristotle believes that one cannot be habituated </w:t>
      </w:r>
      <w:r w:rsidRPr="00461D74">
        <w:rPr>
          <w:rFonts w:ascii="Garamond" w:hAnsi="Garamond" w:cstheme="minorHAnsi"/>
          <w:sz w:val="24"/>
          <w:szCs w:val="24"/>
        </w:rPr>
        <w:lastRenderedPageBreak/>
        <w:t xml:space="preserve">into the virtues by an education in moral philosophy; rather sufficient practice of the virtues is </w:t>
      </w:r>
      <w:r w:rsidR="00CA4B3B">
        <w:rPr>
          <w:rFonts w:ascii="Garamond" w:hAnsi="Garamond" w:cstheme="minorHAnsi"/>
          <w:sz w:val="24"/>
          <w:szCs w:val="24"/>
        </w:rPr>
        <w:t>a</w:t>
      </w:r>
      <w:r w:rsidR="00CA4B3B" w:rsidRPr="00461D74">
        <w:rPr>
          <w:rFonts w:ascii="Garamond" w:hAnsi="Garamond" w:cstheme="minorHAnsi"/>
          <w:sz w:val="24"/>
          <w:szCs w:val="24"/>
        </w:rPr>
        <w:t xml:space="preserve"> </w:t>
      </w:r>
      <w:r w:rsidRPr="00461D74">
        <w:rPr>
          <w:rFonts w:ascii="Garamond" w:hAnsi="Garamond" w:cstheme="minorHAnsi"/>
          <w:sz w:val="24"/>
          <w:szCs w:val="24"/>
        </w:rPr>
        <w:t xml:space="preserve">prerequisite </w:t>
      </w:r>
      <w:r w:rsidR="00CA4B3B">
        <w:rPr>
          <w:rFonts w:ascii="Garamond" w:hAnsi="Garamond" w:cstheme="minorHAnsi"/>
          <w:sz w:val="24"/>
          <w:szCs w:val="24"/>
        </w:rPr>
        <w:t>for</w:t>
      </w:r>
      <w:r w:rsidR="00CA4B3B" w:rsidRPr="00461D74">
        <w:rPr>
          <w:rFonts w:ascii="Garamond" w:hAnsi="Garamond" w:cstheme="minorHAnsi"/>
          <w:sz w:val="24"/>
          <w:szCs w:val="24"/>
        </w:rPr>
        <w:t xml:space="preserve"> </w:t>
      </w:r>
      <w:r w:rsidRPr="00461D74">
        <w:rPr>
          <w:rFonts w:ascii="Garamond" w:hAnsi="Garamond" w:cstheme="minorHAnsi"/>
          <w:sz w:val="24"/>
          <w:szCs w:val="24"/>
        </w:rPr>
        <w:t>learn</w:t>
      </w:r>
      <w:r w:rsidR="00CA4B3B">
        <w:rPr>
          <w:rFonts w:ascii="Garamond" w:hAnsi="Garamond" w:cstheme="minorHAnsi"/>
          <w:sz w:val="24"/>
          <w:szCs w:val="24"/>
        </w:rPr>
        <w:t>ing</w:t>
      </w:r>
      <w:r w:rsidRPr="00461D74">
        <w:rPr>
          <w:rFonts w:ascii="Garamond" w:hAnsi="Garamond" w:cstheme="minorHAnsi"/>
          <w:sz w:val="24"/>
          <w:szCs w:val="24"/>
        </w:rPr>
        <w:t xml:space="preserve"> and theoriz</w:t>
      </w:r>
      <w:r w:rsidR="00CA4B3B">
        <w:rPr>
          <w:rFonts w:ascii="Garamond" w:hAnsi="Garamond" w:cstheme="minorHAnsi"/>
          <w:sz w:val="24"/>
          <w:szCs w:val="24"/>
        </w:rPr>
        <w:t>ing</w:t>
      </w:r>
      <w:r w:rsidRPr="00461D74">
        <w:rPr>
          <w:rFonts w:ascii="Garamond" w:hAnsi="Garamond" w:cstheme="minorHAnsi"/>
          <w:sz w:val="24"/>
          <w:szCs w:val="24"/>
        </w:rPr>
        <w:t xml:space="preserve"> in moral philosophy. So in this sense both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Ravizza</w:t>
      </w:r>
      <w:proofErr w:type="spellEnd"/>
      <w:r w:rsidRPr="00461D74">
        <w:rPr>
          <w:rFonts w:ascii="Garamond" w:hAnsi="Garamond" w:cstheme="minorHAnsi"/>
          <w:sz w:val="24"/>
          <w:szCs w:val="24"/>
        </w:rPr>
        <w:t xml:space="preserve"> were closer to the modern point of view, than they were to Aristotle’s; and to this extent they had moved away from the sort of view held by Aristotle. This is MacIntyre’s central claim.</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w:t>
      </w:r>
      <w:r w:rsidR="00A61B0A" w:rsidRPr="00461D74">
        <w:rPr>
          <w:rFonts w:ascii="Garamond" w:hAnsi="Garamond" w:cstheme="minorHAnsi"/>
          <w:sz w:val="24"/>
          <w:szCs w:val="24"/>
        </w:rPr>
        <w:t>then draws our attention to</w:t>
      </w:r>
      <w:r w:rsidRPr="00461D74">
        <w:rPr>
          <w:rFonts w:ascii="Garamond" w:hAnsi="Garamond" w:cstheme="minorHAnsi"/>
          <w:sz w:val="24"/>
          <w:szCs w:val="24"/>
        </w:rPr>
        <w:t xml:space="preserve"> a second related argument: while for Aristotle</w:t>
      </w:r>
      <w:r w:rsidR="006F1A3D" w:rsidRPr="00461D74">
        <w:rPr>
          <w:rFonts w:ascii="Garamond" w:hAnsi="Garamond" w:cstheme="minorHAnsi"/>
          <w:sz w:val="24"/>
          <w:szCs w:val="24"/>
        </w:rPr>
        <w:t>,</w:t>
      </w:r>
      <w:r w:rsidRPr="00461D74">
        <w:rPr>
          <w:rFonts w:ascii="Garamond" w:hAnsi="Garamond" w:cstheme="minorHAnsi"/>
          <w:sz w:val="24"/>
          <w:szCs w:val="24"/>
        </w:rPr>
        <w:t xml:space="preserve"> philosophy’s task is to understand the relationship between actions and the practical reasons of the individual in particular circumstances,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sees philosophy itself as performing the type of education </w:t>
      </w:r>
      <w:r w:rsidR="001B372C">
        <w:rPr>
          <w:rFonts w:ascii="Garamond" w:hAnsi="Garamond" w:cstheme="minorHAnsi"/>
          <w:sz w:val="24"/>
          <w:szCs w:val="24"/>
        </w:rPr>
        <w:t>which</w:t>
      </w:r>
      <w:r w:rsidR="001B372C" w:rsidRPr="00461D74">
        <w:rPr>
          <w:rFonts w:ascii="Garamond" w:hAnsi="Garamond" w:cstheme="minorHAnsi"/>
          <w:sz w:val="24"/>
          <w:szCs w:val="24"/>
        </w:rPr>
        <w:t xml:space="preserve"> </w:t>
      </w:r>
      <w:r w:rsidR="001B372C">
        <w:rPr>
          <w:rFonts w:ascii="Garamond" w:hAnsi="Garamond" w:cstheme="minorHAnsi"/>
          <w:sz w:val="24"/>
          <w:szCs w:val="24"/>
        </w:rPr>
        <w:t>permits the formation of the virtues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196"/>
      </w:r>
      <w:r w:rsidRPr="00461D74">
        <w:rPr>
          <w:rFonts w:ascii="Garamond" w:hAnsi="Garamond" w:cstheme="minorHAnsi"/>
          <w:sz w:val="24"/>
          <w:szCs w:val="24"/>
        </w:rPr>
        <w:t xml:space="preserve"> On Aristotle’s account, the task of philosophy is to understand how appropriate </w:t>
      </w:r>
      <w:r w:rsidR="001B372C">
        <w:rPr>
          <w:rFonts w:ascii="Garamond" w:hAnsi="Garamond" w:cstheme="minorHAnsi"/>
          <w:sz w:val="24"/>
          <w:szCs w:val="24"/>
        </w:rPr>
        <w:t xml:space="preserve">instruction and </w:t>
      </w:r>
      <w:r w:rsidRPr="00461D74">
        <w:rPr>
          <w:rFonts w:ascii="Garamond" w:hAnsi="Garamond" w:cstheme="minorHAnsi"/>
          <w:sz w:val="24"/>
          <w:szCs w:val="24"/>
        </w:rPr>
        <w:t xml:space="preserve">legislation can promote the cultivation of the virtues, whilst for </w:t>
      </w:r>
      <w:proofErr w:type="spellStart"/>
      <w:proofErr w:type="gramStart"/>
      <w:r w:rsidRPr="00461D74">
        <w:rPr>
          <w:rFonts w:ascii="Garamond" w:hAnsi="Garamond" w:cstheme="minorHAnsi"/>
          <w:sz w:val="24"/>
          <w:szCs w:val="24"/>
        </w:rPr>
        <w:t>Piccolomini</w:t>
      </w:r>
      <w:proofErr w:type="spellEnd"/>
      <w:r w:rsidRPr="00461D74">
        <w:rPr>
          <w:rFonts w:ascii="Garamond" w:hAnsi="Garamond" w:cstheme="minorHAnsi"/>
          <w:sz w:val="24"/>
          <w:szCs w:val="24"/>
        </w:rPr>
        <w:t>,</w:t>
      </w:r>
      <w:proofErr w:type="gramEnd"/>
      <w:r w:rsidRPr="00461D74">
        <w:rPr>
          <w:rFonts w:ascii="Garamond" w:hAnsi="Garamond" w:cstheme="minorHAnsi"/>
          <w:sz w:val="24"/>
          <w:szCs w:val="24"/>
        </w:rPr>
        <w:t xml:space="preserve"> moral philosophy directly educates us into the virtues by allowing individuals to apply theoretical reasoning to adjudicate between right and wrong actions in different practical situations.</w:t>
      </w:r>
      <w:r w:rsidRPr="00461D74">
        <w:rPr>
          <w:rStyle w:val="FootnoteReference"/>
          <w:rFonts w:ascii="Garamond" w:hAnsi="Garamond" w:cstheme="minorHAnsi"/>
          <w:sz w:val="24"/>
          <w:szCs w:val="24"/>
        </w:rPr>
        <w:footnoteReference w:id="197"/>
      </w:r>
      <w:r w:rsidRPr="00461D74">
        <w:rPr>
          <w:rFonts w:ascii="Garamond" w:hAnsi="Garamond" w:cstheme="minorHAnsi"/>
          <w:sz w:val="24"/>
          <w:szCs w:val="24"/>
        </w:rPr>
        <w:t xml:space="preserve"> Here we should emphasize a point that I made earlier: that on Aristotle’s view, only persons who already possess the necessary virtues can engage in moral reasoning and philosophy; and the only way to acquir</w:t>
      </w:r>
      <w:r w:rsidR="006F1A3D" w:rsidRPr="00461D74">
        <w:rPr>
          <w:rFonts w:ascii="Garamond" w:hAnsi="Garamond" w:cstheme="minorHAnsi"/>
          <w:sz w:val="24"/>
          <w:szCs w:val="24"/>
        </w:rPr>
        <w:t>e</w:t>
      </w:r>
      <w:r w:rsidRPr="00461D74">
        <w:rPr>
          <w:rFonts w:ascii="Garamond" w:hAnsi="Garamond" w:cstheme="minorHAnsi"/>
          <w:sz w:val="24"/>
          <w:szCs w:val="24"/>
        </w:rPr>
        <w:t xml:space="preserve"> the virtues is through emulating the practices and habits of educated elders.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Thus, in the account offered by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theoretical education in moral philosophy helps foster virtuous persons; while for Aristotle, virtues are instilled through a kind of practical moral education that primarily focuses on emulation of correct practices, and habits, as opposed to reasoning about right and wrong actions. It is in this sense that under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account</w:t>
      </w:r>
      <w:r w:rsidR="006F1A3D" w:rsidRPr="00461D74">
        <w:rPr>
          <w:rFonts w:ascii="Garamond" w:hAnsi="Garamond" w:cstheme="minorHAnsi"/>
          <w:sz w:val="24"/>
          <w:szCs w:val="24"/>
        </w:rPr>
        <w:t>,</w:t>
      </w:r>
      <w:r w:rsidRPr="00461D74">
        <w:rPr>
          <w:rFonts w:ascii="Garamond" w:hAnsi="Garamond" w:cstheme="minorHAnsi"/>
          <w:sz w:val="24"/>
          <w:szCs w:val="24"/>
        </w:rPr>
        <w:t xml:space="preserve"> moral education </w:t>
      </w:r>
      <w:r w:rsidR="009E5745">
        <w:rPr>
          <w:rFonts w:ascii="Garamond" w:hAnsi="Garamond" w:cstheme="minorHAnsi"/>
          <w:sz w:val="24"/>
          <w:szCs w:val="24"/>
        </w:rPr>
        <w:t>develops into a</w:t>
      </w:r>
      <w:r w:rsidRPr="00461D74">
        <w:rPr>
          <w:rFonts w:ascii="Garamond" w:hAnsi="Garamond" w:cstheme="minorHAnsi"/>
          <w:sz w:val="24"/>
          <w:szCs w:val="24"/>
        </w:rPr>
        <w:t xml:space="preserve"> </w:t>
      </w:r>
      <w:r w:rsidRPr="00461D74">
        <w:rPr>
          <w:rFonts w:ascii="Garamond" w:hAnsi="Garamond" w:cstheme="minorHAnsi"/>
          <w:i/>
          <w:iCs/>
          <w:sz w:val="24"/>
          <w:szCs w:val="24"/>
        </w:rPr>
        <w:t>theoretical</w:t>
      </w:r>
      <w:r w:rsidR="00A61B0A" w:rsidRPr="00461D74">
        <w:rPr>
          <w:rFonts w:ascii="Garamond" w:hAnsi="Garamond" w:cstheme="minorHAnsi"/>
          <w:sz w:val="24"/>
          <w:szCs w:val="24"/>
        </w:rPr>
        <w:t xml:space="preserve"> endeavour, </w:t>
      </w:r>
      <w:r w:rsidRPr="00461D74">
        <w:rPr>
          <w:rFonts w:ascii="Garamond" w:hAnsi="Garamond" w:cstheme="minorHAnsi"/>
          <w:sz w:val="24"/>
          <w:szCs w:val="24"/>
        </w:rPr>
        <w:t xml:space="preserve">whereas in Aristotle’s account education into the virtues remains a much more </w:t>
      </w:r>
      <w:r w:rsidRPr="00461D74">
        <w:rPr>
          <w:rFonts w:ascii="Garamond" w:hAnsi="Garamond" w:cstheme="minorHAnsi"/>
          <w:i/>
          <w:iCs/>
          <w:sz w:val="24"/>
          <w:szCs w:val="24"/>
        </w:rPr>
        <w:t>practical</w:t>
      </w:r>
      <w:r w:rsidR="00A61B0A" w:rsidRPr="00461D74">
        <w:rPr>
          <w:rFonts w:ascii="Garamond" w:hAnsi="Garamond" w:cstheme="minorHAnsi"/>
          <w:iCs/>
          <w:sz w:val="24"/>
          <w:szCs w:val="24"/>
        </w:rPr>
        <w:t xml:space="preserve"> </w:t>
      </w:r>
      <w:r w:rsidR="00A61B0A" w:rsidRPr="00461D74">
        <w:rPr>
          <w:rFonts w:ascii="Garamond" w:hAnsi="Garamond" w:cstheme="minorHAnsi"/>
          <w:sz w:val="24"/>
          <w:szCs w:val="24"/>
        </w:rPr>
        <w:t>activity</w:t>
      </w:r>
      <w:r w:rsidRPr="00461D74">
        <w:rPr>
          <w:rFonts w:ascii="Garamond" w:hAnsi="Garamond" w:cstheme="minorHAnsi"/>
          <w:sz w:val="24"/>
          <w:szCs w:val="24"/>
        </w:rPr>
        <w:t xml:space="preserve">. MacIntyre then points to other Renaissance Aristotelians to show that the views held by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were not in </w:t>
      </w:r>
      <w:r w:rsidRPr="00461D74">
        <w:rPr>
          <w:rFonts w:ascii="Garamond" w:hAnsi="Garamond" w:cstheme="minorHAnsi"/>
          <w:sz w:val="24"/>
          <w:szCs w:val="24"/>
        </w:rPr>
        <w:lastRenderedPageBreak/>
        <w:t>any way unique to him;</w:t>
      </w:r>
      <w:r w:rsidRPr="00461D74">
        <w:rPr>
          <w:rStyle w:val="FootnoteReference"/>
          <w:rFonts w:ascii="Garamond" w:hAnsi="Garamond" w:cstheme="minorHAnsi"/>
          <w:sz w:val="24"/>
          <w:szCs w:val="24"/>
        </w:rPr>
        <w:footnoteReference w:id="198"/>
      </w:r>
      <w:r w:rsidRPr="00461D74">
        <w:rPr>
          <w:rFonts w:ascii="Garamond" w:hAnsi="Garamond" w:cstheme="minorHAnsi"/>
          <w:sz w:val="24"/>
          <w:szCs w:val="24"/>
        </w:rPr>
        <w:t xml:space="preserve"> and subsequently, MacIntyre suggests that something similar to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view is present in other Renaissance Aristotelians like Leonardo </w:t>
      </w:r>
      <w:proofErr w:type="spellStart"/>
      <w:r w:rsidRPr="00461D74">
        <w:rPr>
          <w:rFonts w:ascii="Garamond" w:hAnsi="Garamond" w:cstheme="minorHAnsi"/>
          <w:sz w:val="24"/>
          <w:szCs w:val="24"/>
        </w:rPr>
        <w:t>Bruni</w:t>
      </w:r>
      <w:proofErr w:type="spellEnd"/>
      <w:r w:rsidRPr="00461D74">
        <w:rPr>
          <w:rFonts w:ascii="Garamond" w:hAnsi="Garamond" w:cstheme="minorHAnsi"/>
          <w:sz w:val="24"/>
          <w:szCs w:val="24"/>
        </w:rPr>
        <w:t>, and John Case.</w:t>
      </w:r>
      <w:r w:rsidRPr="00461D74">
        <w:rPr>
          <w:rStyle w:val="FootnoteReference"/>
          <w:rFonts w:ascii="Garamond" w:hAnsi="Garamond" w:cstheme="minorHAnsi"/>
          <w:sz w:val="24"/>
          <w:szCs w:val="24"/>
        </w:rPr>
        <w:footnoteReference w:id="199"/>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A third argument </w:t>
      </w:r>
      <w:r w:rsidR="00A61B0A" w:rsidRPr="00461D74">
        <w:rPr>
          <w:rFonts w:ascii="Garamond" w:hAnsi="Garamond" w:cstheme="minorHAnsi"/>
          <w:sz w:val="24"/>
          <w:szCs w:val="24"/>
        </w:rPr>
        <w:t xml:space="preserve">that </w:t>
      </w:r>
      <w:r w:rsidRPr="00461D74">
        <w:rPr>
          <w:rFonts w:ascii="Garamond" w:hAnsi="Garamond" w:cstheme="minorHAnsi"/>
          <w:sz w:val="24"/>
          <w:szCs w:val="24"/>
        </w:rPr>
        <w:t xml:space="preserve">MacIntyre presents in this paper stresses the important role of the virtue of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in Aristotle’s account of the virtues. MacIntyre </w:t>
      </w:r>
      <w:r w:rsidR="00A61B0A" w:rsidRPr="00461D74">
        <w:rPr>
          <w:rFonts w:ascii="Garamond" w:hAnsi="Garamond" w:cstheme="minorHAnsi"/>
          <w:sz w:val="24"/>
          <w:szCs w:val="24"/>
        </w:rPr>
        <w:t xml:space="preserve">here </w:t>
      </w:r>
      <w:r w:rsidRPr="00461D74">
        <w:rPr>
          <w:rFonts w:ascii="Garamond" w:hAnsi="Garamond" w:cstheme="minorHAnsi"/>
          <w:sz w:val="24"/>
          <w:szCs w:val="24"/>
        </w:rPr>
        <w:t xml:space="preserve">argues that for Aristotle,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as a virtue is the ability to make correct judgments in acting virtuously in a variety of different social context. That is,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can be viewed as a second-order virtue that enables the person to know how to apply a variety of first-order virtues to particular situations. What is also significant for MacIntyre’s argument is that Aristotle’s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often translated to English as </w:t>
      </w:r>
      <w:r w:rsidR="006F1A3D" w:rsidRPr="00461D74">
        <w:rPr>
          <w:rFonts w:ascii="Garamond" w:hAnsi="Garamond" w:cstheme="minorHAnsi"/>
          <w:sz w:val="24"/>
          <w:szCs w:val="24"/>
        </w:rPr>
        <w:t>‘</w:t>
      </w:r>
      <w:r w:rsidRPr="00461D74">
        <w:rPr>
          <w:rFonts w:ascii="Garamond" w:hAnsi="Garamond" w:cstheme="minorHAnsi"/>
          <w:sz w:val="24"/>
          <w:szCs w:val="24"/>
        </w:rPr>
        <w:t>prudence</w:t>
      </w:r>
      <w:r w:rsidR="00B22B1B">
        <w:rPr>
          <w:rFonts w:ascii="Garamond" w:hAnsi="Garamond" w:cstheme="minorHAnsi"/>
          <w:sz w:val="24"/>
          <w:szCs w:val="24"/>
        </w:rPr>
        <w:t>,</w:t>
      </w:r>
      <w:r w:rsidR="006F1A3D" w:rsidRPr="00461D74">
        <w:rPr>
          <w:rFonts w:ascii="Garamond" w:hAnsi="Garamond" w:cstheme="minorHAnsi"/>
          <w:sz w:val="24"/>
          <w:szCs w:val="24"/>
        </w:rPr>
        <w:t>’</w:t>
      </w:r>
      <w:r w:rsidRPr="00461D74">
        <w:rPr>
          <w:rFonts w:ascii="Garamond" w:hAnsi="Garamond" w:cstheme="minorHAnsi"/>
          <w:sz w:val="24"/>
          <w:szCs w:val="24"/>
        </w:rPr>
        <w:t xml:space="preserve"> should not be confused with the modern definition of prudence as prudent action or behavior. MacIntyre </w:t>
      </w:r>
      <w:r w:rsidR="00A61B0A" w:rsidRPr="00461D74">
        <w:rPr>
          <w:rFonts w:ascii="Garamond" w:hAnsi="Garamond" w:cstheme="minorHAnsi"/>
          <w:sz w:val="24"/>
          <w:szCs w:val="24"/>
        </w:rPr>
        <w:t xml:space="preserve">goes on to argue </w:t>
      </w:r>
      <w:r w:rsidRPr="00461D74">
        <w:rPr>
          <w:rFonts w:ascii="Garamond" w:hAnsi="Garamond" w:cstheme="minorHAnsi"/>
          <w:sz w:val="24"/>
          <w:szCs w:val="24"/>
        </w:rPr>
        <w:t xml:space="preserve">that the virtue of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for many </w:t>
      </w:r>
      <w:r w:rsidR="00B22B1B" w:rsidRPr="00461D74">
        <w:rPr>
          <w:rFonts w:ascii="Garamond" w:hAnsi="Garamond" w:cstheme="minorHAnsi"/>
          <w:sz w:val="24"/>
          <w:szCs w:val="24"/>
        </w:rPr>
        <w:t xml:space="preserve">Renaissance </w:t>
      </w:r>
      <w:r w:rsidRPr="00461D74">
        <w:rPr>
          <w:rFonts w:ascii="Garamond" w:hAnsi="Garamond" w:cstheme="minorHAnsi"/>
          <w:sz w:val="24"/>
          <w:szCs w:val="24"/>
        </w:rPr>
        <w:t xml:space="preserve">Aristotelians, such as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in places like Venice, was likely to be very different from</w:t>
      </w:r>
      <w:r w:rsidR="00B22B1B">
        <w:rPr>
          <w:rFonts w:ascii="Garamond" w:hAnsi="Garamond" w:cstheme="minorHAnsi"/>
          <w:sz w:val="24"/>
          <w:szCs w:val="24"/>
        </w:rPr>
        <w:t xml:space="preserve"> Aristotle’s conception of</w:t>
      </w:r>
      <w:r w:rsidRPr="00461D74">
        <w:rPr>
          <w:rFonts w:ascii="Garamond" w:hAnsi="Garamond" w:cstheme="minorHAnsi"/>
          <w:sz w:val="24"/>
          <w:szCs w:val="24"/>
        </w:rPr>
        <w:t xml:space="preserve">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In order to support this argument</w:t>
      </w:r>
      <w:r w:rsidR="00DC3BAF">
        <w:rPr>
          <w:rFonts w:ascii="Garamond" w:hAnsi="Garamond" w:cstheme="minorHAnsi"/>
          <w:sz w:val="24"/>
          <w:szCs w:val="24"/>
        </w:rPr>
        <w:t>,</w:t>
      </w:r>
      <w:r w:rsidRPr="00461D74">
        <w:rPr>
          <w:rFonts w:ascii="Garamond" w:hAnsi="Garamond" w:cstheme="minorHAnsi"/>
          <w:sz w:val="24"/>
          <w:szCs w:val="24"/>
        </w:rPr>
        <w:t xml:space="preserve"> MacIntyre states that while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r w:rsidR="00A61B0A" w:rsidRPr="00461D74">
        <w:rPr>
          <w:rFonts w:ascii="Garamond" w:hAnsi="Garamond" w:cstheme="minorHAnsi"/>
          <w:sz w:val="24"/>
          <w:szCs w:val="24"/>
        </w:rPr>
        <w:t xml:space="preserve">placed </w:t>
      </w:r>
      <w:r w:rsidRPr="00461D74">
        <w:rPr>
          <w:rFonts w:ascii="Garamond" w:hAnsi="Garamond" w:cstheme="minorHAnsi"/>
          <w:sz w:val="24"/>
          <w:szCs w:val="24"/>
        </w:rPr>
        <w:t>together course syllabus</w:t>
      </w:r>
      <w:r w:rsidR="00A61B0A" w:rsidRPr="00461D74">
        <w:rPr>
          <w:rFonts w:ascii="Garamond" w:hAnsi="Garamond" w:cstheme="minorHAnsi"/>
          <w:sz w:val="24"/>
          <w:szCs w:val="24"/>
        </w:rPr>
        <w:t>es</w:t>
      </w:r>
      <w:r w:rsidRPr="00461D74">
        <w:rPr>
          <w:rFonts w:ascii="Garamond" w:hAnsi="Garamond" w:cstheme="minorHAnsi"/>
          <w:sz w:val="24"/>
          <w:szCs w:val="24"/>
        </w:rPr>
        <w:t xml:space="preserve"> for lectures delivered to students at the </w:t>
      </w:r>
      <w:r w:rsidR="00A61B0A" w:rsidRPr="00461D74">
        <w:rPr>
          <w:rFonts w:ascii="Garamond" w:hAnsi="Garamond" w:cstheme="minorHAnsi"/>
          <w:sz w:val="24"/>
          <w:szCs w:val="24"/>
        </w:rPr>
        <w:t>U</w:t>
      </w:r>
      <w:r w:rsidRPr="00461D74">
        <w:rPr>
          <w:rFonts w:ascii="Garamond" w:hAnsi="Garamond" w:cstheme="minorHAnsi"/>
          <w:sz w:val="24"/>
          <w:szCs w:val="24"/>
        </w:rPr>
        <w:t>niversity of Padua, he himself never delivered any such lectures.</w:t>
      </w:r>
      <w:r w:rsidRPr="00461D74">
        <w:rPr>
          <w:rStyle w:val="FootnoteReference"/>
          <w:rFonts w:ascii="Garamond" w:hAnsi="Garamond" w:cstheme="minorHAnsi"/>
          <w:sz w:val="24"/>
          <w:szCs w:val="24"/>
        </w:rPr>
        <w:footnoteReference w:id="200"/>
      </w:r>
      <w:r w:rsidRPr="00461D74">
        <w:rPr>
          <w:rFonts w:ascii="Garamond" w:hAnsi="Garamond" w:cstheme="minorHAnsi"/>
          <w:sz w:val="24"/>
          <w:szCs w:val="24"/>
        </w:rPr>
        <w:t xml:space="preserve"> Rather he dedicates his lectures to the Venetian senate. More importantly, with respect to the discussion of prudence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he uses as his example current and past member of the Senate.</w:t>
      </w:r>
      <w:r w:rsidRPr="00461D74">
        <w:rPr>
          <w:rStyle w:val="FootnoteReference"/>
          <w:rFonts w:ascii="Garamond" w:hAnsi="Garamond" w:cstheme="minorHAnsi"/>
          <w:sz w:val="24"/>
          <w:szCs w:val="24"/>
        </w:rPr>
        <w:footnoteReference w:id="201"/>
      </w:r>
      <w:r w:rsidRPr="00461D74">
        <w:rPr>
          <w:rFonts w:ascii="Garamond" w:hAnsi="Garamond" w:cstheme="minorHAnsi"/>
          <w:sz w:val="24"/>
          <w:szCs w:val="24"/>
        </w:rPr>
        <w:t xml:space="preserve"> </w:t>
      </w:r>
      <w:r w:rsidR="00344EAF">
        <w:rPr>
          <w:rFonts w:ascii="Garamond" w:hAnsi="Garamond" w:cstheme="minorHAnsi"/>
          <w:sz w:val="24"/>
          <w:szCs w:val="24"/>
        </w:rPr>
        <w:t>Therefore,</w:t>
      </w:r>
      <w:r w:rsidR="00344EAF" w:rsidRPr="00461D74">
        <w:rPr>
          <w:rFonts w:ascii="Garamond" w:hAnsi="Garamond" w:cstheme="minorHAnsi"/>
          <w:sz w:val="24"/>
          <w:szCs w:val="24"/>
        </w:rPr>
        <w:t xml:space="preserve"> </w:t>
      </w:r>
      <w:r w:rsidRPr="00461D74">
        <w:rPr>
          <w:rFonts w:ascii="Garamond" w:hAnsi="Garamond" w:cstheme="minorHAnsi"/>
          <w:sz w:val="24"/>
          <w:szCs w:val="24"/>
        </w:rPr>
        <w:t xml:space="preserve">MacIntyre </w:t>
      </w:r>
      <w:r w:rsidR="00344EAF">
        <w:rPr>
          <w:rFonts w:ascii="Garamond" w:hAnsi="Garamond" w:cstheme="minorHAnsi"/>
          <w:sz w:val="24"/>
          <w:szCs w:val="24"/>
        </w:rPr>
        <w:t>appears to be</w:t>
      </w:r>
      <w:r w:rsidR="00344EAF" w:rsidRPr="00461D74">
        <w:rPr>
          <w:rFonts w:ascii="Garamond" w:hAnsi="Garamond" w:cstheme="minorHAnsi"/>
          <w:sz w:val="24"/>
          <w:szCs w:val="24"/>
        </w:rPr>
        <w:t xml:space="preserve"> </w:t>
      </w:r>
      <w:r w:rsidRPr="00461D74">
        <w:rPr>
          <w:rFonts w:ascii="Garamond" w:hAnsi="Garamond" w:cstheme="minorHAnsi"/>
          <w:sz w:val="24"/>
          <w:szCs w:val="24"/>
        </w:rPr>
        <w:t xml:space="preserve">suggesting that for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prudence – the virtue of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 </w:t>
      </w:r>
      <w:r w:rsidR="00344EAF">
        <w:rPr>
          <w:rFonts w:ascii="Garamond" w:hAnsi="Garamond" w:cstheme="minorHAnsi"/>
          <w:sz w:val="24"/>
          <w:szCs w:val="24"/>
        </w:rPr>
        <w:t>in the context of Venetian life</w:t>
      </w:r>
      <w:r w:rsidR="00344EAF" w:rsidRPr="00461D74">
        <w:rPr>
          <w:rFonts w:ascii="Garamond" w:hAnsi="Garamond" w:cstheme="minorHAnsi"/>
          <w:sz w:val="24"/>
          <w:szCs w:val="24"/>
        </w:rPr>
        <w:t xml:space="preserve"> </w:t>
      </w:r>
      <w:r w:rsidRPr="00461D74">
        <w:rPr>
          <w:rFonts w:ascii="Garamond" w:hAnsi="Garamond" w:cstheme="minorHAnsi"/>
          <w:sz w:val="24"/>
          <w:szCs w:val="24"/>
        </w:rPr>
        <w:t>was more likely to be understood as discretion, pragmatism and expedience</w:t>
      </w:r>
      <w:r w:rsidR="00344EAF">
        <w:rPr>
          <w:rFonts w:ascii="Garamond" w:hAnsi="Garamond" w:cstheme="minorHAnsi"/>
          <w:sz w:val="24"/>
          <w:szCs w:val="24"/>
        </w:rPr>
        <w:t xml:space="preserve"> </w:t>
      </w:r>
      <w:r w:rsidRPr="00461D74">
        <w:rPr>
          <w:rFonts w:ascii="Garamond" w:hAnsi="Garamond" w:cstheme="minorHAnsi"/>
          <w:sz w:val="24"/>
          <w:szCs w:val="24"/>
        </w:rPr>
        <w:t xml:space="preserve">– concepts </w:t>
      </w:r>
      <w:r w:rsidRPr="00461D74">
        <w:rPr>
          <w:rFonts w:ascii="Garamond" w:hAnsi="Garamond" w:cstheme="minorHAnsi"/>
          <w:sz w:val="24"/>
          <w:szCs w:val="24"/>
        </w:rPr>
        <w:lastRenderedPageBreak/>
        <w:t xml:space="preserve">that are closely allied with the modern concept of self-interest, expediency, and effectiveness. </w:t>
      </w:r>
      <w:r w:rsidR="00A61B0A" w:rsidRPr="00461D74">
        <w:rPr>
          <w:rFonts w:ascii="Garamond" w:hAnsi="Garamond" w:cstheme="minorHAnsi"/>
          <w:sz w:val="24"/>
          <w:szCs w:val="24"/>
        </w:rPr>
        <w:t>Nevertheless</w:t>
      </w:r>
      <w:r w:rsidRPr="00461D74">
        <w:rPr>
          <w:rFonts w:ascii="Garamond" w:hAnsi="Garamond" w:cstheme="minorHAnsi"/>
          <w:sz w:val="24"/>
          <w:szCs w:val="24"/>
        </w:rPr>
        <w:t xml:space="preserve"> this definition of </w:t>
      </w:r>
      <w:proofErr w:type="spellStart"/>
      <w:r w:rsidRPr="00461D74">
        <w:rPr>
          <w:rFonts w:ascii="Garamond" w:hAnsi="Garamond" w:cstheme="minorHAnsi"/>
          <w:i/>
          <w:iCs/>
          <w:sz w:val="24"/>
          <w:szCs w:val="24"/>
        </w:rPr>
        <w:t>phronēsis</w:t>
      </w:r>
      <w:proofErr w:type="spellEnd"/>
      <w:r w:rsidR="00A61B0A" w:rsidRPr="00461D74">
        <w:rPr>
          <w:rFonts w:ascii="Garamond" w:hAnsi="Garamond" w:cstheme="minorHAnsi"/>
          <w:i/>
          <w:iCs/>
          <w:sz w:val="24"/>
          <w:szCs w:val="24"/>
        </w:rPr>
        <w:t xml:space="preserve"> </w:t>
      </w:r>
      <w:r w:rsidR="006F1A3D" w:rsidRPr="00461D74">
        <w:rPr>
          <w:rFonts w:ascii="Garamond" w:hAnsi="Garamond" w:cstheme="minorHAnsi"/>
          <w:sz w:val="24"/>
          <w:szCs w:val="24"/>
        </w:rPr>
        <w:t>–</w:t>
      </w:r>
      <w:r w:rsidRPr="00461D74">
        <w:rPr>
          <w:rFonts w:ascii="Garamond" w:hAnsi="Garamond" w:cstheme="minorHAnsi"/>
          <w:sz w:val="24"/>
          <w:szCs w:val="24"/>
        </w:rPr>
        <w:t xml:space="preserve"> </w:t>
      </w:r>
      <w:r w:rsidR="00A61B0A" w:rsidRPr="00461D74">
        <w:rPr>
          <w:rFonts w:ascii="Garamond" w:hAnsi="Garamond" w:cstheme="minorHAnsi"/>
          <w:sz w:val="24"/>
          <w:szCs w:val="24"/>
        </w:rPr>
        <w:t>as</w:t>
      </w:r>
      <w:r w:rsidRPr="00461D74">
        <w:rPr>
          <w:rFonts w:ascii="Garamond" w:hAnsi="Garamond" w:cstheme="minorHAnsi"/>
          <w:sz w:val="24"/>
          <w:szCs w:val="24"/>
        </w:rPr>
        <w:t xml:space="preserve"> prudence </w:t>
      </w:r>
      <w:r w:rsidR="006F1A3D" w:rsidRPr="00461D74">
        <w:rPr>
          <w:rFonts w:ascii="Garamond" w:hAnsi="Garamond" w:cstheme="minorHAnsi"/>
          <w:sz w:val="24"/>
          <w:szCs w:val="24"/>
        </w:rPr>
        <w:t>–</w:t>
      </w:r>
      <w:r w:rsidR="00A61B0A" w:rsidRPr="00461D74">
        <w:rPr>
          <w:rFonts w:ascii="Garamond" w:hAnsi="Garamond" w:cstheme="minorHAnsi"/>
          <w:sz w:val="24"/>
          <w:szCs w:val="24"/>
        </w:rPr>
        <w:t xml:space="preserve"> </w:t>
      </w:r>
      <w:r w:rsidRPr="00461D74">
        <w:rPr>
          <w:rFonts w:ascii="Garamond" w:hAnsi="Garamond" w:cstheme="minorHAnsi"/>
          <w:sz w:val="24"/>
          <w:szCs w:val="24"/>
        </w:rPr>
        <w:t xml:space="preserve">was very much at odds with Aristotle’s conception of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fourth and last point that MacIntyre makes is that Aristotelians like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unintentionally helped discredit Aristotle’s ethics, by framing the Italian city-states in terms </w:t>
      </w:r>
      <w:r w:rsidR="00C44964">
        <w:rPr>
          <w:rFonts w:ascii="Garamond" w:hAnsi="Garamond" w:cstheme="minorHAnsi"/>
          <w:sz w:val="24"/>
          <w:szCs w:val="24"/>
        </w:rPr>
        <w:t>that view those cities</w:t>
      </w:r>
      <w:r w:rsidRPr="00461D74">
        <w:rPr>
          <w:rFonts w:ascii="Garamond" w:hAnsi="Garamond" w:cstheme="minorHAnsi"/>
          <w:sz w:val="24"/>
          <w:szCs w:val="24"/>
        </w:rPr>
        <w:t xml:space="preserve"> as analogous to, and continuous with, the Aristotelian </w:t>
      </w:r>
      <w:r w:rsidRPr="00461D74">
        <w:rPr>
          <w:rFonts w:ascii="Garamond" w:hAnsi="Garamond" w:cstheme="minorHAnsi"/>
          <w:i/>
          <w:iCs/>
          <w:sz w:val="24"/>
          <w:szCs w:val="24"/>
        </w:rPr>
        <w:t>polis</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writings </w:t>
      </w:r>
      <w:r w:rsidR="00DC3BAF">
        <w:rPr>
          <w:rFonts w:ascii="Garamond" w:hAnsi="Garamond" w:cstheme="minorHAnsi"/>
          <w:sz w:val="24"/>
          <w:szCs w:val="24"/>
        </w:rPr>
        <w:t>treat</w:t>
      </w:r>
      <w:r w:rsidRPr="00461D74">
        <w:rPr>
          <w:rFonts w:ascii="Garamond" w:hAnsi="Garamond" w:cstheme="minorHAnsi"/>
          <w:sz w:val="24"/>
          <w:szCs w:val="24"/>
        </w:rPr>
        <w:t xml:space="preserve"> the senators of Venice as models of virtue, and especially the virtue of prudence. Nonetheless, the senators of Venice </w:t>
      </w:r>
      <w:r w:rsidR="00576F72">
        <w:rPr>
          <w:rFonts w:ascii="Garamond" w:hAnsi="Garamond" w:cstheme="minorHAnsi"/>
          <w:sz w:val="24"/>
          <w:szCs w:val="24"/>
        </w:rPr>
        <w:t xml:space="preserve">did </w:t>
      </w:r>
      <w:r w:rsidRPr="00461D74">
        <w:rPr>
          <w:rFonts w:ascii="Garamond" w:hAnsi="Garamond" w:cstheme="minorHAnsi"/>
          <w:sz w:val="24"/>
          <w:szCs w:val="24"/>
        </w:rPr>
        <w:t xml:space="preserve">not </w:t>
      </w:r>
      <w:r w:rsidR="00576F72">
        <w:rPr>
          <w:rFonts w:ascii="Garamond" w:hAnsi="Garamond" w:cstheme="minorHAnsi"/>
          <w:sz w:val="24"/>
          <w:szCs w:val="24"/>
        </w:rPr>
        <w:t xml:space="preserve">necessarily possess </w:t>
      </w:r>
      <w:r w:rsidRPr="00461D74">
        <w:rPr>
          <w:rFonts w:ascii="Garamond" w:hAnsi="Garamond" w:cstheme="minorHAnsi"/>
          <w:sz w:val="24"/>
          <w:szCs w:val="24"/>
        </w:rPr>
        <w:t xml:space="preserve">the type of philosophical education that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supports. In fact, Venetian senators and magistrates were more likely to be part of the powerful families of the city, who vied for power and influence in the city</w:t>
      </w:r>
      <w:r w:rsidR="00576F72">
        <w:rPr>
          <w:rFonts w:ascii="Garamond" w:hAnsi="Garamond" w:cstheme="minorHAnsi"/>
          <w:sz w:val="24"/>
          <w:szCs w:val="24"/>
        </w:rPr>
        <w:t>, and were thus likely educated by their distinctive upbringing as members of the Venetian elite</w:t>
      </w:r>
      <w:r w:rsidRPr="00461D74">
        <w:rPr>
          <w:rFonts w:ascii="Garamond" w:hAnsi="Garamond" w:cstheme="minorHAnsi"/>
          <w:sz w:val="24"/>
          <w:szCs w:val="24"/>
        </w:rPr>
        <w:t xml:space="preserve">. On MacIntyre’s view, it is because Venice was a commercial oligarchy, and thus very different from the Aristotelian </w:t>
      </w:r>
      <w:r w:rsidRPr="00461D74">
        <w:rPr>
          <w:rFonts w:ascii="Garamond" w:hAnsi="Garamond" w:cstheme="minorHAnsi"/>
          <w:i/>
          <w:iCs/>
          <w:sz w:val="24"/>
          <w:szCs w:val="24"/>
        </w:rPr>
        <w:t>polis</w:t>
      </w:r>
      <w:r w:rsidRPr="00461D74">
        <w:rPr>
          <w:rFonts w:ascii="Garamond" w:hAnsi="Garamond" w:cstheme="minorHAnsi"/>
          <w:sz w:val="24"/>
          <w:szCs w:val="24"/>
        </w:rPr>
        <w:t xml:space="preserve">, </w:t>
      </w:r>
      <w:r w:rsidR="006F1A3D" w:rsidRPr="00461D74">
        <w:rPr>
          <w:rFonts w:ascii="Garamond" w:hAnsi="Garamond" w:cstheme="minorHAnsi"/>
          <w:sz w:val="24"/>
          <w:szCs w:val="24"/>
        </w:rPr>
        <w:t xml:space="preserve">that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attempt to connect the Aristotelian polis to the Venetian city-state in fact fails. Thus,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Venice was inherently incompatible with the sort of ethics that Aristotle formulates </w:t>
      </w:r>
      <w:r w:rsidR="003A6CA3">
        <w:rPr>
          <w:rFonts w:ascii="Garamond" w:hAnsi="Garamond" w:cstheme="minorHAnsi"/>
          <w:sz w:val="24"/>
          <w:szCs w:val="24"/>
        </w:rPr>
        <w:t>as part of his account of the</w:t>
      </w:r>
      <w:r w:rsidRPr="00461D74">
        <w:rPr>
          <w:rFonts w:ascii="Garamond" w:hAnsi="Garamond" w:cstheme="minorHAnsi"/>
          <w:sz w:val="24"/>
          <w:szCs w:val="24"/>
        </w:rPr>
        <w:t xml:space="preserve"> </w:t>
      </w:r>
      <w:r w:rsidRPr="00461D74">
        <w:rPr>
          <w:rFonts w:ascii="Garamond" w:hAnsi="Garamond" w:cstheme="minorHAnsi"/>
          <w:i/>
          <w:iCs/>
          <w:sz w:val="24"/>
          <w:szCs w:val="24"/>
        </w:rPr>
        <w:t>polis</w:t>
      </w:r>
      <w:r w:rsidRPr="00461D74">
        <w:rPr>
          <w:rFonts w:ascii="Garamond" w:hAnsi="Garamond" w:cstheme="minorHAnsi"/>
          <w:sz w:val="24"/>
          <w:szCs w:val="24"/>
        </w:rPr>
        <w:t>.</w:t>
      </w:r>
    </w:p>
    <w:p w:rsidR="002B669F"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Moreover, in Venice, acquisitiveness and the clever application of prudence, seen as cool self-interest, were highly valued in particular. Hence the discrepancy between Aristotle’s concept of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and the type of prudence seen in Venice is rather obvious, </w:t>
      </w:r>
      <w:r w:rsidR="00576F72">
        <w:rPr>
          <w:rFonts w:ascii="Garamond" w:hAnsi="Garamond" w:cstheme="minorHAnsi"/>
          <w:sz w:val="24"/>
          <w:szCs w:val="24"/>
        </w:rPr>
        <w:t xml:space="preserve">in part </w:t>
      </w:r>
      <w:r w:rsidRPr="00461D74">
        <w:rPr>
          <w:rFonts w:ascii="Garamond" w:hAnsi="Garamond" w:cstheme="minorHAnsi"/>
          <w:sz w:val="24"/>
          <w:szCs w:val="24"/>
        </w:rPr>
        <w:t xml:space="preserve">because the Venetian definition of prudence is much more modern in </w:t>
      </w:r>
      <w:r w:rsidR="00576F72">
        <w:rPr>
          <w:rFonts w:ascii="Garamond" w:hAnsi="Garamond" w:cstheme="minorHAnsi"/>
          <w:sz w:val="24"/>
          <w:szCs w:val="24"/>
        </w:rPr>
        <w:t>its character</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account incorrectly translates Aristotle’s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into a term that is entirely different – namely, self-interest. On MacIntyre’s view, the disconnect between the Aristotelian polis and the Venetian city-state, and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as defined by Aristotle and prudence as </w:t>
      </w:r>
      <w:r w:rsidR="009D7C9E">
        <w:rPr>
          <w:rFonts w:ascii="Garamond" w:hAnsi="Garamond" w:cstheme="minorHAnsi"/>
          <w:sz w:val="24"/>
          <w:szCs w:val="24"/>
        </w:rPr>
        <w:t xml:space="preserve">it was </w:t>
      </w:r>
      <w:r w:rsidRPr="00461D74">
        <w:rPr>
          <w:rFonts w:ascii="Garamond" w:hAnsi="Garamond" w:cstheme="minorHAnsi"/>
          <w:sz w:val="24"/>
          <w:szCs w:val="24"/>
        </w:rPr>
        <w:t>understood by Renaissance Venetians</w:t>
      </w:r>
      <w:r w:rsidR="009D7C9E">
        <w:rPr>
          <w:rFonts w:ascii="Garamond" w:hAnsi="Garamond" w:cstheme="minorHAnsi"/>
          <w:sz w:val="24"/>
          <w:szCs w:val="24"/>
        </w:rPr>
        <w:t xml:space="preserve"> like </w:t>
      </w:r>
      <w:proofErr w:type="spellStart"/>
      <w:r w:rsidR="009D7C9E">
        <w:rPr>
          <w:rFonts w:ascii="Garamond" w:hAnsi="Garamond" w:cstheme="minorHAnsi"/>
          <w:sz w:val="24"/>
          <w:szCs w:val="24"/>
        </w:rPr>
        <w:t>Piccolomini</w:t>
      </w:r>
      <w:proofErr w:type="spellEnd"/>
      <w:r w:rsidRPr="00461D74">
        <w:rPr>
          <w:rFonts w:ascii="Garamond" w:hAnsi="Garamond" w:cstheme="minorHAnsi"/>
          <w:sz w:val="24"/>
          <w:szCs w:val="24"/>
        </w:rPr>
        <w:t>, created further conditions for the eventual failure of Aristotelian ethics. A</w:t>
      </w:r>
      <w:r w:rsidR="00F72072" w:rsidRPr="00461D74">
        <w:rPr>
          <w:rFonts w:ascii="Garamond" w:hAnsi="Garamond" w:cstheme="minorHAnsi"/>
          <w:sz w:val="24"/>
          <w:szCs w:val="24"/>
        </w:rPr>
        <w:t>n important</w:t>
      </w:r>
      <w:r w:rsidRPr="00461D74">
        <w:rPr>
          <w:rFonts w:ascii="Garamond" w:hAnsi="Garamond" w:cstheme="minorHAnsi"/>
          <w:sz w:val="24"/>
          <w:szCs w:val="24"/>
        </w:rPr>
        <w:t xml:space="preserve"> conclusion that MacIntyre draws from the above is that it wasn’t so much Aristotle’s ethics and teleology </w:t>
      </w:r>
      <w:r w:rsidRPr="00461D74">
        <w:rPr>
          <w:rFonts w:ascii="Garamond" w:hAnsi="Garamond" w:cstheme="minorHAnsi"/>
          <w:sz w:val="24"/>
          <w:szCs w:val="24"/>
        </w:rPr>
        <w:lastRenderedPageBreak/>
        <w:t>which experienced defeat</w:t>
      </w:r>
      <w:r w:rsidR="00F72072" w:rsidRPr="00461D74">
        <w:rPr>
          <w:rFonts w:ascii="Garamond" w:hAnsi="Garamond" w:cstheme="minorHAnsi"/>
          <w:sz w:val="24"/>
          <w:szCs w:val="24"/>
        </w:rPr>
        <w:t>;</w:t>
      </w:r>
      <w:r w:rsidRPr="00461D74">
        <w:rPr>
          <w:rFonts w:ascii="Garamond" w:hAnsi="Garamond" w:cstheme="minorHAnsi"/>
          <w:sz w:val="24"/>
          <w:szCs w:val="24"/>
        </w:rPr>
        <w:t xml:space="preserve"> </w:t>
      </w:r>
      <w:r w:rsidR="00F72072" w:rsidRPr="00461D74">
        <w:rPr>
          <w:rFonts w:ascii="Garamond" w:hAnsi="Garamond" w:cstheme="minorHAnsi"/>
          <w:sz w:val="24"/>
          <w:szCs w:val="24"/>
        </w:rPr>
        <w:t xml:space="preserve">rather it was </w:t>
      </w:r>
      <w:r w:rsidRPr="00461D74">
        <w:rPr>
          <w:rFonts w:ascii="Garamond" w:hAnsi="Garamond" w:cstheme="minorHAnsi"/>
          <w:sz w:val="24"/>
          <w:szCs w:val="24"/>
        </w:rPr>
        <w:t xml:space="preserve">an inadequate facsimile of Aristotle’s ethics – developed by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other Renaissance Aristotelians – that suffered this defeat.</w:t>
      </w:r>
    </w:p>
    <w:p w:rsidR="00016049" w:rsidRPr="002B669F" w:rsidRDefault="002B669F" w:rsidP="002B669F">
      <w:pPr>
        <w:spacing w:line="360" w:lineRule="auto"/>
        <w:ind w:left="1440"/>
        <w:jc w:val="both"/>
        <w:rPr>
          <w:rFonts w:ascii="Garamond" w:hAnsi="Garamond" w:cstheme="minorHAnsi"/>
        </w:rPr>
      </w:pPr>
      <w:r w:rsidRPr="002B669F">
        <w:rPr>
          <w:rFonts w:ascii="Garamond" w:hAnsi="Garamond" w:cstheme="minorHAnsi"/>
        </w:rPr>
        <w:t xml:space="preserve">“Renaissance </w:t>
      </w:r>
      <w:proofErr w:type="spellStart"/>
      <w:r w:rsidRPr="002B669F">
        <w:rPr>
          <w:rFonts w:ascii="Garamond" w:hAnsi="Garamond" w:cstheme="minorHAnsi"/>
        </w:rPr>
        <w:t>Aristotelianism</w:t>
      </w:r>
      <w:proofErr w:type="spellEnd"/>
      <w:r w:rsidRPr="002B669F">
        <w:rPr>
          <w:rFonts w:ascii="Garamond" w:hAnsi="Garamond" w:cstheme="minorHAnsi"/>
        </w:rPr>
        <w:t xml:space="preserve"> in </w:t>
      </w:r>
      <w:r w:rsidR="00976D88">
        <w:rPr>
          <w:rFonts w:ascii="Garamond" w:hAnsi="Garamond" w:cstheme="minorHAnsi"/>
        </w:rPr>
        <w:t>m</w:t>
      </w:r>
      <w:r w:rsidRPr="002B669F">
        <w:rPr>
          <w:rFonts w:ascii="Garamond" w:hAnsi="Garamond" w:cstheme="minorHAnsi"/>
        </w:rPr>
        <w:t>oral</w:t>
      </w:r>
      <w:r w:rsidR="00976D88">
        <w:rPr>
          <w:rFonts w:ascii="Garamond" w:hAnsi="Garamond" w:cstheme="minorHAnsi"/>
        </w:rPr>
        <w:t>s</w:t>
      </w:r>
      <w:r w:rsidRPr="002B669F">
        <w:rPr>
          <w:rFonts w:ascii="Garamond" w:hAnsi="Garamond" w:cstheme="minorHAnsi"/>
        </w:rPr>
        <w:t xml:space="preserve"> and politics was defeated by its own pretensions rather than by the arguments of its rivals or by an inhospitable cultural climate…</w:t>
      </w:r>
      <w:r w:rsidR="00DC3BAF">
        <w:rPr>
          <w:rFonts w:ascii="Garamond" w:hAnsi="Garamond" w:cstheme="minorHAnsi"/>
        </w:rPr>
        <w:t>[and]</w:t>
      </w:r>
      <w:r w:rsidRPr="002B669F">
        <w:rPr>
          <w:rFonts w:ascii="Garamond" w:hAnsi="Garamond" w:cstheme="minorHAnsi"/>
        </w:rPr>
        <w:t xml:space="preserve"> those characteristics of Renaissance </w:t>
      </w:r>
      <w:proofErr w:type="spellStart"/>
      <w:r w:rsidRPr="002B669F">
        <w:rPr>
          <w:rFonts w:ascii="Garamond" w:hAnsi="Garamond" w:cstheme="minorHAnsi"/>
        </w:rPr>
        <w:t>Aristotelianism</w:t>
      </w:r>
      <w:proofErr w:type="spellEnd"/>
      <w:r w:rsidRPr="002B669F">
        <w:rPr>
          <w:rFonts w:ascii="Garamond" w:hAnsi="Garamond" w:cstheme="minorHAnsi"/>
        </w:rPr>
        <w:t xml:space="preserve"> in moral and politics that ensures this defeat were precisely those in which it differed from and had misinterpreted Aristotle. It was not after all Aristotle who was rejected in the moral and political debates of the Renaissance, but rather a simulacrum of Aristotle.”</w:t>
      </w:r>
      <w:r>
        <w:rPr>
          <w:rStyle w:val="FootnoteReference"/>
          <w:rFonts w:ascii="Garamond" w:hAnsi="Garamond" w:cstheme="minorHAnsi"/>
        </w:rPr>
        <w:footnoteReference w:id="202"/>
      </w: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ab/>
        <w:t>Before we move on, I will give a brief summary of what we have so far covered in this section. First, MacIntyre highlights that ethical practice – namely, learning how to act virtuously through emulating teachers who are well-versed in the virtues</w:t>
      </w:r>
      <w:r w:rsidR="00095E9B">
        <w:rPr>
          <w:rFonts w:ascii="Garamond" w:hAnsi="Garamond" w:cstheme="minorHAnsi"/>
          <w:sz w:val="24"/>
          <w:szCs w:val="24"/>
        </w:rPr>
        <w:t xml:space="preserve"> and subsequently practicing those actions,</w:t>
      </w:r>
      <w:r w:rsidRPr="00461D74">
        <w:rPr>
          <w:rFonts w:ascii="Garamond" w:hAnsi="Garamond" w:cstheme="minorHAnsi"/>
          <w:sz w:val="24"/>
          <w:szCs w:val="24"/>
        </w:rPr>
        <w:t xml:space="preserve"> </w:t>
      </w:r>
      <w:r w:rsidR="006F1A3D" w:rsidRPr="00461D74">
        <w:rPr>
          <w:rFonts w:ascii="Garamond" w:hAnsi="Garamond" w:cstheme="minorHAnsi"/>
          <w:sz w:val="24"/>
          <w:szCs w:val="24"/>
        </w:rPr>
        <w:t xml:space="preserve">is </w:t>
      </w:r>
      <w:r w:rsidR="00095E9B">
        <w:rPr>
          <w:rFonts w:ascii="Garamond" w:hAnsi="Garamond" w:cstheme="minorHAnsi"/>
          <w:sz w:val="24"/>
          <w:szCs w:val="24"/>
        </w:rPr>
        <w:t>an activity</w:t>
      </w:r>
      <w:r w:rsidR="00095E9B" w:rsidRPr="00461D74">
        <w:rPr>
          <w:rFonts w:ascii="Garamond" w:hAnsi="Garamond" w:cstheme="minorHAnsi"/>
          <w:sz w:val="24"/>
          <w:szCs w:val="24"/>
        </w:rPr>
        <w:t xml:space="preserve"> </w:t>
      </w:r>
      <w:r w:rsidR="006F1A3D" w:rsidRPr="00461D74">
        <w:rPr>
          <w:rFonts w:ascii="Garamond" w:hAnsi="Garamond" w:cstheme="minorHAnsi"/>
          <w:sz w:val="24"/>
          <w:szCs w:val="24"/>
        </w:rPr>
        <w:t xml:space="preserve">that </w:t>
      </w:r>
      <w:r w:rsidRPr="00461D74">
        <w:rPr>
          <w:rFonts w:ascii="Garamond" w:hAnsi="Garamond" w:cstheme="minorHAnsi"/>
          <w:sz w:val="24"/>
          <w:szCs w:val="24"/>
        </w:rPr>
        <w:t>precedes theorizing about ethics; thus, ‘knowledge how’ is prior to ‘knowledge that</w:t>
      </w:r>
      <w:r w:rsidR="00095E9B">
        <w:rPr>
          <w:rFonts w:ascii="Garamond" w:hAnsi="Garamond" w:cstheme="minorHAnsi"/>
          <w:sz w:val="24"/>
          <w:szCs w:val="24"/>
        </w:rPr>
        <w:t>.</w:t>
      </w:r>
      <w:r w:rsidRPr="00461D74">
        <w:rPr>
          <w:rFonts w:ascii="Garamond" w:hAnsi="Garamond" w:cstheme="minorHAnsi"/>
          <w:sz w:val="24"/>
          <w:szCs w:val="24"/>
        </w:rPr>
        <w:t xml:space="preserve">’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Second,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identification of the task of moral philosophy, and the theorizing involved therein, in educating the students of philosophy in the virtues, stands in contrast to Aristotle’s ethics. Recall that Aristotle’s ethics emphasizes habituation, and the practice of the virtues through emulation is the means by which persons become virtuous. On the other hand,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other Renaissance thinkers </w:t>
      </w:r>
      <w:r w:rsidR="00EA6832">
        <w:rPr>
          <w:rFonts w:ascii="Garamond" w:hAnsi="Garamond" w:cstheme="minorHAnsi"/>
          <w:sz w:val="24"/>
          <w:szCs w:val="24"/>
        </w:rPr>
        <w:t xml:space="preserve">seem to </w:t>
      </w:r>
      <w:r w:rsidRPr="00461D74">
        <w:rPr>
          <w:rFonts w:ascii="Garamond" w:hAnsi="Garamond" w:cstheme="minorHAnsi"/>
          <w:sz w:val="24"/>
          <w:szCs w:val="24"/>
        </w:rPr>
        <w:t xml:space="preserve">have </w:t>
      </w:r>
      <w:r w:rsidR="00EA6832">
        <w:rPr>
          <w:rFonts w:ascii="Garamond" w:hAnsi="Garamond" w:cstheme="minorHAnsi"/>
          <w:sz w:val="24"/>
          <w:szCs w:val="24"/>
        </w:rPr>
        <w:t xml:space="preserve">more in common </w:t>
      </w:r>
      <w:r w:rsidRPr="00461D74">
        <w:rPr>
          <w:rFonts w:ascii="Garamond" w:hAnsi="Garamond" w:cstheme="minorHAnsi"/>
          <w:sz w:val="24"/>
          <w:szCs w:val="24"/>
        </w:rPr>
        <w:t xml:space="preserve">with </w:t>
      </w:r>
      <w:r w:rsidR="00EA6832">
        <w:rPr>
          <w:rFonts w:ascii="Garamond" w:hAnsi="Garamond" w:cstheme="minorHAnsi"/>
          <w:sz w:val="24"/>
          <w:szCs w:val="24"/>
        </w:rPr>
        <w:t>a</w:t>
      </w:r>
      <w:r w:rsidR="00EA6832" w:rsidRPr="00461D74">
        <w:rPr>
          <w:rFonts w:ascii="Garamond" w:hAnsi="Garamond" w:cstheme="minorHAnsi"/>
          <w:sz w:val="24"/>
          <w:szCs w:val="24"/>
        </w:rPr>
        <w:t xml:space="preserve"> </w:t>
      </w:r>
      <w:r w:rsidRPr="00461D74">
        <w:rPr>
          <w:rFonts w:ascii="Garamond" w:hAnsi="Garamond" w:cstheme="minorHAnsi"/>
          <w:sz w:val="24"/>
          <w:szCs w:val="24"/>
        </w:rPr>
        <w:t xml:space="preserve">modern </w:t>
      </w:r>
      <w:r w:rsidR="00EA6832">
        <w:rPr>
          <w:rFonts w:ascii="Garamond" w:hAnsi="Garamond" w:cstheme="minorHAnsi"/>
          <w:sz w:val="24"/>
          <w:szCs w:val="24"/>
        </w:rPr>
        <w:t>conception</w:t>
      </w:r>
      <w:r w:rsidR="00EA6832" w:rsidRPr="00461D74">
        <w:rPr>
          <w:rFonts w:ascii="Garamond" w:hAnsi="Garamond" w:cstheme="minorHAnsi"/>
          <w:sz w:val="24"/>
          <w:szCs w:val="24"/>
        </w:rPr>
        <w:t xml:space="preserve"> </w:t>
      </w:r>
      <w:r w:rsidRPr="00461D74">
        <w:rPr>
          <w:rFonts w:ascii="Garamond" w:hAnsi="Garamond" w:cstheme="minorHAnsi"/>
          <w:sz w:val="24"/>
          <w:szCs w:val="24"/>
        </w:rPr>
        <w:t xml:space="preserve">of the role philosophy plays in moral education.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Third, the concept of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in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Venice was very different from the way in which Aristotle understood this term. For MacIntyre, the disconnect between </w:t>
      </w:r>
      <w:proofErr w:type="spellStart"/>
      <w:r w:rsidRPr="00461D74">
        <w:rPr>
          <w:rFonts w:ascii="Garamond" w:hAnsi="Garamond" w:cstheme="minorHAnsi"/>
          <w:i/>
          <w:iCs/>
          <w:sz w:val="24"/>
          <w:szCs w:val="24"/>
        </w:rPr>
        <w:t>phronēsis</w:t>
      </w:r>
      <w:proofErr w:type="spellEnd"/>
      <w:r w:rsidRPr="00461D74">
        <w:rPr>
          <w:rFonts w:ascii="Garamond" w:hAnsi="Garamond" w:cstheme="minorHAnsi"/>
          <w:sz w:val="24"/>
          <w:szCs w:val="24"/>
        </w:rPr>
        <w:t xml:space="preserve"> as understood by Aristotle and the Renaissance understanding of that term, at least in part, helped secure the </w:t>
      </w:r>
      <w:r w:rsidR="00CB0A30">
        <w:rPr>
          <w:rFonts w:ascii="Garamond" w:hAnsi="Garamond" w:cstheme="minorHAnsi"/>
          <w:sz w:val="24"/>
          <w:szCs w:val="24"/>
        </w:rPr>
        <w:t xml:space="preserve">eventual </w:t>
      </w:r>
      <w:r w:rsidRPr="00461D74">
        <w:rPr>
          <w:rFonts w:ascii="Garamond" w:hAnsi="Garamond" w:cstheme="minorHAnsi"/>
          <w:sz w:val="24"/>
          <w:szCs w:val="24"/>
        </w:rPr>
        <w:t xml:space="preserve">defeat of </w:t>
      </w:r>
      <w:r w:rsidR="00CB0A30">
        <w:rPr>
          <w:rFonts w:ascii="Garamond" w:hAnsi="Garamond" w:cstheme="minorHAnsi"/>
          <w:sz w:val="24"/>
          <w:szCs w:val="24"/>
        </w:rPr>
        <w:t>(</w:t>
      </w:r>
      <w:r w:rsidRPr="00461D74">
        <w:rPr>
          <w:rFonts w:ascii="Garamond" w:hAnsi="Garamond" w:cstheme="minorHAnsi"/>
          <w:sz w:val="24"/>
          <w:szCs w:val="24"/>
        </w:rPr>
        <w:t>Renaissance</w:t>
      </w:r>
      <w:r w:rsidR="00CB0A30">
        <w:rPr>
          <w:rFonts w:ascii="Garamond" w:hAnsi="Garamond" w:cstheme="minorHAnsi"/>
          <w:sz w:val="24"/>
          <w:szCs w:val="24"/>
        </w:rPr>
        <w:t>)</w:t>
      </w:r>
      <w:r w:rsidRPr="00461D74">
        <w:rPr>
          <w:rFonts w:ascii="Garamond" w:hAnsi="Garamond" w:cstheme="minorHAnsi"/>
          <w:sz w:val="24"/>
          <w:szCs w:val="24"/>
        </w:rPr>
        <w:t xml:space="preserve"> Aristotelian moral philosophy. Thus, the incommensurability in meaning between </w:t>
      </w:r>
      <w:proofErr w:type="spellStart"/>
      <w:r w:rsidRPr="00461D74">
        <w:rPr>
          <w:rFonts w:ascii="Garamond" w:hAnsi="Garamond" w:cstheme="minorHAnsi"/>
          <w:i/>
          <w:sz w:val="24"/>
          <w:szCs w:val="24"/>
        </w:rPr>
        <w:t>phronēsis</w:t>
      </w:r>
      <w:proofErr w:type="spellEnd"/>
      <w:r w:rsidRPr="00461D74">
        <w:rPr>
          <w:rFonts w:ascii="Garamond" w:hAnsi="Garamond" w:cstheme="minorHAnsi"/>
          <w:sz w:val="24"/>
          <w:szCs w:val="24"/>
        </w:rPr>
        <w:t xml:space="preserve"> and </w:t>
      </w:r>
      <w:r w:rsidRPr="00461D74">
        <w:rPr>
          <w:rFonts w:ascii="Garamond" w:hAnsi="Garamond" w:cstheme="minorHAnsi"/>
          <w:i/>
          <w:iCs/>
          <w:sz w:val="24"/>
          <w:szCs w:val="24"/>
        </w:rPr>
        <w:t>prudence</w:t>
      </w:r>
      <w:r w:rsidRPr="00461D74">
        <w:rPr>
          <w:rFonts w:ascii="Garamond" w:hAnsi="Garamond" w:cstheme="minorHAnsi"/>
          <w:sz w:val="24"/>
          <w:szCs w:val="24"/>
        </w:rPr>
        <w:t xml:space="preserve"> as understood in the Renaissance was a further point of separation between Aristotle and Renaissance Aristotelians.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fourth and final point is that Renaissance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was defeated by its own inadequacies; and the same characteristic inadequacies </w:t>
      </w:r>
      <w:r w:rsidR="00E4759B">
        <w:rPr>
          <w:rFonts w:ascii="Garamond" w:hAnsi="Garamond" w:cstheme="minorHAnsi"/>
          <w:sz w:val="24"/>
          <w:szCs w:val="24"/>
        </w:rPr>
        <w:t>attributed to</w:t>
      </w:r>
      <w:r w:rsidR="00E4759B" w:rsidRPr="00461D74">
        <w:rPr>
          <w:rFonts w:ascii="Garamond" w:hAnsi="Garamond" w:cstheme="minorHAnsi"/>
          <w:sz w:val="24"/>
          <w:szCs w:val="24"/>
        </w:rPr>
        <w:t xml:space="preserve"> </w:t>
      </w:r>
      <w:r w:rsidRPr="00461D74">
        <w:rPr>
          <w:rFonts w:ascii="Garamond" w:hAnsi="Garamond" w:cstheme="minorHAnsi"/>
          <w:sz w:val="24"/>
          <w:szCs w:val="24"/>
        </w:rPr>
        <w:t xml:space="preserve">Renaissance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of which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work stands as a paradigmatic </w:t>
      </w:r>
      <w:proofErr w:type="gramStart"/>
      <w:r w:rsidRPr="00461D74">
        <w:rPr>
          <w:rFonts w:ascii="Garamond" w:hAnsi="Garamond" w:cstheme="minorHAnsi"/>
          <w:sz w:val="24"/>
          <w:szCs w:val="24"/>
        </w:rPr>
        <w:t>example</w:t>
      </w:r>
      <w:r w:rsidR="00DC3BAF">
        <w:rPr>
          <w:rFonts w:ascii="Garamond" w:hAnsi="Garamond" w:cstheme="minorHAnsi"/>
          <w:sz w:val="24"/>
          <w:szCs w:val="24"/>
        </w:rPr>
        <w:t>,</w:t>
      </w:r>
      <w:proofErr w:type="gramEnd"/>
      <w:r w:rsidRPr="00461D74">
        <w:rPr>
          <w:rFonts w:ascii="Garamond" w:hAnsi="Garamond" w:cstheme="minorHAnsi"/>
          <w:sz w:val="24"/>
          <w:szCs w:val="24"/>
        </w:rPr>
        <w:t xml:space="preserve"> </w:t>
      </w:r>
      <w:r w:rsidR="00F72072" w:rsidRPr="00461D74">
        <w:rPr>
          <w:rFonts w:ascii="Garamond" w:hAnsi="Garamond" w:cstheme="minorHAnsi"/>
          <w:sz w:val="24"/>
          <w:szCs w:val="24"/>
        </w:rPr>
        <w:t xml:space="preserve">were </w:t>
      </w:r>
      <w:r w:rsidRPr="00461D74">
        <w:rPr>
          <w:rFonts w:ascii="Garamond" w:hAnsi="Garamond" w:cstheme="minorHAnsi"/>
          <w:sz w:val="24"/>
          <w:szCs w:val="24"/>
        </w:rPr>
        <w:t xml:space="preserve">generated precisely because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diverges from Aristotle’s account of </w:t>
      </w:r>
      <w:r w:rsidR="00E4759B">
        <w:rPr>
          <w:rFonts w:ascii="Garamond" w:hAnsi="Garamond" w:cstheme="minorHAnsi"/>
          <w:sz w:val="24"/>
          <w:szCs w:val="24"/>
        </w:rPr>
        <w:t>moral</w:t>
      </w:r>
      <w:r w:rsidR="00E4759B" w:rsidRPr="00461D74">
        <w:rPr>
          <w:rFonts w:ascii="Garamond" w:hAnsi="Garamond" w:cstheme="minorHAnsi"/>
          <w:sz w:val="24"/>
          <w:szCs w:val="24"/>
        </w:rPr>
        <w:t xml:space="preserve"> </w:t>
      </w:r>
      <w:r w:rsidRPr="00461D74">
        <w:rPr>
          <w:rFonts w:ascii="Garamond" w:hAnsi="Garamond" w:cstheme="minorHAnsi"/>
          <w:sz w:val="24"/>
          <w:szCs w:val="24"/>
        </w:rPr>
        <w:t>education.</w:t>
      </w:r>
      <w:r w:rsidRPr="00461D74">
        <w:rPr>
          <w:rStyle w:val="FootnoteReference"/>
          <w:rFonts w:ascii="Garamond" w:hAnsi="Garamond" w:cstheme="minorHAnsi"/>
          <w:sz w:val="24"/>
          <w:szCs w:val="24"/>
        </w:rPr>
        <w:footnoteReference w:id="203"/>
      </w:r>
      <w:r w:rsidRPr="00461D74">
        <w:rPr>
          <w:rFonts w:ascii="Garamond" w:hAnsi="Garamond" w:cstheme="minorHAnsi"/>
          <w:sz w:val="24"/>
          <w:szCs w:val="24"/>
        </w:rPr>
        <w:t xml:space="preserve"> Thus, on MacIntyre’s historical argument,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other Renaissance Aristotelians, in revising elements of Aristotle’s ethics, inadvertently facilitated the </w:t>
      </w:r>
      <w:r w:rsidR="00656190">
        <w:rPr>
          <w:rFonts w:ascii="Garamond" w:hAnsi="Garamond" w:cstheme="minorHAnsi"/>
          <w:sz w:val="24"/>
          <w:szCs w:val="24"/>
        </w:rPr>
        <w:t xml:space="preserve">eventual </w:t>
      </w:r>
      <w:r w:rsidRPr="00461D74">
        <w:rPr>
          <w:rFonts w:ascii="Garamond" w:hAnsi="Garamond" w:cstheme="minorHAnsi"/>
          <w:sz w:val="24"/>
          <w:szCs w:val="24"/>
        </w:rPr>
        <w:t>marginalization of Aristotle’s teleological/functional view</w:t>
      </w:r>
      <w:r w:rsidR="00656190">
        <w:rPr>
          <w:rFonts w:ascii="Garamond" w:hAnsi="Garamond" w:cstheme="minorHAnsi"/>
          <w:sz w:val="24"/>
          <w:szCs w:val="24"/>
        </w:rPr>
        <w:t>s</w:t>
      </w:r>
      <w:r w:rsidRPr="00461D74">
        <w:rPr>
          <w:rFonts w:ascii="Garamond" w:hAnsi="Garamond" w:cstheme="minorHAnsi"/>
          <w:sz w:val="24"/>
          <w:szCs w:val="24"/>
        </w:rPr>
        <w:t xml:space="preserve"> </w:t>
      </w:r>
      <w:r w:rsidR="00656190">
        <w:rPr>
          <w:rFonts w:ascii="Garamond" w:hAnsi="Garamond" w:cstheme="minorHAnsi"/>
          <w:sz w:val="24"/>
          <w:szCs w:val="24"/>
        </w:rPr>
        <w:t>in</w:t>
      </w:r>
      <w:r w:rsidR="00656190" w:rsidRPr="00461D74">
        <w:rPr>
          <w:rFonts w:ascii="Garamond" w:hAnsi="Garamond" w:cstheme="minorHAnsi"/>
          <w:sz w:val="24"/>
          <w:szCs w:val="24"/>
        </w:rPr>
        <w:t xml:space="preserve"> </w:t>
      </w:r>
      <w:r w:rsidRPr="00461D74">
        <w:rPr>
          <w:rFonts w:ascii="Garamond" w:hAnsi="Garamond" w:cstheme="minorHAnsi"/>
          <w:sz w:val="24"/>
          <w:szCs w:val="24"/>
        </w:rPr>
        <w:t xml:space="preserve">ethics </w:t>
      </w:r>
      <w:r w:rsidR="00656190">
        <w:rPr>
          <w:rFonts w:ascii="Garamond" w:hAnsi="Garamond" w:cstheme="minorHAnsi"/>
          <w:sz w:val="24"/>
          <w:szCs w:val="24"/>
        </w:rPr>
        <w:t xml:space="preserve">that remained </w:t>
      </w:r>
      <w:r w:rsidRPr="00461D74">
        <w:rPr>
          <w:rFonts w:ascii="Garamond" w:hAnsi="Garamond" w:cstheme="minorHAnsi"/>
          <w:sz w:val="24"/>
          <w:szCs w:val="24"/>
        </w:rPr>
        <w:t>concerned with the ordering of practical ends</w:t>
      </w:r>
      <w:r w:rsidR="00F72072" w:rsidRPr="00461D74">
        <w:rPr>
          <w:rFonts w:ascii="Garamond" w:hAnsi="Garamond" w:cstheme="minorHAnsi"/>
          <w:sz w:val="24"/>
          <w:szCs w:val="24"/>
        </w:rPr>
        <w:t>.</w:t>
      </w:r>
      <w:r w:rsidRPr="00461D74">
        <w:rPr>
          <w:rFonts w:ascii="Garamond" w:hAnsi="Garamond" w:cstheme="minorHAnsi"/>
          <w:sz w:val="24"/>
          <w:szCs w:val="24"/>
        </w:rPr>
        <w:t xml:space="preserve"> </w:t>
      </w:r>
      <w:r w:rsidR="00F72072" w:rsidRPr="00461D74">
        <w:rPr>
          <w:rFonts w:ascii="Garamond" w:hAnsi="Garamond" w:cstheme="minorHAnsi"/>
          <w:sz w:val="24"/>
          <w:szCs w:val="24"/>
        </w:rPr>
        <w:t>N</w:t>
      </w:r>
      <w:r w:rsidRPr="00461D74">
        <w:rPr>
          <w:rFonts w:ascii="Garamond" w:hAnsi="Garamond" w:cstheme="minorHAnsi"/>
          <w:sz w:val="24"/>
          <w:szCs w:val="24"/>
        </w:rPr>
        <w:t xml:space="preserve">evertheless, MacIntyre </w:t>
      </w:r>
      <w:r w:rsidR="00F72072" w:rsidRPr="00461D74">
        <w:rPr>
          <w:rFonts w:ascii="Garamond" w:hAnsi="Garamond" w:cstheme="minorHAnsi"/>
          <w:sz w:val="24"/>
          <w:szCs w:val="24"/>
        </w:rPr>
        <w:t>is at the same time arguing</w:t>
      </w:r>
      <w:r w:rsidRPr="00461D74">
        <w:rPr>
          <w:rFonts w:ascii="Garamond" w:hAnsi="Garamond" w:cstheme="minorHAnsi"/>
          <w:sz w:val="24"/>
          <w:szCs w:val="24"/>
        </w:rPr>
        <w:t xml:space="preserve"> that what was </w:t>
      </w:r>
      <w:r w:rsidR="00656190">
        <w:rPr>
          <w:rFonts w:ascii="Garamond" w:hAnsi="Garamond" w:cstheme="minorHAnsi"/>
          <w:sz w:val="24"/>
          <w:szCs w:val="24"/>
        </w:rPr>
        <w:t>ultimately</w:t>
      </w:r>
      <w:r w:rsidR="00656190" w:rsidRPr="00461D74">
        <w:rPr>
          <w:rFonts w:ascii="Garamond" w:hAnsi="Garamond" w:cstheme="minorHAnsi"/>
          <w:sz w:val="24"/>
          <w:szCs w:val="24"/>
        </w:rPr>
        <w:t xml:space="preserve"> </w:t>
      </w:r>
      <w:r w:rsidRPr="00461D74">
        <w:rPr>
          <w:rFonts w:ascii="Garamond" w:hAnsi="Garamond" w:cstheme="minorHAnsi"/>
          <w:sz w:val="24"/>
          <w:szCs w:val="24"/>
        </w:rPr>
        <w:t>defeated</w:t>
      </w:r>
      <w:r w:rsidR="006F1A3D" w:rsidRPr="00461D74">
        <w:rPr>
          <w:rFonts w:ascii="Garamond" w:hAnsi="Garamond" w:cstheme="minorHAnsi"/>
          <w:sz w:val="24"/>
          <w:szCs w:val="24"/>
        </w:rPr>
        <w:t xml:space="preserve"> was not Aristotle himself, but</w:t>
      </w:r>
      <w:r w:rsidRPr="00461D74">
        <w:rPr>
          <w:rFonts w:ascii="Garamond" w:hAnsi="Garamond" w:cstheme="minorHAnsi"/>
          <w:sz w:val="24"/>
          <w:szCs w:val="24"/>
        </w:rPr>
        <w:t xml:space="preserve"> flawed revisionist accounts of Aristotle’s ethics </w:t>
      </w:r>
      <w:r w:rsidR="00F72072" w:rsidRPr="00461D74">
        <w:rPr>
          <w:rFonts w:ascii="Garamond" w:hAnsi="Garamond" w:cstheme="minorHAnsi"/>
          <w:sz w:val="24"/>
          <w:szCs w:val="24"/>
        </w:rPr>
        <w:t xml:space="preserve">developed </w:t>
      </w:r>
      <w:r w:rsidRPr="00461D74">
        <w:rPr>
          <w:rFonts w:ascii="Garamond" w:hAnsi="Garamond" w:cstheme="minorHAnsi"/>
          <w:sz w:val="24"/>
          <w:szCs w:val="24"/>
        </w:rPr>
        <w:t xml:space="preserve">by Renaissance Aristotelians </w:t>
      </w:r>
      <w:r w:rsidR="00F72072" w:rsidRPr="00461D74">
        <w:rPr>
          <w:rFonts w:ascii="Garamond" w:hAnsi="Garamond" w:cstheme="minorHAnsi"/>
          <w:sz w:val="24"/>
          <w:szCs w:val="24"/>
        </w:rPr>
        <w:t xml:space="preserve">(such as </w:t>
      </w:r>
      <w:proofErr w:type="spellStart"/>
      <w:r w:rsidRPr="00461D74">
        <w:rPr>
          <w:rFonts w:ascii="Garamond" w:hAnsi="Garamond" w:cstheme="minorHAnsi"/>
          <w:sz w:val="24"/>
          <w:szCs w:val="24"/>
        </w:rPr>
        <w:t>Piccolomini</w:t>
      </w:r>
      <w:proofErr w:type="spellEnd"/>
      <w:r w:rsidR="00F72072" w:rsidRPr="00461D74">
        <w:rPr>
          <w:rFonts w:ascii="Garamond" w:hAnsi="Garamond" w:cstheme="minorHAnsi"/>
          <w:sz w:val="24"/>
          <w:szCs w:val="24"/>
        </w:rPr>
        <w:t>)</w:t>
      </w:r>
      <w:r w:rsidRPr="00461D74">
        <w:rPr>
          <w:rFonts w:ascii="Garamond" w:hAnsi="Garamond" w:cstheme="minorHAnsi"/>
          <w:sz w:val="24"/>
          <w:szCs w:val="24"/>
        </w:rPr>
        <w:t>.</w:t>
      </w:r>
    </w:p>
    <w:p w:rsidR="00016049"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 above is what I take to be an attempt by MacIntyre at a genealogy of the sort he called for in his 1990 Aquinas Lecture, ‘</w:t>
      </w:r>
      <w:r w:rsidRPr="00461D74">
        <w:rPr>
          <w:rFonts w:ascii="Garamond" w:hAnsi="Garamond" w:cstheme="minorHAnsi"/>
          <w:iCs/>
          <w:sz w:val="24"/>
          <w:szCs w:val="24"/>
        </w:rPr>
        <w:t>First Principles, Final Ends and Contemporary Philosophical Issues</w:t>
      </w:r>
      <w:r w:rsidR="00656190">
        <w:rPr>
          <w:rFonts w:ascii="Garamond" w:hAnsi="Garamond" w:cstheme="minorHAnsi"/>
          <w:iCs/>
          <w:sz w:val="24"/>
          <w:szCs w:val="24"/>
        </w:rPr>
        <w:t>.</w:t>
      </w:r>
      <w:r w:rsidRPr="00461D74">
        <w:rPr>
          <w:rFonts w:ascii="Garamond" w:hAnsi="Garamond" w:cstheme="minorHAnsi"/>
          <w:iCs/>
          <w:sz w:val="24"/>
          <w:szCs w:val="24"/>
        </w:rPr>
        <w:t>’</w:t>
      </w:r>
      <w:r w:rsidRPr="00461D74">
        <w:rPr>
          <w:rFonts w:ascii="Garamond" w:hAnsi="Garamond" w:cstheme="minorHAnsi"/>
          <w:sz w:val="24"/>
          <w:szCs w:val="24"/>
        </w:rPr>
        <w:t xml:space="preserve"> However, before </w:t>
      </w:r>
      <w:r w:rsidR="00F72072" w:rsidRPr="00461D74">
        <w:rPr>
          <w:rFonts w:ascii="Garamond" w:hAnsi="Garamond" w:cstheme="minorHAnsi"/>
          <w:sz w:val="24"/>
          <w:szCs w:val="24"/>
        </w:rPr>
        <w:t>we can safely accept</w:t>
      </w:r>
      <w:r w:rsidRPr="00461D74">
        <w:rPr>
          <w:rFonts w:ascii="Garamond" w:hAnsi="Garamond" w:cstheme="minorHAnsi"/>
          <w:sz w:val="24"/>
          <w:szCs w:val="24"/>
        </w:rPr>
        <w:t xml:space="preserve"> MacIntyre’s thesis – that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other Renaissance Aristotelians had already moved away from Aristotle in a way that undermined Aristotle’s ethics, or at least, a vulgar form of that ethics – it is worth contrasting it with an account of Aquinas that MacIntyre provides in </w:t>
      </w:r>
      <w:r w:rsidR="00BE1FC6">
        <w:rPr>
          <w:rFonts w:ascii="Garamond" w:hAnsi="Garamond" w:cstheme="minorHAnsi"/>
          <w:sz w:val="24"/>
          <w:szCs w:val="24"/>
        </w:rPr>
        <w:t>“</w:t>
      </w:r>
      <w:r w:rsidRPr="00461D74">
        <w:rPr>
          <w:rFonts w:ascii="Garamond" w:hAnsi="Garamond" w:cstheme="minorHAnsi"/>
          <w:sz w:val="24"/>
          <w:szCs w:val="24"/>
        </w:rPr>
        <w:t>Natural Law as Subversive: The Case of Aquinas</w:t>
      </w:r>
      <w:r w:rsidR="00656190">
        <w:rPr>
          <w:rFonts w:ascii="Garamond" w:hAnsi="Garamond" w:cstheme="minorHAnsi"/>
          <w:sz w:val="24"/>
          <w:szCs w:val="24"/>
        </w:rPr>
        <w:t>.</w:t>
      </w:r>
      <w:r w:rsidR="00BE1FC6">
        <w:rPr>
          <w:rFonts w:ascii="Garamond" w:hAnsi="Garamond" w:cstheme="minorHAnsi"/>
          <w:sz w:val="24"/>
          <w:szCs w:val="24"/>
        </w:rPr>
        <w:t>”</w:t>
      </w:r>
      <w:r w:rsidRPr="00461D74">
        <w:rPr>
          <w:rFonts w:ascii="Garamond" w:hAnsi="Garamond" w:cstheme="minorHAnsi"/>
          <w:sz w:val="24"/>
          <w:szCs w:val="24"/>
        </w:rPr>
        <w:t xml:space="preserve"> This will be the primary task of the next section.</w:t>
      </w:r>
    </w:p>
    <w:p w:rsidR="00BC501E" w:rsidRPr="00461D74" w:rsidRDefault="00BC501E" w:rsidP="009103EF">
      <w:pPr>
        <w:spacing w:line="360" w:lineRule="auto"/>
        <w:jc w:val="both"/>
        <w:rPr>
          <w:rFonts w:ascii="Garamond" w:hAnsi="Garamond" w:cstheme="minorHAnsi"/>
          <w:sz w:val="24"/>
          <w:szCs w:val="24"/>
        </w:rPr>
      </w:pPr>
    </w:p>
    <w:p w:rsidR="00016049" w:rsidRPr="00461D74" w:rsidRDefault="000B58AA" w:rsidP="00164E4D">
      <w:pPr>
        <w:pStyle w:val="Heading2"/>
        <w:spacing w:line="360" w:lineRule="auto"/>
        <w:jc w:val="both"/>
        <w:rPr>
          <w:rFonts w:cstheme="majorHAnsi"/>
        </w:rPr>
      </w:pPr>
      <w:bookmarkStart w:id="19" w:name="_Toc528077801"/>
      <w:r w:rsidRPr="00461D74">
        <w:rPr>
          <w:rFonts w:cstheme="majorHAnsi"/>
        </w:rPr>
        <w:t>5</w:t>
      </w:r>
      <w:r w:rsidR="00195ABA" w:rsidRPr="00461D74">
        <w:rPr>
          <w:rFonts w:cstheme="majorHAnsi"/>
        </w:rPr>
        <w:t xml:space="preserve">. </w:t>
      </w:r>
      <w:r w:rsidR="00016049" w:rsidRPr="00461D74">
        <w:rPr>
          <w:rFonts w:cstheme="majorHAnsi"/>
        </w:rPr>
        <w:t>Aquinas’ Natural Law and Renaissance Aristotelians</w:t>
      </w:r>
      <w:bookmarkEnd w:id="19"/>
    </w:p>
    <w:p w:rsidR="00CA24A6" w:rsidRPr="00461D74" w:rsidRDefault="00CA24A6" w:rsidP="00164E4D">
      <w:pPr>
        <w:spacing w:line="360" w:lineRule="auto"/>
        <w:jc w:val="both"/>
        <w:rPr>
          <w:rFonts w:ascii="Garamond" w:hAnsi="Garamond" w:cstheme="minorHAnsi"/>
          <w:sz w:val="24"/>
          <w:szCs w:val="24"/>
        </w:rPr>
      </w:pP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At this point I will turn to considering MacIntyre’s discussion of Aquinas’ natural law.</w:t>
      </w:r>
      <w:r w:rsidRPr="00461D74">
        <w:rPr>
          <w:rStyle w:val="FootnoteReference"/>
          <w:rFonts w:ascii="Garamond" w:hAnsi="Garamond" w:cstheme="minorHAnsi"/>
          <w:sz w:val="24"/>
          <w:szCs w:val="24"/>
        </w:rPr>
        <w:footnoteReference w:id="204"/>
      </w:r>
      <w:r w:rsidRPr="00461D74">
        <w:rPr>
          <w:rFonts w:ascii="Garamond" w:hAnsi="Garamond" w:cstheme="minorHAnsi"/>
          <w:sz w:val="24"/>
          <w:szCs w:val="24"/>
        </w:rPr>
        <w:t xml:space="preserve"> There are at least </w:t>
      </w:r>
      <w:r w:rsidRPr="00461D74">
        <w:rPr>
          <w:rFonts w:ascii="Garamond" w:hAnsi="Garamond" w:cstheme="minorHAnsi"/>
          <w:bCs/>
          <w:sz w:val="24"/>
          <w:szCs w:val="24"/>
        </w:rPr>
        <w:t>two</w:t>
      </w:r>
      <w:r w:rsidRPr="00461D74">
        <w:rPr>
          <w:rFonts w:ascii="Garamond" w:hAnsi="Garamond" w:cstheme="minorHAnsi"/>
          <w:sz w:val="24"/>
          <w:szCs w:val="24"/>
        </w:rPr>
        <w:t xml:space="preserve"> good reasons for considering the arguments that MacIntyre presents here.</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bCs/>
          <w:sz w:val="24"/>
          <w:szCs w:val="24"/>
        </w:rPr>
        <w:t>First</w:t>
      </w:r>
      <w:r w:rsidRPr="00461D74">
        <w:rPr>
          <w:rFonts w:ascii="Garamond" w:hAnsi="Garamond" w:cstheme="minorHAnsi"/>
          <w:sz w:val="24"/>
          <w:szCs w:val="24"/>
        </w:rPr>
        <w:t>, MacIntyre claims that the Thomistic tradition, and specifically Aquinas’ natural law, was born out of Aquinas’ successful synthesis of two older traditions</w:t>
      </w:r>
      <w:r w:rsidRPr="00461D74">
        <w:rPr>
          <w:rStyle w:val="FootnoteReference"/>
          <w:rFonts w:ascii="Garamond" w:hAnsi="Garamond" w:cstheme="minorHAnsi"/>
          <w:sz w:val="24"/>
          <w:szCs w:val="24"/>
        </w:rPr>
        <w:footnoteReference w:id="205"/>
      </w:r>
      <w:r w:rsidRPr="00461D74">
        <w:rPr>
          <w:rFonts w:ascii="Garamond" w:hAnsi="Garamond" w:cstheme="minorHAnsi"/>
          <w:sz w:val="24"/>
          <w:szCs w:val="24"/>
        </w:rPr>
        <w:t xml:space="preserve"> – Aristotle’s ethics and Augustine’s divine command theory. </w:t>
      </w:r>
      <w:r w:rsidR="00E86C88">
        <w:rPr>
          <w:rFonts w:ascii="Garamond" w:hAnsi="Garamond" w:cstheme="minorHAnsi"/>
          <w:sz w:val="24"/>
          <w:szCs w:val="24"/>
        </w:rPr>
        <w:t>For MacIntyre, t</w:t>
      </w:r>
      <w:r w:rsidRPr="00461D74">
        <w:rPr>
          <w:rFonts w:ascii="Garamond" w:hAnsi="Garamond" w:cstheme="minorHAnsi"/>
          <w:sz w:val="24"/>
          <w:szCs w:val="24"/>
        </w:rPr>
        <w:t>his claim serves a secondary purpose</w:t>
      </w:r>
      <w:r w:rsidR="00DC3BAF">
        <w:rPr>
          <w:rFonts w:ascii="Garamond" w:hAnsi="Garamond" w:cstheme="minorHAnsi"/>
          <w:sz w:val="24"/>
          <w:szCs w:val="24"/>
        </w:rPr>
        <w:t>,</w:t>
      </w:r>
      <w:r w:rsidRPr="00461D74">
        <w:rPr>
          <w:rFonts w:ascii="Garamond" w:hAnsi="Garamond" w:cstheme="minorHAnsi"/>
          <w:sz w:val="24"/>
          <w:szCs w:val="24"/>
        </w:rPr>
        <w:t xml:space="preserve"> </w:t>
      </w:r>
      <w:r w:rsidR="00DC3BAF">
        <w:rPr>
          <w:rFonts w:ascii="Garamond" w:hAnsi="Garamond" w:cstheme="minorHAnsi"/>
          <w:sz w:val="24"/>
          <w:szCs w:val="24"/>
        </w:rPr>
        <w:t>as</w:t>
      </w:r>
      <w:r w:rsidRPr="00461D74">
        <w:rPr>
          <w:rFonts w:ascii="Garamond" w:hAnsi="Garamond" w:cstheme="minorHAnsi"/>
          <w:sz w:val="24"/>
          <w:szCs w:val="24"/>
        </w:rPr>
        <w:t xml:space="preserve"> it </w:t>
      </w:r>
      <w:r w:rsidR="00E86C88">
        <w:rPr>
          <w:rFonts w:ascii="Garamond" w:hAnsi="Garamond" w:cstheme="minorHAnsi"/>
          <w:sz w:val="24"/>
          <w:szCs w:val="24"/>
        </w:rPr>
        <w:t>illustrates the way in which</w:t>
      </w:r>
      <w:r w:rsidRPr="00461D74">
        <w:rPr>
          <w:rFonts w:ascii="Garamond" w:hAnsi="Garamond" w:cstheme="minorHAnsi"/>
          <w:sz w:val="24"/>
          <w:szCs w:val="24"/>
        </w:rPr>
        <w:t xml:space="preserve"> </w:t>
      </w:r>
      <w:r w:rsidR="00E86C88">
        <w:rPr>
          <w:rFonts w:ascii="Garamond" w:hAnsi="Garamond" w:cstheme="minorHAnsi"/>
          <w:sz w:val="24"/>
          <w:szCs w:val="24"/>
        </w:rPr>
        <w:t xml:space="preserve">a </w:t>
      </w:r>
      <w:r w:rsidRPr="00461D74">
        <w:rPr>
          <w:rFonts w:ascii="Garamond" w:hAnsi="Garamond" w:cstheme="minorHAnsi"/>
          <w:sz w:val="24"/>
          <w:szCs w:val="24"/>
        </w:rPr>
        <w:t xml:space="preserve">new tradition </w:t>
      </w:r>
      <w:r w:rsidR="00E86C88">
        <w:rPr>
          <w:rFonts w:ascii="Garamond" w:hAnsi="Garamond" w:cstheme="minorHAnsi"/>
          <w:sz w:val="24"/>
          <w:szCs w:val="24"/>
        </w:rPr>
        <w:t>is able to</w:t>
      </w:r>
      <w:r w:rsidR="00E86C88" w:rsidRPr="00461D74">
        <w:rPr>
          <w:rFonts w:ascii="Garamond" w:hAnsi="Garamond" w:cstheme="minorHAnsi"/>
          <w:sz w:val="24"/>
          <w:szCs w:val="24"/>
        </w:rPr>
        <w:t xml:space="preserve"> synthesiz</w:t>
      </w:r>
      <w:r w:rsidR="00E86C88">
        <w:rPr>
          <w:rFonts w:ascii="Garamond" w:hAnsi="Garamond" w:cstheme="minorHAnsi"/>
          <w:sz w:val="24"/>
          <w:szCs w:val="24"/>
        </w:rPr>
        <w:t>e</w:t>
      </w:r>
      <w:r w:rsidR="00E86C88" w:rsidRPr="00461D74">
        <w:rPr>
          <w:rFonts w:ascii="Garamond" w:hAnsi="Garamond" w:cstheme="minorHAnsi"/>
          <w:sz w:val="24"/>
          <w:szCs w:val="24"/>
        </w:rPr>
        <w:t xml:space="preserve"> </w:t>
      </w:r>
      <w:r w:rsidRPr="00461D74">
        <w:rPr>
          <w:rFonts w:ascii="Garamond" w:hAnsi="Garamond" w:cstheme="minorHAnsi"/>
          <w:sz w:val="24"/>
          <w:szCs w:val="24"/>
        </w:rPr>
        <w:t>the insights available in earlier traditions</w:t>
      </w:r>
      <w:r w:rsidR="00E86C88">
        <w:rPr>
          <w:rFonts w:ascii="Garamond" w:hAnsi="Garamond" w:cstheme="minorHAnsi"/>
          <w:sz w:val="24"/>
          <w:szCs w:val="24"/>
        </w:rPr>
        <w:t>,</w:t>
      </w:r>
      <w:r w:rsidRPr="00461D74">
        <w:rPr>
          <w:rFonts w:ascii="Garamond" w:hAnsi="Garamond" w:cstheme="minorHAnsi"/>
          <w:sz w:val="24"/>
          <w:szCs w:val="24"/>
        </w:rPr>
        <w:t xml:space="preserve"> and </w:t>
      </w:r>
      <w:r w:rsidR="00E86C88">
        <w:rPr>
          <w:rFonts w:ascii="Garamond" w:hAnsi="Garamond" w:cstheme="minorHAnsi"/>
          <w:sz w:val="24"/>
          <w:szCs w:val="24"/>
        </w:rPr>
        <w:t>owing to this advance</w:t>
      </w:r>
      <w:r w:rsidR="00DB2C64">
        <w:rPr>
          <w:rFonts w:ascii="Garamond" w:hAnsi="Garamond" w:cstheme="minorHAnsi"/>
          <w:sz w:val="24"/>
          <w:szCs w:val="24"/>
        </w:rPr>
        <w:t>,</w:t>
      </w:r>
      <w:r w:rsidR="00E86C88" w:rsidRPr="00461D74">
        <w:rPr>
          <w:rFonts w:ascii="Garamond" w:hAnsi="Garamond" w:cstheme="minorHAnsi"/>
          <w:sz w:val="24"/>
          <w:szCs w:val="24"/>
        </w:rPr>
        <w:t xml:space="preserve"> </w:t>
      </w:r>
      <w:r w:rsidRPr="00461D74">
        <w:rPr>
          <w:rFonts w:ascii="Garamond" w:hAnsi="Garamond" w:cstheme="minorHAnsi"/>
          <w:sz w:val="24"/>
          <w:szCs w:val="24"/>
        </w:rPr>
        <w:t xml:space="preserve">they are </w:t>
      </w:r>
      <w:r w:rsidR="00DB2C64">
        <w:rPr>
          <w:rFonts w:ascii="Garamond" w:hAnsi="Garamond" w:cstheme="minorHAnsi"/>
          <w:sz w:val="24"/>
          <w:szCs w:val="24"/>
        </w:rPr>
        <w:t xml:space="preserve">then </w:t>
      </w:r>
      <w:r w:rsidRPr="00461D74">
        <w:rPr>
          <w:rFonts w:ascii="Garamond" w:hAnsi="Garamond" w:cstheme="minorHAnsi"/>
          <w:sz w:val="24"/>
          <w:szCs w:val="24"/>
        </w:rPr>
        <w:t xml:space="preserve">able to answer </w:t>
      </w:r>
      <w:r w:rsidR="00DB2C64">
        <w:rPr>
          <w:rFonts w:ascii="Garamond" w:hAnsi="Garamond" w:cstheme="minorHAnsi"/>
          <w:sz w:val="24"/>
          <w:szCs w:val="24"/>
        </w:rPr>
        <w:t>social and moral</w:t>
      </w:r>
      <w:r w:rsidR="00DB2C64" w:rsidRPr="00461D74">
        <w:rPr>
          <w:rFonts w:ascii="Garamond" w:hAnsi="Garamond" w:cstheme="minorHAnsi"/>
          <w:sz w:val="24"/>
          <w:szCs w:val="24"/>
        </w:rPr>
        <w:t xml:space="preserve"> </w:t>
      </w:r>
      <w:r w:rsidR="00DB2C64">
        <w:rPr>
          <w:rFonts w:ascii="Garamond" w:hAnsi="Garamond" w:cstheme="minorHAnsi"/>
          <w:sz w:val="24"/>
          <w:szCs w:val="24"/>
        </w:rPr>
        <w:t>problems</w:t>
      </w:r>
      <w:r w:rsidR="00DB2C64" w:rsidRPr="00461D74">
        <w:rPr>
          <w:rFonts w:ascii="Garamond" w:hAnsi="Garamond" w:cstheme="minorHAnsi"/>
          <w:sz w:val="24"/>
          <w:szCs w:val="24"/>
        </w:rPr>
        <w:t xml:space="preserve"> </w:t>
      </w:r>
      <w:r w:rsidRPr="00461D74">
        <w:rPr>
          <w:rFonts w:ascii="Garamond" w:hAnsi="Garamond" w:cstheme="minorHAnsi"/>
          <w:sz w:val="24"/>
          <w:szCs w:val="24"/>
        </w:rPr>
        <w:t xml:space="preserve">that </w:t>
      </w:r>
      <w:r w:rsidR="00E86C88">
        <w:rPr>
          <w:rFonts w:ascii="Garamond" w:hAnsi="Garamond" w:cstheme="minorHAnsi"/>
          <w:sz w:val="24"/>
          <w:szCs w:val="24"/>
        </w:rPr>
        <w:t xml:space="preserve">have </w:t>
      </w:r>
      <w:r w:rsidRPr="00461D74">
        <w:rPr>
          <w:rFonts w:ascii="Garamond" w:hAnsi="Garamond" w:cstheme="minorHAnsi"/>
          <w:sz w:val="24"/>
          <w:szCs w:val="24"/>
        </w:rPr>
        <w:t>emerge</w:t>
      </w:r>
      <w:r w:rsidR="00E86C88">
        <w:rPr>
          <w:rFonts w:ascii="Garamond" w:hAnsi="Garamond" w:cstheme="minorHAnsi"/>
          <w:sz w:val="24"/>
          <w:szCs w:val="24"/>
        </w:rPr>
        <w:t>d</w:t>
      </w:r>
      <w:r w:rsidRPr="00461D74">
        <w:rPr>
          <w:rFonts w:ascii="Garamond" w:hAnsi="Garamond" w:cstheme="minorHAnsi"/>
          <w:sz w:val="24"/>
          <w:szCs w:val="24"/>
        </w:rPr>
        <w:t xml:space="preserve"> </w:t>
      </w:r>
      <w:r w:rsidR="00E86C88">
        <w:rPr>
          <w:rFonts w:ascii="Garamond" w:hAnsi="Garamond" w:cstheme="minorHAnsi"/>
          <w:sz w:val="24"/>
          <w:szCs w:val="24"/>
        </w:rPr>
        <w:t xml:space="preserve">under </w:t>
      </w:r>
      <w:r w:rsidRPr="00461D74">
        <w:rPr>
          <w:rFonts w:ascii="Garamond" w:hAnsi="Garamond" w:cstheme="minorHAnsi"/>
          <w:sz w:val="24"/>
          <w:szCs w:val="24"/>
        </w:rPr>
        <w:t xml:space="preserve">new </w:t>
      </w:r>
      <w:r w:rsidR="00E86C88">
        <w:rPr>
          <w:rFonts w:ascii="Garamond" w:hAnsi="Garamond" w:cstheme="minorHAnsi"/>
          <w:sz w:val="24"/>
          <w:szCs w:val="24"/>
        </w:rPr>
        <w:t>material conditions</w:t>
      </w:r>
      <w:r w:rsidRPr="00461D74">
        <w:rPr>
          <w:rFonts w:ascii="Garamond" w:hAnsi="Garamond" w:cstheme="minorHAnsi"/>
          <w:sz w:val="24"/>
          <w:szCs w:val="24"/>
        </w:rPr>
        <w:t xml:space="preserve">. However, by considering Aquinas’ natural law in the context of the sort of Aristotelian ethics and moral education which MacIntyre approves of, I </w:t>
      </w:r>
      <w:r w:rsidR="00A0073C">
        <w:rPr>
          <w:rFonts w:ascii="Garamond" w:hAnsi="Garamond" w:cstheme="minorHAnsi"/>
          <w:sz w:val="24"/>
          <w:szCs w:val="24"/>
        </w:rPr>
        <w:t>intend to argue</w:t>
      </w:r>
      <w:r w:rsidRPr="00461D74">
        <w:rPr>
          <w:rFonts w:ascii="Garamond" w:hAnsi="Garamond" w:cstheme="minorHAnsi"/>
          <w:sz w:val="24"/>
          <w:szCs w:val="24"/>
        </w:rPr>
        <w:t xml:space="preserve"> that </w:t>
      </w:r>
      <w:r w:rsidR="00A0073C">
        <w:rPr>
          <w:rFonts w:ascii="Garamond" w:hAnsi="Garamond" w:cstheme="minorHAnsi"/>
          <w:sz w:val="24"/>
          <w:szCs w:val="24"/>
        </w:rPr>
        <w:t>a crucial</w:t>
      </w:r>
      <w:r w:rsidRPr="00461D74">
        <w:rPr>
          <w:rFonts w:ascii="Garamond" w:hAnsi="Garamond" w:cstheme="minorHAnsi"/>
          <w:sz w:val="24"/>
          <w:szCs w:val="24"/>
        </w:rPr>
        <w:t xml:space="preserve"> </w:t>
      </w:r>
      <w:r w:rsidR="00A0073C">
        <w:rPr>
          <w:rFonts w:ascii="Garamond" w:hAnsi="Garamond" w:cstheme="minorHAnsi"/>
          <w:sz w:val="24"/>
          <w:szCs w:val="24"/>
        </w:rPr>
        <w:t xml:space="preserve">point of </w:t>
      </w:r>
      <w:r w:rsidRPr="00461D74">
        <w:rPr>
          <w:rFonts w:ascii="Garamond" w:hAnsi="Garamond" w:cstheme="minorHAnsi"/>
          <w:sz w:val="24"/>
          <w:szCs w:val="24"/>
        </w:rPr>
        <w:t xml:space="preserve">contrast emerges between Aristotle and Aquinas. I will then argue that there are some important difficulties in reconciling Aquinas’ natural law with that of Aristotle’s ethics; and these complications </w:t>
      </w:r>
      <w:r w:rsidR="00A0073C">
        <w:rPr>
          <w:rFonts w:ascii="Garamond" w:hAnsi="Garamond" w:cstheme="minorHAnsi"/>
          <w:sz w:val="24"/>
          <w:szCs w:val="24"/>
        </w:rPr>
        <w:t>owe their genesis to</w:t>
      </w:r>
      <w:r w:rsidRPr="00461D74">
        <w:rPr>
          <w:rFonts w:ascii="Garamond" w:hAnsi="Garamond" w:cstheme="minorHAnsi"/>
          <w:sz w:val="24"/>
          <w:szCs w:val="24"/>
        </w:rPr>
        <w:t xml:space="preserve"> </w:t>
      </w:r>
      <w:r w:rsidR="00A0073C">
        <w:rPr>
          <w:rFonts w:ascii="Garamond" w:hAnsi="Garamond" w:cstheme="minorHAnsi"/>
          <w:sz w:val="24"/>
          <w:szCs w:val="24"/>
        </w:rPr>
        <w:t>a number of</w:t>
      </w:r>
      <w:r w:rsidR="00A0073C" w:rsidRPr="00461D74">
        <w:rPr>
          <w:rFonts w:ascii="Garamond" w:hAnsi="Garamond" w:cstheme="minorHAnsi"/>
          <w:sz w:val="24"/>
          <w:szCs w:val="24"/>
        </w:rPr>
        <w:t xml:space="preserve"> </w:t>
      </w:r>
      <w:r w:rsidRPr="00461D74">
        <w:rPr>
          <w:rFonts w:ascii="Garamond" w:hAnsi="Garamond" w:cstheme="minorHAnsi"/>
          <w:sz w:val="24"/>
          <w:szCs w:val="24"/>
        </w:rPr>
        <w:t>fundamental and hard to reconcile differences between Christian morality</w:t>
      </w:r>
      <w:r w:rsidRPr="00461D74">
        <w:rPr>
          <w:rStyle w:val="FootnoteReference"/>
          <w:rFonts w:ascii="Garamond" w:hAnsi="Garamond" w:cstheme="minorHAnsi"/>
          <w:sz w:val="24"/>
          <w:szCs w:val="24"/>
        </w:rPr>
        <w:footnoteReference w:id="206"/>
      </w:r>
      <w:r w:rsidRPr="00461D74">
        <w:rPr>
          <w:rFonts w:ascii="Garamond" w:hAnsi="Garamond" w:cstheme="minorHAnsi"/>
          <w:sz w:val="24"/>
          <w:szCs w:val="24"/>
        </w:rPr>
        <w:t xml:space="preserve"> and </w:t>
      </w:r>
      <w:r w:rsidR="00B62667" w:rsidRPr="00461D74">
        <w:rPr>
          <w:rFonts w:ascii="Garamond" w:hAnsi="Garamond" w:cstheme="minorHAnsi"/>
          <w:sz w:val="24"/>
          <w:szCs w:val="24"/>
        </w:rPr>
        <w:t xml:space="preserve">Aristotelian </w:t>
      </w:r>
      <w:r w:rsidRPr="00461D74">
        <w:rPr>
          <w:rFonts w:ascii="Garamond" w:hAnsi="Garamond" w:cstheme="minorHAnsi"/>
          <w:sz w:val="24"/>
          <w:szCs w:val="24"/>
        </w:rPr>
        <w:t xml:space="preserve">ethics. The upshot of this conclusion is that it </w:t>
      </w:r>
      <w:r w:rsidR="00B66670" w:rsidRPr="00461D74">
        <w:rPr>
          <w:rFonts w:ascii="Garamond" w:hAnsi="Garamond" w:cstheme="minorHAnsi"/>
          <w:sz w:val="24"/>
          <w:szCs w:val="24"/>
        </w:rPr>
        <w:t xml:space="preserve">is inconsistent with </w:t>
      </w:r>
      <w:r w:rsidR="00DB2C64">
        <w:rPr>
          <w:rFonts w:ascii="Garamond" w:hAnsi="Garamond" w:cstheme="minorHAnsi"/>
          <w:sz w:val="24"/>
          <w:szCs w:val="24"/>
        </w:rPr>
        <w:t xml:space="preserve">a central thesis in </w:t>
      </w:r>
      <w:r w:rsidRPr="00461D74">
        <w:rPr>
          <w:rFonts w:ascii="Garamond" w:hAnsi="Garamond" w:cstheme="minorHAnsi"/>
          <w:sz w:val="24"/>
          <w:szCs w:val="24"/>
        </w:rPr>
        <w:t>MacIntyre</w:t>
      </w:r>
      <w:r w:rsidR="002814DC" w:rsidRPr="00461D74">
        <w:rPr>
          <w:rFonts w:ascii="Garamond" w:hAnsi="Garamond" w:cstheme="minorHAnsi"/>
          <w:sz w:val="24"/>
          <w:szCs w:val="24"/>
        </w:rPr>
        <w:t>’s</w:t>
      </w:r>
      <w:r w:rsidRPr="00461D74">
        <w:rPr>
          <w:rFonts w:ascii="Garamond" w:hAnsi="Garamond" w:cstheme="minorHAnsi"/>
          <w:sz w:val="24"/>
          <w:szCs w:val="24"/>
        </w:rPr>
        <w:t xml:space="preserve"> </w:t>
      </w:r>
      <w:r w:rsidR="00DB2C64">
        <w:rPr>
          <w:rFonts w:ascii="Garamond" w:hAnsi="Garamond" w:cstheme="minorHAnsi"/>
          <w:sz w:val="24"/>
          <w:szCs w:val="24"/>
        </w:rPr>
        <w:t>account</w:t>
      </w:r>
      <w:r w:rsidR="00B66670" w:rsidRPr="00461D74">
        <w:rPr>
          <w:rFonts w:ascii="Garamond" w:hAnsi="Garamond" w:cstheme="minorHAnsi"/>
          <w:sz w:val="24"/>
          <w:szCs w:val="24"/>
        </w:rPr>
        <w:t xml:space="preserve"> in </w:t>
      </w:r>
      <w:r w:rsidR="00B66670" w:rsidRPr="00461D74">
        <w:rPr>
          <w:rFonts w:ascii="Garamond" w:hAnsi="Garamond" w:cstheme="minorHAnsi"/>
          <w:i/>
          <w:sz w:val="24"/>
          <w:szCs w:val="24"/>
        </w:rPr>
        <w:t>Whose Justice</w:t>
      </w:r>
      <w:r w:rsidR="00B66670" w:rsidRPr="00461D74">
        <w:rPr>
          <w:rFonts w:ascii="Garamond" w:hAnsi="Garamond" w:cstheme="minorHAnsi"/>
          <w:sz w:val="24"/>
          <w:szCs w:val="24"/>
        </w:rPr>
        <w:t>,</w:t>
      </w:r>
      <w:r w:rsidRPr="00461D74">
        <w:rPr>
          <w:rFonts w:ascii="Garamond" w:hAnsi="Garamond" w:cstheme="minorHAnsi"/>
          <w:sz w:val="24"/>
          <w:szCs w:val="24"/>
        </w:rPr>
        <w:t xml:space="preserve"> </w:t>
      </w:r>
      <w:r w:rsidR="00BE3110">
        <w:rPr>
          <w:rFonts w:ascii="Garamond" w:hAnsi="Garamond" w:cstheme="minorHAnsi"/>
          <w:sz w:val="24"/>
          <w:szCs w:val="24"/>
        </w:rPr>
        <w:t xml:space="preserve">in which he claims </w:t>
      </w:r>
      <w:r w:rsidR="00DC3BAF">
        <w:rPr>
          <w:rFonts w:ascii="Garamond" w:hAnsi="Garamond" w:cstheme="minorHAnsi"/>
          <w:sz w:val="24"/>
          <w:szCs w:val="24"/>
        </w:rPr>
        <w:t xml:space="preserve">that </w:t>
      </w:r>
      <w:r w:rsidRPr="00461D74">
        <w:rPr>
          <w:rFonts w:ascii="Garamond" w:hAnsi="Garamond" w:cstheme="minorHAnsi"/>
          <w:sz w:val="24"/>
          <w:szCs w:val="24"/>
        </w:rPr>
        <w:t>Aquinas successfully synthesized the insights of the Aristotelian and Augustinian morality.</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bCs/>
          <w:sz w:val="24"/>
          <w:szCs w:val="24"/>
        </w:rPr>
        <w:lastRenderedPageBreak/>
        <w:t>Second</w:t>
      </w:r>
      <w:r w:rsidRPr="00461D74">
        <w:rPr>
          <w:rFonts w:ascii="Garamond" w:hAnsi="Garamond" w:cstheme="minorHAnsi"/>
          <w:sz w:val="24"/>
          <w:szCs w:val="24"/>
        </w:rPr>
        <w:t xml:space="preserve">, I will try to highlight some of the claims revealed in our consideration of MacIntyre’s account of Aquinas’ natural law with respect to moral knowledge and education. I will then reveal some interesting parallels between Aquinas and Renaissance Aristotelians such as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I will argue that it is reasonable to conclude that Aquinas’ natural law may have, inadvertently, set the stage for a more theoretical form of moral education – the sort of moral education which MacIntyre condemns in his discussion of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r w:rsidR="002814DC" w:rsidRPr="00461D74">
        <w:rPr>
          <w:rFonts w:ascii="Garamond" w:hAnsi="Garamond" w:cstheme="minorHAnsi"/>
          <w:sz w:val="24"/>
          <w:szCs w:val="24"/>
        </w:rPr>
        <w:t>And w</w:t>
      </w:r>
      <w:r w:rsidRPr="00461D74">
        <w:rPr>
          <w:rFonts w:ascii="Garamond" w:hAnsi="Garamond" w:cstheme="minorHAnsi"/>
          <w:sz w:val="24"/>
          <w:szCs w:val="24"/>
        </w:rPr>
        <w:t xml:space="preserve">hile the particular way in which Aquinas’ natural law ethics diverges from Aristotle’s ethics – and hence becomes less recognizably Aristotelian – is certainly different from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reinterpretation of Aristotle’s ethics, there are important parallels between the </w:t>
      </w:r>
      <w:r w:rsidR="00A0073C">
        <w:rPr>
          <w:rFonts w:ascii="Garamond" w:hAnsi="Garamond" w:cstheme="minorHAnsi"/>
          <w:sz w:val="24"/>
          <w:szCs w:val="24"/>
        </w:rPr>
        <w:t>two views</w:t>
      </w:r>
      <w:r w:rsidRPr="00461D74">
        <w:rPr>
          <w:rFonts w:ascii="Garamond" w:hAnsi="Garamond" w:cstheme="minorHAnsi"/>
          <w:sz w:val="24"/>
          <w:szCs w:val="24"/>
        </w:rPr>
        <w:t xml:space="preserve">. I will suggest that Aquinas’ </w:t>
      </w:r>
      <w:r w:rsidR="00DB2C64">
        <w:rPr>
          <w:rFonts w:ascii="Garamond" w:hAnsi="Garamond" w:cstheme="minorHAnsi"/>
          <w:sz w:val="24"/>
          <w:szCs w:val="24"/>
        </w:rPr>
        <w:t xml:space="preserve">account of </w:t>
      </w:r>
      <w:r w:rsidRPr="00461D74">
        <w:rPr>
          <w:rFonts w:ascii="Garamond" w:hAnsi="Garamond" w:cstheme="minorHAnsi"/>
          <w:sz w:val="24"/>
          <w:szCs w:val="24"/>
        </w:rPr>
        <w:t>natural law</w:t>
      </w:r>
      <w:r w:rsidR="00DB2C64">
        <w:rPr>
          <w:rFonts w:ascii="Garamond" w:hAnsi="Garamond" w:cstheme="minorHAnsi"/>
          <w:sz w:val="24"/>
          <w:szCs w:val="24"/>
        </w:rPr>
        <w:t xml:space="preserve"> and</w:t>
      </w:r>
      <w:r w:rsidRPr="00461D74">
        <w:rPr>
          <w:rFonts w:ascii="Garamond" w:hAnsi="Garamond" w:cstheme="minorHAnsi"/>
          <w:sz w:val="24"/>
          <w:szCs w:val="24"/>
        </w:rPr>
        <w:t xml:space="preserve"> </w:t>
      </w:r>
      <w:r w:rsidR="00A0073C">
        <w:rPr>
          <w:rFonts w:ascii="Garamond" w:hAnsi="Garamond" w:cstheme="minorHAnsi"/>
          <w:sz w:val="24"/>
          <w:szCs w:val="24"/>
        </w:rPr>
        <w:t>its conception of</w:t>
      </w:r>
      <w:r w:rsidRPr="00461D74">
        <w:rPr>
          <w:rFonts w:ascii="Garamond" w:hAnsi="Garamond" w:cstheme="minorHAnsi"/>
          <w:sz w:val="24"/>
          <w:szCs w:val="24"/>
        </w:rPr>
        <w:t xml:space="preserve"> moral education</w:t>
      </w:r>
      <w:r w:rsidR="00A0073C">
        <w:rPr>
          <w:rFonts w:ascii="Garamond" w:hAnsi="Garamond" w:cstheme="minorHAnsi"/>
          <w:sz w:val="24"/>
          <w:szCs w:val="24"/>
        </w:rPr>
        <w:t>,</w:t>
      </w:r>
      <w:r w:rsidRPr="00461D74">
        <w:rPr>
          <w:rFonts w:ascii="Garamond" w:hAnsi="Garamond" w:cstheme="minorHAnsi"/>
          <w:sz w:val="24"/>
          <w:szCs w:val="24"/>
        </w:rPr>
        <w:t xml:space="preserve"> especially the means </w:t>
      </w:r>
      <w:r w:rsidR="00DB2C64">
        <w:rPr>
          <w:rFonts w:ascii="Garamond" w:hAnsi="Garamond" w:cstheme="minorHAnsi"/>
          <w:sz w:val="24"/>
          <w:szCs w:val="24"/>
        </w:rPr>
        <w:t>by</w:t>
      </w:r>
      <w:r w:rsidR="00DB2C64" w:rsidRPr="00461D74">
        <w:rPr>
          <w:rFonts w:ascii="Garamond" w:hAnsi="Garamond" w:cstheme="minorHAnsi"/>
          <w:sz w:val="24"/>
          <w:szCs w:val="24"/>
        </w:rPr>
        <w:t xml:space="preserve"> </w:t>
      </w:r>
      <w:r w:rsidRPr="00461D74">
        <w:rPr>
          <w:rFonts w:ascii="Garamond" w:hAnsi="Garamond" w:cstheme="minorHAnsi"/>
          <w:sz w:val="24"/>
          <w:szCs w:val="24"/>
        </w:rPr>
        <w:t xml:space="preserve">which we acquire moral education and </w:t>
      </w:r>
      <w:r w:rsidR="00A0073C">
        <w:rPr>
          <w:rFonts w:ascii="Garamond" w:hAnsi="Garamond" w:cstheme="minorHAnsi"/>
          <w:sz w:val="24"/>
          <w:szCs w:val="24"/>
        </w:rPr>
        <w:t>grasp the knowledge of</w:t>
      </w:r>
      <w:r w:rsidRPr="00461D74">
        <w:rPr>
          <w:rFonts w:ascii="Garamond" w:hAnsi="Garamond" w:cstheme="minorHAnsi"/>
          <w:sz w:val="24"/>
          <w:szCs w:val="24"/>
        </w:rPr>
        <w:t xml:space="preserve"> </w:t>
      </w:r>
      <w:r w:rsidR="00DB2C64">
        <w:rPr>
          <w:rFonts w:ascii="Garamond" w:hAnsi="Garamond" w:cstheme="minorHAnsi"/>
          <w:sz w:val="24"/>
          <w:szCs w:val="24"/>
        </w:rPr>
        <w:t xml:space="preserve">primary </w:t>
      </w:r>
      <w:r w:rsidRPr="00461D74">
        <w:rPr>
          <w:rFonts w:ascii="Garamond" w:hAnsi="Garamond" w:cstheme="minorHAnsi"/>
          <w:sz w:val="24"/>
          <w:szCs w:val="24"/>
        </w:rPr>
        <w:t>moral precepts, pull</w:t>
      </w:r>
      <w:r w:rsidR="00DB2C64">
        <w:rPr>
          <w:rFonts w:ascii="Garamond" w:hAnsi="Garamond" w:cstheme="minorHAnsi"/>
          <w:sz w:val="24"/>
          <w:szCs w:val="24"/>
        </w:rPr>
        <w:t>s</w:t>
      </w:r>
      <w:r w:rsidRPr="00461D74">
        <w:rPr>
          <w:rFonts w:ascii="Garamond" w:hAnsi="Garamond" w:cstheme="minorHAnsi"/>
          <w:sz w:val="24"/>
          <w:szCs w:val="24"/>
        </w:rPr>
        <w:t xml:space="preserve"> away from Aristotle in important respects. Consequently, it is not clear why we should condemn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for the eventual demise of Aristotelian ethics, yet hold Aquinas blameless.</w:t>
      </w:r>
    </w:p>
    <w:p w:rsidR="00D75251"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But before we can fruitfully engage with these questions I will briefly state some of the important claims MacIntyre offers in ‘Natural Law as Subversive: The Case of Aquinas</w:t>
      </w:r>
      <w:r w:rsidR="008956D3">
        <w:rPr>
          <w:rFonts w:ascii="Garamond" w:hAnsi="Garamond" w:cstheme="minorHAnsi"/>
          <w:sz w:val="24"/>
          <w:szCs w:val="24"/>
        </w:rPr>
        <w:t>.</w:t>
      </w:r>
      <w:r w:rsidRPr="00461D74">
        <w:rPr>
          <w:rFonts w:ascii="Garamond" w:hAnsi="Garamond" w:cstheme="minorHAnsi"/>
          <w:sz w:val="24"/>
          <w:szCs w:val="24"/>
        </w:rPr>
        <w:t xml:space="preserve">’ MacIntyre suggests that for Aquinas, human law is constituted and governed by the exercise of natural reason; nonetheless, human law can only be </w:t>
      </w:r>
      <w:r w:rsidR="000A6B10">
        <w:rPr>
          <w:rFonts w:ascii="Garamond" w:hAnsi="Garamond" w:cstheme="minorHAnsi"/>
          <w:sz w:val="24"/>
          <w:szCs w:val="24"/>
        </w:rPr>
        <w:t xml:space="preserve">correctly </w:t>
      </w:r>
      <w:r w:rsidRPr="00461D74">
        <w:rPr>
          <w:rFonts w:ascii="Garamond" w:hAnsi="Garamond" w:cstheme="minorHAnsi"/>
          <w:sz w:val="24"/>
          <w:szCs w:val="24"/>
        </w:rPr>
        <w:t>described as just, insofar as it does not find itself in conflict with the claims posited by natural law. Hence, “Every law laid down by a human being has the nature of law only insofar as it is derived from the law of nature.”</w:t>
      </w:r>
      <w:r w:rsidRPr="00461D74">
        <w:rPr>
          <w:rStyle w:val="FootnoteReference"/>
          <w:rFonts w:ascii="Garamond" w:hAnsi="Garamond" w:cstheme="minorHAnsi"/>
          <w:sz w:val="24"/>
          <w:szCs w:val="24"/>
        </w:rPr>
        <w:footnoteReference w:id="207"/>
      </w:r>
      <w:r w:rsidRPr="00461D74">
        <w:rPr>
          <w:rFonts w:ascii="Garamond" w:hAnsi="Garamond" w:cstheme="minorHAnsi"/>
          <w:sz w:val="24"/>
          <w:szCs w:val="24"/>
        </w:rPr>
        <w:t xml:space="preserve"> Furthermore, MacIntyre restates some of the most important claims in Thomism – namely that with respect to the fundamental </w:t>
      </w:r>
      <w:r w:rsidR="00837E67" w:rsidRPr="00461D74">
        <w:rPr>
          <w:rFonts w:ascii="Garamond" w:hAnsi="Garamond" w:cstheme="minorHAnsi"/>
          <w:sz w:val="24"/>
          <w:szCs w:val="24"/>
        </w:rPr>
        <w:t>(</w:t>
      </w:r>
      <w:r w:rsidRPr="00461D74">
        <w:rPr>
          <w:rFonts w:ascii="Garamond" w:hAnsi="Garamond" w:cstheme="minorHAnsi"/>
          <w:sz w:val="24"/>
          <w:szCs w:val="24"/>
        </w:rPr>
        <w:t>or common</w:t>
      </w:r>
      <w:r w:rsidR="00837E67" w:rsidRPr="00461D74">
        <w:rPr>
          <w:rFonts w:ascii="Garamond" w:hAnsi="Garamond" w:cstheme="minorHAnsi"/>
          <w:sz w:val="24"/>
          <w:szCs w:val="24"/>
        </w:rPr>
        <w:t>)</w:t>
      </w:r>
      <w:r w:rsidRPr="00461D74">
        <w:rPr>
          <w:rFonts w:ascii="Garamond" w:hAnsi="Garamond" w:cstheme="minorHAnsi"/>
          <w:sz w:val="24"/>
          <w:szCs w:val="24"/>
        </w:rPr>
        <w:t xml:space="preserve"> principles of natural law every rational being</w:t>
      </w:r>
      <w:r w:rsidR="00531A61" w:rsidRPr="00461D74">
        <w:rPr>
          <w:rFonts w:ascii="Garamond" w:hAnsi="Garamond" w:cstheme="minorHAnsi"/>
          <w:sz w:val="24"/>
          <w:szCs w:val="24"/>
        </w:rPr>
        <w:t xml:space="preserve">, </w:t>
      </w:r>
      <w:r w:rsidRPr="00461D74">
        <w:rPr>
          <w:rFonts w:ascii="Garamond" w:hAnsi="Garamond" w:cstheme="minorHAnsi"/>
          <w:sz w:val="24"/>
          <w:szCs w:val="24"/>
        </w:rPr>
        <w:t xml:space="preserve">and not only those who possess sufficient moral </w:t>
      </w:r>
      <w:r w:rsidRPr="00461D74">
        <w:rPr>
          <w:rFonts w:ascii="Garamond" w:hAnsi="Garamond" w:cstheme="minorHAnsi"/>
          <w:sz w:val="24"/>
          <w:szCs w:val="24"/>
        </w:rPr>
        <w:lastRenderedPageBreak/>
        <w:t>education possess that knowledge.</w:t>
      </w:r>
      <w:r w:rsidRPr="00461D74">
        <w:rPr>
          <w:rStyle w:val="FootnoteReference"/>
          <w:rFonts w:ascii="Garamond" w:hAnsi="Garamond" w:cstheme="minorHAnsi"/>
          <w:sz w:val="24"/>
          <w:szCs w:val="24"/>
        </w:rPr>
        <w:footnoteReference w:id="208"/>
      </w:r>
      <w:r w:rsidRPr="00461D74">
        <w:rPr>
          <w:rFonts w:ascii="Garamond" w:hAnsi="Garamond" w:cstheme="minorHAnsi"/>
          <w:sz w:val="24"/>
          <w:szCs w:val="24"/>
        </w:rPr>
        <w:t xml:space="preserve"> MacIntyre thus summarizes Aquinas in the following way:</w:t>
      </w:r>
    </w:p>
    <w:p w:rsidR="00E560D0" w:rsidRPr="00461D74" w:rsidRDefault="00016049" w:rsidP="00164E4D">
      <w:pPr>
        <w:spacing w:line="360" w:lineRule="auto"/>
        <w:ind w:left="1440"/>
        <w:jc w:val="both"/>
        <w:rPr>
          <w:rFonts w:ascii="Garamond" w:hAnsi="Garamond" w:cstheme="minorHAnsi"/>
          <w:sz w:val="24"/>
          <w:szCs w:val="24"/>
        </w:rPr>
      </w:pPr>
      <w:r w:rsidRPr="00461D74" w:rsidDel="00637488">
        <w:rPr>
          <w:rFonts w:ascii="Garamond" w:hAnsi="Garamond" w:cstheme="minorHAnsi"/>
        </w:rPr>
        <w:t xml:space="preserve"> </w:t>
      </w:r>
      <w:r w:rsidRPr="00461D74">
        <w:rPr>
          <w:rFonts w:ascii="Garamond" w:hAnsi="Garamond" w:cstheme="minorHAnsi"/>
        </w:rPr>
        <w:t xml:space="preserve">“The </w:t>
      </w:r>
      <w:proofErr w:type="spellStart"/>
      <w:r w:rsidRPr="00461D74">
        <w:rPr>
          <w:rFonts w:ascii="Garamond" w:hAnsi="Garamond" w:cstheme="minorHAnsi"/>
        </w:rPr>
        <w:t>exceptionless</w:t>
      </w:r>
      <w:proofErr w:type="spellEnd"/>
      <w:r w:rsidRPr="00461D74">
        <w:rPr>
          <w:rFonts w:ascii="Garamond" w:hAnsi="Garamond" w:cstheme="minorHAnsi"/>
        </w:rPr>
        <w:t xml:space="preserve"> precepts of the natural law are those which, insofar as we are rational, we recognize as indispensable in every society and in every situation for the achievement of our goods and of our final good…Those human beings who do happen to become rulers therefore have no special capacity, which differentiates them from plain persons, whose capacity for prudence and whose knowledge of natural law is theirs in virtue of their human nature.”</w:t>
      </w:r>
      <w:r w:rsidRPr="00461D74">
        <w:rPr>
          <w:rStyle w:val="FootnoteReference"/>
          <w:rFonts w:ascii="Garamond" w:hAnsi="Garamond" w:cstheme="minorHAnsi"/>
        </w:rPr>
        <w:footnoteReference w:id="209"/>
      </w: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We may now ask: who can know what natural law is?</w:t>
      </w:r>
      <w:r w:rsidR="00837E67" w:rsidRPr="00461D74">
        <w:rPr>
          <w:rFonts w:ascii="Garamond" w:hAnsi="Garamond" w:cstheme="minorHAnsi"/>
          <w:sz w:val="24"/>
          <w:szCs w:val="24"/>
        </w:rPr>
        <w:t xml:space="preserve"> </w:t>
      </w:r>
      <w:r w:rsidR="0054146E">
        <w:rPr>
          <w:rFonts w:ascii="Garamond" w:hAnsi="Garamond" w:cstheme="minorHAnsi"/>
          <w:sz w:val="24"/>
          <w:szCs w:val="24"/>
        </w:rPr>
        <w:t xml:space="preserve">The answer </w:t>
      </w:r>
      <w:r w:rsidR="00837E67" w:rsidRPr="00461D74">
        <w:rPr>
          <w:rFonts w:ascii="Garamond" w:hAnsi="Garamond" w:cstheme="minorHAnsi"/>
          <w:sz w:val="24"/>
          <w:szCs w:val="24"/>
        </w:rPr>
        <w:t>is</w:t>
      </w:r>
    </w:p>
    <w:p w:rsidR="00E560D0" w:rsidRPr="00461D74" w:rsidRDefault="00016049" w:rsidP="00164E4D">
      <w:pPr>
        <w:spacing w:line="360" w:lineRule="auto"/>
        <w:ind w:left="1440"/>
        <w:jc w:val="both"/>
        <w:rPr>
          <w:rFonts w:ascii="Garamond" w:hAnsi="Garamond" w:cstheme="minorHAnsi"/>
          <w:sz w:val="24"/>
          <w:szCs w:val="24"/>
        </w:rPr>
      </w:pPr>
      <w:r w:rsidRPr="00461D74">
        <w:rPr>
          <w:rFonts w:ascii="Garamond" w:hAnsi="Garamond" w:cstheme="minorHAnsi"/>
        </w:rPr>
        <w:t xml:space="preserve">“The knowledge that enables us to do this is possessed by any person capable of adequate reasoning and, so far as the common principles of natural law </w:t>
      </w:r>
      <w:proofErr w:type="gramStart"/>
      <w:r w:rsidRPr="00461D74">
        <w:rPr>
          <w:rFonts w:ascii="Garamond" w:hAnsi="Garamond" w:cstheme="minorHAnsi"/>
        </w:rPr>
        <w:t>are</w:t>
      </w:r>
      <w:proofErr w:type="gramEnd"/>
      <w:r w:rsidRPr="00461D74">
        <w:rPr>
          <w:rFonts w:ascii="Garamond" w:hAnsi="Garamond" w:cstheme="minorHAnsi"/>
        </w:rPr>
        <w:t xml:space="preserve"> concerned, by every rational being.”</w:t>
      </w:r>
      <w:r w:rsidRPr="00461D74">
        <w:rPr>
          <w:rStyle w:val="FootnoteReference"/>
          <w:rFonts w:ascii="Garamond" w:hAnsi="Garamond" w:cstheme="minorHAnsi"/>
        </w:rPr>
        <w:footnoteReference w:id="210"/>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above account is </w:t>
      </w:r>
      <w:r w:rsidR="00837E67" w:rsidRPr="00461D74">
        <w:rPr>
          <w:rFonts w:ascii="Garamond" w:hAnsi="Garamond" w:cstheme="minorHAnsi"/>
          <w:sz w:val="24"/>
          <w:szCs w:val="24"/>
        </w:rPr>
        <w:t xml:space="preserve">relevant because it states </w:t>
      </w:r>
      <w:r w:rsidRPr="00461D74">
        <w:rPr>
          <w:rFonts w:ascii="Garamond" w:hAnsi="Garamond" w:cstheme="minorHAnsi"/>
          <w:sz w:val="24"/>
          <w:szCs w:val="24"/>
        </w:rPr>
        <w:t xml:space="preserve">the major claim that forms the basis of Aquinas’ natural law. Yet, this account, </w:t>
      </w:r>
      <w:r w:rsidR="00CF7BD7">
        <w:rPr>
          <w:rFonts w:ascii="Garamond" w:hAnsi="Garamond" w:cstheme="minorHAnsi"/>
          <w:sz w:val="24"/>
          <w:szCs w:val="24"/>
        </w:rPr>
        <w:t xml:space="preserve">perhaps </w:t>
      </w:r>
      <w:r w:rsidRPr="00461D74">
        <w:rPr>
          <w:rFonts w:ascii="Garamond" w:hAnsi="Garamond" w:cstheme="minorHAnsi"/>
          <w:sz w:val="24"/>
          <w:szCs w:val="24"/>
        </w:rPr>
        <w:t xml:space="preserve">unintentionally, uncovers some important discrepancies between Aquinas and Aristotle, for it appears to take a step in universalizing moral law, and </w:t>
      </w:r>
      <w:r w:rsidR="0054146E">
        <w:rPr>
          <w:rFonts w:ascii="Garamond" w:hAnsi="Garamond" w:cstheme="minorHAnsi"/>
          <w:sz w:val="24"/>
          <w:szCs w:val="24"/>
        </w:rPr>
        <w:t xml:space="preserve">makes </w:t>
      </w:r>
      <w:r w:rsidRPr="00461D74">
        <w:rPr>
          <w:rFonts w:ascii="Garamond" w:hAnsi="Garamond" w:cstheme="minorHAnsi"/>
          <w:sz w:val="24"/>
          <w:szCs w:val="24"/>
        </w:rPr>
        <w:t>fundamental moral reasoning available to any human being whatsoever. Hence, simply</w:t>
      </w:r>
      <w:r w:rsidR="00CF7BD7">
        <w:rPr>
          <w:rFonts w:ascii="Garamond" w:hAnsi="Garamond" w:cstheme="minorHAnsi"/>
          <w:sz w:val="24"/>
          <w:szCs w:val="24"/>
        </w:rPr>
        <w:t>,</w:t>
      </w:r>
      <w:r w:rsidRPr="00461D74">
        <w:rPr>
          <w:rFonts w:ascii="Garamond" w:hAnsi="Garamond" w:cstheme="minorHAnsi"/>
          <w:sz w:val="24"/>
          <w:szCs w:val="24"/>
        </w:rPr>
        <w:t xml:space="preserve"> in virtue of being human we are rational, and </w:t>
      </w:r>
      <w:r w:rsidR="00CF7BD7">
        <w:rPr>
          <w:rFonts w:ascii="Garamond" w:hAnsi="Garamond" w:cstheme="minorHAnsi"/>
          <w:sz w:val="24"/>
          <w:szCs w:val="24"/>
        </w:rPr>
        <w:t xml:space="preserve">as such, </w:t>
      </w:r>
      <w:r w:rsidRPr="00461D74">
        <w:rPr>
          <w:rFonts w:ascii="Garamond" w:hAnsi="Garamond" w:cstheme="minorHAnsi"/>
          <w:sz w:val="24"/>
          <w:szCs w:val="24"/>
        </w:rPr>
        <w:t>possess the knowledge of the primary principles of natural law which enable us to realize our good as human beings.</w:t>
      </w:r>
    </w:p>
    <w:p w:rsidR="009F3E2E" w:rsidRPr="00AC0140" w:rsidRDefault="00016049" w:rsidP="009F3E2E">
      <w:pPr>
        <w:spacing w:line="360" w:lineRule="auto"/>
        <w:ind w:firstLine="720"/>
        <w:jc w:val="both"/>
        <w:rPr>
          <w:rFonts w:ascii="Garamond" w:hAnsi="Garamond" w:cstheme="minorHAnsi"/>
          <w:strike/>
          <w:sz w:val="24"/>
          <w:szCs w:val="24"/>
        </w:rPr>
      </w:pPr>
      <w:r w:rsidRPr="00461D74">
        <w:rPr>
          <w:rFonts w:ascii="Garamond" w:hAnsi="Garamond" w:cstheme="minorHAnsi"/>
          <w:sz w:val="24"/>
          <w:szCs w:val="24"/>
        </w:rPr>
        <w:t xml:space="preserve">In the rest of this section, I will consider the </w:t>
      </w:r>
      <w:r w:rsidRPr="00461D74">
        <w:rPr>
          <w:rFonts w:ascii="Garamond" w:hAnsi="Garamond" w:cstheme="minorHAnsi"/>
          <w:bCs/>
          <w:sz w:val="24"/>
          <w:szCs w:val="24"/>
        </w:rPr>
        <w:t>two</w:t>
      </w:r>
      <w:r w:rsidRPr="00461D74">
        <w:rPr>
          <w:rFonts w:ascii="Garamond" w:hAnsi="Garamond" w:cstheme="minorHAnsi"/>
          <w:sz w:val="24"/>
          <w:szCs w:val="24"/>
        </w:rPr>
        <w:t xml:space="preserve"> problems which are raised when we consider Aquinas’ account of natural law in the broader context of MacIntyre’s discussion of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These questions are important because I </w:t>
      </w:r>
      <w:r w:rsidR="007F1929" w:rsidRPr="00461D74">
        <w:rPr>
          <w:rFonts w:ascii="Garamond" w:hAnsi="Garamond" w:cstheme="minorHAnsi"/>
          <w:sz w:val="24"/>
          <w:szCs w:val="24"/>
        </w:rPr>
        <w:lastRenderedPageBreak/>
        <w:t xml:space="preserve">believe </w:t>
      </w:r>
      <w:r w:rsidRPr="00461D74">
        <w:rPr>
          <w:rFonts w:ascii="Garamond" w:hAnsi="Garamond" w:cstheme="minorHAnsi"/>
          <w:sz w:val="24"/>
          <w:szCs w:val="24"/>
        </w:rPr>
        <w:t xml:space="preserve">they </w:t>
      </w:r>
      <w:r w:rsidR="007F1929" w:rsidRPr="00461D74">
        <w:rPr>
          <w:rFonts w:ascii="Garamond" w:hAnsi="Garamond" w:cstheme="minorHAnsi"/>
          <w:sz w:val="24"/>
          <w:szCs w:val="24"/>
        </w:rPr>
        <w:t xml:space="preserve">ultimately </w:t>
      </w:r>
      <w:r w:rsidRPr="00461D74">
        <w:rPr>
          <w:rFonts w:ascii="Garamond" w:hAnsi="Garamond" w:cstheme="minorHAnsi"/>
          <w:sz w:val="24"/>
          <w:szCs w:val="24"/>
        </w:rPr>
        <w:t>undermine MacIntyre’s historical argument (discussed in the previous section) for the eventual decline of Aristotelian ethics.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will now point out some </w:t>
      </w:r>
      <w:r w:rsidR="002574F5" w:rsidRPr="00461D74">
        <w:rPr>
          <w:rFonts w:ascii="Garamond" w:hAnsi="Garamond" w:cstheme="minorHAnsi"/>
          <w:sz w:val="24"/>
          <w:szCs w:val="24"/>
        </w:rPr>
        <w:t xml:space="preserve">interesting </w:t>
      </w:r>
      <w:r w:rsidRPr="00461D74">
        <w:rPr>
          <w:rFonts w:ascii="Garamond" w:hAnsi="Garamond" w:cstheme="minorHAnsi"/>
          <w:sz w:val="24"/>
          <w:szCs w:val="24"/>
        </w:rPr>
        <w:t xml:space="preserve">differences between </w:t>
      </w:r>
      <w:r w:rsidR="002574F5" w:rsidRPr="00461D74">
        <w:rPr>
          <w:rFonts w:ascii="Garamond" w:hAnsi="Garamond" w:cstheme="minorHAnsi"/>
          <w:sz w:val="24"/>
          <w:szCs w:val="24"/>
        </w:rPr>
        <w:t xml:space="preserve">on the one hand, </w:t>
      </w:r>
      <w:r w:rsidRPr="00461D74">
        <w:rPr>
          <w:rFonts w:ascii="Garamond" w:hAnsi="Garamond" w:cstheme="minorHAnsi"/>
          <w:sz w:val="24"/>
          <w:szCs w:val="24"/>
        </w:rPr>
        <w:t>Aquinas’ natural law ethics</w:t>
      </w:r>
      <w:r w:rsidR="002574F5" w:rsidRPr="00461D74">
        <w:rPr>
          <w:rFonts w:ascii="Garamond" w:hAnsi="Garamond" w:cstheme="minorHAnsi"/>
          <w:sz w:val="24"/>
          <w:szCs w:val="24"/>
        </w:rPr>
        <w:t>,</w:t>
      </w:r>
      <w:r w:rsidRPr="00461D74">
        <w:rPr>
          <w:rFonts w:ascii="Garamond" w:hAnsi="Garamond" w:cstheme="minorHAnsi"/>
          <w:sz w:val="24"/>
          <w:szCs w:val="24"/>
        </w:rPr>
        <w:t xml:space="preserve"> and </w:t>
      </w:r>
      <w:r w:rsidR="002574F5" w:rsidRPr="00461D74">
        <w:rPr>
          <w:rFonts w:ascii="Garamond" w:hAnsi="Garamond" w:cstheme="minorHAnsi"/>
          <w:sz w:val="24"/>
          <w:szCs w:val="24"/>
        </w:rPr>
        <w:t xml:space="preserve">on the other Aristotle’s, in order to </w:t>
      </w:r>
      <w:r w:rsidR="004E282F" w:rsidRPr="00461D74">
        <w:rPr>
          <w:rFonts w:ascii="Garamond" w:hAnsi="Garamond" w:cstheme="minorHAnsi"/>
          <w:sz w:val="24"/>
          <w:szCs w:val="24"/>
        </w:rPr>
        <w:t xml:space="preserve">ultimately </w:t>
      </w:r>
      <w:r w:rsidR="002574F5" w:rsidRPr="00461D74">
        <w:rPr>
          <w:rFonts w:ascii="Garamond" w:hAnsi="Garamond" w:cstheme="minorHAnsi"/>
          <w:sz w:val="24"/>
          <w:szCs w:val="24"/>
        </w:rPr>
        <w:t xml:space="preserve">challenge </w:t>
      </w:r>
      <w:r w:rsidR="00E30F49">
        <w:rPr>
          <w:rFonts w:ascii="Garamond" w:hAnsi="Garamond" w:cstheme="minorHAnsi"/>
          <w:sz w:val="24"/>
          <w:szCs w:val="24"/>
        </w:rPr>
        <w:t xml:space="preserve">MacIntyre’s criticism of </w:t>
      </w:r>
      <w:proofErr w:type="spellStart"/>
      <w:r w:rsidR="00E30F49" w:rsidRPr="00461D74">
        <w:rPr>
          <w:rFonts w:ascii="Garamond" w:hAnsi="Garamond" w:cstheme="minorHAnsi"/>
          <w:sz w:val="24"/>
          <w:szCs w:val="24"/>
        </w:rPr>
        <w:t>Piccolomini</w:t>
      </w:r>
      <w:proofErr w:type="spellEnd"/>
      <w:r w:rsidR="00E30F49">
        <w:rPr>
          <w:rFonts w:ascii="Garamond" w:hAnsi="Garamond" w:cstheme="minorHAnsi"/>
          <w:sz w:val="24"/>
          <w:szCs w:val="24"/>
        </w:rPr>
        <w:t xml:space="preserve"> in his</w:t>
      </w:r>
      <w:r w:rsidRPr="00461D74">
        <w:rPr>
          <w:rFonts w:ascii="Garamond" w:hAnsi="Garamond" w:cstheme="minorHAnsi"/>
          <w:sz w:val="24"/>
          <w:szCs w:val="24"/>
        </w:rPr>
        <w:t xml:space="preserve"> genealogical argument </w:t>
      </w:r>
      <w:r w:rsidR="00E30F49">
        <w:rPr>
          <w:rFonts w:ascii="Garamond" w:hAnsi="Garamond" w:cstheme="minorHAnsi"/>
          <w:sz w:val="24"/>
          <w:szCs w:val="24"/>
        </w:rPr>
        <w:t>which he posits</w:t>
      </w:r>
      <w:r w:rsidRPr="00461D74">
        <w:rPr>
          <w:rFonts w:ascii="Garamond" w:hAnsi="Garamond" w:cstheme="minorHAnsi"/>
          <w:sz w:val="24"/>
          <w:szCs w:val="24"/>
        </w:rPr>
        <w:t xml:space="preserve"> for the decline of Aristotelian</w:t>
      </w:r>
      <w:r w:rsidR="00E30F49">
        <w:rPr>
          <w:rFonts w:ascii="Garamond" w:hAnsi="Garamond" w:cstheme="minorHAnsi"/>
          <w:sz w:val="24"/>
          <w:szCs w:val="24"/>
        </w:rPr>
        <w:t xml:space="preserve"> ethics and politics</w:t>
      </w:r>
      <w:r w:rsidRPr="00461D74">
        <w:rPr>
          <w:rFonts w:ascii="Garamond" w:hAnsi="Garamond" w:cstheme="minorHAnsi"/>
          <w:sz w:val="24"/>
          <w:szCs w:val="24"/>
        </w:rPr>
        <w:t xml:space="preserve">. I suggested </w:t>
      </w:r>
      <w:r w:rsidR="002574F5" w:rsidRPr="00461D74">
        <w:rPr>
          <w:rFonts w:ascii="Garamond" w:hAnsi="Garamond" w:cstheme="minorHAnsi"/>
          <w:sz w:val="24"/>
          <w:szCs w:val="24"/>
        </w:rPr>
        <w:t xml:space="preserve">earlier </w:t>
      </w:r>
      <w:r w:rsidRPr="00461D74">
        <w:rPr>
          <w:rFonts w:ascii="Garamond" w:hAnsi="Garamond" w:cstheme="minorHAnsi"/>
          <w:sz w:val="24"/>
          <w:szCs w:val="24"/>
        </w:rPr>
        <w:t>that Thomistic natural law universalizes moral knowledge</w:t>
      </w:r>
      <w:r w:rsidR="0054146E">
        <w:rPr>
          <w:rFonts w:ascii="Garamond" w:hAnsi="Garamond" w:cstheme="minorHAnsi"/>
          <w:sz w:val="24"/>
          <w:szCs w:val="24"/>
        </w:rPr>
        <w:t>,</w:t>
      </w:r>
      <w:r w:rsidRPr="00461D74">
        <w:rPr>
          <w:rFonts w:ascii="Garamond" w:hAnsi="Garamond" w:cstheme="minorHAnsi"/>
          <w:sz w:val="24"/>
          <w:szCs w:val="24"/>
        </w:rPr>
        <w:t xml:space="preserve"> where</w:t>
      </w:r>
      <w:r w:rsidR="0054146E">
        <w:rPr>
          <w:rFonts w:ascii="Garamond" w:hAnsi="Garamond" w:cstheme="minorHAnsi"/>
          <w:sz w:val="24"/>
          <w:szCs w:val="24"/>
        </w:rPr>
        <w:t>by</w:t>
      </w:r>
      <w:r w:rsidRPr="00461D74">
        <w:rPr>
          <w:rFonts w:ascii="Garamond" w:hAnsi="Garamond" w:cstheme="minorHAnsi"/>
          <w:sz w:val="24"/>
          <w:szCs w:val="24"/>
        </w:rPr>
        <w:t xml:space="preserve"> human beings simply in virtue of their nature are not only rational but also possess the knowledge of the fundamental principles of natural law. On this point Aquinas’ account deviates substantially from Aristotle’s ethics; and while the way in which Aquinas and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depart from Aristotle are certainly different, they share </w:t>
      </w:r>
      <w:r w:rsidR="00404958">
        <w:rPr>
          <w:rFonts w:ascii="Garamond" w:hAnsi="Garamond" w:cstheme="minorHAnsi"/>
          <w:sz w:val="24"/>
          <w:szCs w:val="24"/>
        </w:rPr>
        <w:t>crucial</w:t>
      </w:r>
      <w:r w:rsidR="00404958" w:rsidRPr="00461D74">
        <w:rPr>
          <w:rFonts w:ascii="Garamond" w:hAnsi="Garamond" w:cstheme="minorHAnsi"/>
          <w:sz w:val="24"/>
          <w:szCs w:val="24"/>
        </w:rPr>
        <w:t xml:space="preserve"> </w:t>
      </w:r>
      <w:r w:rsidRPr="00461D74">
        <w:rPr>
          <w:rFonts w:ascii="Garamond" w:hAnsi="Garamond" w:cstheme="minorHAnsi"/>
          <w:sz w:val="24"/>
          <w:szCs w:val="24"/>
        </w:rPr>
        <w:t xml:space="preserve">similarities and are connected in important ways. On Aquinas’ account of natural reason and natural law, human beings in virtue of their nature possess moral knowledge; </w:t>
      </w:r>
      <w:r w:rsidR="00404958">
        <w:rPr>
          <w:rFonts w:ascii="Garamond" w:hAnsi="Garamond" w:cstheme="minorHAnsi"/>
          <w:sz w:val="24"/>
          <w:szCs w:val="24"/>
        </w:rPr>
        <w:t>however</w:t>
      </w:r>
      <w:r w:rsidRPr="00461D74">
        <w:rPr>
          <w:rFonts w:ascii="Garamond" w:hAnsi="Garamond" w:cstheme="minorHAnsi"/>
          <w:sz w:val="24"/>
          <w:szCs w:val="24"/>
        </w:rPr>
        <w:t xml:space="preserve">, recall </w:t>
      </w:r>
      <w:r w:rsidR="0054146E">
        <w:rPr>
          <w:rFonts w:ascii="Garamond" w:hAnsi="Garamond" w:cstheme="minorHAnsi"/>
          <w:sz w:val="24"/>
          <w:szCs w:val="24"/>
        </w:rPr>
        <w:t xml:space="preserve">that </w:t>
      </w:r>
      <w:r w:rsidRPr="00461D74">
        <w:rPr>
          <w:rFonts w:ascii="Garamond" w:hAnsi="Garamond" w:cstheme="minorHAnsi"/>
          <w:sz w:val="24"/>
          <w:szCs w:val="24"/>
        </w:rPr>
        <w:t xml:space="preserve">when MacIntyre presents Aristotle in the context of moral knowledge and education, he emphasizes the role of practice and habituation in Aristotle’s ethics. What I would like to suggest in the following is that Aquinas’ conception of natural reason and natural law appears to foreshadow the move away from Aristotelian account where proper learning and exercise are essential to becoming virtuous. I will expand on this </w:t>
      </w:r>
      <w:r w:rsidRPr="00461D74">
        <w:rPr>
          <w:rFonts w:ascii="Garamond" w:hAnsi="Garamond" w:cstheme="minorHAnsi"/>
          <w:bCs/>
          <w:sz w:val="24"/>
          <w:szCs w:val="24"/>
        </w:rPr>
        <w:t>second</w:t>
      </w:r>
      <w:r w:rsidRPr="00461D74">
        <w:rPr>
          <w:rFonts w:ascii="Garamond" w:hAnsi="Garamond" w:cstheme="minorHAnsi"/>
          <w:sz w:val="24"/>
          <w:szCs w:val="24"/>
        </w:rPr>
        <w:t xml:space="preserve"> problem before going back and considering the </w:t>
      </w:r>
      <w:r w:rsidRPr="00461D74">
        <w:rPr>
          <w:rFonts w:ascii="Garamond" w:hAnsi="Garamond" w:cstheme="minorHAnsi"/>
          <w:bCs/>
          <w:sz w:val="24"/>
          <w:szCs w:val="24"/>
        </w:rPr>
        <w:t>first</w:t>
      </w:r>
      <w:r w:rsidRPr="00461D74">
        <w:rPr>
          <w:rFonts w:ascii="Garamond" w:hAnsi="Garamond" w:cstheme="minorHAnsi"/>
          <w:sz w:val="24"/>
          <w:szCs w:val="24"/>
        </w:rPr>
        <w:t>.</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So did Aquinas’ conceptual (or theoretical) moves in fact set the stage for a more theoretical approach to moral philosophy? And is MacIntyre correct to condemn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divergence from Aristotle, yet at the same time </w:t>
      </w:r>
      <w:r w:rsidR="0054146E">
        <w:rPr>
          <w:rFonts w:ascii="Garamond" w:hAnsi="Garamond" w:cstheme="minorHAnsi"/>
          <w:sz w:val="24"/>
          <w:szCs w:val="24"/>
        </w:rPr>
        <w:t xml:space="preserve">continuing to support the views of </w:t>
      </w:r>
      <w:r w:rsidRPr="00461D74">
        <w:rPr>
          <w:rFonts w:ascii="Garamond" w:hAnsi="Garamond" w:cstheme="minorHAnsi"/>
          <w:sz w:val="24"/>
          <w:szCs w:val="24"/>
        </w:rPr>
        <w:t>Aquinas?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Let us start with the claims that comprise the basis of Aquinas’ natural law account, </w:t>
      </w:r>
      <w:r w:rsidR="00592563">
        <w:rPr>
          <w:rFonts w:ascii="Garamond" w:hAnsi="Garamond" w:cstheme="minorHAnsi"/>
          <w:sz w:val="24"/>
          <w:szCs w:val="24"/>
        </w:rPr>
        <w:t>by which we grant</w:t>
      </w:r>
      <w:r w:rsidRPr="00461D74">
        <w:rPr>
          <w:rFonts w:ascii="Garamond" w:hAnsi="Garamond" w:cstheme="minorHAnsi"/>
          <w:sz w:val="24"/>
          <w:szCs w:val="24"/>
        </w:rPr>
        <w:t xml:space="preserve"> that all human beings in virtue of their nature possess knowledge with respect to the good. If this is the case </w:t>
      </w:r>
      <w:r w:rsidR="003E65F4">
        <w:rPr>
          <w:rFonts w:ascii="Garamond" w:hAnsi="Garamond" w:cstheme="minorHAnsi"/>
          <w:sz w:val="24"/>
          <w:szCs w:val="24"/>
        </w:rPr>
        <w:t xml:space="preserve">however, </w:t>
      </w:r>
      <w:r w:rsidRPr="00461D74">
        <w:rPr>
          <w:rFonts w:ascii="Garamond" w:hAnsi="Garamond" w:cstheme="minorHAnsi"/>
          <w:sz w:val="24"/>
          <w:szCs w:val="24"/>
        </w:rPr>
        <w:t xml:space="preserve">isn’t it </w:t>
      </w:r>
      <w:r w:rsidR="003E65F4">
        <w:rPr>
          <w:rFonts w:ascii="Garamond" w:hAnsi="Garamond" w:cstheme="minorHAnsi"/>
          <w:sz w:val="24"/>
          <w:szCs w:val="24"/>
        </w:rPr>
        <w:t xml:space="preserve">then </w:t>
      </w:r>
      <w:r w:rsidRPr="00461D74">
        <w:rPr>
          <w:rFonts w:ascii="Garamond" w:hAnsi="Garamond" w:cstheme="minorHAnsi"/>
          <w:sz w:val="24"/>
          <w:szCs w:val="24"/>
        </w:rPr>
        <w:lastRenderedPageBreak/>
        <w:t xml:space="preserve">plausible to argue that ethics should place less emphasis on emulating the practices and habits of those educated persons – who on Aristotle’s view possess the right sort of moral education? For it appears that on Aquinas’ natural law account every person possesses moral knowledge in virtue of being human. </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Consequently, if we </w:t>
      </w:r>
      <w:r w:rsidR="001A4848" w:rsidRPr="00461D74">
        <w:rPr>
          <w:rFonts w:ascii="Garamond" w:hAnsi="Garamond" w:cstheme="minorHAnsi"/>
          <w:sz w:val="24"/>
          <w:szCs w:val="24"/>
        </w:rPr>
        <w:t>accept this claim</w:t>
      </w:r>
      <w:r w:rsidRPr="00461D74">
        <w:rPr>
          <w:rFonts w:ascii="Garamond" w:hAnsi="Garamond" w:cstheme="minorHAnsi"/>
          <w:sz w:val="24"/>
          <w:szCs w:val="24"/>
        </w:rPr>
        <w:t xml:space="preserve"> it makes sense to reason that moral inquiry, having placed less emphasis on practical education and the exercise of right actions and habits </w:t>
      </w:r>
      <w:r w:rsidR="003E65F4">
        <w:rPr>
          <w:rFonts w:ascii="Garamond" w:hAnsi="Garamond" w:cstheme="minorHAnsi"/>
          <w:sz w:val="24"/>
          <w:szCs w:val="24"/>
        </w:rPr>
        <w:t xml:space="preserve">– for we already possess, owing to our nature, those fundamental moral precepts – </w:t>
      </w:r>
      <w:r w:rsidRPr="00461D74">
        <w:rPr>
          <w:rFonts w:ascii="Garamond" w:hAnsi="Garamond" w:cstheme="minorHAnsi"/>
          <w:sz w:val="24"/>
          <w:szCs w:val="24"/>
        </w:rPr>
        <w:t xml:space="preserve">should </w:t>
      </w:r>
      <w:r w:rsidR="003E65F4">
        <w:rPr>
          <w:rFonts w:ascii="Garamond" w:hAnsi="Garamond" w:cstheme="minorHAnsi"/>
          <w:sz w:val="24"/>
          <w:szCs w:val="24"/>
        </w:rPr>
        <w:t xml:space="preserve">then </w:t>
      </w:r>
      <w:r w:rsidRPr="00461D74">
        <w:rPr>
          <w:rFonts w:ascii="Garamond" w:hAnsi="Garamond" w:cstheme="minorHAnsi"/>
          <w:sz w:val="24"/>
          <w:szCs w:val="24"/>
        </w:rPr>
        <w:t xml:space="preserve">place more emphasis on the minutiae of theoretical details. I would like to emphasize that on the above view, it may be natural to maintain that – with respect to the good – we possess ‘knowledge that’ in virtue of our nature; and insofar as we err in applying ‘knowledge that’ to particular contexts, we lack </w:t>
      </w:r>
      <w:r w:rsidR="003E65F4">
        <w:rPr>
          <w:rFonts w:ascii="Garamond" w:hAnsi="Garamond" w:cstheme="minorHAnsi"/>
          <w:sz w:val="24"/>
          <w:szCs w:val="24"/>
        </w:rPr>
        <w:t xml:space="preserve">a suitable account of </w:t>
      </w:r>
      <w:r w:rsidRPr="00461D74">
        <w:rPr>
          <w:rFonts w:ascii="Garamond" w:hAnsi="Garamond" w:cstheme="minorHAnsi"/>
          <w:sz w:val="24"/>
          <w:szCs w:val="24"/>
        </w:rPr>
        <w:t>‘knowledge how</w:t>
      </w:r>
      <w:r w:rsidR="003E65F4">
        <w:rPr>
          <w:rFonts w:ascii="Garamond" w:hAnsi="Garamond" w:cstheme="minorHAnsi"/>
          <w:sz w:val="24"/>
          <w:szCs w:val="24"/>
        </w:rPr>
        <w:t>.</w:t>
      </w:r>
      <w:r w:rsidRPr="00461D74">
        <w:rPr>
          <w:rFonts w:ascii="Garamond" w:hAnsi="Garamond" w:cstheme="minorHAnsi"/>
          <w:sz w:val="24"/>
          <w:szCs w:val="24"/>
        </w:rPr>
        <w:t>’  Yet, recall that on MacIntyre’s reading of Aristotle, we first need to practice the right actions and form good habits – and thus acquire ‘knowledge how’ – before we can reason about the good, i.e., ‘knowledge that</w:t>
      </w:r>
      <w:r w:rsidR="003E65F4">
        <w:rPr>
          <w:rFonts w:ascii="Garamond" w:hAnsi="Garamond" w:cstheme="minorHAnsi"/>
          <w:sz w:val="24"/>
          <w:szCs w:val="24"/>
        </w:rPr>
        <w:t>.</w:t>
      </w:r>
      <w:r w:rsidRPr="00461D74">
        <w:rPr>
          <w:rFonts w:ascii="Garamond" w:hAnsi="Garamond" w:cstheme="minorHAnsi"/>
          <w:sz w:val="24"/>
          <w:szCs w:val="24"/>
        </w:rPr>
        <w:t xml:space="preserve">’ </w:t>
      </w:r>
      <w:r w:rsidR="001A4848" w:rsidRPr="00461D74">
        <w:rPr>
          <w:rFonts w:ascii="Garamond" w:hAnsi="Garamond" w:cstheme="minorHAnsi"/>
          <w:sz w:val="24"/>
          <w:szCs w:val="24"/>
        </w:rPr>
        <w:t>T</w:t>
      </w:r>
      <w:r w:rsidRPr="00461D74">
        <w:rPr>
          <w:rFonts w:ascii="Garamond" w:hAnsi="Garamond" w:cstheme="minorHAnsi"/>
          <w:sz w:val="24"/>
          <w:szCs w:val="24"/>
        </w:rPr>
        <w:t>hus in ethics, ‘knowledge how’ is prior to ‘knowledge that</w:t>
      </w:r>
      <w:r w:rsidR="003E65F4">
        <w:rPr>
          <w:rFonts w:ascii="Garamond" w:hAnsi="Garamond" w:cstheme="minorHAnsi"/>
          <w:sz w:val="24"/>
          <w:szCs w:val="24"/>
        </w:rPr>
        <w:t>.</w:t>
      </w:r>
      <w:r w:rsidRPr="00461D74">
        <w:rPr>
          <w:rFonts w:ascii="Garamond" w:hAnsi="Garamond" w:cstheme="minorHAnsi"/>
          <w:sz w:val="24"/>
          <w:szCs w:val="24"/>
        </w:rPr>
        <w:t>’</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This difference is striking because Aquinas’ elaboration of natural law and natural reason presents a universal claim – that all rational beings </w:t>
      </w:r>
      <w:r w:rsidR="003E65F4">
        <w:rPr>
          <w:rFonts w:ascii="Garamond" w:hAnsi="Garamond" w:cstheme="minorHAnsi"/>
          <w:sz w:val="24"/>
          <w:szCs w:val="24"/>
        </w:rPr>
        <w:t xml:space="preserve">possess </w:t>
      </w:r>
      <w:r w:rsidRPr="00461D74">
        <w:rPr>
          <w:rFonts w:ascii="Garamond" w:hAnsi="Garamond" w:cstheme="minorHAnsi"/>
          <w:sz w:val="24"/>
          <w:szCs w:val="24"/>
        </w:rPr>
        <w:t>knowledge of the fundamental principles of natural law</w:t>
      </w:r>
      <w:r w:rsidR="00BA05C8">
        <w:rPr>
          <w:rFonts w:ascii="Garamond" w:hAnsi="Garamond" w:cstheme="minorHAnsi"/>
          <w:sz w:val="24"/>
          <w:szCs w:val="24"/>
        </w:rPr>
        <w:t>, simply</w:t>
      </w:r>
      <w:r w:rsidRPr="00461D74">
        <w:rPr>
          <w:rFonts w:ascii="Garamond" w:hAnsi="Garamond" w:cstheme="minorHAnsi"/>
          <w:sz w:val="24"/>
          <w:szCs w:val="24"/>
        </w:rPr>
        <w:t xml:space="preserve"> </w:t>
      </w:r>
      <w:r w:rsidR="003E65F4">
        <w:rPr>
          <w:rFonts w:ascii="Garamond" w:hAnsi="Garamond" w:cstheme="minorHAnsi"/>
          <w:sz w:val="24"/>
          <w:szCs w:val="24"/>
        </w:rPr>
        <w:t xml:space="preserve">owing to their </w:t>
      </w:r>
      <w:r w:rsidRPr="00461D74">
        <w:rPr>
          <w:rFonts w:ascii="Garamond" w:hAnsi="Garamond" w:cstheme="minorHAnsi"/>
          <w:sz w:val="24"/>
          <w:szCs w:val="24"/>
        </w:rPr>
        <w:t>nature. Yet, on the Aristotelian account, individuals become virtuous through learning from, and emulating, those citizens who possess the appropriate moral education. Thus, Aquinas’ natural law account moves away from Aristotle’s ethics which emphasizes the point that human beings are naturally ignorant about the good, and practicing the right actions and proper habituation into the virtues are required before we can engage in ethical reasoning.</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can clearly observe that the characteristic feature of Aquinas’ natural law ethics – its </w:t>
      </w:r>
      <w:proofErr w:type="spellStart"/>
      <w:r w:rsidRPr="00461D74">
        <w:rPr>
          <w:rFonts w:ascii="Garamond" w:hAnsi="Garamond" w:cstheme="minorHAnsi"/>
          <w:sz w:val="24"/>
          <w:szCs w:val="24"/>
        </w:rPr>
        <w:t>universalizability</w:t>
      </w:r>
      <w:proofErr w:type="spellEnd"/>
      <w:r w:rsidRPr="00461D74">
        <w:rPr>
          <w:rFonts w:ascii="Garamond" w:hAnsi="Garamond" w:cstheme="minorHAnsi"/>
          <w:sz w:val="24"/>
          <w:szCs w:val="24"/>
        </w:rPr>
        <w:t xml:space="preserve"> with respect to moral knowledge – differs </w:t>
      </w:r>
      <w:r w:rsidRPr="00461D74">
        <w:rPr>
          <w:rFonts w:ascii="Garamond" w:hAnsi="Garamond" w:cstheme="minorHAnsi"/>
          <w:sz w:val="24"/>
          <w:szCs w:val="24"/>
        </w:rPr>
        <w:lastRenderedPageBreak/>
        <w:t xml:space="preserve">markedly from Aristotle’s account in which the appropriate education and habituation in the virtues is the prerequisite for successful practical reasoning. On the Aristotelian account, we are educated in the virtues through emulating the actions of moral teachers – teachers who already possess the appropriate moral knowledge. However, in the Thomistic account, we </w:t>
      </w:r>
      <w:r w:rsidR="000F3CC8" w:rsidRPr="00461D74">
        <w:rPr>
          <w:rFonts w:ascii="Garamond" w:hAnsi="Garamond" w:cstheme="minorHAnsi"/>
          <w:sz w:val="24"/>
          <w:szCs w:val="24"/>
        </w:rPr>
        <w:t>discover that Aquinas has</w:t>
      </w:r>
      <w:r w:rsidRPr="00461D74">
        <w:rPr>
          <w:rFonts w:ascii="Garamond" w:hAnsi="Garamond" w:cstheme="minorHAnsi"/>
          <w:sz w:val="24"/>
          <w:szCs w:val="24"/>
        </w:rPr>
        <w:t xml:space="preserve"> in a meaningful sense</w:t>
      </w:r>
      <w:r w:rsidR="000F3CC8" w:rsidRPr="00461D74">
        <w:rPr>
          <w:rFonts w:ascii="Garamond" w:hAnsi="Garamond" w:cstheme="minorHAnsi"/>
          <w:sz w:val="24"/>
          <w:szCs w:val="24"/>
        </w:rPr>
        <w:t>,</w:t>
      </w:r>
      <w:r w:rsidRPr="00461D74">
        <w:rPr>
          <w:rFonts w:ascii="Garamond" w:hAnsi="Garamond" w:cstheme="minorHAnsi"/>
          <w:sz w:val="24"/>
          <w:szCs w:val="24"/>
        </w:rPr>
        <w:t xml:space="preserve"> democratized (or universalized) the human capacity for ethical knowledge where every rational person in virtue of their nature, possess the knowledge of the fundamental principles of natural law.</w:t>
      </w:r>
    </w:p>
    <w:p w:rsidR="00016049" w:rsidRPr="00461D74" w:rsidRDefault="00016049" w:rsidP="00A220C5">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Now at this point, MacIntyre will most likely </w:t>
      </w:r>
      <w:r w:rsidR="004A4D04" w:rsidRPr="00461D74">
        <w:rPr>
          <w:rFonts w:ascii="Garamond" w:hAnsi="Garamond" w:cstheme="minorHAnsi"/>
          <w:sz w:val="24"/>
          <w:szCs w:val="24"/>
        </w:rPr>
        <w:t xml:space="preserve">counter </w:t>
      </w:r>
      <w:r w:rsidRPr="00461D74">
        <w:rPr>
          <w:rFonts w:ascii="Garamond" w:hAnsi="Garamond" w:cstheme="minorHAnsi"/>
          <w:sz w:val="24"/>
          <w:szCs w:val="24"/>
        </w:rPr>
        <w:t>my criticism</w:t>
      </w:r>
      <w:r w:rsidR="004A4D04" w:rsidRPr="00461D74">
        <w:rPr>
          <w:rFonts w:ascii="Garamond" w:hAnsi="Garamond" w:cstheme="minorHAnsi"/>
          <w:sz w:val="24"/>
          <w:szCs w:val="24"/>
        </w:rPr>
        <w:t xml:space="preserve"> and </w:t>
      </w:r>
      <w:r w:rsidRPr="00461D74">
        <w:rPr>
          <w:rFonts w:ascii="Garamond" w:hAnsi="Garamond" w:cstheme="minorHAnsi"/>
          <w:sz w:val="24"/>
          <w:szCs w:val="24"/>
        </w:rPr>
        <w:t xml:space="preserve">argue that on Aquinas’ primary natural law claim, all rational beings merely have the </w:t>
      </w:r>
      <w:r w:rsidRPr="00461D74">
        <w:rPr>
          <w:rFonts w:ascii="Garamond" w:hAnsi="Garamond" w:cstheme="minorHAnsi"/>
          <w:i/>
          <w:sz w:val="24"/>
          <w:szCs w:val="24"/>
        </w:rPr>
        <w:t>potential</w:t>
      </w:r>
      <w:r w:rsidRPr="00461D74">
        <w:rPr>
          <w:rFonts w:ascii="Garamond" w:hAnsi="Garamond" w:cstheme="minorHAnsi"/>
          <w:sz w:val="24"/>
          <w:szCs w:val="24"/>
        </w:rPr>
        <w:t xml:space="preserve"> to comprehend and understand the fundamental principles of natural law, and that the fulfillment of this </w:t>
      </w:r>
      <w:r w:rsidRPr="00461D74">
        <w:rPr>
          <w:rFonts w:ascii="Garamond" w:hAnsi="Garamond" w:cstheme="minorHAnsi"/>
          <w:i/>
          <w:iCs/>
          <w:sz w:val="24"/>
          <w:szCs w:val="24"/>
        </w:rPr>
        <w:t>potential</w:t>
      </w:r>
      <w:r w:rsidRPr="00461D74">
        <w:rPr>
          <w:rFonts w:ascii="Garamond" w:hAnsi="Garamond" w:cstheme="minorHAnsi"/>
          <w:sz w:val="24"/>
          <w:szCs w:val="24"/>
        </w:rPr>
        <w:t xml:space="preserve"> requires adequate habituation into the virtues. Consequently, it is only through of the right kind of habituation that we can fulfill the potential in coming to know the fundamental principles/precepts of natural law. However, this sort of answer won’t work for the following reason</w:t>
      </w:r>
      <w:r w:rsidR="00DF6813">
        <w:rPr>
          <w:rFonts w:ascii="Garamond" w:hAnsi="Garamond" w:cstheme="minorHAnsi"/>
          <w:sz w:val="24"/>
          <w:szCs w:val="24"/>
        </w:rPr>
        <w:t xml:space="preserve">. Reading Aquinas’ natural law in this way represents a radical departure from Aquinas, the Thomistic tradition, and more generally, the Christian account explicated by Augustine.  </w:t>
      </w:r>
      <w:r w:rsidR="00A220C5">
        <w:rPr>
          <w:rFonts w:ascii="Garamond" w:hAnsi="Garamond" w:cstheme="minorHAnsi"/>
          <w:sz w:val="24"/>
          <w:szCs w:val="24"/>
        </w:rPr>
        <w:t>Furthermore</w:t>
      </w:r>
      <w:r w:rsidR="00DF6813">
        <w:rPr>
          <w:rFonts w:ascii="Garamond" w:hAnsi="Garamond" w:cstheme="minorHAnsi"/>
          <w:sz w:val="24"/>
          <w:szCs w:val="24"/>
        </w:rPr>
        <w:t xml:space="preserve">, </w:t>
      </w:r>
      <w:r w:rsidRPr="00461D74">
        <w:rPr>
          <w:rFonts w:ascii="Garamond" w:hAnsi="Garamond" w:cstheme="minorHAnsi"/>
          <w:sz w:val="24"/>
          <w:szCs w:val="24"/>
        </w:rPr>
        <w:t>MacIntyre argues that on Aquinas’ view, the nobility (or the ruling class)</w:t>
      </w:r>
      <w:r w:rsidR="00DF6813">
        <w:rPr>
          <w:rFonts w:ascii="Garamond" w:hAnsi="Garamond" w:cstheme="minorHAnsi"/>
          <w:sz w:val="24"/>
          <w:szCs w:val="24"/>
        </w:rPr>
        <w:t>,</w:t>
      </w:r>
      <w:r w:rsidRPr="00461D74">
        <w:rPr>
          <w:rFonts w:ascii="Garamond" w:hAnsi="Garamond" w:cstheme="minorHAnsi"/>
          <w:sz w:val="24"/>
          <w:szCs w:val="24"/>
        </w:rPr>
        <w:t xml:space="preserve"> who presumably have greater opportunity to receive moral education, nonetheless do not have any special moral knowledge of natural law principles.</w:t>
      </w:r>
      <w:r w:rsidR="00A220C5">
        <w:rPr>
          <w:rStyle w:val="FootnoteReference"/>
          <w:rFonts w:ascii="Garamond" w:hAnsi="Garamond" w:cstheme="minorHAnsi"/>
          <w:sz w:val="24"/>
          <w:szCs w:val="24"/>
        </w:rPr>
        <w:footnoteReference w:id="211"/>
      </w:r>
      <w:r w:rsidRPr="00461D74">
        <w:rPr>
          <w:rFonts w:ascii="Garamond" w:hAnsi="Garamond" w:cstheme="minorHAnsi"/>
          <w:sz w:val="24"/>
          <w:szCs w:val="24"/>
        </w:rPr>
        <w:t xml:space="preserve"> Yet, on the Aristotelian view, human beings are naturally ignorant</w:t>
      </w:r>
      <w:r w:rsidR="00A23368">
        <w:rPr>
          <w:rFonts w:ascii="Garamond" w:hAnsi="Garamond" w:cstheme="minorHAnsi"/>
          <w:sz w:val="24"/>
          <w:szCs w:val="24"/>
        </w:rPr>
        <w:t>,</w:t>
      </w:r>
      <w:r w:rsidRPr="00461D74">
        <w:rPr>
          <w:rFonts w:ascii="Garamond" w:hAnsi="Garamond" w:cstheme="minorHAnsi"/>
          <w:sz w:val="24"/>
          <w:szCs w:val="24"/>
        </w:rPr>
        <w:t xml:space="preserve"> and moral education </w:t>
      </w:r>
      <w:r w:rsidR="007531A5">
        <w:rPr>
          <w:rFonts w:ascii="Garamond" w:hAnsi="Garamond" w:cstheme="minorHAnsi"/>
          <w:sz w:val="24"/>
          <w:szCs w:val="24"/>
        </w:rPr>
        <w:t>necessitates</w:t>
      </w:r>
      <w:r w:rsidR="007531A5" w:rsidRPr="00461D74">
        <w:rPr>
          <w:rFonts w:ascii="Garamond" w:hAnsi="Garamond" w:cstheme="minorHAnsi"/>
          <w:sz w:val="24"/>
          <w:szCs w:val="24"/>
        </w:rPr>
        <w:t xml:space="preserve"> </w:t>
      </w:r>
      <w:r w:rsidRPr="00461D74">
        <w:rPr>
          <w:rFonts w:ascii="Garamond" w:hAnsi="Garamond" w:cstheme="minorHAnsi"/>
          <w:sz w:val="24"/>
          <w:szCs w:val="24"/>
        </w:rPr>
        <w:t>diligen</w:t>
      </w:r>
      <w:r w:rsidR="007531A5">
        <w:rPr>
          <w:rFonts w:ascii="Garamond" w:hAnsi="Garamond" w:cstheme="minorHAnsi"/>
          <w:sz w:val="24"/>
          <w:szCs w:val="24"/>
        </w:rPr>
        <w:t>ce</w:t>
      </w:r>
      <w:r w:rsidRPr="00461D74">
        <w:rPr>
          <w:rFonts w:ascii="Garamond" w:hAnsi="Garamond" w:cstheme="minorHAnsi"/>
          <w:sz w:val="24"/>
          <w:szCs w:val="24"/>
        </w:rPr>
        <w:t xml:space="preserve"> </w:t>
      </w:r>
      <w:r w:rsidR="007531A5">
        <w:rPr>
          <w:rFonts w:ascii="Garamond" w:hAnsi="Garamond" w:cstheme="minorHAnsi"/>
          <w:sz w:val="24"/>
          <w:szCs w:val="24"/>
        </w:rPr>
        <w:t xml:space="preserve">in </w:t>
      </w:r>
      <w:r w:rsidRPr="00461D74">
        <w:rPr>
          <w:rFonts w:ascii="Garamond" w:hAnsi="Garamond" w:cstheme="minorHAnsi"/>
          <w:sz w:val="24"/>
          <w:szCs w:val="24"/>
        </w:rPr>
        <w:t>practice</w:t>
      </w:r>
      <w:r w:rsidR="00A23368">
        <w:rPr>
          <w:rFonts w:ascii="Garamond" w:hAnsi="Garamond" w:cstheme="minorHAnsi"/>
          <w:sz w:val="24"/>
          <w:szCs w:val="24"/>
        </w:rPr>
        <w:t xml:space="preserve"> and</w:t>
      </w:r>
      <w:r w:rsidRPr="00461D74">
        <w:rPr>
          <w:rFonts w:ascii="Garamond" w:hAnsi="Garamond" w:cstheme="minorHAnsi"/>
          <w:sz w:val="24"/>
          <w:szCs w:val="24"/>
        </w:rPr>
        <w:t xml:space="preserve"> exercise, </w:t>
      </w:r>
      <w:r w:rsidR="00A23368">
        <w:rPr>
          <w:rFonts w:ascii="Garamond" w:hAnsi="Garamond" w:cstheme="minorHAnsi"/>
          <w:sz w:val="24"/>
          <w:szCs w:val="24"/>
        </w:rPr>
        <w:t>as well as the</w:t>
      </w:r>
      <w:r w:rsidR="00A23368" w:rsidRPr="00461D74">
        <w:rPr>
          <w:rFonts w:ascii="Garamond" w:hAnsi="Garamond" w:cstheme="minorHAnsi"/>
          <w:sz w:val="24"/>
          <w:szCs w:val="24"/>
        </w:rPr>
        <w:t xml:space="preserve"> </w:t>
      </w:r>
      <w:r w:rsidRPr="00461D74">
        <w:rPr>
          <w:rFonts w:ascii="Garamond" w:hAnsi="Garamond" w:cstheme="minorHAnsi"/>
          <w:sz w:val="24"/>
          <w:szCs w:val="24"/>
        </w:rPr>
        <w:t xml:space="preserve">emulation of those who </w:t>
      </w:r>
      <w:r w:rsidR="00A23368">
        <w:rPr>
          <w:rFonts w:ascii="Garamond" w:hAnsi="Garamond" w:cstheme="minorHAnsi"/>
          <w:sz w:val="24"/>
          <w:szCs w:val="24"/>
        </w:rPr>
        <w:t>already possess</w:t>
      </w:r>
      <w:r w:rsidR="00A23368" w:rsidRPr="00461D74">
        <w:rPr>
          <w:rFonts w:ascii="Garamond" w:hAnsi="Garamond" w:cstheme="minorHAnsi"/>
          <w:sz w:val="24"/>
          <w:szCs w:val="24"/>
        </w:rPr>
        <w:t xml:space="preserve"> </w:t>
      </w:r>
      <w:r w:rsidRPr="00461D74">
        <w:rPr>
          <w:rFonts w:ascii="Garamond" w:hAnsi="Garamond" w:cstheme="minorHAnsi"/>
          <w:sz w:val="24"/>
          <w:szCs w:val="24"/>
        </w:rPr>
        <w:t xml:space="preserve">the right sort of education and hence the virtues. </w:t>
      </w:r>
      <w:r w:rsidR="00A23368">
        <w:rPr>
          <w:rFonts w:ascii="Garamond" w:hAnsi="Garamond" w:cstheme="minorHAnsi"/>
          <w:sz w:val="24"/>
          <w:szCs w:val="24"/>
        </w:rPr>
        <w:t>Therefore,</w:t>
      </w:r>
      <w:r w:rsidR="00A23368" w:rsidRPr="00461D74">
        <w:rPr>
          <w:rFonts w:ascii="Garamond" w:hAnsi="Garamond" w:cstheme="minorHAnsi"/>
          <w:sz w:val="24"/>
          <w:szCs w:val="24"/>
        </w:rPr>
        <w:t xml:space="preserve"> </w:t>
      </w:r>
      <w:r w:rsidRPr="00461D74">
        <w:rPr>
          <w:rFonts w:ascii="Garamond" w:hAnsi="Garamond" w:cstheme="minorHAnsi"/>
          <w:sz w:val="24"/>
          <w:szCs w:val="24"/>
        </w:rPr>
        <w:t xml:space="preserve">it </w:t>
      </w:r>
      <w:r w:rsidR="00A23368">
        <w:rPr>
          <w:rFonts w:ascii="Garamond" w:hAnsi="Garamond" w:cstheme="minorHAnsi"/>
          <w:sz w:val="24"/>
          <w:szCs w:val="24"/>
        </w:rPr>
        <w:t>seems</w:t>
      </w:r>
      <w:r w:rsidRPr="00461D74">
        <w:rPr>
          <w:rFonts w:ascii="Garamond" w:hAnsi="Garamond" w:cstheme="minorHAnsi"/>
          <w:sz w:val="24"/>
          <w:szCs w:val="24"/>
        </w:rPr>
        <w:t xml:space="preserve"> reasonable to conclude that the knowledge of </w:t>
      </w:r>
      <w:r w:rsidR="00A23368">
        <w:rPr>
          <w:rFonts w:ascii="Garamond" w:hAnsi="Garamond" w:cstheme="minorHAnsi"/>
          <w:sz w:val="24"/>
          <w:szCs w:val="24"/>
        </w:rPr>
        <w:t>those essential moral</w:t>
      </w:r>
      <w:r w:rsidR="00A23368" w:rsidRPr="00461D74">
        <w:rPr>
          <w:rFonts w:ascii="Garamond" w:hAnsi="Garamond" w:cstheme="minorHAnsi"/>
          <w:sz w:val="24"/>
          <w:szCs w:val="24"/>
        </w:rPr>
        <w:t xml:space="preserve"> </w:t>
      </w:r>
      <w:r w:rsidRPr="00461D74">
        <w:rPr>
          <w:rFonts w:ascii="Garamond" w:hAnsi="Garamond" w:cstheme="minorHAnsi"/>
          <w:sz w:val="24"/>
          <w:szCs w:val="24"/>
        </w:rPr>
        <w:t xml:space="preserve">principles would involve </w:t>
      </w:r>
      <w:r w:rsidR="00A23368">
        <w:rPr>
          <w:rFonts w:ascii="Garamond" w:hAnsi="Garamond" w:cstheme="minorHAnsi"/>
          <w:sz w:val="24"/>
          <w:szCs w:val="24"/>
        </w:rPr>
        <w:t xml:space="preserve">a degree </w:t>
      </w:r>
      <w:r w:rsidRPr="00461D74">
        <w:rPr>
          <w:rFonts w:ascii="Garamond" w:hAnsi="Garamond" w:cstheme="minorHAnsi"/>
          <w:sz w:val="24"/>
          <w:szCs w:val="24"/>
        </w:rPr>
        <w:t>of moral education.</w:t>
      </w:r>
    </w:p>
    <w:p w:rsidR="00ED3A14" w:rsidRDefault="006372A3"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Still, </w:t>
      </w:r>
      <w:r w:rsidR="00016049" w:rsidRPr="00461D74">
        <w:rPr>
          <w:rFonts w:ascii="Garamond" w:hAnsi="Garamond" w:cstheme="minorHAnsi"/>
          <w:sz w:val="24"/>
          <w:szCs w:val="24"/>
        </w:rPr>
        <w:t>MacIntyre could offer a different sort of reply. He could argue that while practice and habituation is a prerequisite for achieving a more in-depth knowledge of the principles of natural law, by virtue of being embedded in, and participating in, social life</w:t>
      </w:r>
      <w:r w:rsidR="00DB0C39">
        <w:rPr>
          <w:rFonts w:ascii="Garamond" w:hAnsi="Garamond" w:cstheme="minorHAnsi"/>
          <w:sz w:val="24"/>
          <w:szCs w:val="24"/>
        </w:rPr>
        <w:t>;</w:t>
      </w:r>
      <w:r w:rsidR="00016049" w:rsidRPr="00461D74">
        <w:rPr>
          <w:rFonts w:ascii="Garamond" w:hAnsi="Garamond" w:cstheme="minorHAnsi"/>
          <w:sz w:val="24"/>
          <w:szCs w:val="24"/>
        </w:rPr>
        <w:t xml:space="preserve"> nevertheless the fundamental principles of natural law are easily knowable by all rational being</w:t>
      </w:r>
      <w:r w:rsidR="0054146E">
        <w:rPr>
          <w:rFonts w:ascii="Garamond" w:hAnsi="Garamond" w:cstheme="minorHAnsi"/>
          <w:sz w:val="24"/>
          <w:szCs w:val="24"/>
        </w:rPr>
        <w:t>s</w:t>
      </w:r>
      <w:r w:rsidR="00016049" w:rsidRPr="00461D74">
        <w:rPr>
          <w:rFonts w:ascii="Garamond" w:hAnsi="Garamond" w:cstheme="minorHAnsi"/>
          <w:sz w:val="24"/>
          <w:szCs w:val="24"/>
        </w:rPr>
        <w:t xml:space="preserve">. Still I am not sure this sort of answer is sufficient. </w:t>
      </w:r>
      <w:r w:rsidR="00EA22DE">
        <w:rPr>
          <w:rFonts w:ascii="Garamond" w:hAnsi="Garamond" w:cstheme="minorHAnsi"/>
          <w:sz w:val="24"/>
          <w:szCs w:val="24"/>
        </w:rPr>
        <w:t xml:space="preserve">First, MacIntyre stresses the importance of practice and habituation in Aristotle’s account of moral education and moral knowledge, and he criticises </w:t>
      </w:r>
      <w:proofErr w:type="spellStart"/>
      <w:r w:rsidR="00EA22DE">
        <w:rPr>
          <w:rFonts w:ascii="Garamond" w:hAnsi="Garamond" w:cstheme="minorHAnsi"/>
          <w:sz w:val="24"/>
          <w:szCs w:val="24"/>
        </w:rPr>
        <w:t>Piccolomini</w:t>
      </w:r>
      <w:proofErr w:type="spellEnd"/>
      <w:r w:rsidR="00EA22DE">
        <w:rPr>
          <w:rFonts w:ascii="Garamond" w:hAnsi="Garamond" w:cstheme="minorHAnsi"/>
          <w:sz w:val="24"/>
          <w:szCs w:val="24"/>
        </w:rPr>
        <w:t xml:space="preserve"> for deviating from Aristotle precisely on this point. Therefore, </w:t>
      </w:r>
      <w:r w:rsidR="00016049" w:rsidRPr="00461D74">
        <w:rPr>
          <w:rFonts w:ascii="Garamond" w:hAnsi="Garamond" w:cstheme="minorHAnsi"/>
          <w:sz w:val="24"/>
          <w:szCs w:val="24"/>
        </w:rPr>
        <w:t xml:space="preserve">it </w:t>
      </w:r>
      <w:r w:rsidR="00EA22DE">
        <w:rPr>
          <w:rFonts w:ascii="Garamond" w:hAnsi="Garamond" w:cstheme="minorHAnsi"/>
          <w:sz w:val="24"/>
          <w:szCs w:val="24"/>
        </w:rPr>
        <w:t>certainly appears</w:t>
      </w:r>
      <w:r w:rsidR="00EA22DE" w:rsidRPr="00461D74">
        <w:rPr>
          <w:rFonts w:ascii="Garamond" w:hAnsi="Garamond" w:cstheme="minorHAnsi"/>
          <w:sz w:val="24"/>
          <w:szCs w:val="24"/>
        </w:rPr>
        <w:t xml:space="preserve"> </w:t>
      </w:r>
      <w:r w:rsidR="00016049" w:rsidRPr="00461D74">
        <w:rPr>
          <w:rFonts w:ascii="Garamond" w:hAnsi="Garamond" w:cstheme="minorHAnsi"/>
          <w:sz w:val="24"/>
          <w:szCs w:val="24"/>
        </w:rPr>
        <w:t>that Aristotle’s account of moral education requires more than a minimal account of possessing ethical knowledge</w:t>
      </w:r>
      <w:r w:rsidR="00EA22DE">
        <w:rPr>
          <w:rFonts w:ascii="Garamond" w:hAnsi="Garamond" w:cstheme="minorHAnsi"/>
          <w:sz w:val="24"/>
          <w:szCs w:val="24"/>
        </w:rPr>
        <w:t>;</w:t>
      </w:r>
      <w:r w:rsidR="00016049" w:rsidRPr="00461D74">
        <w:rPr>
          <w:rFonts w:ascii="Garamond" w:hAnsi="Garamond" w:cstheme="minorHAnsi"/>
          <w:sz w:val="24"/>
          <w:szCs w:val="24"/>
        </w:rPr>
        <w:t xml:space="preserve"> thus it </w:t>
      </w:r>
      <w:r w:rsidR="00EA22DE">
        <w:rPr>
          <w:rFonts w:ascii="Garamond" w:hAnsi="Garamond" w:cstheme="minorHAnsi"/>
          <w:sz w:val="24"/>
          <w:szCs w:val="24"/>
        </w:rPr>
        <w:t>doesn’t appear</w:t>
      </w:r>
      <w:r w:rsidR="00EA22DE"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that we </w:t>
      </w:r>
      <w:r w:rsidR="00EA22DE">
        <w:rPr>
          <w:rFonts w:ascii="Garamond" w:hAnsi="Garamond" w:cstheme="minorHAnsi"/>
          <w:sz w:val="24"/>
          <w:szCs w:val="24"/>
        </w:rPr>
        <w:t>could</w:t>
      </w:r>
      <w:r w:rsidR="00016049" w:rsidRPr="00461D74">
        <w:rPr>
          <w:rFonts w:ascii="Garamond" w:hAnsi="Garamond" w:cstheme="minorHAnsi"/>
          <w:sz w:val="24"/>
          <w:szCs w:val="24"/>
        </w:rPr>
        <w:t xml:space="preserve"> possess a</w:t>
      </w:r>
      <w:r w:rsidR="00EA22DE">
        <w:rPr>
          <w:rFonts w:ascii="Garamond" w:hAnsi="Garamond" w:cstheme="minorHAnsi"/>
          <w:sz w:val="24"/>
          <w:szCs w:val="24"/>
        </w:rPr>
        <w:t xml:space="preserve"> properly</w:t>
      </w:r>
      <w:r w:rsidR="00016049" w:rsidRPr="00461D74">
        <w:rPr>
          <w:rFonts w:ascii="Garamond" w:hAnsi="Garamond" w:cstheme="minorHAnsi"/>
          <w:sz w:val="24"/>
          <w:szCs w:val="24"/>
        </w:rPr>
        <w:t xml:space="preserve"> Aristotelian moral education </w:t>
      </w:r>
      <w:r w:rsidR="00EA22DE">
        <w:rPr>
          <w:rFonts w:ascii="Garamond" w:hAnsi="Garamond" w:cstheme="minorHAnsi"/>
          <w:sz w:val="24"/>
          <w:szCs w:val="24"/>
        </w:rPr>
        <w:t xml:space="preserve">on a minimal account, framed in terms of mere participation </w:t>
      </w:r>
      <w:r w:rsidR="00016049" w:rsidRPr="00461D74">
        <w:rPr>
          <w:rFonts w:ascii="Garamond" w:hAnsi="Garamond" w:cstheme="minorHAnsi"/>
          <w:sz w:val="24"/>
          <w:szCs w:val="24"/>
        </w:rPr>
        <w:t>in social life.</w:t>
      </w:r>
      <w:r w:rsidR="00ED3A14">
        <w:rPr>
          <w:rFonts w:ascii="Garamond" w:hAnsi="Garamond" w:cstheme="minorHAnsi"/>
          <w:sz w:val="24"/>
          <w:szCs w:val="24"/>
        </w:rPr>
        <w:t xml:space="preserve"> Second, the </w:t>
      </w:r>
      <w:r w:rsidR="007531A5">
        <w:rPr>
          <w:rFonts w:ascii="Garamond" w:hAnsi="Garamond" w:cstheme="minorHAnsi"/>
          <w:sz w:val="24"/>
          <w:szCs w:val="24"/>
        </w:rPr>
        <w:t>primary</w:t>
      </w:r>
      <w:r w:rsidR="00ED3A14">
        <w:rPr>
          <w:rFonts w:ascii="Garamond" w:hAnsi="Garamond" w:cstheme="minorHAnsi"/>
          <w:sz w:val="24"/>
          <w:szCs w:val="24"/>
        </w:rPr>
        <w:t xml:space="preserve"> precepts of natural law not only inclu</w:t>
      </w:r>
      <w:r w:rsidR="0054146E">
        <w:rPr>
          <w:rFonts w:ascii="Garamond" w:hAnsi="Garamond" w:cstheme="minorHAnsi"/>
          <w:sz w:val="24"/>
          <w:szCs w:val="24"/>
        </w:rPr>
        <w:t>de</w:t>
      </w:r>
      <w:r w:rsidR="00ED3A14">
        <w:rPr>
          <w:rFonts w:ascii="Garamond" w:hAnsi="Garamond" w:cstheme="minorHAnsi"/>
          <w:sz w:val="24"/>
          <w:szCs w:val="24"/>
        </w:rPr>
        <w:t xml:space="preserve"> the prohibition against lying, theft, as well as taking an innocent life – which one might be tempted to say are straight forward, and hence available to all persons – but include </w:t>
      </w:r>
      <w:r w:rsidR="007531A5">
        <w:rPr>
          <w:rFonts w:ascii="Garamond" w:hAnsi="Garamond" w:cstheme="minorHAnsi"/>
          <w:sz w:val="24"/>
          <w:szCs w:val="24"/>
        </w:rPr>
        <w:t>detailed</w:t>
      </w:r>
      <w:r w:rsidR="00ED3A14">
        <w:rPr>
          <w:rFonts w:ascii="Garamond" w:hAnsi="Garamond" w:cstheme="minorHAnsi"/>
          <w:sz w:val="24"/>
          <w:szCs w:val="24"/>
        </w:rPr>
        <w:t xml:space="preserve"> claims that could only </w:t>
      </w:r>
      <w:r w:rsidR="007531A5">
        <w:rPr>
          <w:rFonts w:ascii="Garamond" w:hAnsi="Garamond" w:cstheme="minorHAnsi"/>
          <w:sz w:val="24"/>
          <w:szCs w:val="24"/>
        </w:rPr>
        <w:t>emerge</w:t>
      </w:r>
      <w:r w:rsidR="00ED3A14">
        <w:rPr>
          <w:rFonts w:ascii="Garamond" w:hAnsi="Garamond" w:cstheme="minorHAnsi"/>
          <w:sz w:val="24"/>
          <w:szCs w:val="24"/>
        </w:rPr>
        <w:t xml:space="preserve"> out of </w:t>
      </w:r>
      <w:r w:rsidR="007531A5">
        <w:rPr>
          <w:rFonts w:ascii="Garamond" w:hAnsi="Garamond" w:cstheme="minorHAnsi"/>
          <w:sz w:val="24"/>
          <w:szCs w:val="24"/>
        </w:rPr>
        <w:t xml:space="preserve">at least </w:t>
      </w:r>
      <w:r w:rsidR="00ED3A14">
        <w:rPr>
          <w:rFonts w:ascii="Garamond" w:hAnsi="Garamond" w:cstheme="minorHAnsi"/>
          <w:sz w:val="24"/>
          <w:szCs w:val="24"/>
        </w:rPr>
        <w:t>some level of critical reflection.</w:t>
      </w:r>
      <w:r w:rsidR="007531A5">
        <w:rPr>
          <w:rStyle w:val="FootnoteReference"/>
          <w:rFonts w:ascii="Garamond" w:hAnsi="Garamond" w:cstheme="minorHAnsi"/>
          <w:sz w:val="24"/>
          <w:szCs w:val="24"/>
        </w:rPr>
        <w:footnoteReference w:id="212"/>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A contrast with Aquinas’ conception of moral knowledge is perhaps useful at this point. On the view presented by Aquinas, all human beings possess an infallible habitual moral knowledge ‘</w:t>
      </w:r>
      <w:proofErr w:type="spellStart"/>
      <w:r w:rsidRPr="00461D74">
        <w:rPr>
          <w:rFonts w:ascii="Garamond" w:hAnsi="Garamond" w:cstheme="minorHAnsi"/>
          <w:i/>
          <w:iCs/>
          <w:sz w:val="24"/>
          <w:szCs w:val="24"/>
        </w:rPr>
        <w:t>synderesis</w:t>
      </w:r>
      <w:proofErr w:type="spellEnd"/>
      <w:r w:rsidRPr="00461D74">
        <w:rPr>
          <w:rFonts w:ascii="Garamond" w:hAnsi="Garamond" w:cstheme="minorHAnsi"/>
          <w:sz w:val="24"/>
          <w:szCs w:val="24"/>
        </w:rPr>
        <w:t>’, while ‘</w:t>
      </w:r>
      <w:proofErr w:type="spellStart"/>
      <w:r w:rsidRPr="00461D74">
        <w:rPr>
          <w:rFonts w:ascii="Garamond" w:hAnsi="Garamond" w:cstheme="minorHAnsi"/>
          <w:i/>
          <w:iCs/>
          <w:sz w:val="24"/>
          <w:szCs w:val="24"/>
        </w:rPr>
        <w:t>consciendi</w:t>
      </w:r>
      <w:proofErr w:type="spellEnd"/>
      <w:r w:rsidRPr="00461D74">
        <w:rPr>
          <w:rFonts w:ascii="Garamond" w:hAnsi="Garamond" w:cstheme="minorHAnsi"/>
          <w:sz w:val="24"/>
          <w:szCs w:val="24"/>
        </w:rPr>
        <w:t>’ “is the consideration of a specific case in light of one's moral knowledge.”</w:t>
      </w:r>
      <w:r w:rsidRPr="00461D74">
        <w:rPr>
          <w:rStyle w:val="FootnoteReference"/>
          <w:rFonts w:ascii="Garamond" w:hAnsi="Garamond" w:cstheme="minorHAnsi"/>
          <w:sz w:val="24"/>
          <w:szCs w:val="24"/>
        </w:rPr>
        <w:footnoteReference w:id="213"/>
      </w:r>
      <w:r w:rsidRPr="00461D74">
        <w:rPr>
          <w:rFonts w:ascii="Garamond" w:hAnsi="Garamond" w:cstheme="minorHAnsi"/>
          <w:sz w:val="24"/>
          <w:szCs w:val="24"/>
        </w:rPr>
        <w:t xml:space="preserve"> A crucial point here is that human beings inherently possess general moral knowledge and that whatever mistake they might make as moral persons rests on applying their infallible moral knowledge to particular social contexts</w:t>
      </w:r>
      <w:r w:rsidR="006372A3" w:rsidRPr="00461D74">
        <w:rPr>
          <w:rFonts w:ascii="Garamond" w:hAnsi="Garamond" w:cstheme="minorHAnsi"/>
          <w:sz w:val="24"/>
          <w:szCs w:val="24"/>
        </w:rPr>
        <w:t xml:space="preserve"> and circumstances</w:t>
      </w:r>
      <w:r w:rsidRPr="00461D74">
        <w:rPr>
          <w:rFonts w:ascii="Garamond" w:hAnsi="Garamond" w:cstheme="minorHAnsi"/>
          <w:sz w:val="24"/>
          <w:szCs w:val="24"/>
        </w:rPr>
        <w:t xml:space="preserve">. And so it certainly appears that Aquinas’ natural law ethics universalizes (or democratizes) our </w:t>
      </w:r>
      <w:r w:rsidRPr="00461D74">
        <w:rPr>
          <w:rFonts w:ascii="Garamond" w:hAnsi="Garamond" w:cstheme="minorHAnsi"/>
          <w:sz w:val="24"/>
          <w:szCs w:val="24"/>
        </w:rPr>
        <w:lastRenderedPageBreak/>
        <w:t>capacity for moral knowledge; and this is certainly a major departure from Aristotle’s account of moral education and the way in which on that account we acquire moral knowledge.</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We now have a good understanding of the contrast between Aristotle and Aquinas</w:t>
      </w:r>
      <w:r w:rsidR="00AD151C">
        <w:rPr>
          <w:rFonts w:ascii="Garamond" w:hAnsi="Garamond" w:cstheme="minorHAnsi"/>
          <w:sz w:val="24"/>
          <w:szCs w:val="24"/>
        </w:rPr>
        <w:t>;</w:t>
      </w:r>
      <w:r w:rsidRPr="00461D74">
        <w:rPr>
          <w:rFonts w:ascii="Garamond" w:hAnsi="Garamond" w:cstheme="minorHAnsi"/>
          <w:sz w:val="24"/>
          <w:szCs w:val="24"/>
        </w:rPr>
        <w:t xml:space="preserve"> </w:t>
      </w:r>
      <w:r w:rsidR="00AD151C">
        <w:rPr>
          <w:rFonts w:ascii="Garamond" w:hAnsi="Garamond" w:cstheme="minorHAnsi"/>
          <w:sz w:val="24"/>
          <w:szCs w:val="24"/>
        </w:rPr>
        <w:t>therefore,</w:t>
      </w:r>
      <w:r w:rsidR="00AD151C" w:rsidRPr="00461D74">
        <w:rPr>
          <w:rFonts w:ascii="Garamond" w:hAnsi="Garamond" w:cstheme="minorHAnsi"/>
          <w:sz w:val="24"/>
          <w:szCs w:val="24"/>
        </w:rPr>
        <w:t xml:space="preserve"> </w:t>
      </w:r>
      <w:r w:rsidRPr="00461D74">
        <w:rPr>
          <w:rFonts w:ascii="Garamond" w:hAnsi="Garamond" w:cstheme="minorHAnsi"/>
          <w:sz w:val="24"/>
          <w:szCs w:val="24"/>
        </w:rPr>
        <w:t xml:space="preserve">we can turn to the difficulty raised by the </w:t>
      </w:r>
      <w:r w:rsidR="00DE5B33" w:rsidRPr="000B6AB4">
        <w:rPr>
          <w:rFonts w:ascii="Garamond" w:hAnsi="Garamond" w:cstheme="minorHAnsi"/>
          <w:sz w:val="24"/>
          <w:szCs w:val="24"/>
        </w:rPr>
        <w:t>first question</w:t>
      </w:r>
      <w:r w:rsidRPr="00461D74">
        <w:rPr>
          <w:rFonts w:ascii="Garamond" w:hAnsi="Garamond" w:cstheme="minorHAnsi"/>
          <w:sz w:val="24"/>
          <w:szCs w:val="24"/>
        </w:rPr>
        <w:t xml:space="preserve"> I considered at the outset of this section</w:t>
      </w:r>
      <w:r w:rsidR="001C4B35">
        <w:rPr>
          <w:rFonts w:ascii="Garamond" w:hAnsi="Garamond" w:cstheme="minorHAnsi"/>
          <w:sz w:val="24"/>
          <w:szCs w:val="24"/>
        </w:rPr>
        <w:t xml:space="preserve">: it seems that </w:t>
      </w:r>
      <w:r w:rsidRPr="00461D74">
        <w:rPr>
          <w:rFonts w:ascii="Garamond" w:hAnsi="Garamond" w:cstheme="minorHAnsi"/>
          <w:sz w:val="24"/>
          <w:szCs w:val="24"/>
        </w:rPr>
        <w:t>there is a</w:t>
      </w:r>
      <w:r w:rsidR="001C4B35">
        <w:rPr>
          <w:rFonts w:ascii="Garamond" w:hAnsi="Garamond" w:cstheme="minorHAnsi"/>
          <w:sz w:val="24"/>
          <w:szCs w:val="24"/>
        </w:rPr>
        <w:t xml:space="preserve"> meaningful and substantive degree of</w:t>
      </w:r>
      <w:r w:rsidRPr="00461D74">
        <w:rPr>
          <w:rFonts w:ascii="Garamond" w:hAnsi="Garamond" w:cstheme="minorHAnsi"/>
          <w:sz w:val="24"/>
          <w:szCs w:val="24"/>
        </w:rPr>
        <w:t xml:space="preserve"> opposition between Aristotle’s ethics and Christian morality which can be framed in the way the two views approach moral knowledge</w:t>
      </w:r>
      <w:r w:rsidR="00E938F9">
        <w:rPr>
          <w:rFonts w:ascii="Garamond" w:hAnsi="Garamond" w:cstheme="minorHAnsi"/>
          <w:sz w:val="24"/>
          <w:szCs w:val="24"/>
        </w:rPr>
        <w:t>.</w:t>
      </w:r>
      <w:r w:rsidR="001C4B35">
        <w:rPr>
          <w:rFonts w:ascii="Garamond" w:hAnsi="Garamond" w:cstheme="minorHAnsi"/>
          <w:sz w:val="24"/>
          <w:szCs w:val="24"/>
        </w:rPr>
        <w:t xml:space="preserve"> </w:t>
      </w:r>
      <w:r w:rsidR="00E938F9">
        <w:rPr>
          <w:rFonts w:ascii="Garamond" w:hAnsi="Garamond" w:cstheme="minorHAnsi"/>
          <w:sz w:val="24"/>
          <w:szCs w:val="24"/>
        </w:rPr>
        <w:t>N</w:t>
      </w:r>
      <w:r w:rsidR="001C4B35">
        <w:rPr>
          <w:rFonts w:ascii="Garamond" w:hAnsi="Garamond" w:cstheme="minorHAnsi"/>
          <w:sz w:val="24"/>
          <w:szCs w:val="24"/>
        </w:rPr>
        <w:t>evertheless, this rivalry</w:t>
      </w:r>
      <w:r w:rsidRPr="00461D74">
        <w:rPr>
          <w:rFonts w:ascii="Garamond" w:hAnsi="Garamond" w:cstheme="minorHAnsi"/>
          <w:sz w:val="24"/>
          <w:szCs w:val="24"/>
        </w:rPr>
        <w:t xml:space="preserve"> is </w:t>
      </w:r>
      <w:r w:rsidR="001C4B35">
        <w:rPr>
          <w:rFonts w:ascii="Garamond" w:hAnsi="Garamond" w:cstheme="minorHAnsi"/>
          <w:sz w:val="24"/>
          <w:szCs w:val="24"/>
        </w:rPr>
        <w:t>fundamentally</w:t>
      </w:r>
      <w:r w:rsidR="001C4B35" w:rsidRPr="00461D74">
        <w:rPr>
          <w:rFonts w:ascii="Garamond" w:hAnsi="Garamond" w:cstheme="minorHAnsi"/>
          <w:sz w:val="24"/>
          <w:szCs w:val="24"/>
        </w:rPr>
        <w:t xml:space="preserve"> </w:t>
      </w:r>
      <w:r w:rsidRPr="00461D74">
        <w:rPr>
          <w:rFonts w:ascii="Garamond" w:hAnsi="Garamond" w:cstheme="minorHAnsi"/>
          <w:sz w:val="24"/>
          <w:szCs w:val="24"/>
        </w:rPr>
        <w:t xml:space="preserve">grounded in the way these two positions </w:t>
      </w:r>
      <w:r w:rsidR="00E3198F">
        <w:rPr>
          <w:rFonts w:ascii="Garamond" w:hAnsi="Garamond" w:cstheme="minorHAnsi"/>
          <w:sz w:val="24"/>
          <w:szCs w:val="24"/>
        </w:rPr>
        <w:t>view</w:t>
      </w:r>
      <w:r w:rsidR="00E3198F" w:rsidRPr="00461D74">
        <w:rPr>
          <w:rFonts w:ascii="Garamond" w:hAnsi="Garamond" w:cstheme="minorHAnsi"/>
          <w:sz w:val="24"/>
          <w:szCs w:val="24"/>
        </w:rPr>
        <w:t xml:space="preserve"> </w:t>
      </w:r>
      <w:r w:rsidRPr="00461D74">
        <w:rPr>
          <w:rFonts w:ascii="Garamond" w:hAnsi="Garamond" w:cstheme="minorHAnsi"/>
          <w:sz w:val="24"/>
          <w:szCs w:val="24"/>
        </w:rPr>
        <w:t>the world – namely, that the difficulty ultimately rests at the feet of their respective cosmology and metaphysics.</w:t>
      </w:r>
    </w:p>
    <w:p w:rsidR="00016049" w:rsidRPr="00461D74" w:rsidRDefault="00016049" w:rsidP="00FD287F">
      <w:pPr>
        <w:spacing w:line="360" w:lineRule="auto"/>
        <w:ind w:firstLine="720"/>
        <w:jc w:val="both"/>
        <w:rPr>
          <w:rFonts w:ascii="Garamond" w:hAnsi="Garamond" w:cstheme="minorHAnsi"/>
          <w:sz w:val="24"/>
          <w:szCs w:val="24"/>
          <w:highlight w:val="lightGray"/>
        </w:rPr>
      </w:pPr>
      <w:r w:rsidRPr="00461D74">
        <w:rPr>
          <w:rFonts w:ascii="Garamond" w:hAnsi="Garamond" w:cstheme="minorHAnsi"/>
          <w:sz w:val="24"/>
          <w:szCs w:val="24"/>
        </w:rPr>
        <w:t xml:space="preserve">I should emphasize that other scholars have drawn attention to the difficulty </w:t>
      </w:r>
      <w:r w:rsidR="001C4B35">
        <w:rPr>
          <w:rFonts w:ascii="Garamond" w:hAnsi="Garamond" w:cstheme="minorHAnsi"/>
          <w:sz w:val="24"/>
          <w:szCs w:val="24"/>
        </w:rPr>
        <w:t>of reconciling</w:t>
      </w:r>
      <w:r w:rsidRPr="00461D74">
        <w:rPr>
          <w:rFonts w:ascii="Garamond" w:hAnsi="Garamond" w:cstheme="minorHAnsi"/>
          <w:sz w:val="24"/>
          <w:szCs w:val="24"/>
        </w:rPr>
        <w:t xml:space="preserve"> Aristotelian ethics and Christian morality. J. B.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has offered an argument that draws attention to another aspect of the difference between the way which Aristotle’s account treats moral education and the manner in which we become ethical persons and Aquinas’ Christian account of natural law </w:t>
      </w:r>
      <w:r w:rsidR="00FE7209" w:rsidRPr="00461D74">
        <w:rPr>
          <w:rFonts w:ascii="Garamond" w:hAnsi="Garamond" w:cstheme="minorHAnsi"/>
          <w:sz w:val="24"/>
          <w:szCs w:val="24"/>
        </w:rPr>
        <w:t>in which</w:t>
      </w:r>
      <w:r w:rsidRPr="00461D74">
        <w:rPr>
          <w:rFonts w:ascii="Garamond" w:hAnsi="Garamond" w:cstheme="minorHAnsi"/>
          <w:sz w:val="24"/>
          <w:szCs w:val="24"/>
        </w:rPr>
        <w:t xml:space="preserve"> all human beings in virtue of their nature, possess moral knowledge.</w:t>
      </w:r>
      <w:r w:rsidRPr="00461D74">
        <w:rPr>
          <w:rStyle w:val="FootnoteReference"/>
          <w:rFonts w:ascii="Garamond" w:hAnsi="Garamond" w:cstheme="minorHAnsi"/>
          <w:sz w:val="24"/>
          <w:szCs w:val="24"/>
        </w:rPr>
        <w:t xml:space="preserve"> </w:t>
      </w:r>
      <w:r w:rsidRPr="00461D74">
        <w:rPr>
          <w:rStyle w:val="FootnoteReference"/>
          <w:rFonts w:ascii="Garamond" w:hAnsi="Garamond" w:cstheme="minorHAnsi"/>
          <w:sz w:val="24"/>
          <w:szCs w:val="24"/>
        </w:rPr>
        <w:footnoteReference w:id="214"/>
      </w:r>
    </w:p>
    <w:p w:rsidR="00944F19" w:rsidRPr="00461D74" w:rsidRDefault="00016049" w:rsidP="00164E4D">
      <w:pPr>
        <w:spacing w:line="360" w:lineRule="auto"/>
        <w:ind w:left="1440"/>
        <w:jc w:val="both"/>
        <w:rPr>
          <w:rFonts w:ascii="Garamond" w:hAnsi="Garamond" w:cstheme="minorHAnsi"/>
          <w:sz w:val="24"/>
          <w:szCs w:val="24"/>
          <w:highlight w:val="lightGray"/>
        </w:rPr>
      </w:pPr>
      <w:r w:rsidRPr="00461D74">
        <w:rPr>
          <w:rFonts w:ascii="Garamond" w:hAnsi="Garamond" w:cstheme="minorHAnsi"/>
        </w:rPr>
        <w:t xml:space="preserve">“The Aristotelian theory may have been suited to a society in which there was a recognized class of superior citizens, whose judgment on moral issues would be accepted without question…since virtue theory must treat disagreement with the virtuous agent as showing a flaw of character, it discourages parties to a moral dispute from according even prima facie respect to differing points of view…and it gives no distinctive guidance </w:t>
      </w:r>
      <w:r w:rsidRPr="00461D74">
        <w:rPr>
          <w:rFonts w:ascii="Garamond" w:hAnsi="Garamond" w:cstheme="minorHAnsi"/>
        </w:rPr>
        <w:lastRenderedPageBreak/>
        <w:t xml:space="preserve">about how to analyze a dispute so as to find the common ground from which agreement can be peacefully reached.” </w:t>
      </w:r>
      <w:r w:rsidRPr="00461D74">
        <w:rPr>
          <w:rStyle w:val="FootnoteReference"/>
          <w:rFonts w:ascii="Garamond" w:hAnsi="Garamond" w:cstheme="minorHAnsi"/>
        </w:rPr>
        <w:footnoteReference w:id="215"/>
      </w:r>
    </w:p>
    <w:p w:rsidR="00016049" w:rsidRPr="00461D74" w:rsidRDefault="00016049" w:rsidP="00164E4D">
      <w:pPr>
        <w:spacing w:line="360" w:lineRule="auto"/>
        <w:ind w:firstLine="720"/>
        <w:jc w:val="both"/>
        <w:rPr>
          <w:rFonts w:ascii="Garamond" w:hAnsi="Garamond" w:cstheme="minorHAnsi"/>
          <w:sz w:val="24"/>
          <w:szCs w:val="24"/>
          <w:highlight w:val="lightGray"/>
        </w:rPr>
      </w:pP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argues that Aristotle’s virtue ethics is perhaps </w:t>
      </w:r>
      <w:r w:rsidR="00C02606" w:rsidRPr="00461D74">
        <w:rPr>
          <w:rFonts w:ascii="Garamond" w:hAnsi="Garamond" w:cstheme="minorHAnsi"/>
          <w:sz w:val="24"/>
          <w:szCs w:val="24"/>
        </w:rPr>
        <w:t xml:space="preserve">more </w:t>
      </w:r>
      <w:r w:rsidRPr="00461D74">
        <w:rPr>
          <w:rFonts w:ascii="Garamond" w:hAnsi="Garamond" w:cstheme="minorHAnsi"/>
          <w:sz w:val="24"/>
          <w:szCs w:val="24"/>
        </w:rPr>
        <w:t xml:space="preserve">peculiar to a hierarchical society with a recognizable class of aristocrats and plebes. For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the Aristotelian polis more or less accepts that the educated elite are in a better position to offer the standards for moral excellence to the rest of the community.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w:t>
      </w:r>
      <w:r w:rsidR="00FD287F">
        <w:rPr>
          <w:rFonts w:ascii="Garamond" w:hAnsi="Garamond" w:cstheme="minorHAnsi"/>
          <w:sz w:val="24"/>
          <w:szCs w:val="24"/>
        </w:rPr>
        <w:t>goes on to</w:t>
      </w:r>
      <w:r w:rsidR="00FD287F" w:rsidRPr="00461D74">
        <w:rPr>
          <w:rFonts w:ascii="Garamond" w:hAnsi="Garamond" w:cstheme="minorHAnsi"/>
          <w:sz w:val="24"/>
          <w:szCs w:val="24"/>
        </w:rPr>
        <w:t xml:space="preserve"> </w:t>
      </w:r>
      <w:r w:rsidRPr="00461D74">
        <w:rPr>
          <w:rFonts w:ascii="Garamond" w:hAnsi="Garamond" w:cstheme="minorHAnsi"/>
          <w:sz w:val="24"/>
          <w:szCs w:val="24"/>
        </w:rPr>
        <w:t xml:space="preserve">claim that Aquinas’ natural law </w:t>
      </w:r>
      <w:r w:rsidR="0085479D">
        <w:rPr>
          <w:rFonts w:ascii="Garamond" w:hAnsi="Garamond" w:cstheme="minorHAnsi"/>
          <w:sz w:val="24"/>
          <w:szCs w:val="24"/>
        </w:rPr>
        <w:t xml:space="preserve">sees this as a problem and </w:t>
      </w:r>
      <w:r w:rsidRPr="00461D74">
        <w:rPr>
          <w:rFonts w:ascii="Garamond" w:hAnsi="Garamond" w:cstheme="minorHAnsi"/>
          <w:sz w:val="24"/>
          <w:szCs w:val="24"/>
        </w:rPr>
        <w:t xml:space="preserve">tries to address </w:t>
      </w:r>
      <w:r w:rsidR="0085479D">
        <w:rPr>
          <w:rFonts w:ascii="Garamond" w:hAnsi="Garamond" w:cstheme="minorHAnsi"/>
          <w:sz w:val="24"/>
          <w:szCs w:val="24"/>
        </w:rPr>
        <w:t>it</w:t>
      </w:r>
      <w:r w:rsidR="006435DA">
        <w:rPr>
          <w:rFonts w:ascii="Garamond" w:hAnsi="Garamond" w:cstheme="minorHAnsi"/>
          <w:sz w:val="24"/>
          <w:szCs w:val="24"/>
        </w:rPr>
        <w:t>,</w:t>
      </w:r>
      <w:r w:rsidR="0085479D">
        <w:rPr>
          <w:rFonts w:ascii="Garamond" w:hAnsi="Garamond" w:cstheme="minorHAnsi"/>
          <w:sz w:val="24"/>
          <w:szCs w:val="24"/>
        </w:rPr>
        <w:t xml:space="preserve"> </w:t>
      </w:r>
      <w:r w:rsidR="006435DA" w:rsidRPr="00461D74">
        <w:rPr>
          <w:rFonts w:ascii="Garamond" w:hAnsi="Garamond" w:cstheme="minorHAnsi"/>
          <w:sz w:val="24"/>
          <w:szCs w:val="24"/>
        </w:rPr>
        <w:t xml:space="preserve">precisely </w:t>
      </w:r>
      <w:r w:rsidR="0085479D">
        <w:rPr>
          <w:rFonts w:ascii="Garamond" w:hAnsi="Garamond" w:cstheme="minorHAnsi"/>
          <w:sz w:val="24"/>
          <w:szCs w:val="24"/>
        </w:rPr>
        <w:t>because it views this as a deficiency</w:t>
      </w:r>
      <w:r w:rsidRPr="00461D74">
        <w:rPr>
          <w:rFonts w:ascii="Garamond" w:hAnsi="Garamond" w:cstheme="minorHAnsi"/>
          <w:sz w:val="24"/>
          <w:szCs w:val="24"/>
        </w:rPr>
        <w:t xml:space="preserve"> in Aristotle’s ethics. Recall that in the previous chapter, I </w:t>
      </w:r>
      <w:r w:rsidR="009A1651">
        <w:rPr>
          <w:rFonts w:ascii="Garamond" w:hAnsi="Garamond" w:cstheme="minorHAnsi"/>
          <w:sz w:val="24"/>
          <w:szCs w:val="24"/>
        </w:rPr>
        <w:t>argued</w:t>
      </w:r>
      <w:r w:rsidR="009A1651" w:rsidRPr="00461D74">
        <w:rPr>
          <w:rFonts w:ascii="Garamond" w:hAnsi="Garamond" w:cstheme="minorHAnsi"/>
          <w:sz w:val="24"/>
          <w:szCs w:val="24"/>
        </w:rPr>
        <w:t xml:space="preserve"> </w:t>
      </w:r>
      <w:r w:rsidRPr="00461D74">
        <w:rPr>
          <w:rFonts w:ascii="Garamond" w:hAnsi="Garamond" w:cstheme="minorHAnsi"/>
          <w:sz w:val="24"/>
          <w:szCs w:val="24"/>
        </w:rPr>
        <w:t xml:space="preserve">that Aristotle’s account overlooks the fact that two people who possess adequate moral education could in fact disagree. It is Augustine’s concept of the will, in the context of the Christian account of </w:t>
      </w:r>
      <w:r w:rsidR="003A50A3">
        <w:rPr>
          <w:rFonts w:ascii="Garamond" w:hAnsi="Garamond" w:cstheme="minorHAnsi"/>
          <w:sz w:val="24"/>
          <w:szCs w:val="24"/>
        </w:rPr>
        <w:t xml:space="preserve">a </w:t>
      </w:r>
      <w:r w:rsidRPr="00461D74">
        <w:rPr>
          <w:rFonts w:ascii="Garamond" w:hAnsi="Garamond" w:cstheme="minorHAnsi"/>
          <w:sz w:val="24"/>
          <w:szCs w:val="24"/>
        </w:rPr>
        <w:t xml:space="preserve">fallen human nature, which allows Aquinas to articulate his account. Hence, even though MacIntyre has argued in various places that Aquinas successfully synthesizes Aristotle’s ethics with Augustine’s theology,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is emphasizing the points of conflict between the Aristotelian and the Christian tradition</w:t>
      </w:r>
      <w:r w:rsidR="009A1651">
        <w:rPr>
          <w:rFonts w:ascii="Garamond" w:hAnsi="Garamond" w:cstheme="minorHAnsi"/>
          <w:sz w:val="24"/>
          <w:szCs w:val="24"/>
        </w:rPr>
        <w:t>s</w:t>
      </w:r>
      <w:r w:rsidRPr="00461D74">
        <w:rPr>
          <w:rFonts w:ascii="Garamond" w:hAnsi="Garamond" w:cstheme="minorHAnsi"/>
          <w:sz w:val="24"/>
          <w:szCs w:val="24"/>
        </w:rPr>
        <w:t>. The upshot here is that Aquinas’ synthesis of Augustinian morality and Aristotelian ethics isn’t nearly as successful as MacIntyre maintains.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More fundamentally, the differences between the respective metaphysics </w:t>
      </w:r>
      <w:r w:rsidR="00B66670" w:rsidRPr="00461D74">
        <w:rPr>
          <w:rFonts w:ascii="Garamond" w:hAnsi="Garamond" w:cstheme="minorHAnsi"/>
          <w:sz w:val="24"/>
          <w:szCs w:val="24"/>
        </w:rPr>
        <w:t>and</w:t>
      </w:r>
      <w:r w:rsidRPr="00461D74">
        <w:rPr>
          <w:rFonts w:ascii="Garamond" w:hAnsi="Garamond" w:cstheme="minorHAnsi"/>
          <w:sz w:val="24"/>
          <w:szCs w:val="24"/>
        </w:rPr>
        <w:t xml:space="preserve"> cosmology of </w:t>
      </w:r>
      <w:r w:rsidR="00B66670" w:rsidRPr="00461D74">
        <w:rPr>
          <w:rFonts w:ascii="Garamond" w:hAnsi="Garamond" w:cstheme="minorHAnsi"/>
          <w:sz w:val="24"/>
          <w:szCs w:val="24"/>
        </w:rPr>
        <w:t xml:space="preserve">Aristotle and Augustine </w:t>
      </w:r>
      <w:r w:rsidRPr="00461D74">
        <w:rPr>
          <w:rFonts w:ascii="Garamond" w:hAnsi="Garamond" w:cstheme="minorHAnsi"/>
          <w:sz w:val="24"/>
          <w:szCs w:val="24"/>
        </w:rPr>
        <w:t>can be expressed in the following terms. Augustine’s Christian morality is committed to a fallen view of human nature grounded in biblical eschatology – the story of the fall and original sin.</w:t>
      </w:r>
      <w:r w:rsidRPr="00461D74">
        <w:rPr>
          <w:rStyle w:val="FootnoteReference"/>
          <w:rFonts w:ascii="Garamond" w:hAnsi="Garamond" w:cstheme="minorHAnsi"/>
          <w:sz w:val="24"/>
          <w:szCs w:val="24"/>
        </w:rPr>
        <w:footnoteReference w:id="216"/>
      </w:r>
      <w:r w:rsidRPr="00461D74">
        <w:rPr>
          <w:rFonts w:ascii="Garamond" w:hAnsi="Garamond" w:cstheme="minorHAnsi"/>
          <w:sz w:val="24"/>
          <w:szCs w:val="24"/>
        </w:rPr>
        <w:t xml:space="preserve"> The </w:t>
      </w:r>
      <w:r w:rsidRPr="00461D74">
        <w:rPr>
          <w:rFonts w:ascii="Garamond" w:hAnsi="Garamond" w:cstheme="minorHAnsi"/>
          <w:sz w:val="24"/>
          <w:szCs w:val="24"/>
        </w:rPr>
        <w:lastRenderedPageBreak/>
        <w:t xml:space="preserve">Christian conception of original sin is essentially </w:t>
      </w:r>
      <w:r w:rsidR="00D57CCE" w:rsidRPr="00461D74">
        <w:rPr>
          <w:rFonts w:ascii="Garamond" w:hAnsi="Garamond" w:cstheme="minorHAnsi"/>
          <w:sz w:val="24"/>
          <w:szCs w:val="24"/>
        </w:rPr>
        <w:t xml:space="preserve">embedded </w:t>
      </w:r>
      <w:r w:rsidR="00B66670" w:rsidRPr="00461D74">
        <w:rPr>
          <w:rFonts w:ascii="Garamond" w:hAnsi="Garamond" w:cstheme="minorHAnsi"/>
          <w:sz w:val="24"/>
          <w:szCs w:val="24"/>
        </w:rPr>
        <w:t>in</w:t>
      </w:r>
      <w:r w:rsidRPr="00461D74">
        <w:rPr>
          <w:rFonts w:ascii="Garamond" w:hAnsi="Garamond" w:cstheme="minorHAnsi"/>
          <w:sz w:val="24"/>
          <w:szCs w:val="24"/>
        </w:rPr>
        <w:t xml:space="preserve"> a particular view of human nature. On this view, human beings are ultimately wretched – and thus beyond all hope – except and insofar as they are afforded God’s grace. Consequently, it is through a relationship with a transcendent God beyond worldly existence that human beings have any potential as moral persons and inquirers about the good. Thus, in the end, human good or </w:t>
      </w:r>
      <w:proofErr w:type="spellStart"/>
      <w:r w:rsidRPr="00461D74">
        <w:rPr>
          <w:rFonts w:ascii="Garamond" w:hAnsi="Garamond" w:cstheme="minorHAnsi"/>
          <w:sz w:val="24"/>
          <w:szCs w:val="24"/>
        </w:rPr>
        <w:t>telos</w:t>
      </w:r>
      <w:proofErr w:type="spellEnd"/>
      <w:r w:rsidRPr="00461D74">
        <w:rPr>
          <w:rFonts w:ascii="Garamond" w:hAnsi="Garamond" w:cstheme="minorHAnsi"/>
          <w:sz w:val="24"/>
          <w:szCs w:val="24"/>
        </w:rPr>
        <w:t xml:space="preserve"> cannot be defined in terms of the natural world. The source of this good is ultimately God. On the other hand, Aristotle’s ethical framework for the pursuit of moral excellence emphasizes the developmental nature of human potential. For Aristotle, without the proper moral education we fail </w:t>
      </w:r>
      <w:r w:rsidR="008E0C7B">
        <w:rPr>
          <w:rFonts w:ascii="Garamond" w:hAnsi="Garamond" w:cstheme="minorHAnsi"/>
          <w:sz w:val="24"/>
          <w:szCs w:val="24"/>
        </w:rPr>
        <w:t>to emerge</w:t>
      </w:r>
      <w:r w:rsidRPr="00461D74">
        <w:rPr>
          <w:rFonts w:ascii="Garamond" w:hAnsi="Garamond" w:cstheme="minorHAnsi"/>
          <w:sz w:val="24"/>
          <w:szCs w:val="24"/>
        </w:rPr>
        <w:t xml:space="preserve"> </w:t>
      </w:r>
      <w:r w:rsidR="008E0C7B">
        <w:rPr>
          <w:rFonts w:ascii="Garamond" w:hAnsi="Garamond" w:cstheme="minorHAnsi"/>
          <w:sz w:val="24"/>
          <w:szCs w:val="24"/>
        </w:rPr>
        <w:t xml:space="preserve">as </w:t>
      </w:r>
      <w:r w:rsidRPr="00461D74">
        <w:rPr>
          <w:rFonts w:ascii="Garamond" w:hAnsi="Garamond" w:cstheme="minorHAnsi"/>
          <w:sz w:val="24"/>
          <w:szCs w:val="24"/>
        </w:rPr>
        <w:t>virtuous</w:t>
      </w:r>
      <w:r w:rsidR="008E0C7B">
        <w:rPr>
          <w:rFonts w:ascii="Garamond" w:hAnsi="Garamond" w:cstheme="minorHAnsi"/>
          <w:sz w:val="24"/>
          <w:szCs w:val="24"/>
        </w:rPr>
        <w:t xml:space="preserve"> persons</w:t>
      </w:r>
      <w:r w:rsidR="004E4EAA" w:rsidRPr="00461D74">
        <w:rPr>
          <w:rFonts w:ascii="Garamond" w:hAnsi="Garamond" w:cstheme="minorHAnsi"/>
          <w:sz w:val="24"/>
          <w:szCs w:val="24"/>
        </w:rPr>
        <w:t>.</w:t>
      </w:r>
      <w:r w:rsidRPr="00461D74">
        <w:rPr>
          <w:rFonts w:ascii="Garamond" w:hAnsi="Garamond" w:cstheme="minorHAnsi"/>
          <w:sz w:val="24"/>
          <w:szCs w:val="24"/>
        </w:rPr>
        <w:t xml:space="preserve"> </w:t>
      </w:r>
      <w:r w:rsidR="004E4EAA" w:rsidRPr="00461D74">
        <w:rPr>
          <w:rFonts w:ascii="Garamond" w:hAnsi="Garamond" w:cstheme="minorHAnsi"/>
          <w:sz w:val="24"/>
          <w:szCs w:val="24"/>
        </w:rPr>
        <w:t>On this view</w:t>
      </w:r>
      <w:r w:rsidRPr="00461D74">
        <w:rPr>
          <w:rFonts w:ascii="Garamond" w:hAnsi="Garamond" w:cstheme="minorHAnsi"/>
          <w:sz w:val="24"/>
          <w:szCs w:val="24"/>
        </w:rPr>
        <w:t xml:space="preserve">, human beings </w:t>
      </w:r>
      <w:r w:rsidR="008E0C7B">
        <w:rPr>
          <w:rFonts w:ascii="Garamond" w:hAnsi="Garamond" w:cstheme="minorHAnsi"/>
          <w:sz w:val="24"/>
          <w:szCs w:val="24"/>
        </w:rPr>
        <w:t>remain</w:t>
      </w:r>
      <w:r w:rsidR="008E0C7B" w:rsidRPr="00461D74">
        <w:rPr>
          <w:rFonts w:ascii="Garamond" w:hAnsi="Garamond" w:cstheme="minorHAnsi"/>
          <w:sz w:val="24"/>
          <w:szCs w:val="24"/>
        </w:rPr>
        <w:t xml:space="preserve"> </w:t>
      </w:r>
      <w:r w:rsidRPr="00461D74">
        <w:rPr>
          <w:rFonts w:ascii="Garamond" w:hAnsi="Garamond" w:cstheme="minorHAnsi"/>
          <w:sz w:val="24"/>
          <w:szCs w:val="24"/>
        </w:rPr>
        <w:t>only p</w:t>
      </w:r>
      <w:r w:rsidR="00F52C7B" w:rsidRPr="00461D74">
        <w:rPr>
          <w:rFonts w:ascii="Garamond" w:hAnsi="Garamond" w:cstheme="minorHAnsi"/>
          <w:sz w:val="24"/>
          <w:szCs w:val="24"/>
        </w:rPr>
        <w:t>rovisionally</w:t>
      </w:r>
      <w:r w:rsidRPr="00461D74">
        <w:rPr>
          <w:rFonts w:ascii="Garamond" w:hAnsi="Garamond" w:cstheme="minorHAnsi"/>
          <w:sz w:val="24"/>
          <w:szCs w:val="24"/>
        </w:rPr>
        <w:t>, and not inherently, ignorant of the virtues and the good</w:t>
      </w:r>
      <w:r w:rsidR="004E4EAA" w:rsidRPr="00461D74">
        <w:rPr>
          <w:rFonts w:ascii="Garamond" w:hAnsi="Garamond" w:cstheme="minorHAnsi"/>
          <w:sz w:val="24"/>
          <w:szCs w:val="24"/>
        </w:rPr>
        <w:t>. Moreover</w:t>
      </w:r>
      <w:r w:rsidR="00B66670" w:rsidRPr="00461D74">
        <w:rPr>
          <w:rFonts w:ascii="Garamond" w:hAnsi="Garamond" w:cstheme="minorHAnsi"/>
          <w:sz w:val="24"/>
          <w:szCs w:val="24"/>
        </w:rPr>
        <w:t>,</w:t>
      </w:r>
      <w:r w:rsidR="004E4EAA" w:rsidRPr="00461D74">
        <w:rPr>
          <w:rFonts w:ascii="Garamond" w:hAnsi="Garamond" w:cstheme="minorHAnsi"/>
          <w:sz w:val="24"/>
          <w:szCs w:val="24"/>
        </w:rPr>
        <w:t xml:space="preserve"> </w:t>
      </w:r>
      <w:r w:rsidR="00B66670" w:rsidRPr="00461D74">
        <w:rPr>
          <w:rFonts w:ascii="Garamond" w:hAnsi="Garamond" w:cstheme="minorHAnsi"/>
          <w:sz w:val="24"/>
          <w:szCs w:val="24"/>
        </w:rPr>
        <w:t>each individual’s</w:t>
      </w:r>
      <w:r w:rsidR="004E4EAA" w:rsidRPr="00461D74">
        <w:rPr>
          <w:rFonts w:ascii="Garamond" w:hAnsi="Garamond" w:cstheme="minorHAnsi"/>
          <w:sz w:val="24"/>
          <w:szCs w:val="24"/>
        </w:rPr>
        <w:t xml:space="preserve"> potential </w:t>
      </w:r>
      <w:r w:rsidR="00F52C7B" w:rsidRPr="00461D74">
        <w:rPr>
          <w:rFonts w:ascii="Garamond" w:hAnsi="Garamond" w:cstheme="minorHAnsi"/>
          <w:sz w:val="24"/>
          <w:szCs w:val="24"/>
        </w:rPr>
        <w:t xml:space="preserve">knowledge of the good </w:t>
      </w:r>
      <w:r w:rsidR="004E4EAA" w:rsidRPr="00461D74">
        <w:rPr>
          <w:rFonts w:ascii="Garamond" w:hAnsi="Garamond" w:cstheme="minorHAnsi"/>
          <w:sz w:val="24"/>
          <w:szCs w:val="24"/>
        </w:rPr>
        <w:t xml:space="preserve">can for the most part be fulfilled on the account of their own desire and commitment; </w:t>
      </w:r>
      <w:r w:rsidR="00B66670" w:rsidRPr="00461D74">
        <w:rPr>
          <w:rFonts w:ascii="Garamond" w:hAnsi="Garamond" w:cstheme="minorHAnsi"/>
          <w:sz w:val="24"/>
          <w:szCs w:val="24"/>
        </w:rPr>
        <w:t>yet, this</w:t>
      </w:r>
      <w:r w:rsidR="004E4EAA" w:rsidRPr="00461D74">
        <w:rPr>
          <w:rFonts w:ascii="Garamond" w:hAnsi="Garamond" w:cstheme="minorHAnsi"/>
          <w:sz w:val="24"/>
          <w:szCs w:val="24"/>
        </w:rPr>
        <w:t xml:space="preserve"> </w:t>
      </w:r>
      <w:r w:rsidR="00B66670" w:rsidRPr="00461D74">
        <w:rPr>
          <w:rFonts w:ascii="Garamond" w:hAnsi="Garamond" w:cstheme="minorHAnsi"/>
          <w:sz w:val="24"/>
          <w:szCs w:val="24"/>
        </w:rPr>
        <w:t>position</w:t>
      </w:r>
      <w:r w:rsidR="004E4EAA" w:rsidRPr="00461D74">
        <w:rPr>
          <w:rFonts w:ascii="Garamond" w:hAnsi="Garamond" w:cstheme="minorHAnsi"/>
          <w:sz w:val="24"/>
          <w:szCs w:val="24"/>
        </w:rPr>
        <w:t xml:space="preserve"> stands in stark contrast to the Augustinian view </w:t>
      </w:r>
      <w:r w:rsidR="007A0413" w:rsidRPr="00461D74">
        <w:rPr>
          <w:rFonts w:ascii="Garamond" w:hAnsi="Garamond" w:cstheme="minorHAnsi"/>
          <w:sz w:val="24"/>
          <w:szCs w:val="24"/>
        </w:rPr>
        <w:t>in which</w:t>
      </w:r>
      <w:r w:rsidR="004E4EAA" w:rsidRPr="00461D74">
        <w:rPr>
          <w:rFonts w:ascii="Garamond" w:hAnsi="Garamond" w:cstheme="minorHAnsi"/>
          <w:sz w:val="24"/>
          <w:szCs w:val="24"/>
        </w:rPr>
        <w:t xml:space="preserve"> human fulfillment and flourishing not only reside</w:t>
      </w:r>
      <w:r w:rsidR="00B66670" w:rsidRPr="00461D74">
        <w:rPr>
          <w:rFonts w:ascii="Garamond" w:hAnsi="Garamond" w:cstheme="minorHAnsi"/>
          <w:sz w:val="24"/>
          <w:szCs w:val="24"/>
        </w:rPr>
        <w:t>s</w:t>
      </w:r>
      <w:r w:rsidR="004E4EAA" w:rsidRPr="00461D74">
        <w:rPr>
          <w:rFonts w:ascii="Garamond" w:hAnsi="Garamond" w:cstheme="minorHAnsi"/>
          <w:sz w:val="24"/>
          <w:szCs w:val="24"/>
        </w:rPr>
        <w:t xml:space="preserve"> in a transcendent source but </w:t>
      </w:r>
      <w:r w:rsidR="00B66670" w:rsidRPr="00461D74">
        <w:rPr>
          <w:rFonts w:ascii="Garamond" w:hAnsi="Garamond" w:cstheme="minorHAnsi"/>
          <w:sz w:val="24"/>
          <w:szCs w:val="24"/>
        </w:rPr>
        <w:t>is</w:t>
      </w:r>
      <w:r w:rsidR="004E4EAA" w:rsidRPr="00461D74">
        <w:rPr>
          <w:rFonts w:ascii="Garamond" w:hAnsi="Garamond" w:cstheme="minorHAnsi"/>
          <w:sz w:val="24"/>
          <w:szCs w:val="24"/>
        </w:rPr>
        <w:t xml:space="preserve"> ultimately afforded by its </w:t>
      </w:r>
      <w:r w:rsidR="007A0413" w:rsidRPr="00461D74">
        <w:rPr>
          <w:rFonts w:ascii="Garamond" w:hAnsi="Garamond" w:cstheme="minorHAnsi"/>
          <w:sz w:val="24"/>
          <w:szCs w:val="24"/>
        </w:rPr>
        <w:t xml:space="preserve">sole </w:t>
      </w:r>
      <w:r w:rsidR="004E4EAA" w:rsidRPr="00461D74">
        <w:rPr>
          <w:rFonts w:ascii="Garamond" w:hAnsi="Garamond" w:cstheme="minorHAnsi"/>
          <w:sz w:val="24"/>
          <w:szCs w:val="24"/>
        </w:rPr>
        <w:t>wishes</w:t>
      </w:r>
      <w:r w:rsidR="00B66670" w:rsidRPr="00461D74">
        <w:rPr>
          <w:rFonts w:ascii="Garamond" w:hAnsi="Garamond" w:cstheme="minorHAnsi"/>
          <w:sz w:val="24"/>
          <w:szCs w:val="24"/>
        </w:rPr>
        <w:t>, irrespective of the individual’s particular actions</w:t>
      </w:r>
      <w:r w:rsidRPr="00461D74">
        <w:rPr>
          <w:rFonts w:ascii="Garamond" w:hAnsi="Garamond" w:cstheme="minorHAnsi"/>
          <w:sz w:val="24"/>
          <w:szCs w:val="24"/>
        </w:rPr>
        <w:t xml:space="preserve">. </w:t>
      </w:r>
      <w:r w:rsidR="007A0413" w:rsidRPr="00461D74">
        <w:rPr>
          <w:rFonts w:ascii="Garamond" w:hAnsi="Garamond" w:cstheme="minorHAnsi"/>
          <w:sz w:val="24"/>
          <w:szCs w:val="24"/>
        </w:rPr>
        <w:t>The contrast with Aristotle here is quite stark since on the Aristotelian account</w:t>
      </w:r>
      <w:r w:rsidRPr="00461D74">
        <w:rPr>
          <w:rFonts w:ascii="Garamond" w:hAnsi="Garamond" w:cstheme="minorHAnsi"/>
          <w:sz w:val="24"/>
          <w:szCs w:val="24"/>
        </w:rPr>
        <w:t xml:space="preserve">, human ethical potential is fulfilled within a naturalistic framework – a framework where human potential is reached within this life – without the need to ground morality </w:t>
      </w:r>
      <w:r w:rsidR="007A0413" w:rsidRPr="00461D74">
        <w:rPr>
          <w:rFonts w:ascii="Garamond" w:hAnsi="Garamond" w:cstheme="minorHAnsi"/>
          <w:sz w:val="24"/>
          <w:szCs w:val="24"/>
        </w:rPr>
        <w:t xml:space="preserve">and human flourishing </w:t>
      </w:r>
      <w:r w:rsidRPr="00461D74">
        <w:rPr>
          <w:rFonts w:ascii="Garamond" w:hAnsi="Garamond" w:cstheme="minorHAnsi"/>
          <w:sz w:val="24"/>
          <w:szCs w:val="24"/>
        </w:rPr>
        <w:t xml:space="preserve">in a transcendent being </w:t>
      </w:r>
      <w:r w:rsidR="00B51D3E" w:rsidRPr="00461D74">
        <w:rPr>
          <w:rFonts w:ascii="Garamond" w:hAnsi="Garamond" w:cstheme="minorHAnsi"/>
          <w:sz w:val="24"/>
          <w:szCs w:val="24"/>
        </w:rPr>
        <w:t xml:space="preserve">or </w:t>
      </w:r>
      <w:r w:rsidRPr="00461D74">
        <w:rPr>
          <w:rFonts w:ascii="Garamond" w:hAnsi="Garamond" w:cstheme="minorHAnsi"/>
          <w:sz w:val="24"/>
          <w:szCs w:val="24"/>
        </w:rPr>
        <w:t>an other-worldly existence.</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Thus, there </w:t>
      </w:r>
      <w:r w:rsidR="00144301" w:rsidRPr="00461D74">
        <w:rPr>
          <w:rFonts w:ascii="Garamond" w:hAnsi="Garamond" w:cstheme="minorHAnsi"/>
          <w:sz w:val="24"/>
          <w:szCs w:val="24"/>
        </w:rPr>
        <w:t xml:space="preserve">seems to be </w:t>
      </w:r>
      <w:r w:rsidRPr="00461D74">
        <w:rPr>
          <w:rFonts w:ascii="Garamond" w:hAnsi="Garamond" w:cstheme="minorHAnsi"/>
          <w:sz w:val="24"/>
          <w:szCs w:val="24"/>
        </w:rPr>
        <w:t xml:space="preserve">important fundamental differences that separate Aristotle’s ethics and Augustinian morality since the two </w:t>
      </w:r>
      <w:r w:rsidR="008E0C7B">
        <w:rPr>
          <w:rFonts w:ascii="Garamond" w:hAnsi="Garamond" w:cstheme="minorHAnsi"/>
          <w:sz w:val="24"/>
          <w:szCs w:val="24"/>
        </w:rPr>
        <w:t>accounts</w:t>
      </w:r>
      <w:r w:rsidR="008E0C7B" w:rsidRPr="00461D74">
        <w:rPr>
          <w:rFonts w:ascii="Garamond" w:hAnsi="Garamond" w:cstheme="minorHAnsi"/>
          <w:sz w:val="24"/>
          <w:szCs w:val="24"/>
        </w:rPr>
        <w:t xml:space="preserve"> </w:t>
      </w:r>
      <w:r w:rsidRPr="00461D74">
        <w:rPr>
          <w:rFonts w:ascii="Garamond" w:hAnsi="Garamond" w:cstheme="minorHAnsi"/>
          <w:sz w:val="24"/>
          <w:szCs w:val="24"/>
        </w:rPr>
        <w:t xml:space="preserve">maintain </w:t>
      </w:r>
      <w:r w:rsidR="008E0C7B">
        <w:rPr>
          <w:rFonts w:ascii="Garamond" w:hAnsi="Garamond" w:cstheme="minorHAnsi"/>
          <w:sz w:val="24"/>
          <w:szCs w:val="24"/>
        </w:rPr>
        <w:t xml:space="preserve">widely </w:t>
      </w:r>
      <w:r w:rsidRPr="00461D74">
        <w:rPr>
          <w:rFonts w:ascii="Garamond" w:hAnsi="Garamond" w:cstheme="minorHAnsi"/>
          <w:sz w:val="24"/>
          <w:szCs w:val="24"/>
        </w:rPr>
        <w:t xml:space="preserve">different </w:t>
      </w:r>
      <w:r w:rsidR="008E0C7B">
        <w:rPr>
          <w:rFonts w:ascii="Garamond" w:hAnsi="Garamond" w:cstheme="minorHAnsi"/>
          <w:sz w:val="24"/>
          <w:szCs w:val="24"/>
        </w:rPr>
        <w:t>views</w:t>
      </w:r>
      <w:r w:rsidR="008E0C7B" w:rsidRPr="00461D74">
        <w:rPr>
          <w:rFonts w:ascii="Garamond" w:hAnsi="Garamond" w:cstheme="minorHAnsi"/>
          <w:sz w:val="24"/>
          <w:szCs w:val="24"/>
        </w:rPr>
        <w:t xml:space="preserve"> </w:t>
      </w:r>
      <w:r w:rsidRPr="00461D74">
        <w:rPr>
          <w:rFonts w:ascii="Garamond" w:hAnsi="Garamond" w:cstheme="minorHAnsi"/>
          <w:sz w:val="24"/>
          <w:szCs w:val="24"/>
        </w:rPr>
        <w:t xml:space="preserve">on some foundational issues. Of course this potentially means that </w:t>
      </w:r>
      <w:r w:rsidRPr="00461D74">
        <w:rPr>
          <w:rFonts w:ascii="Garamond" w:hAnsi="Garamond" w:cstheme="minorHAnsi"/>
          <w:i/>
          <w:iCs/>
          <w:sz w:val="24"/>
          <w:szCs w:val="24"/>
        </w:rPr>
        <w:t xml:space="preserve">pace </w:t>
      </w:r>
      <w:r w:rsidR="00E560D0" w:rsidRPr="00461D74">
        <w:rPr>
          <w:rFonts w:ascii="Garamond" w:hAnsi="Garamond" w:cstheme="minorHAnsi"/>
          <w:iCs/>
          <w:sz w:val="24"/>
          <w:szCs w:val="24"/>
        </w:rPr>
        <w:t>MacIntyre</w:t>
      </w:r>
      <w:r w:rsidRPr="00461D74">
        <w:rPr>
          <w:rFonts w:ascii="Garamond" w:hAnsi="Garamond" w:cstheme="minorHAnsi"/>
          <w:sz w:val="24"/>
          <w:szCs w:val="24"/>
        </w:rPr>
        <w:t xml:space="preserve">, Aquinas’ synthesis of Augustinian morality and Aristotelian ethics isn’t nearly as successful as MacIntyre claims, in part because there are fundamental differences in the </w:t>
      </w:r>
      <w:r w:rsidR="00D01EA7">
        <w:rPr>
          <w:rFonts w:ascii="Garamond" w:hAnsi="Garamond" w:cstheme="minorHAnsi"/>
          <w:sz w:val="24"/>
          <w:szCs w:val="24"/>
        </w:rPr>
        <w:t xml:space="preserve">underlying </w:t>
      </w:r>
      <w:r w:rsidRPr="00461D74">
        <w:rPr>
          <w:rFonts w:ascii="Garamond" w:hAnsi="Garamond" w:cstheme="minorHAnsi"/>
          <w:sz w:val="24"/>
          <w:szCs w:val="24"/>
        </w:rPr>
        <w:t>metaphysics of these two views.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upshot of the above analysis is three-fold. First, it seems difficult to reconcile, on the one hand, MacIntyre’s historical arguments that condemn </w:t>
      </w:r>
      <w:r w:rsidRPr="00461D74">
        <w:rPr>
          <w:rFonts w:ascii="Garamond" w:hAnsi="Garamond" w:cstheme="minorHAnsi"/>
          <w:sz w:val="24"/>
          <w:szCs w:val="24"/>
        </w:rPr>
        <w:lastRenderedPageBreak/>
        <w:t xml:space="preserve">Renaissance Aristotelian like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for deviating from Aristotelian ethics with respect to moral knowledge, and on the other, MacIntyre arguments in support of Aquinas’ natural law theory which appear to be decidedly un-Aristotelian in similar respects. Second, when we consider MacIntyre’s account advanced in these two papers, we find that the results are somewhat ambiguous</w:t>
      </w:r>
      <w:r w:rsidR="00591597">
        <w:rPr>
          <w:rFonts w:ascii="Garamond" w:hAnsi="Garamond" w:cstheme="minorHAnsi"/>
          <w:sz w:val="24"/>
          <w:szCs w:val="24"/>
        </w:rPr>
        <w:t>.</w:t>
      </w:r>
      <w:r w:rsidRPr="00461D74">
        <w:rPr>
          <w:rFonts w:ascii="Garamond" w:hAnsi="Garamond" w:cstheme="minorHAnsi"/>
          <w:sz w:val="24"/>
          <w:szCs w:val="24"/>
        </w:rPr>
        <w:t xml:space="preserve"> </w:t>
      </w:r>
      <w:r w:rsidR="00591597">
        <w:rPr>
          <w:rFonts w:ascii="Garamond" w:hAnsi="Garamond" w:cstheme="minorHAnsi"/>
          <w:sz w:val="24"/>
          <w:szCs w:val="24"/>
        </w:rPr>
        <w:t>Therefore,</w:t>
      </w:r>
      <w:r w:rsidRPr="00461D74">
        <w:rPr>
          <w:rFonts w:ascii="Garamond" w:hAnsi="Garamond" w:cstheme="minorHAnsi"/>
          <w:sz w:val="24"/>
          <w:szCs w:val="24"/>
        </w:rPr>
        <w:t xml:space="preserve"> MacIntyre</w:t>
      </w:r>
      <w:r w:rsidR="00591597">
        <w:rPr>
          <w:rFonts w:ascii="Garamond" w:hAnsi="Garamond" w:cstheme="minorHAnsi"/>
          <w:sz w:val="24"/>
          <w:szCs w:val="24"/>
        </w:rPr>
        <w:t>’s account here</w:t>
      </w:r>
      <w:r w:rsidRPr="00461D74">
        <w:rPr>
          <w:rFonts w:ascii="Garamond" w:hAnsi="Garamond" w:cstheme="minorHAnsi"/>
          <w:sz w:val="24"/>
          <w:szCs w:val="24"/>
        </w:rPr>
        <w:t xml:space="preserve"> </w:t>
      </w:r>
      <w:r w:rsidR="00591597">
        <w:rPr>
          <w:rFonts w:ascii="Garamond" w:hAnsi="Garamond" w:cstheme="minorHAnsi"/>
          <w:sz w:val="24"/>
          <w:szCs w:val="24"/>
        </w:rPr>
        <w:t>doesn’t propose</w:t>
      </w:r>
      <w:r w:rsidRPr="00461D74">
        <w:rPr>
          <w:rFonts w:ascii="Garamond" w:hAnsi="Garamond" w:cstheme="minorHAnsi"/>
          <w:sz w:val="24"/>
          <w:szCs w:val="24"/>
        </w:rPr>
        <w:t xml:space="preserve"> a convincing case for the marginalization of the Aristotelian-Thomistic tradition and the functional/teleological view of human nature, </w:t>
      </w:r>
      <w:r w:rsidR="00591597">
        <w:rPr>
          <w:rFonts w:ascii="Garamond" w:hAnsi="Garamond" w:cstheme="minorHAnsi"/>
          <w:sz w:val="24"/>
          <w:szCs w:val="24"/>
        </w:rPr>
        <w:t xml:space="preserve">in part </w:t>
      </w:r>
      <w:r w:rsidRPr="00461D74">
        <w:rPr>
          <w:rFonts w:ascii="Garamond" w:hAnsi="Garamond" w:cstheme="minorHAnsi"/>
          <w:sz w:val="24"/>
          <w:szCs w:val="24"/>
        </w:rPr>
        <w:t xml:space="preserve">because </w:t>
      </w:r>
      <w:r w:rsidR="00591597">
        <w:rPr>
          <w:rFonts w:ascii="Garamond" w:hAnsi="Garamond" w:cstheme="minorHAnsi"/>
          <w:sz w:val="24"/>
          <w:szCs w:val="24"/>
        </w:rPr>
        <w:t>his</w:t>
      </w:r>
      <w:r w:rsidR="00591597" w:rsidRPr="00461D74">
        <w:rPr>
          <w:rFonts w:ascii="Garamond" w:hAnsi="Garamond" w:cstheme="minorHAnsi"/>
          <w:sz w:val="24"/>
          <w:szCs w:val="24"/>
        </w:rPr>
        <w:t xml:space="preserve"> </w:t>
      </w:r>
      <w:r w:rsidRPr="00461D74">
        <w:rPr>
          <w:rFonts w:ascii="Garamond" w:hAnsi="Garamond" w:cstheme="minorHAnsi"/>
          <w:sz w:val="24"/>
          <w:szCs w:val="24"/>
        </w:rPr>
        <w:t xml:space="preserve">account </w:t>
      </w:r>
      <w:r w:rsidR="00591597">
        <w:rPr>
          <w:rFonts w:ascii="Garamond" w:hAnsi="Garamond" w:cstheme="minorHAnsi"/>
          <w:sz w:val="24"/>
          <w:szCs w:val="24"/>
        </w:rPr>
        <w:t>appears</w:t>
      </w:r>
      <w:r w:rsidR="00591597" w:rsidRPr="00461D74">
        <w:rPr>
          <w:rFonts w:ascii="Garamond" w:hAnsi="Garamond" w:cstheme="minorHAnsi"/>
          <w:sz w:val="24"/>
          <w:szCs w:val="24"/>
        </w:rPr>
        <w:t xml:space="preserve"> </w:t>
      </w:r>
      <w:r w:rsidRPr="00461D74">
        <w:rPr>
          <w:rFonts w:ascii="Garamond" w:hAnsi="Garamond" w:cstheme="minorHAnsi"/>
          <w:sz w:val="24"/>
          <w:szCs w:val="24"/>
        </w:rPr>
        <w:t xml:space="preserve">to also </w:t>
      </w:r>
      <w:r w:rsidR="00591597">
        <w:rPr>
          <w:rFonts w:ascii="Garamond" w:hAnsi="Garamond" w:cstheme="minorHAnsi"/>
          <w:sz w:val="24"/>
          <w:szCs w:val="24"/>
        </w:rPr>
        <w:t>suggest</w:t>
      </w:r>
      <w:r w:rsidR="00591597" w:rsidRPr="00461D74">
        <w:rPr>
          <w:rFonts w:ascii="Garamond" w:hAnsi="Garamond" w:cstheme="minorHAnsi"/>
          <w:sz w:val="24"/>
          <w:szCs w:val="24"/>
        </w:rPr>
        <w:t xml:space="preserve"> </w:t>
      </w:r>
      <w:r w:rsidRPr="00461D74">
        <w:rPr>
          <w:rFonts w:ascii="Garamond" w:hAnsi="Garamond" w:cstheme="minorHAnsi"/>
          <w:sz w:val="24"/>
          <w:szCs w:val="24"/>
        </w:rPr>
        <w:t xml:space="preserve">that the theological/theoretical innovations by Aquinas </w:t>
      </w:r>
      <w:r w:rsidR="00591597">
        <w:rPr>
          <w:rFonts w:ascii="Garamond" w:hAnsi="Garamond" w:cstheme="minorHAnsi"/>
          <w:sz w:val="24"/>
          <w:szCs w:val="24"/>
        </w:rPr>
        <w:t xml:space="preserve">could be reasonably read as </w:t>
      </w:r>
      <w:r w:rsidRPr="00461D74">
        <w:rPr>
          <w:rFonts w:ascii="Garamond" w:hAnsi="Garamond" w:cstheme="minorHAnsi"/>
          <w:sz w:val="24"/>
          <w:szCs w:val="24"/>
        </w:rPr>
        <w:t>indirectly set</w:t>
      </w:r>
      <w:r w:rsidR="00591597">
        <w:rPr>
          <w:rFonts w:ascii="Garamond" w:hAnsi="Garamond" w:cstheme="minorHAnsi"/>
          <w:sz w:val="24"/>
          <w:szCs w:val="24"/>
        </w:rPr>
        <w:t>ting</w:t>
      </w:r>
      <w:r w:rsidRPr="00461D74">
        <w:rPr>
          <w:rFonts w:ascii="Garamond" w:hAnsi="Garamond" w:cstheme="minorHAnsi"/>
          <w:sz w:val="24"/>
          <w:szCs w:val="24"/>
        </w:rPr>
        <w:t xml:space="preserve"> the stage for the work of later Aristotelians, and the eventual decline of Aristotelian ethics. The third and final point that emerges is that if in fact there are important difficulties in resolving differences between the way in which moral education and moral knowledge are defined in Christian morality, and conversely, in Aristotle’s ethics, it then seems that MacIntyre’s reading of Aristotelian ethics and moral education tends to </w:t>
      </w:r>
      <w:r w:rsidR="000B0194">
        <w:rPr>
          <w:rFonts w:ascii="Garamond" w:hAnsi="Garamond" w:cstheme="minorHAnsi"/>
          <w:sz w:val="24"/>
          <w:szCs w:val="24"/>
        </w:rPr>
        <w:t xml:space="preserve">accentuate and </w:t>
      </w:r>
      <w:r w:rsidRPr="00461D74">
        <w:rPr>
          <w:rFonts w:ascii="Garamond" w:hAnsi="Garamond" w:cstheme="minorHAnsi"/>
          <w:sz w:val="24"/>
          <w:szCs w:val="24"/>
        </w:rPr>
        <w:t>reinforce, rather than ameliorate, those differences.</w:t>
      </w:r>
      <w:r w:rsidRPr="00461D74" w:rsidDel="00B20FCF">
        <w:rPr>
          <w:rFonts w:ascii="Garamond" w:hAnsi="Garamond" w:cstheme="minorHAnsi"/>
          <w:sz w:val="24"/>
          <w:szCs w:val="24"/>
        </w:rPr>
        <w:t xml:space="preserve"> </w:t>
      </w:r>
    </w:p>
    <w:p w:rsidR="00AC376E" w:rsidRDefault="00016049" w:rsidP="00AC376E">
      <w:pPr>
        <w:spacing w:line="360" w:lineRule="auto"/>
        <w:jc w:val="both"/>
        <w:rPr>
          <w:rFonts w:ascii="Garamond" w:hAnsi="Garamond" w:cstheme="minorHAnsi"/>
          <w:sz w:val="24"/>
          <w:szCs w:val="24"/>
        </w:rPr>
      </w:pPr>
      <w:r w:rsidRPr="00461D74">
        <w:rPr>
          <w:rFonts w:ascii="Garamond" w:hAnsi="Garamond" w:cstheme="minorHAnsi"/>
          <w:sz w:val="24"/>
          <w:szCs w:val="24"/>
        </w:rPr>
        <w:tab/>
      </w:r>
      <w:r w:rsidR="00AC376E">
        <w:rPr>
          <w:rFonts w:ascii="Garamond" w:hAnsi="Garamond" w:cstheme="minorHAnsi"/>
          <w:sz w:val="24"/>
          <w:szCs w:val="24"/>
        </w:rPr>
        <w:t>Now, before we present a final verdict on</w:t>
      </w:r>
      <w:r w:rsidR="00AC376E" w:rsidRPr="00461D74">
        <w:rPr>
          <w:rFonts w:ascii="Garamond" w:hAnsi="Garamond" w:cstheme="minorHAnsi"/>
          <w:sz w:val="24"/>
          <w:szCs w:val="24"/>
        </w:rPr>
        <w:t xml:space="preserve"> </w:t>
      </w:r>
      <w:r w:rsidRPr="00461D74">
        <w:rPr>
          <w:rFonts w:ascii="Garamond" w:hAnsi="Garamond" w:cstheme="minorHAnsi"/>
          <w:sz w:val="24"/>
          <w:szCs w:val="24"/>
        </w:rPr>
        <w:t xml:space="preserve">MacIntyre’s genealogy let us briefly recall its substantive conclusions. With respect to moral education, MacIntyre suggested that by focusing on theory as opposed to practice and habituation, Renaissance Aristotelians deviated from Aristotle’s ethics; and in doing so they undermined key Aristotelian </w:t>
      </w:r>
      <w:r w:rsidR="00DB21E1" w:rsidRPr="00461D74">
        <w:rPr>
          <w:rFonts w:ascii="Garamond" w:hAnsi="Garamond" w:cstheme="minorHAnsi"/>
          <w:sz w:val="24"/>
          <w:szCs w:val="24"/>
        </w:rPr>
        <w:t>tenets</w:t>
      </w:r>
      <w:r w:rsidRPr="00461D74">
        <w:rPr>
          <w:rFonts w:ascii="Garamond" w:hAnsi="Garamond" w:cstheme="minorHAnsi"/>
          <w:sz w:val="24"/>
          <w:szCs w:val="24"/>
        </w:rPr>
        <w:t>. But as we have seen, this is problematic for at least three reasons.</w:t>
      </w:r>
    </w:p>
    <w:p w:rsidR="00016049" w:rsidRPr="00461D74" w:rsidRDefault="00016049" w:rsidP="00AC376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First, </w:t>
      </w:r>
      <w:r w:rsidR="00DB21E1" w:rsidRPr="00461D74">
        <w:rPr>
          <w:rFonts w:ascii="Garamond" w:hAnsi="Garamond" w:cstheme="minorHAnsi"/>
          <w:sz w:val="24"/>
          <w:szCs w:val="24"/>
        </w:rPr>
        <w:t xml:space="preserve">it </w:t>
      </w:r>
      <w:r w:rsidR="00A83135" w:rsidRPr="00461D74">
        <w:rPr>
          <w:rFonts w:ascii="Garamond" w:hAnsi="Garamond" w:cstheme="minorHAnsi"/>
          <w:sz w:val="24"/>
          <w:szCs w:val="24"/>
        </w:rPr>
        <w:t>would appear</w:t>
      </w:r>
      <w:r w:rsidR="00DB21E1" w:rsidRPr="00461D74">
        <w:rPr>
          <w:rFonts w:ascii="Garamond" w:hAnsi="Garamond" w:cstheme="minorHAnsi"/>
          <w:sz w:val="24"/>
          <w:szCs w:val="24"/>
        </w:rPr>
        <w:t xml:space="preserve"> </w:t>
      </w:r>
      <w:r w:rsidRPr="00461D74">
        <w:rPr>
          <w:rFonts w:ascii="Garamond" w:hAnsi="Garamond" w:cstheme="minorHAnsi"/>
          <w:sz w:val="24"/>
          <w:szCs w:val="24"/>
        </w:rPr>
        <w:t xml:space="preserve">that Aquinas’ formulation of natural law and natural reason </w:t>
      </w:r>
      <w:r w:rsidR="00DB21E1" w:rsidRPr="00461D74">
        <w:rPr>
          <w:rFonts w:ascii="Garamond" w:hAnsi="Garamond" w:cstheme="minorHAnsi"/>
          <w:sz w:val="24"/>
          <w:szCs w:val="24"/>
        </w:rPr>
        <w:t xml:space="preserve">similarly </w:t>
      </w:r>
      <w:r w:rsidRPr="00461D74">
        <w:rPr>
          <w:rFonts w:ascii="Garamond" w:hAnsi="Garamond" w:cstheme="minorHAnsi"/>
          <w:sz w:val="24"/>
          <w:szCs w:val="24"/>
        </w:rPr>
        <w:t>countenance</w:t>
      </w:r>
      <w:r w:rsidR="00DB21E1" w:rsidRPr="00461D74">
        <w:rPr>
          <w:rFonts w:ascii="Garamond" w:hAnsi="Garamond" w:cstheme="minorHAnsi"/>
          <w:sz w:val="24"/>
          <w:szCs w:val="24"/>
        </w:rPr>
        <w:t>s</w:t>
      </w:r>
      <w:r w:rsidRPr="00461D74">
        <w:rPr>
          <w:rFonts w:ascii="Garamond" w:hAnsi="Garamond" w:cstheme="minorHAnsi"/>
          <w:sz w:val="24"/>
          <w:szCs w:val="24"/>
        </w:rPr>
        <w:t xml:space="preserve"> a step away from Aristotelian virtue ethics, </w:t>
      </w:r>
      <w:r w:rsidR="00A83135" w:rsidRPr="00461D74">
        <w:rPr>
          <w:rFonts w:ascii="Garamond" w:hAnsi="Garamond" w:cstheme="minorHAnsi"/>
          <w:sz w:val="24"/>
          <w:szCs w:val="24"/>
        </w:rPr>
        <w:t xml:space="preserve">and this </w:t>
      </w:r>
      <w:r w:rsidRPr="00461D74">
        <w:rPr>
          <w:rFonts w:ascii="Garamond" w:hAnsi="Garamond" w:cstheme="minorHAnsi"/>
          <w:sz w:val="24"/>
          <w:szCs w:val="24"/>
        </w:rPr>
        <w:t>in a way</w:t>
      </w:r>
      <w:r w:rsidR="00A83135" w:rsidRPr="00461D74">
        <w:rPr>
          <w:rFonts w:ascii="Garamond" w:hAnsi="Garamond" w:cstheme="minorHAnsi"/>
          <w:sz w:val="24"/>
          <w:szCs w:val="24"/>
        </w:rPr>
        <w:t>,</w:t>
      </w:r>
      <w:r w:rsidRPr="00461D74">
        <w:rPr>
          <w:rFonts w:ascii="Garamond" w:hAnsi="Garamond" w:cstheme="minorHAnsi"/>
          <w:sz w:val="24"/>
          <w:szCs w:val="24"/>
        </w:rPr>
        <w:t xml:space="preserve"> </w:t>
      </w:r>
      <w:r w:rsidR="00A83135" w:rsidRPr="00461D74">
        <w:rPr>
          <w:rFonts w:ascii="Garamond" w:hAnsi="Garamond" w:cstheme="minorHAnsi"/>
          <w:sz w:val="24"/>
          <w:szCs w:val="24"/>
        </w:rPr>
        <w:t>foreshadows the</w:t>
      </w:r>
      <w:r w:rsidRPr="00461D74">
        <w:rPr>
          <w:rFonts w:ascii="Garamond" w:hAnsi="Garamond" w:cstheme="minorHAnsi"/>
          <w:sz w:val="24"/>
          <w:szCs w:val="24"/>
        </w:rPr>
        <w:t xml:space="preserve"> later developments</w:t>
      </w:r>
      <w:r w:rsidR="00DB21E1" w:rsidRPr="00461D74">
        <w:rPr>
          <w:rFonts w:ascii="Garamond" w:hAnsi="Garamond" w:cstheme="minorHAnsi"/>
          <w:sz w:val="24"/>
          <w:szCs w:val="24"/>
        </w:rPr>
        <w:t xml:space="preserve"> in which Renaissance Aristotelian s</w:t>
      </w:r>
      <w:r w:rsidR="00A83135" w:rsidRPr="00461D74">
        <w:rPr>
          <w:rFonts w:ascii="Garamond" w:hAnsi="Garamond" w:cstheme="minorHAnsi"/>
          <w:sz w:val="24"/>
          <w:szCs w:val="24"/>
        </w:rPr>
        <w:t>imilarly deviate from Aristotle</w:t>
      </w:r>
      <w:r w:rsidRPr="00461D74">
        <w:rPr>
          <w:rFonts w:ascii="Garamond" w:hAnsi="Garamond" w:cstheme="minorHAnsi"/>
          <w:sz w:val="24"/>
          <w:szCs w:val="24"/>
        </w:rPr>
        <w:t xml:space="preserve">. Aristotle’s account of moral education and moral knowledge focuses on practice and habituation, yet Aquinas’ natural law in a sense undermines the Aristotelian view, </w:t>
      </w:r>
      <w:r w:rsidR="00DB21E1" w:rsidRPr="00461D74">
        <w:rPr>
          <w:rFonts w:ascii="Garamond" w:hAnsi="Garamond" w:cstheme="minorHAnsi"/>
          <w:sz w:val="24"/>
          <w:szCs w:val="24"/>
        </w:rPr>
        <w:t xml:space="preserve">because </w:t>
      </w:r>
      <w:r w:rsidRPr="00461D74">
        <w:rPr>
          <w:rFonts w:ascii="Garamond" w:hAnsi="Garamond" w:cstheme="minorHAnsi"/>
          <w:sz w:val="24"/>
          <w:szCs w:val="24"/>
        </w:rPr>
        <w:t>for Aquinas</w:t>
      </w:r>
      <w:r w:rsidR="00DB21E1" w:rsidRPr="00461D74">
        <w:rPr>
          <w:rFonts w:ascii="Garamond" w:hAnsi="Garamond" w:cstheme="minorHAnsi"/>
          <w:sz w:val="24"/>
          <w:szCs w:val="24"/>
        </w:rPr>
        <w:t>,</w:t>
      </w:r>
      <w:r w:rsidRPr="00461D74">
        <w:rPr>
          <w:rFonts w:ascii="Garamond" w:hAnsi="Garamond" w:cstheme="minorHAnsi"/>
          <w:sz w:val="24"/>
          <w:szCs w:val="24"/>
        </w:rPr>
        <w:t xml:space="preserve"> human beings in virtue of </w:t>
      </w:r>
      <w:r w:rsidRPr="00461D74">
        <w:rPr>
          <w:rFonts w:ascii="Garamond" w:hAnsi="Garamond" w:cstheme="minorHAnsi"/>
          <w:sz w:val="24"/>
          <w:szCs w:val="24"/>
        </w:rPr>
        <w:lastRenderedPageBreak/>
        <w:t xml:space="preserve">their nature infallibly possess fundamental moral knowledge (the knowledge of important natural law precepts). Second, we observed that Aquinas’ natural law and its claims with respect to moral knowledge, sits uneasily with Aristotle’s account of moral education and moral knowledge. Third, we saw that Christian ethics appears to be in conflict with Aristotelian ethics. </w:t>
      </w:r>
      <w:proofErr w:type="spellStart"/>
      <w:r w:rsidRPr="00461D74">
        <w:rPr>
          <w:rFonts w:ascii="Garamond" w:hAnsi="Garamond" w:cstheme="minorHAnsi"/>
          <w:sz w:val="24"/>
          <w:szCs w:val="24"/>
        </w:rPr>
        <w:t>Schneewind</w:t>
      </w:r>
      <w:proofErr w:type="spellEnd"/>
      <w:r w:rsidRPr="00461D74">
        <w:rPr>
          <w:rFonts w:ascii="Garamond" w:hAnsi="Garamond" w:cstheme="minorHAnsi"/>
          <w:sz w:val="24"/>
          <w:szCs w:val="24"/>
        </w:rPr>
        <w:t xml:space="preserve"> and others have argued that Aristotelian ethics and his account of moral education and knowledge is </w:t>
      </w:r>
      <w:r w:rsidR="00DB21E1" w:rsidRPr="00461D74">
        <w:rPr>
          <w:rFonts w:ascii="Garamond" w:hAnsi="Garamond" w:cstheme="minorHAnsi"/>
          <w:sz w:val="24"/>
          <w:szCs w:val="24"/>
        </w:rPr>
        <w:t xml:space="preserve">much </w:t>
      </w:r>
      <w:r w:rsidRPr="00461D74">
        <w:rPr>
          <w:rFonts w:ascii="Garamond" w:hAnsi="Garamond" w:cstheme="minorHAnsi"/>
          <w:sz w:val="24"/>
          <w:szCs w:val="24"/>
        </w:rPr>
        <w:t xml:space="preserve">more suited to a hierarchical society; yet, </w:t>
      </w:r>
      <w:r w:rsidR="00DB21E1" w:rsidRPr="00461D74">
        <w:rPr>
          <w:rFonts w:ascii="Garamond" w:hAnsi="Garamond" w:cstheme="minorHAnsi"/>
          <w:sz w:val="24"/>
          <w:szCs w:val="24"/>
        </w:rPr>
        <w:t>historical-</w:t>
      </w:r>
      <w:r w:rsidRPr="00461D74">
        <w:rPr>
          <w:rFonts w:ascii="Garamond" w:hAnsi="Garamond" w:cstheme="minorHAnsi"/>
          <w:sz w:val="24"/>
          <w:szCs w:val="24"/>
        </w:rPr>
        <w:t xml:space="preserve">social forces had largely undermined the hierarchical social structure. In fact, Christian morality can be </w:t>
      </w:r>
      <w:r w:rsidR="00F102FD">
        <w:rPr>
          <w:rFonts w:ascii="Garamond" w:hAnsi="Garamond" w:cstheme="minorHAnsi"/>
          <w:sz w:val="24"/>
          <w:szCs w:val="24"/>
        </w:rPr>
        <w:t>fruitfully read</w:t>
      </w:r>
      <w:r w:rsidR="00F102FD" w:rsidRPr="00461D74">
        <w:rPr>
          <w:rFonts w:ascii="Garamond" w:hAnsi="Garamond" w:cstheme="minorHAnsi"/>
          <w:sz w:val="24"/>
          <w:szCs w:val="24"/>
        </w:rPr>
        <w:t xml:space="preserve"> </w:t>
      </w:r>
      <w:r w:rsidRPr="00461D74">
        <w:rPr>
          <w:rFonts w:ascii="Garamond" w:hAnsi="Garamond" w:cstheme="minorHAnsi"/>
          <w:sz w:val="24"/>
          <w:szCs w:val="24"/>
        </w:rPr>
        <w:t xml:space="preserve">as a rejection of hierarchy. Perhaps more emphatically, we could argue, as indeed was suggested by MacIntyre in </w:t>
      </w:r>
      <w:r w:rsidRPr="00461D74">
        <w:rPr>
          <w:rFonts w:ascii="Garamond" w:hAnsi="Garamond" w:cstheme="minorHAnsi"/>
          <w:i/>
          <w:iCs/>
          <w:sz w:val="24"/>
          <w:szCs w:val="24"/>
        </w:rPr>
        <w:t>Whose Justice</w:t>
      </w:r>
      <w:r w:rsidRPr="00461D74">
        <w:rPr>
          <w:rFonts w:ascii="Garamond" w:hAnsi="Garamond" w:cstheme="minorHAnsi"/>
          <w:sz w:val="24"/>
          <w:szCs w:val="24"/>
        </w:rPr>
        <w:t xml:space="preserve">, that Christian ethics has the resources to offer a resolution to the sort of problems which can emerge from the loss of the kind of social context in which there are explicitly defined hierarchical social roles such as those found in the polis. Recall that earlier, we considered a series of social-cum-historical events that point to changes in the social structure </w:t>
      </w:r>
      <w:r w:rsidR="00F102FD">
        <w:rPr>
          <w:rFonts w:ascii="Garamond" w:hAnsi="Garamond" w:cstheme="minorHAnsi"/>
          <w:sz w:val="24"/>
          <w:szCs w:val="24"/>
        </w:rPr>
        <w:t>– transformations</w:t>
      </w:r>
      <w:r w:rsidR="00F102FD" w:rsidRPr="00461D74">
        <w:rPr>
          <w:rFonts w:ascii="Garamond" w:hAnsi="Garamond" w:cstheme="minorHAnsi"/>
          <w:sz w:val="24"/>
          <w:szCs w:val="24"/>
        </w:rPr>
        <w:t xml:space="preserve"> </w:t>
      </w:r>
      <w:r w:rsidRPr="00461D74">
        <w:rPr>
          <w:rFonts w:ascii="Garamond" w:hAnsi="Garamond" w:cstheme="minorHAnsi"/>
          <w:sz w:val="24"/>
          <w:szCs w:val="24"/>
        </w:rPr>
        <w:t>that in light of hypothes</w:t>
      </w:r>
      <w:r w:rsidR="00B97A8C" w:rsidRPr="00461D74">
        <w:rPr>
          <w:rFonts w:ascii="Garamond" w:hAnsi="Garamond" w:cstheme="minorHAnsi"/>
          <w:sz w:val="24"/>
          <w:szCs w:val="24"/>
        </w:rPr>
        <w:t>e</w:t>
      </w:r>
      <w:r w:rsidRPr="00461D74">
        <w:rPr>
          <w:rFonts w:ascii="Garamond" w:hAnsi="Garamond" w:cstheme="minorHAnsi"/>
          <w:sz w:val="24"/>
          <w:szCs w:val="24"/>
        </w:rPr>
        <w:t xml:space="preserve">s (H3) and (H4) </w:t>
      </w:r>
      <w:r w:rsidR="00F102FD">
        <w:rPr>
          <w:rFonts w:ascii="Garamond" w:hAnsi="Garamond" w:cstheme="minorHAnsi"/>
          <w:sz w:val="24"/>
          <w:szCs w:val="24"/>
        </w:rPr>
        <w:t>(</w:t>
      </w:r>
      <w:r w:rsidRPr="00461D74">
        <w:rPr>
          <w:rFonts w:ascii="Garamond" w:hAnsi="Garamond" w:cstheme="minorHAnsi"/>
          <w:sz w:val="24"/>
          <w:szCs w:val="24"/>
        </w:rPr>
        <w:t>discussed in the previous chapter</w:t>
      </w:r>
      <w:r w:rsidR="00F102FD">
        <w:rPr>
          <w:rFonts w:ascii="Garamond" w:hAnsi="Garamond" w:cstheme="minorHAnsi"/>
          <w:sz w:val="24"/>
          <w:szCs w:val="24"/>
        </w:rPr>
        <w:t>) –</w:t>
      </w:r>
      <w:r w:rsidRPr="00461D74">
        <w:rPr>
          <w:rFonts w:ascii="Garamond" w:hAnsi="Garamond" w:cstheme="minorHAnsi"/>
          <w:sz w:val="24"/>
          <w:szCs w:val="24"/>
        </w:rPr>
        <w:t xml:space="preserve"> </w:t>
      </w:r>
      <w:r w:rsidR="00F102FD">
        <w:rPr>
          <w:rFonts w:ascii="Garamond" w:hAnsi="Garamond" w:cstheme="minorHAnsi"/>
          <w:sz w:val="24"/>
          <w:szCs w:val="24"/>
        </w:rPr>
        <w:t>affords us a reasonable account</w:t>
      </w:r>
      <w:r w:rsidRPr="00461D74">
        <w:rPr>
          <w:rFonts w:ascii="Garamond" w:hAnsi="Garamond" w:cstheme="minorHAnsi"/>
          <w:sz w:val="24"/>
          <w:szCs w:val="24"/>
        </w:rPr>
        <w:t xml:space="preserve"> for the decline of </w:t>
      </w:r>
      <w:r w:rsidR="00F102FD">
        <w:rPr>
          <w:rFonts w:ascii="Garamond" w:hAnsi="Garamond" w:cstheme="minorHAnsi"/>
          <w:sz w:val="24"/>
          <w:szCs w:val="24"/>
        </w:rPr>
        <w:t>the Aristotelian-</w:t>
      </w:r>
      <w:r w:rsidRPr="00461D74">
        <w:rPr>
          <w:rFonts w:ascii="Garamond" w:hAnsi="Garamond" w:cstheme="minorHAnsi"/>
          <w:sz w:val="24"/>
          <w:szCs w:val="24"/>
        </w:rPr>
        <w:t>Thomis</w:t>
      </w:r>
      <w:r w:rsidR="00F102FD">
        <w:rPr>
          <w:rFonts w:ascii="Garamond" w:hAnsi="Garamond" w:cstheme="minorHAnsi"/>
          <w:sz w:val="24"/>
          <w:szCs w:val="24"/>
        </w:rPr>
        <w:t>tic</w:t>
      </w:r>
      <w:r w:rsidRPr="00461D74">
        <w:rPr>
          <w:rFonts w:ascii="Garamond" w:hAnsi="Garamond" w:cstheme="minorHAnsi"/>
          <w:sz w:val="24"/>
          <w:szCs w:val="24"/>
        </w:rPr>
        <w:t xml:space="preserve"> tradition. </w:t>
      </w:r>
      <w:r w:rsidR="00DB21E1" w:rsidRPr="00461D74">
        <w:rPr>
          <w:rFonts w:ascii="Garamond" w:hAnsi="Garamond" w:cstheme="minorHAnsi"/>
          <w:sz w:val="24"/>
          <w:szCs w:val="24"/>
        </w:rPr>
        <w:t>Hence</w:t>
      </w:r>
      <w:r w:rsidRPr="00461D74">
        <w:rPr>
          <w:rFonts w:ascii="Garamond" w:hAnsi="Garamond" w:cstheme="minorHAnsi"/>
          <w:sz w:val="24"/>
          <w:szCs w:val="24"/>
        </w:rPr>
        <w:t xml:space="preserve">, it </w:t>
      </w:r>
      <w:r w:rsidR="00F102FD">
        <w:rPr>
          <w:rFonts w:ascii="Garamond" w:hAnsi="Garamond" w:cstheme="minorHAnsi"/>
          <w:sz w:val="24"/>
          <w:szCs w:val="24"/>
        </w:rPr>
        <w:t>seems</w:t>
      </w:r>
      <w:r w:rsidR="00F102FD" w:rsidRPr="00461D74">
        <w:rPr>
          <w:rFonts w:ascii="Garamond" w:hAnsi="Garamond" w:cstheme="minorHAnsi"/>
          <w:sz w:val="24"/>
          <w:szCs w:val="24"/>
        </w:rPr>
        <w:t xml:space="preserve"> </w:t>
      </w:r>
      <w:r w:rsidRPr="00461D74">
        <w:rPr>
          <w:rFonts w:ascii="Garamond" w:hAnsi="Garamond" w:cstheme="minorHAnsi"/>
          <w:sz w:val="24"/>
          <w:szCs w:val="24"/>
        </w:rPr>
        <w:t xml:space="preserve">more plausible to argue that </w:t>
      </w:r>
      <w:r w:rsidR="00353F21">
        <w:rPr>
          <w:rFonts w:ascii="Garamond" w:hAnsi="Garamond" w:cstheme="minorHAnsi"/>
          <w:sz w:val="24"/>
          <w:szCs w:val="24"/>
        </w:rPr>
        <w:t xml:space="preserve">a range of </w:t>
      </w:r>
      <w:r w:rsidRPr="00461D74">
        <w:rPr>
          <w:rFonts w:ascii="Garamond" w:hAnsi="Garamond" w:cstheme="minorHAnsi"/>
          <w:sz w:val="24"/>
          <w:szCs w:val="24"/>
        </w:rPr>
        <w:t xml:space="preserve">historical processes </w:t>
      </w:r>
      <w:r w:rsidR="006A6DE5" w:rsidRPr="00461D74">
        <w:rPr>
          <w:rFonts w:ascii="Garamond" w:hAnsi="Garamond" w:cstheme="minorHAnsi"/>
          <w:sz w:val="24"/>
          <w:szCs w:val="24"/>
        </w:rPr>
        <w:t>precipitated</w:t>
      </w:r>
      <w:r w:rsidRPr="00461D74">
        <w:rPr>
          <w:rFonts w:ascii="Garamond" w:hAnsi="Garamond" w:cstheme="minorHAnsi"/>
          <w:sz w:val="24"/>
          <w:szCs w:val="24"/>
        </w:rPr>
        <w:t xml:space="preserve"> the gradual collapse of </w:t>
      </w:r>
      <w:r w:rsidR="00301206" w:rsidRPr="00461D74">
        <w:rPr>
          <w:rFonts w:ascii="Garamond" w:hAnsi="Garamond" w:cstheme="minorHAnsi"/>
          <w:sz w:val="24"/>
          <w:szCs w:val="24"/>
        </w:rPr>
        <w:t xml:space="preserve">the social-cum-political relationships </w:t>
      </w:r>
      <w:r w:rsidR="006A6DE5" w:rsidRPr="00461D74">
        <w:rPr>
          <w:rFonts w:ascii="Garamond" w:hAnsi="Garamond" w:cstheme="minorHAnsi"/>
          <w:sz w:val="24"/>
          <w:szCs w:val="24"/>
        </w:rPr>
        <w:t>which</w:t>
      </w:r>
      <w:r w:rsidR="00301206" w:rsidRPr="00461D74">
        <w:rPr>
          <w:rFonts w:ascii="Garamond" w:hAnsi="Garamond" w:cstheme="minorHAnsi"/>
          <w:sz w:val="24"/>
          <w:szCs w:val="24"/>
        </w:rPr>
        <w:t xml:space="preserve"> sustained </w:t>
      </w:r>
      <w:r w:rsidRPr="00461D74">
        <w:rPr>
          <w:rFonts w:ascii="Garamond" w:hAnsi="Garamond" w:cstheme="minorHAnsi"/>
          <w:sz w:val="24"/>
          <w:szCs w:val="24"/>
        </w:rPr>
        <w:t>feudal society</w:t>
      </w:r>
      <w:r w:rsidR="00301206" w:rsidRPr="00461D74">
        <w:rPr>
          <w:rFonts w:ascii="Garamond" w:hAnsi="Garamond" w:cstheme="minorHAnsi"/>
          <w:sz w:val="24"/>
          <w:szCs w:val="24"/>
        </w:rPr>
        <w:t>. The older feudal relationships were</w:t>
      </w:r>
      <w:r w:rsidRPr="00461D74">
        <w:rPr>
          <w:rFonts w:ascii="Garamond" w:hAnsi="Garamond" w:cstheme="minorHAnsi"/>
          <w:sz w:val="24"/>
          <w:szCs w:val="24"/>
        </w:rPr>
        <w:t xml:space="preserve"> </w:t>
      </w:r>
      <w:r w:rsidR="00DB21E1" w:rsidRPr="00461D74">
        <w:rPr>
          <w:rFonts w:ascii="Garamond" w:hAnsi="Garamond" w:cstheme="minorHAnsi"/>
          <w:sz w:val="24"/>
          <w:szCs w:val="24"/>
        </w:rPr>
        <w:t xml:space="preserve">then </w:t>
      </w:r>
      <w:r w:rsidRPr="00461D74">
        <w:rPr>
          <w:rFonts w:ascii="Garamond" w:hAnsi="Garamond" w:cstheme="minorHAnsi"/>
          <w:sz w:val="24"/>
          <w:szCs w:val="24"/>
        </w:rPr>
        <w:t xml:space="preserve">replaced </w:t>
      </w:r>
      <w:r w:rsidR="00301206" w:rsidRPr="00461D74">
        <w:rPr>
          <w:rFonts w:ascii="Garamond" w:hAnsi="Garamond" w:cstheme="minorHAnsi"/>
          <w:sz w:val="24"/>
          <w:szCs w:val="24"/>
        </w:rPr>
        <w:t>with new set of social-cum-political relationships that came to define the later</w:t>
      </w:r>
      <w:r w:rsidRPr="00461D74">
        <w:rPr>
          <w:rFonts w:ascii="Garamond" w:hAnsi="Garamond" w:cstheme="minorHAnsi"/>
          <w:sz w:val="24"/>
          <w:szCs w:val="24"/>
        </w:rPr>
        <w:t xml:space="preserve"> social structure. Thus, the change in the social </w:t>
      </w:r>
      <w:r w:rsidR="00353F21">
        <w:rPr>
          <w:rFonts w:ascii="Garamond" w:hAnsi="Garamond" w:cstheme="minorHAnsi"/>
          <w:sz w:val="24"/>
          <w:szCs w:val="24"/>
        </w:rPr>
        <w:t>edifice</w:t>
      </w:r>
      <w:r w:rsidR="00353F21" w:rsidRPr="00461D74">
        <w:rPr>
          <w:rFonts w:ascii="Garamond" w:hAnsi="Garamond" w:cstheme="minorHAnsi"/>
          <w:sz w:val="24"/>
          <w:szCs w:val="24"/>
        </w:rPr>
        <w:t xml:space="preserve"> </w:t>
      </w:r>
      <w:r w:rsidRPr="00461D74">
        <w:rPr>
          <w:rFonts w:ascii="Garamond" w:hAnsi="Garamond" w:cstheme="minorHAnsi"/>
          <w:sz w:val="24"/>
          <w:szCs w:val="24"/>
        </w:rPr>
        <w:t>play</w:t>
      </w:r>
      <w:r w:rsidR="00353F21">
        <w:rPr>
          <w:rFonts w:ascii="Garamond" w:hAnsi="Garamond" w:cstheme="minorHAnsi"/>
          <w:sz w:val="24"/>
          <w:szCs w:val="24"/>
        </w:rPr>
        <w:t>ed</w:t>
      </w:r>
      <w:r w:rsidRPr="00461D74">
        <w:rPr>
          <w:rFonts w:ascii="Garamond" w:hAnsi="Garamond" w:cstheme="minorHAnsi"/>
          <w:sz w:val="24"/>
          <w:szCs w:val="24"/>
        </w:rPr>
        <w:t xml:space="preserve"> a crucial role in undermining the Aristotelian-Thomist tradition </w:t>
      </w:r>
      <w:r w:rsidR="00301206" w:rsidRPr="00461D74">
        <w:rPr>
          <w:rFonts w:ascii="Garamond" w:hAnsi="Garamond" w:cstheme="minorHAnsi"/>
          <w:sz w:val="24"/>
          <w:szCs w:val="24"/>
        </w:rPr>
        <w:t xml:space="preserve">and </w:t>
      </w:r>
      <w:r w:rsidRPr="00461D74">
        <w:rPr>
          <w:rFonts w:ascii="Garamond" w:hAnsi="Garamond" w:cstheme="minorHAnsi"/>
          <w:sz w:val="24"/>
          <w:szCs w:val="24"/>
        </w:rPr>
        <w:t xml:space="preserve">its </w:t>
      </w:r>
      <w:r w:rsidR="00353F21">
        <w:rPr>
          <w:rFonts w:ascii="Garamond" w:hAnsi="Garamond" w:cstheme="minorHAnsi"/>
          <w:sz w:val="24"/>
          <w:szCs w:val="24"/>
        </w:rPr>
        <w:t>corresponding</w:t>
      </w:r>
      <w:r w:rsidR="00353F21" w:rsidRPr="00461D74">
        <w:rPr>
          <w:rFonts w:ascii="Garamond" w:hAnsi="Garamond" w:cstheme="minorHAnsi"/>
          <w:sz w:val="24"/>
          <w:szCs w:val="24"/>
        </w:rPr>
        <w:t xml:space="preserve"> </w:t>
      </w:r>
      <w:r w:rsidRPr="00461D74">
        <w:rPr>
          <w:rFonts w:ascii="Garamond" w:hAnsi="Garamond" w:cstheme="minorHAnsi"/>
          <w:sz w:val="24"/>
          <w:szCs w:val="24"/>
        </w:rPr>
        <w:t>teleological/functional view of human nature.</w:t>
      </w:r>
    </w:p>
    <w:p w:rsidR="00016049" w:rsidRPr="00461D74" w:rsidRDefault="00301206"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Now, it is important to r</w:t>
      </w:r>
      <w:r w:rsidR="00016049" w:rsidRPr="00461D74">
        <w:rPr>
          <w:rFonts w:ascii="Garamond" w:hAnsi="Garamond" w:cstheme="minorHAnsi"/>
          <w:sz w:val="24"/>
          <w:szCs w:val="24"/>
        </w:rPr>
        <w:t>ecall that on MacI</w:t>
      </w:r>
      <w:r w:rsidR="001206D7" w:rsidRPr="00461D74">
        <w:rPr>
          <w:rFonts w:ascii="Garamond" w:hAnsi="Garamond" w:cstheme="minorHAnsi"/>
          <w:sz w:val="24"/>
          <w:szCs w:val="24"/>
        </w:rPr>
        <w:t>ntyre’s account of traditions</w:t>
      </w:r>
      <w:r w:rsidR="005F63AF" w:rsidRPr="00461D74">
        <w:rPr>
          <w:rFonts w:ascii="Garamond" w:hAnsi="Garamond" w:cstheme="minorHAnsi"/>
          <w:sz w:val="24"/>
          <w:szCs w:val="24"/>
        </w:rPr>
        <w:t xml:space="preserve"> </w:t>
      </w:r>
      <w:r w:rsidR="001206D7" w:rsidRPr="00461D74">
        <w:rPr>
          <w:rFonts w:ascii="Garamond" w:hAnsi="Garamond" w:cstheme="minorHAnsi"/>
          <w:sz w:val="24"/>
          <w:szCs w:val="24"/>
        </w:rPr>
        <w:t>–</w:t>
      </w:r>
      <w:r w:rsidR="005F63AF" w:rsidRPr="00461D74">
        <w:rPr>
          <w:rFonts w:ascii="Garamond" w:hAnsi="Garamond" w:cstheme="minorHAnsi"/>
          <w:sz w:val="24"/>
          <w:szCs w:val="24"/>
        </w:rPr>
        <w:t xml:space="preserve"> </w:t>
      </w:r>
      <w:r w:rsidR="00016049" w:rsidRPr="00461D74">
        <w:rPr>
          <w:rFonts w:ascii="Garamond" w:hAnsi="Garamond" w:cstheme="minorHAnsi"/>
          <w:sz w:val="24"/>
          <w:szCs w:val="24"/>
        </w:rPr>
        <w:t>seen as diachronic arguments extended in history that are sensitive to new social problems</w:t>
      </w:r>
      <w:r w:rsidR="0009083C">
        <w:rPr>
          <w:rFonts w:ascii="Garamond" w:hAnsi="Garamond" w:cstheme="minorHAnsi"/>
          <w:sz w:val="24"/>
          <w:szCs w:val="24"/>
        </w:rPr>
        <w:t>,</w:t>
      </w:r>
      <w:r w:rsidR="00016049" w:rsidRPr="00461D74">
        <w:rPr>
          <w:rFonts w:ascii="Garamond" w:hAnsi="Garamond" w:cstheme="minorHAnsi"/>
          <w:sz w:val="24"/>
          <w:szCs w:val="24"/>
        </w:rPr>
        <w:t xml:space="preserve"> </w:t>
      </w:r>
      <w:r w:rsidR="00FA51EA">
        <w:rPr>
          <w:rFonts w:ascii="Garamond" w:hAnsi="Garamond" w:cstheme="minorHAnsi"/>
          <w:sz w:val="24"/>
          <w:szCs w:val="24"/>
        </w:rPr>
        <w:t>which</w:t>
      </w:r>
      <w:r w:rsidR="00FA51EA"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emerge </w:t>
      </w:r>
      <w:r w:rsidR="00FA51EA">
        <w:rPr>
          <w:rFonts w:ascii="Garamond" w:hAnsi="Garamond" w:cstheme="minorHAnsi"/>
          <w:sz w:val="24"/>
          <w:szCs w:val="24"/>
        </w:rPr>
        <w:t>as a consequence of</w:t>
      </w:r>
      <w:r w:rsidR="00FA51EA"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w:t>
      </w:r>
      <w:r w:rsidR="0009083C">
        <w:rPr>
          <w:rFonts w:ascii="Garamond" w:hAnsi="Garamond" w:cstheme="minorHAnsi"/>
          <w:sz w:val="24"/>
          <w:szCs w:val="24"/>
        </w:rPr>
        <w:t>variations</w:t>
      </w:r>
      <w:r w:rsidR="0009083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the material </w:t>
      </w:r>
      <w:r w:rsidR="001206D7" w:rsidRPr="00461D74">
        <w:rPr>
          <w:rFonts w:ascii="Garamond" w:hAnsi="Garamond" w:cstheme="minorHAnsi"/>
          <w:sz w:val="24"/>
          <w:szCs w:val="24"/>
        </w:rPr>
        <w:t xml:space="preserve">conditions </w:t>
      </w:r>
      <w:r w:rsidR="0009083C">
        <w:rPr>
          <w:rFonts w:ascii="Garamond" w:hAnsi="Garamond" w:cstheme="minorHAnsi"/>
          <w:sz w:val="24"/>
          <w:szCs w:val="24"/>
        </w:rPr>
        <w:t>that are constitutive of the</w:t>
      </w:r>
      <w:r w:rsidR="001206D7" w:rsidRPr="00461D74">
        <w:rPr>
          <w:rFonts w:ascii="Garamond" w:hAnsi="Garamond" w:cstheme="minorHAnsi"/>
          <w:sz w:val="24"/>
          <w:szCs w:val="24"/>
        </w:rPr>
        <w:t xml:space="preserve"> social </w:t>
      </w:r>
      <w:r w:rsidR="0009083C">
        <w:rPr>
          <w:rFonts w:ascii="Garamond" w:hAnsi="Garamond" w:cstheme="minorHAnsi"/>
          <w:sz w:val="24"/>
          <w:szCs w:val="24"/>
        </w:rPr>
        <w:t>edifice</w:t>
      </w:r>
      <w:r w:rsidR="0009083C" w:rsidRPr="00461D74">
        <w:rPr>
          <w:rFonts w:ascii="Garamond" w:hAnsi="Garamond" w:cstheme="minorHAnsi"/>
          <w:sz w:val="24"/>
          <w:szCs w:val="24"/>
        </w:rPr>
        <w:t xml:space="preserve"> </w:t>
      </w:r>
      <w:r w:rsidR="001206D7" w:rsidRPr="00461D74">
        <w:rPr>
          <w:rFonts w:ascii="Garamond" w:hAnsi="Garamond" w:cstheme="minorHAnsi"/>
          <w:sz w:val="24"/>
          <w:szCs w:val="24"/>
        </w:rPr>
        <w:t>–</w:t>
      </w:r>
      <w:r w:rsidR="005F63AF"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occur in an historical series where earlier traditions are surpassed by later ones. </w:t>
      </w:r>
      <w:r w:rsidR="004A47A8" w:rsidRPr="00461D74">
        <w:rPr>
          <w:rFonts w:ascii="Garamond" w:hAnsi="Garamond" w:cstheme="minorHAnsi"/>
          <w:sz w:val="24"/>
          <w:szCs w:val="24"/>
        </w:rPr>
        <w:t>Nevertheless,</w:t>
      </w:r>
      <w:r w:rsidR="00016049" w:rsidRPr="00461D74">
        <w:rPr>
          <w:rFonts w:ascii="Garamond" w:hAnsi="Garamond" w:cstheme="minorHAnsi"/>
          <w:sz w:val="24"/>
          <w:szCs w:val="24"/>
        </w:rPr>
        <w:t xml:space="preserve"> it </w:t>
      </w:r>
      <w:r w:rsidR="004A47A8" w:rsidRPr="00461D74">
        <w:rPr>
          <w:rFonts w:ascii="Garamond" w:hAnsi="Garamond" w:cstheme="minorHAnsi"/>
          <w:sz w:val="24"/>
          <w:szCs w:val="24"/>
        </w:rPr>
        <w:t>would appear</w:t>
      </w:r>
      <w:r w:rsidR="00016049" w:rsidRPr="00461D74">
        <w:rPr>
          <w:rFonts w:ascii="Garamond" w:hAnsi="Garamond" w:cstheme="minorHAnsi"/>
          <w:sz w:val="24"/>
          <w:szCs w:val="24"/>
        </w:rPr>
        <w:t xml:space="preserve"> </w:t>
      </w:r>
      <w:r w:rsidR="00016049" w:rsidRPr="00461D74">
        <w:rPr>
          <w:rFonts w:ascii="Garamond" w:hAnsi="Garamond" w:cstheme="minorHAnsi"/>
          <w:sz w:val="24"/>
          <w:szCs w:val="24"/>
        </w:rPr>
        <w:lastRenderedPageBreak/>
        <w:t>that the Aristotelian-Thomist</w:t>
      </w:r>
      <w:r w:rsidR="004A47A8" w:rsidRPr="00461D74">
        <w:rPr>
          <w:rFonts w:ascii="Garamond" w:hAnsi="Garamond" w:cstheme="minorHAnsi"/>
          <w:sz w:val="24"/>
          <w:szCs w:val="24"/>
        </w:rPr>
        <w:t>ic</w:t>
      </w:r>
      <w:r w:rsidR="00016049" w:rsidRPr="00461D74">
        <w:rPr>
          <w:rFonts w:ascii="Garamond" w:hAnsi="Garamond" w:cstheme="minorHAnsi"/>
          <w:sz w:val="24"/>
          <w:szCs w:val="24"/>
        </w:rPr>
        <w:t xml:space="preserve"> tradition was in fact surpassed in the historical march of moral traditions. </w:t>
      </w:r>
      <w:r w:rsidR="004A47A8" w:rsidRPr="00461D74">
        <w:rPr>
          <w:rFonts w:ascii="Garamond" w:hAnsi="Garamond" w:cstheme="minorHAnsi"/>
          <w:sz w:val="24"/>
          <w:szCs w:val="24"/>
        </w:rPr>
        <w:t xml:space="preserve">Now, because MacIntyre identifies as an Aristotelian-Thomist, it seems that he takes it upon himself to show why the tradition he ultimately endorses, </w:t>
      </w:r>
      <w:r w:rsidR="0009083C">
        <w:rPr>
          <w:rFonts w:ascii="Garamond" w:hAnsi="Garamond" w:cstheme="minorHAnsi"/>
          <w:sz w:val="24"/>
          <w:szCs w:val="24"/>
        </w:rPr>
        <w:t>seems</w:t>
      </w:r>
      <w:r w:rsidR="0009083C" w:rsidRPr="00461D74">
        <w:rPr>
          <w:rFonts w:ascii="Garamond" w:hAnsi="Garamond" w:cstheme="minorHAnsi"/>
          <w:sz w:val="24"/>
          <w:szCs w:val="24"/>
        </w:rPr>
        <w:t xml:space="preserve"> </w:t>
      </w:r>
      <w:r w:rsidR="004A47A8" w:rsidRPr="00461D74">
        <w:rPr>
          <w:rFonts w:ascii="Garamond" w:hAnsi="Garamond" w:cstheme="minorHAnsi"/>
          <w:sz w:val="24"/>
          <w:szCs w:val="24"/>
        </w:rPr>
        <w:t xml:space="preserve">to be in conflict with his historical account of tradition-guided moral inquiry. </w:t>
      </w:r>
      <w:r w:rsidR="00016049" w:rsidRPr="00461D74">
        <w:rPr>
          <w:rFonts w:ascii="Garamond" w:hAnsi="Garamond" w:cstheme="minorHAnsi"/>
          <w:sz w:val="24"/>
          <w:szCs w:val="24"/>
        </w:rPr>
        <w:t>Of course I already stated that MacIntyre isn’t beholden to any kind of absolute view of moral progress, or traditions as historically progressive where later traditions are always superior to earlier ones. Still</w:t>
      </w:r>
      <w:r w:rsidR="008E764A">
        <w:rPr>
          <w:rFonts w:ascii="Garamond" w:hAnsi="Garamond" w:cstheme="minorHAnsi"/>
          <w:sz w:val="24"/>
          <w:szCs w:val="24"/>
        </w:rPr>
        <w:t>,</w:t>
      </w:r>
      <w:r w:rsidR="00016049" w:rsidRPr="00461D74">
        <w:rPr>
          <w:rFonts w:ascii="Garamond" w:hAnsi="Garamond" w:cstheme="minorHAnsi"/>
          <w:sz w:val="24"/>
          <w:szCs w:val="24"/>
        </w:rPr>
        <w:t xml:space="preserve"> he needs to </w:t>
      </w:r>
      <w:r w:rsidR="004F0E27" w:rsidRPr="00461D74">
        <w:rPr>
          <w:rFonts w:ascii="Garamond" w:hAnsi="Garamond" w:cstheme="minorHAnsi"/>
          <w:sz w:val="24"/>
          <w:szCs w:val="24"/>
        </w:rPr>
        <w:t xml:space="preserve">offer us compelling reasons as to why we should accept his thesis that </w:t>
      </w:r>
      <w:r w:rsidR="00016049" w:rsidRPr="00461D74">
        <w:rPr>
          <w:rFonts w:ascii="Garamond" w:hAnsi="Garamond" w:cstheme="minorHAnsi"/>
          <w:sz w:val="24"/>
          <w:szCs w:val="24"/>
        </w:rPr>
        <w:t xml:space="preserve">Aristotelian-Thomism was </w:t>
      </w:r>
      <w:r w:rsidR="004A47A8" w:rsidRPr="00461D74">
        <w:rPr>
          <w:rFonts w:ascii="Garamond" w:hAnsi="Garamond" w:cstheme="minorHAnsi"/>
          <w:sz w:val="24"/>
          <w:szCs w:val="24"/>
        </w:rPr>
        <w:t>dislodged from its rightful place</w:t>
      </w:r>
      <w:r w:rsidR="004F0E27" w:rsidRPr="00461D74">
        <w:rPr>
          <w:rFonts w:ascii="Garamond" w:hAnsi="Garamond" w:cstheme="minorHAnsi"/>
          <w:sz w:val="24"/>
          <w:szCs w:val="24"/>
        </w:rPr>
        <w:t xml:space="preserve">, and consequently, </w:t>
      </w:r>
      <w:r w:rsidR="00016049" w:rsidRPr="00461D74">
        <w:rPr>
          <w:rFonts w:ascii="Garamond" w:hAnsi="Garamond" w:cstheme="minorHAnsi"/>
          <w:sz w:val="24"/>
          <w:szCs w:val="24"/>
        </w:rPr>
        <w:t xml:space="preserve">why the loss </w:t>
      </w:r>
      <w:r w:rsidR="004F0E27" w:rsidRPr="00461D74">
        <w:rPr>
          <w:rFonts w:ascii="Garamond" w:hAnsi="Garamond" w:cstheme="minorHAnsi"/>
          <w:sz w:val="24"/>
          <w:szCs w:val="24"/>
        </w:rPr>
        <w:t>of that tradition was in fact misguided</w:t>
      </w:r>
      <w:r w:rsidR="00810752" w:rsidRPr="00461D74">
        <w:rPr>
          <w:rFonts w:ascii="Garamond" w:hAnsi="Garamond" w:cstheme="minorHAnsi"/>
          <w:sz w:val="24"/>
          <w:szCs w:val="24"/>
        </w:rPr>
        <w:t>.</w:t>
      </w:r>
    </w:p>
    <w:p w:rsidR="00016049" w:rsidRPr="00461D74" w:rsidRDefault="00016049" w:rsidP="00164E4D">
      <w:pPr>
        <w:spacing w:line="360" w:lineRule="auto"/>
        <w:jc w:val="both"/>
        <w:rPr>
          <w:rFonts w:ascii="Garamond" w:hAnsi="Garamond" w:cstheme="minorHAnsi"/>
          <w:sz w:val="24"/>
          <w:szCs w:val="24"/>
        </w:rPr>
      </w:pPr>
      <w:r w:rsidRPr="00461D74">
        <w:rPr>
          <w:rFonts w:ascii="Garamond" w:hAnsi="Garamond" w:cstheme="minorHAnsi"/>
          <w:sz w:val="24"/>
          <w:szCs w:val="24"/>
        </w:rPr>
        <w:tab/>
        <w:t xml:space="preserve">Thus </w:t>
      </w:r>
      <w:r w:rsidR="00C96BA9" w:rsidRPr="00461D74">
        <w:rPr>
          <w:rFonts w:ascii="Garamond" w:hAnsi="Garamond" w:cstheme="minorHAnsi"/>
          <w:sz w:val="24"/>
          <w:szCs w:val="24"/>
        </w:rPr>
        <w:t>a sound</w:t>
      </w:r>
      <w:r w:rsidRPr="00461D74">
        <w:rPr>
          <w:rFonts w:ascii="Garamond" w:hAnsi="Garamond" w:cstheme="minorHAnsi"/>
          <w:sz w:val="24"/>
          <w:szCs w:val="24"/>
        </w:rPr>
        <w:t xml:space="preserve"> </w:t>
      </w:r>
      <w:r w:rsidR="00C96BA9" w:rsidRPr="00461D74">
        <w:rPr>
          <w:rFonts w:ascii="Garamond" w:hAnsi="Garamond" w:cstheme="minorHAnsi"/>
          <w:sz w:val="24"/>
          <w:szCs w:val="24"/>
        </w:rPr>
        <w:t>justification</w:t>
      </w:r>
      <w:r w:rsidRPr="00461D74">
        <w:rPr>
          <w:rFonts w:ascii="Garamond" w:hAnsi="Garamond" w:cstheme="minorHAnsi"/>
          <w:sz w:val="24"/>
          <w:szCs w:val="24"/>
        </w:rPr>
        <w:t xml:space="preserve"> </w:t>
      </w:r>
      <w:r w:rsidR="00C96BA9" w:rsidRPr="00461D74">
        <w:rPr>
          <w:rFonts w:ascii="Garamond" w:hAnsi="Garamond" w:cstheme="minorHAnsi"/>
          <w:sz w:val="24"/>
          <w:szCs w:val="24"/>
        </w:rPr>
        <w:t>for</w:t>
      </w:r>
      <w:r w:rsidRPr="00461D74">
        <w:rPr>
          <w:rFonts w:ascii="Garamond" w:hAnsi="Garamond" w:cstheme="minorHAnsi"/>
          <w:sz w:val="24"/>
          <w:szCs w:val="24"/>
        </w:rPr>
        <w:t xml:space="preserve"> MacIntyre’s genealogy rests on whether it is successful in answering the following question: how helpful is MacIntyre’s genealogy in </w:t>
      </w:r>
      <w:r w:rsidR="00C96BA9" w:rsidRPr="00461D74">
        <w:rPr>
          <w:rFonts w:ascii="Garamond" w:hAnsi="Garamond" w:cstheme="minorHAnsi"/>
          <w:sz w:val="24"/>
          <w:szCs w:val="24"/>
        </w:rPr>
        <w:t>demonstrating</w:t>
      </w:r>
      <w:r w:rsidRPr="00461D74">
        <w:rPr>
          <w:rFonts w:ascii="Garamond" w:hAnsi="Garamond" w:cstheme="minorHAnsi"/>
          <w:sz w:val="24"/>
          <w:szCs w:val="24"/>
        </w:rPr>
        <w:t xml:space="preserve"> </w:t>
      </w:r>
      <w:r w:rsidR="00C96BA9" w:rsidRPr="00461D74">
        <w:rPr>
          <w:rFonts w:ascii="Garamond" w:hAnsi="Garamond" w:cstheme="minorHAnsi"/>
          <w:sz w:val="24"/>
          <w:szCs w:val="24"/>
        </w:rPr>
        <w:t xml:space="preserve">that </w:t>
      </w:r>
      <w:r w:rsidRPr="00461D74">
        <w:rPr>
          <w:rFonts w:ascii="Garamond" w:hAnsi="Garamond" w:cstheme="minorHAnsi"/>
          <w:sz w:val="24"/>
          <w:szCs w:val="24"/>
        </w:rPr>
        <w:t xml:space="preserve">the </w:t>
      </w:r>
      <w:r w:rsidR="00C96BA9" w:rsidRPr="00461D74">
        <w:rPr>
          <w:rFonts w:ascii="Garamond" w:hAnsi="Garamond" w:cstheme="minorHAnsi"/>
          <w:sz w:val="24"/>
          <w:szCs w:val="24"/>
        </w:rPr>
        <w:t xml:space="preserve">corruption, and subsequent loss, of Aristotelian-Thomistic ethics and its corresponding teleology, </w:t>
      </w:r>
      <w:r w:rsidR="00B517D0" w:rsidRPr="00461D74">
        <w:rPr>
          <w:rFonts w:ascii="Garamond" w:hAnsi="Garamond" w:cstheme="minorHAnsi"/>
          <w:sz w:val="24"/>
          <w:szCs w:val="24"/>
        </w:rPr>
        <w:t>is</w:t>
      </w:r>
      <w:r w:rsidR="00C96BA9" w:rsidRPr="00461D74">
        <w:rPr>
          <w:rFonts w:ascii="Garamond" w:hAnsi="Garamond" w:cstheme="minorHAnsi"/>
          <w:sz w:val="24"/>
          <w:szCs w:val="24"/>
        </w:rPr>
        <w:t xml:space="preserve"> best understood as an unfortunate consequence of </w:t>
      </w:r>
      <w:r w:rsidR="00B517D0" w:rsidRPr="00461D74">
        <w:rPr>
          <w:rFonts w:ascii="Garamond" w:hAnsi="Garamond" w:cstheme="minorHAnsi"/>
          <w:sz w:val="24"/>
          <w:szCs w:val="24"/>
        </w:rPr>
        <w:t>crucial</w:t>
      </w:r>
      <w:r w:rsidR="00C96BA9" w:rsidRPr="00461D74">
        <w:rPr>
          <w:rFonts w:ascii="Garamond" w:hAnsi="Garamond" w:cstheme="minorHAnsi"/>
          <w:sz w:val="24"/>
          <w:szCs w:val="24"/>
        </w:rPr>
        <w:t xml:space="preserve"> </w:t>
      </w:r>
      <w:r w:rsidRPr="00461D74">
        <w:rPr>
          <w:rFonts w:ascii="Garamond" w:hAnsi="Garamond" w:cstheme="minorHAnsi"/>
          <w:sz w:val="24"/>
          <w:szCs w:val="24"/>
        </w:rPr>
        <w:t xml:space="preserve">mistakes </w:t>
      </w:r>
      <w:r w:rsidR="00B517D0" w:rsidRPr="00461D74">
        <w:rPr>
          <w:rFonts w:ascii="Garamond" w:hAnsi="Garamond" w:cstheme="minorHAnsi"/>
          <w:sz w:val="24"/>
          <w:szCs w:val="24"/>
        </w:rPr>
        <w:t xml:space="preserve">on the part of </w:t>
      </w:r>
      <w:r w:rsidRPr="00461D74">
        <w:rPr>
          <w:rFonts w:ascii="Garamond" w:hAnsi="Garamond" w:cstheme="minorHAnsi"/>
          <w:sz w:val="24"/>
          <w:szCs w:val="24"/>
        </w:rPr>
        <w:t>Renaissance Aristotelians</w:t>
      </w:r>
      <w:r w:rsidR="00B517D0" w:rsidRPr="00461D74">
        <w:rPr>
          <w:rFonts w:ascii="Garamond" w:hAnsi="Garamond" w:cstheme="minorHAnsi"/>
          <w:sz w:val="24"/>
          <w:szCs w:val="24"/>
        </w:rPr>
        <w:t xml:space="preserve"> such as </w:t>
      </w:r>
      <w:proofErr w:type="spellStart"/>
      <w:r w:rsidR="00B517D0" w:rsidRPr="00461D74">
        <w:rPr>
          <w:rFonts w:ascii="Garamond" w:hAnsi="Garamond" w:cstheme="minorHAnsi"/>
          <w:sz w:val="24"/>
          <w:szCs w:val="24"/>
        </w:rPr>
        <w:t>Piccolomini</w:t>
      </w:r>
      <w:proofErr w:type="spellEnd"/>
      <w:r w:rsidR="00B517D0" w:rsidRPr="00461D74">
        <w:rPr>
          <w:rFonts w:ascii="Garamond" w:hAnsi="Garamond" w:cstheme="minorHAnsi"/>
          <w:sz w:val="24"/>
          <w:szCs w:val="24"/>
        </w:rPr>
        <w:t>?</w:t>
      </w:r>
      <w:r w:rsidR="00C96BA9" w:rsidRPr="00461D74">
        <w:rPr>
          <w:rFonts w:ascii="Garamond" w:hAnsi="Garamond" w:cstheme="minorHAnsi"/>
          <w:sz w:val="24"/>
          <w:szCs w:val="24"/>
        </w:rPr>
        <w:t xml:space="preserve"> </w:t>
      </w:r>
      <w:r w:rsidR="00EF62A7" w:rsidRPr="00461D74">
        <w:rPr>
          <w:rFonts w:ascii="Garamond" w:hAnsi="Garamond" w:cstheme="minorHAnsi"/>
          <w:sz w:val="24"/>
          <w:szCs w:val="24"/>
        </w:rPr>
        <w:t xml:space="preserve">And </w:t>
      </w:r>
      <w:r w:rsidR="008E764A">
        <w:rPr>
          <w:rFonts w:ascii="Garamond" w:hAnsi="Garamond" w:cstheme="minorHAnsi"/>
          <w:sz w:val="24"/>
          <w:szCs w:val="24"/>
        </w:rPr>
        <w:t>is</w:t>
      </w:r>
      <w:r w:rsidR="00EF62A7" w:rsidRPr="00461D74">
        <w:rPr>
          <w:rFonts w:ascii="Garamond" w:hAnsi="Garamond" w:cstheme="minorHAnsi"/>
          <w:sz w:val="24"/>
          <w:szCs w:val="24"/>
        </w:rPr>
        <w:t xml:space="preserve"> this explanation is adequate for the purpose of reviving</w:t>
      </w:r>
      <w:r w:rsidRPr="00461D74">
        <w:rPr>
          <w:rFonts w:ascii="Garamond" w:hAnsi="Garamond" w:cstheme="minorHAnsi"/>
          <w:sz w:val="24"/>
          <w:szCs w:val="24"/>
        </w:rPr>
        <w:t xml:space="preserve"> at least some aspects of the teleological/functional view of human </w:t>
      </w:r>
      <w:r w:rsidR="00EF62A7" w:rsidRPr="00461D74">
        <w:rPr>
          <w:rFonts w:ascii="Garamond" w:hAnsi="Garamond" w:cstheme="minorHAnsi"/>
          <w:sz w:val="24"/>
          <w:szCs w:val="24"/>
        </w:rPr>
        <w:t>nature contained in that tradition</w:t>
      </w:r>
      <w:r w:rsidRPr="00461D74">
        <w:rPr>
          <w:rFonts w:ascii="Garamond" w:hAnsi="Garamond" w:cstheme="minorHAnsi"/>
          <w:sz w:val="24"/>
          <w:szCs w:val="24"/>
        </w:rPr>
        <w:t xml:space="preserve">? </w:t>
      </w:r>
      <w:r w:rsidR="00456A9F" w:rsidRPr="00461D74">
        <w:rPr>
          <w:rFonts w:ascii="Garamond" w:hAnsi="Garamond" w:cstheme="minorHAnsi"/>
          <w:sz w:val="24"/>
          <w:szCs w:val="24"/>
        </w:rPr>
        <w:t>I</w:t>
      </w:r>
      <w:r w:rsidRPr="00461D74">
        <w:rPr>
          <w:rFonts w:ascii="Garamond" w:hAnsi="Garamond" w:cstheme="minorHAnsi"/>
          <w:sz w:val="24"/>
          <w:szCs w:val="24"/>
        </w:rPr>
        <w:t xml:space="preserve"> should </w:t>
      </w:r>
      <w:r w:rsidR="00456A9F" w:rsidRPr="00461D74">
        <w:rPr>
          <w:rFonts w:ascii="Garamond" w:hAnsi="Garamond" w:cstheme="minorHAnsi"/>
          <w:sz w:val="24"/>
          <w:szCs w:val="24"/>
        </w:rPr>
        <w:t>emphasize</w:t>
      </w:r>
      <w:r w:rsidRPr="00461D74">
        <w:rPr>
          <w:rFonts w:ascii="Garamond" w:hAnsi="Garamond" w:cstheme="minorHAnsi"/>
          <w:sz w:val="24"/>
          <w:szCs w:val="24"/>
        </w:rPr>
        <w:t xml:space="preserve"> that the price of failure here is rather high; for if MacIntyre fails to demonstrate why the Aristotelian-Thomist tradition was prematurely sidelined, or at least show us that the Aristotelian-Thomistic tradition contains important insights that make it of considerable value, his own position as an Aristotelian-Thomist is in peril.</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Setting aside the criticisms I have advanced against MacIntyre’s genealogical argument thus far, let us suppose for a moment his account is more or less correct, at least as a possible description of a series of events </w:t>
      </w:r>
      <w:r w:rsidR="00F71AA1" w:rsidRPr="00461D74">
        <w:rPr>
          <w:rFonts w:ascii="Garamond" w:hAnsi="Garamond" w:cstheme="minorHAnsi"/>
          <w:sz w:val="24"/>
          <w:szCs w:val="24"/>
        </w:rPr>
        <w:t>which</w:t>
      </w:r>
      <w:r w:rsidRPr="00461D74">
        <w:rPr>
          <w:rFonts w:ascii="Garamond" w:hAnsi="Garamond" w:cstheme="minorHAnsi"/>
          <w:sz w:val="24"/>
          <w:szCs w:val="24"/>
        </w:rPr>
        <w:t xml:space="preserve"> together </w:t>
      </w:r>
      <w:r w:rsidR="00F71AA1" w:rsidRPr="00461D74">
        <w:rPr>
          <w:rFonts w:ascii="Garamond" w:hAnsi="Garamond" w:cstheme="minorHAnsi"/>
          <w:sz w:val="24"/>
          <w:szCs w:val="24"/>
        </w:rPr>
        <w:t>hastened</w:t>
      </w:r>
      <w:r w:rsidRPr="00461D74">
        <w:rPr>
          <w:rFonts w:ascii="Garamond" w:hAnsi="Garamond" w:cstheme="minorHAnsi"/>
          <w:sz w:val="24"/>
          <w:szCs w:val="24"/>
        </w:rPr>
        <w:t xml:space="preserve"> the marginalization of the Aristotelian-Thomistic tradition. If we accept MacIntyre’s genealogy as a more or less correct description of a number of historical events, it might be possible for him to argue that the Aristotelian-</w:t>
      </w:r>
      <w:r w:rsidRPr="00461D74">
        <w:rPr>
          <w:rFonts w:ascii="Garamond" w:hAnsi="Garamond" w:cstheme="minorHAnsi"/>
          <w:sz w:val="24"/>
          <w:szCs w:val="24"/>
        </w:rPr>
        <w:lastRenderedPageBreak/>
        <w:t xml:space="preserve">Thomistic teleological insights weren’t really displaced in the advance of moral traditions. I will now briefly review a possible line of argument MacIntyre can deploy to counter the criticisms I’ve advanced in </w:t>
      </w:r>
      <w:r w:rsidR="003D4C56">
        <w:rPr>
          <w:rFonts w:ascii="Garamond" w:hAnsi="Garamond" w:cstheme="minorHAnsi"/>
          <w:sz w:val="24"/>
          <w:szCs w:val="24"/>
        </w:rPr>
        <w:t>the</w:t>
      </w:r>
      <w:r w:rsidR="003D4C56" w:rsidRPr="00461D74">
        <w:rPr>
          <w:rFonts w:ascii="Garamond" w:hAnsi="Garamond" w:cstheme="minorHAnsi"/>
          <w:sz w:val="24"/>
          <w:szCs w:val="24"/>
        </w:rPr>
        <w:t xml:space="preserve"> </w:t>
      </w:r>
      <w:r w:rsidR="003D4C56">
        <w:rPr>
          <w:rFonts w:ascii="Garamond" w:hAnsi="Garamond" w:cstheme="minorHAnsi"/>
          <w:sz w:val="24"/>
          <w:szCs w:val="24"/>
        </w:rPr>
        <w:t xml:space="preserve">above </w:t>
      </w:r>
      <w:r w:rsidRPr="00461D74">
        <w:rPr>
          <w:rFonts w:ascii="Garamond" w:hAnsi="Garamond" w:cstheme="minorHAnsi"/>
          <w:sz w:val="24"/>
          <w:szCs w:val="24"/>
        </w:rPr>
        <w:t xml:space="preserve">discussion of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and Aquinas.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stated that the goal of this historical narrative (genealogy) was to reveal how the Aristotelian and Thomistic teleological world view, and more specifically the teleological/functional view of human nature, came to be displaced in the historical transition to the modern era. What MacIntyre is really after is recovering what he considers are essential teleological (or functional) resources from the Thomistic tradition to use in our contemporary ethics, since he knows full well that given the drastic differences that separate our contemporary social circumstance from that of Aquinas, we cannot possibly </w:t>
      </w:r>
      <w:r w:rsidR="00D40B64">
        <w:rPr>
          <w:rFonts w:ascii="Garamond" w:hAnsi="Garamond" w:cstheme="minorHAnsi"/>
          <w:sz w:val="24"/>
          <w:szCs w:val="24"/>
        </w:rPr>
        <w:t xml:space="preserve">have any reasonable hope of </w:t>
      </w:r>
      <w:r w:rsidRPr="00461D74">
        <w:rPr>
          <w:rFonts w:ascii="Garamond" w:hAnsi="Garamond" w:cstheme="minorHAnsi"/>
          <w:sz w:val="24"/>
          <w:szCs w:val="24"/>
        </w:rPr>
        <w:t>recover</w:t>
      </w:r>
      <w:r w:rsidR="00D40B64">
        <w:rPr>
          <w:rFonts w:ascii="Garamond" w:hAnsi="Garamond" w:cstheme="minorHAnsi"/>
          <w:sz w:val="24"/>
          <w:szCs w:val="24"/>
        </w:rPr>
        <w:t>ing</w:t>
      </w:r>
      <w:r w:rsidRPr="00461D74">
        <w:rPr>
          <w:rFonts w:ascii="Garamond" w:hAnsi="Garamond" w:cstheme="minorHAnsi"/>
          <w:sz w:val="24"/>
          <w:szCs w:val="24"/>
        </w:rPr>
        <w:t xml:space="preserve"> all of the Aristotelian-Thomistic tradition and its corresponding social structure</w:t>
      </w:r>
      <w:r w:rsidR="00D40B64">
        <w:rPr>
          <w:rFonts w:ascii="Garamond" w:hAnsi="Garamond" w:cstheme="minorHAnsi"/>
          <w:sz w:val="24"/>
          <w:szCs w:val="24"/>
        </w:rPr>
        <w:t xml:space="preserve"> and institutions</w:t>
      </w:r>
      <w:r w:rsidRPr="00461D74">
        <w:rPr>
          <w:rFonts w:ascii="Garamond" w:hAnsi="Garamond" w:cstheme="minorHAnsi"/>
          <w:sz w:val="24"/>
          <w:szCs w:val="24"/>
        </w:rPr>
        <w:t xml:space="preserve">. Thus MacIntyre has to find a way to </w:t>
      </w:r>
      <w:r w:rsidR="00411921">
        <w:rPr>
          <w:rFonts w:ascii="Garamond" w:hAnsi="Garamond" w:cstheme="minorHAnsi"/>
          <w:sz w:val="24"/>
          <w:szCs w:val="24"/>
        </w:rPr>
        <w:t>reasonably demonstrate</w:t>
      </w:r>
      <w:r w:rsidR="00411921" w:rsidRPr="00461D74">
        <w:rPr>
          <w:rFonts w:ascii="Garamond" w:hAnsi="Garamond" w:cstheme="minorHAnsi"/>
          <w:sz w:val="24"/>
          <w:szCs w:val="24"/>
        </w:rPr>
        <w:t xml:space="preserve"> </w:t>
      </w:r>
      <w:r w:rsidR="00411921">
        <w:rPr>
          <w:rFonts w:ascii="Garamond" w:hAnsi="Garamond" w:cstheme="minorHAnsi"/>
          <w:sz w:val="24"/>
          <w:szCs w:val="24"/>
        </w:rPr>
        <w:t>how</w:t>
      </w:r>
      <w:r w:rsidR="00411921" w:rsidRPr="00461D74">
        <w:rPr>
          <w:rFonts w:ascii="Garamond" w:hAnsi="Garamond" w:cstheme="minorHAnsi"/>
          <w:sz w:val="24"/>
          <w:szCs w:val="24"/>
        </w:rPr>
        <w:t xml:space="preserve"> </w:t>
      </w:r>
      <w:r w:rsidRPr="00461D74">
        <w:rPr>
          <w:rFonts w:ascii="Garamond" w:hAnsi="Garamond" w:cstheme="minorHAnsi"/>
          <w:sz w:val="24"/>
          <w:szCs w:val="24"/>
        </w:rPr>
        <w:t xml:space="preserve">those resources can be recovered for contemporary use. From this standpoint the form of his argument – that Renaissance Aristotelians, by revising important aspects of Aristotle, paved the way for the rejection of Aristotelian teleological ethics – makes perfect sense. And so MacIntyre argues that what was actually rejected wasn’t necessarily Aristotle’s ethics, rather it was a simulacrum, or perhaps a vulgar form, of Aristotelian ethics. Consequently, the eventual eclipse of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should not be attributed to failures in Aristotle’s </w:t>
      </w:r>
      <w:r w:rsidR="0014784B">
        <w:rPr>
          <w:rFonts w:ascii="Garamond" w:hAnsi="Garamond" w:cstheme="minorHAnsi"/>
          <w:sz w:val="24"/>
          <w:szCs w:val="24"/>
        </w:rPr>
        <w:t>moral philosophy</w:t>
      </w:r>
      <w:r w:rsidR="008E764A">
        <w:rPr>
          <w:rFonts w:ascii="Garamond" w:hAnsi="Garamond" w:cstheme="minorHAnsi"/>
          <w:sz w:val="24"/>
          <w:szCs w:val="24"/>
        </w:rPr>
        <w:t xml:space="preserve"> itself</w:t>
      </w:r>
      <w:r w:rsidRPr="00461D74">
        <w:rPr>
          <w:rFonts w:ascii="Garamond" w:hAnsi="Garamond" w:cstheme="minorHAnsi"/>
          <w:sz w:val="24"/>
          <w:szCs w:val="24"/>
        </w:rPr>
        <w:t xml:space="preserve">. The inference that MacIntyre wants us to make here is that because Aristotelian ethics proper wasn’t actually rejected, we can appropriate Aristotelian resources and especially teleological resources – namely, </w:t>
      </w:r>
      <w:r w:rsidR="0014784B">
        <w:rPr>
          <w:rFonts w:ascii="Garamond" w:hAnsi="Garamond" w:cstheme="minorHAnsi"/>
          <w:sz w:val="24"/>
          <w:szCs w:val="24"/>
        </w:rPr>
        <w:t>the</w:t>
      </w:r>
      <w:r w:rsidR="0014784B" w:rsidRPr="00461D74">
        <w:rPr>
          <w:rFonts w:ascii="Garamond" w:hAnsi="Garamond" w:cstheme="minorHAnsi"/>
          <w:sz w:val="24"/>
          <w:szCs w:val="24"/>
        </w:rPr>
        <w:t xml:space="preserve"> </w:t>
      </w:r>
      <w:r w:rsidRPr="00461D74">
        <w:rPr>
          <w:rFonts w:ascii="Garamond" w:hAnsi="Garamond" w:cstheme="minorHAnsi"/>
          <w:sz w:val="24"/>
          <w:szCs w:val="24"/>
        </w:rPr>
        <w:t>functional view of human nature – for use in contemporary moral philosophy.</w:t>
      </w:r>
    </w:p>
    <w:p w:rsidR="00016049" w:rsidRPr="00461D74" w:rsidRDefault="00016049" w:rsidP="009E3550">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Thus MacIntyre’s argument for recovering the teleology in the Aristotelian-Thomistic tradition rests on showing that in fact it wasn’t Aristotle’s ethics </w:t>
      </w:r>
      <w:r w:rsidR="005B6E75" w:rsidRPr="00461D74">
        <w:rPr>
          <w:rFonts w:ascii="Garamond" w:hAnsi="Garamond" w:cstheme="minorHAnsi"/>
          <w:sz w:val="24"/>
          <w:szCs w:val="24"/>
        </w:rPr>
        <w:t xml:space="preserve">itself </w:t>
      </w:r>
      <w:r w:rsidRPr="00461D74">
        <w:rPr>
          <w:rFonts w:ascii="Garamond" w:hAnsi="Garamond" w:cstheme="minorHAnsi"/>
          <w:sz w:val="24"/>
          <w:szCs w:val="24"/>
        </w:rPr>
        <w:t xml:space="preserve">which was displaced in the transition to the modern period, but a </w:t>
      </w:r>
      <w:r w:rsidRPr="00461D74">
        <w:rPr>
          <w:rFonts w:ascii="Garamond" w:hAnsi="Garamond" w:cstheme="minorHAnsi"/>
          <w:sz w:val="24"/>
          <w:szCs w:val="24"/>
        </w:rPr>
        <w:lastRenderedPageBreak/>
        <w:t xml:space="preserve">simulacrum of that ethics – </w:t>
      </w:r>
      <w:r w:rsidR="009E3550" w:rsidRPr="00461D74">
        <w:rPr>
          <w:rFonts w:ascii="Garamond" w:hAnsi="Garamond" w:cstheme="minorHAnsi"/>
          <w:sz w:val="24"/>
          <w:szCs w:val="24"/>
        </w:rPr>
        <w:t xml:space="preserve">represented </w:t>
      </w:r>
      <w:r w:rsidR="009E3550">
        <w:rPr>
          <w:rFonts w:ascii="Garamond" w:hAnsi="Garamond" w:cstheme="minorHAnsi"/>
          <w:sz w:val="24"/>
          <w:szCs w:val="24"/>
        </w:rPr>
        <w:t xml:space="preserve">in the work of, and epitomised </w:t>
      </w:r>
      <w:r w:rsidRPr="00461D74">
        <w:rPr>
          <w:rFonts w:ascii="Garamond" w:hAnsi="Garamond" w:cstheme="minorHAnsi"/>
          <w:sz w:val="24"/>
          <w:szCs w:val="24"/>
        </w:rPr>
        <w:t>by</w:t>
      </w:r>
      <w:r w:rsidR="009E3550">
        <w:rPr>
          <w:rFonts w:ascii="Garamond" w:hAnsi="Garamond" w:cstheme="minorHAnsi"/>
          <w:sz w:val="24"/>
          <w:szCs w:val="24"/>
        </w:rPr>
        <w:t>,</w:t>
      </w:r>
      <w:r w:rsidRPr="00461D74">
        <w:rPr>
          <w:rFonts w:ascii="Garamond" w:hAnsi="Garamond" w:cstheme="minorHAnsi"/>
          <w:sz w:val="24"/>
          <w:szCs w:val="24"/>
        </w:rPr>
        <w:t xml:space="preserve"> Renaissance Aristotelians </w:t>
      </w:r>
      <w:r w:rsidR="009E3550">
        <w:rPr>
          <w:rFonts w:ascii="Garamond" w:hAnsi="Garamond" w:cstheme="minorHAnsi"/>
          <w:sz w:val="24"/>
          <w:szCs w:val="24"/>
        </w:rPr>
        <w:t>such as</w:t>
      </w:r>
      <w:r w:rsidR="009E3550" w:rsidRPr="00461D74">
        <w:rPr>
          <w:rFonts w:ascii="Garamond" w:hAnsi="Garamond" w:cstheme="minorHAnsi"/>
          <w:sz w:val="24"/>
          <w:szCs w:val="24"/>
        </w:rPr>
        <w:t xml:space="preserve"> </w:t>
      </w:r>
      <w:proofErr w:type="spellStart"/>
      <w:r w:rsidRPr="00461D74">
        <w:rPr>
          <w:rFonts w:ascii="Garamond" w:hAnsi="Garamond" w:cstheme="minorHAnsi"/>
          <w:sz w:val="24"/>
          <w:szCs w:val="24"/>
        </w:rPr>
        <w:t>Piccolomini</w:t>
      </w:r>
      <w:proofErr w:type="spellEnd"/>
      <w:r w:rsidRPr="00461D74">
        <w:rPr>
          <w:rFonts w:ascii="Garamond" w:hAnsi="Garamond" w:cstheme="minorHAnsi"/>
          <w:sz w:val="24"/>
          <w:szCs w:val="24"/>
        </w:rPr>
        <w:t xml:space="preserve">. </w:t>
      </w:r>
      <w:r w:rsidR="009E3550">
        <w:rPr>
          <w:rFonts w:ascii="Garamond" w:hAnsi="Garamond" w:cstheme="minorHAnsi"/>
          <w:sz w:val="24"/>
          <w:szCs w:val="24"/>
        </w:rPr>
        <w:t>Nevertheless, this characterisation of Renaissance Aristotelians and MacIntyre’s criticism against their account misses the mark, in part because there is a distinct and perhaps</w:t>
      </w:r>
      <w:r w:rsidRPr="00461D74">
        <w:rPr>
          <w:rFonts w:ascii="Garamond" w:hAnsi="Garamond" w:cstheme="minorHAnsi"/>
          <w:sz w:val="24"/>
          <w:szCs w:val="24"/>
        </w:rPr>
        <w:t xml:space="preserve"> more general problem with this type of account</w:t>
      </w:r>
      <w:r w:rsidR="009E3550">
        <w:rPr>
          <w:rFonts w:ascii="Garamond" w:hAnsi="Garamond" w:cstheme="minorHAnsi"/>
          <w:sz w:val="24"/>
          <w:szCs w:val="24"/>
        </w:rPr>
        <w:t>;</w:t>
      </w:r>
      <w:r w:rsidRPr="00461D74">
        <w:rPr>
          <w:rFonts w:ascii="Garamond" w:hAnsi="Garamond" w:cstheme="minorHAnsi"/>
          <w:sz w:val="24"/>
          <w:szCs w:val="24"/>
        </w:rPr>
        <w:t xml:space="preserve"> namely, that it isn’t fair to the actual philosophical treatment of Aristotle’s philosophy</w:t>
      </w:r>
      <w:r w:rsidR="00DB4377">
        <w:rPr>
          <w:rFonts w:ascii="Garamond" w:hAnsi="Garamond" w:cstheme="minorHAnsi"/>
          <w:sz w:val="24"/>
          <w:szCs w:val="24"/>
        </w:rPr>
        <w:t xml:space="preserve"> by the early moderns</w:t>
      </w:r>
      <w:r w:rsidRPr="00461D74">
        <w:rPr>
          <w:rFonts w:ascii="Garamond" w:hAnsi="Garamond" w:cstheme="minorHAnsi"/>
          <w:sz w:val="24"/>
          <w:szCs w:val="24"/>
        </w:rPr>
        <w:t xml:space="preserve">. Ultimately, the problem here isn’t simply that the philosophical account which was rejected in the march of the history of moral inquiry was a simulacrum of Aristotle’s ethics, but that Aristotle’s metaphysics </w:t>
      </w:r>
      <w:r w:rsidRPr="00461D74">
        <w:rPr>
          <w:rFonts w:ascii="Garamond" w:hAnsi="Garamond" w:cstheme="minorHAnsi"/>
          <w:i/>
          <w:sz w:val="24"/>
          <w:szCs w:val="24"/>
        </w:rPr>
        <w:t>itself</w:t>
      </w:r>
      <w:r w:rsidRPr="00461D74">
        <w:rPr>
          <w:rFonts w:ascii="Garamond" w:hAnsi="Garamond" w:cstheme="minorHAnsi"/>
          <w:sz w:val="24"/>
          <w:szCs w:val="24"/>
        </w:rPr>
        <w:t xml:space="preserve"> </w:t>
      </w:r>
      <w:r w:rsidR="00DB4377">
        <w:rPr>
          <w:rFonts w:ascii="Garamond" w:hAnsi="Garamond" w:cstheme="minorHAnsi"/>
          <w:sz w:val="24"/>
          <w:szCs w:val="24"/>
        </w:rPr>
        <w:t>emerged as</w:t>
      </w:r>
      <w:r w:rsidR="00DB4377" w:rsidRPr="00461D74">
        <w:rPr>
          <w:rFonts w:ascii="Garamond" w:hAnsi="Garamond" w:cstheme="minorHAnsi"/>
          <w:sz w:val="24"/>
          <w:szCs w:val="24"/>
        </w:rPr>
        <w:t xml:space="preserve"> </w:t>
      </w:r>
      <w:r w:rsidRPr="00461D74">
        <w:rPr>
          <w:rFonts w:ascii="Garamond" w:hAnsi="Garamond" w:cstheme="minorHAnsi"/>
          <w:sz w:val="24"/>
          <w:szCs w:val="24"/>
        </w:rPr>
        <w:t>problematic</w:t>
      </w:r>
      <w:r w:rsidR="00DB4377">
        <w:rPr>
          <w:rFonts w:ascii="Garamond" w:hAnsi="Garamond" w:cstheme="minorHAnsi"/>
          <w:sz w:val="24"/>
          <w:szCs w:val="24"/>
        </w:rPr>
        <w:t xml:space="preserve"> –</w:t>
      </w:r>
      <w:r w:rsidRPr="00461D74">
        <w:rPr>
          <w:rFonts w:ascii="Garamond" w:hAnsi="Garamond" w:cstheme="minorHAnsi"/>
          <w:sz w:val="24"/>
          <w:szCs w:val="24"/>
        </w:rPr>
        <w:t xml:space="preserve"> especially the idea of comprehending essential natures and essences</w:t>
      </w:r>
      <w:r w:rsidR="00DB4377">
        <w:rPr>
          <w:rFonts w:ascii="Garamond" w:hAnsi="Garamond" w:cstheme="minorHAnsi"/>
          <w:sz w:val="24"/>
          <w:szCs w:val="24"/>
        </w:rPr>
        <w:t>,</w:t>
      </w:r>
      <w:r w:rsidRPr="00461D74">
        <w:rPr>
          <w:rFonts w:ascii="Garamond" w:hAnsi="Garamond" w:cstheme="minorHAnsi"/>
          <w:sz w:val="24"/>
          <w:szCs w:val="24"/>
        </w:rPr>
        <w:t xml:space="preserve"> which </w:t>
      </w:r>
      <w:r w:rsidR="00DB4377">
        <w:rPr>
          <w:rFonts w:ascii="Garamond" w:hAnsi="Garamond" w:cstheme="minorHAnsi"/>
          <w:sz w:val="24"/>
          <w:szCs w:val="24"/>
        </w:rPr>
        <w:t>happened to be</w:t>
      </w:r>
      <w:r w:rsidR="00DB4377" w:rsidRPr="00461D74">
        <w:rPr>
          <w:rFonts w:ascii="Garamond" w:hAnsi="Garamond" w:cstheme="minorHAnsi"/>
          <w:sz w:val="24"/>
          <w:szCs w:val="24"/>
        </w:rPr>
        <w:t xml:space="preserve"> </w:t>
      </w:r>
      <w:r w:rsidR="00DB4377">
        <w:rPr>
          <w:rFonts w:ascii="Garamond" w:hAnsi="Garamond" w:cstheme="minorHAnsi"/>
          <w:sz w:val="24"/>
          <w:szCs w:val="24"/>
        </w:rPr>
        <w:t>the foundational</w:t>
      </w:r>
      <w:r w:rsidR="00DB4377" w:rsidRPr="00461D74">
        <w:rPr>
          <w:rFonts w:ascii="Garamond" w:hAnsi="Garamond" w:cstheme="minorHAnsi"/>
          <w:sz w:val="24"/>
          <w:szCs w:val="24"/>
        </w:rPr>
        <w:t xml:space="preserve"> </w:t>
      </w:r>
      <w:r w:rsidRPr="00461D74">
        <w:rPr>
          <w:rFonts w:ascii="Garamond" w:hAnsi="Garamond" w:cstheme="minorHAnsi"/>
          <w:sz w:val="24"/>
          <w:szCs w:val="24"/>
        </w:rPr>
        <w:t>concepts in Aristotle’s teleology</w:t>
      </w:r>
      <w:r w:rsidR="00DB4377">
        <w:rPr>
          <w:rFonts w:ascii="Garamond" w:hAnsi="Garamond" w:cstheme="minorHAnsi"/>
          <w:sz w:val="24"/>
          <w:szCs w:val="24"/>
        </w:rPr>
        <w:t xml:space="preserve"> – for good reasons</w:t>
      </w:r>
      <w:r w:rsidRPr="00461D74">
        <w:rPr>
          <w:rFonts w:ascii="Garamond" w:hAnsi="Garamond" w:cstheme="minorHAnsi"/>
          <w:sz w:val="24"/>
          <w:szCs w:val="24"/>
        </w:rPr>
        <w:t xml:space="preserve">. It is </w:t>
      </w:r>
      <w:r w:rsidR="00862592" w:rsidRPr="00461D74">
        <w:rPr>
          <w:rFonts w:ascii="Garamond" w:hAnsi="Garamond" w:cstheme="minorHAnsi"/>
          <w:sz w:val="24"/>
          <w:szCs w:val="24"/>
        </w:rPr>
        <w:t>worth</w:t>
      </w:r>
      <w:r w:rsidRPr="00461D74">
        <w:rPr>
          <w:rFonts w:ascii="Garamond" w:hAnsi="Garamond" w:cstheme="minorHAnsi"/>
          <w:sz w:val="24"/>
          <w:szCs w:val="24"/>
        </w:rPr>
        <w:t xml:space="preserve"> </w:t>
      </w:r>
      <w:r w:rsidR="00862592" w:rsidRPr="00461D74">
        <w:rPr>
          <w:rFonts w:ascii="Garamond" w:hAnsi="Garamond" w:cstheme="minorHAnsi"/>
          <w:sz w:val="24"/>
          <w:szCs w:val="24"/>
        </w:rPr>
        <w:t>emphasizing</w:t>
      </w:r>
      <w:r w:rsidRPr="00461D74">
        <w:rPr>
          <w:rFonts w:ascii="Garamond" w:hAnsi="Garamond" w:cstheme="minorHAnsi"/>
          <w:sz w:val="24"/>
          <w:szCs w:val="24"/>
        </w:rPr>
        <w:t xml:space="preserve"> this</w:t>
      </w:r>
      <w:r w:rsidR="00862592" w:rsidRPr="00461D74">
        <w:rPr>
          <w:rFonts w:ascii="Garamond" w:hAnsi="Garamond" w:cstheme="minorHAnsi"/>
          <w:sz w:val="24"/>
          <w:szCs w:val="24"/>
        </w:rPr>
        <w:t xml:space="preserve"> point</w:t>
      </w:r>
      <w:r w:rsidR="008E764A">
        <w:rPr>
          <w:rFonts w:ascii="Garamond" w:hAnsi="Garamond" w:cstheme="minorHAnsi"/>
          <w:sz w:val="24"/>
          <w:szCs w:val="24"/>
        </w:rPr>
        <w:t>,</w:t>
      </w:r>
      <w:r w:rsidRPr="00461D74">
        <w:rPr>
          <w:rFonts w:ascii="Garamond" w:hAnsi="Garamond" w:cstheme="minorHAnsi"/>
          <w:sz w:val="24"/>
          <w:szCs w:val="24"/>
        </w:rPr>
        <w:t xml:space="preserve"> </w:t>
      </w:r>
      <w:r w:rsidR="00DB4377">
        <w:rPr>
          <w:rFonts w:ascii="Garamond" w:hAnsi="Garamond" w:cstheme="minorHAnsi"/>
          <w:sz w:val="24"/>
          <w:szCs w:val="24"/>
        </w:rPr>
        <w:t>seeing that</w:t>
      </w:r>
      <w:r w:rsidR="00862592" w:rsidRPr="00461D74">
        <w:rPr>
          <w:rFonts w:ascii="Garamond" w:hAnsi="Garamond" w:cstheme="minorHAnsi"/>
          <w:sz w:val="24"/>
          <w:szCs w:val="24"/>
        </w:rPr>
        <w:t xml:space="preserve"> in</w:t>
      </w:r>
      <w:r w:rsidRPr="00461D74">
        <w:rPr>
          <w:rFonts w:ascii="Garamond" w:hAnsi="Garamond" w:cstheme="minorHAnsi"/>
          <w:sz w:val="24"/>
          <w:szCs w:val="24"/>
        </w:rPr>
        <w:t xml:space="preserve"> the early modern </w:t>
      </w:r>
      <w:r w:rsidR="00862592" w:rsidRPr="00461D74">
        <w:rPr>
          <w:rFonts w:ascii="Garamond" w:hAnsi="Garamond" w:cstheme="minorHAnsi"/>
          <w:sz w:val="24"/>
          <w:szCs w:val="24"/>
        </w:rPr>
        <w:t>period</w:t>
      </w:r>
      <w:r w:rsidRPr="00461D74">
        <w:rPr>
          <w:rFonts w:ascii="Garamond" w:hAnsi="Garamond" w:cstheme="minorHAnsi"/>
          <w:sz w:val="24"/>
          <w:szCs w:val="24"/>
        </w:rPr>
        <w:t xml:space="preserve">, a whole set of Aristotelian metaphysical concepts </w:t>
      </w:r>
      <w:r w:rsidR="00862592" w:rsidRPr="00461D74">
        <w:rPr>
          <w:rFonts w:ascii="Garamond" w:hAnsi="Garamond" w:cstheme="minorHAnsi"/>
          <w:sz w:val="24"/>
          <w:szCs w:val="24"/>
        </w:rPr>
        <w:t>came to be viewed as</w:t>
      </w:r>
      <w:r w:rsidRPr="00461D74">
        <w:rPr>
          <w:rFonts w:ascii="Garamond" w:hAnsi="Garamond" w:cstheme="minorHAnsi"/>
          <w:sz w:val="24"/>
          <w:szCs w:val="24"/>
        </w:rPr>
        <w:t xml:space="preserve"> detrimental to </w:t>
      </w:r>
      <w:r w:rsidR="009002B8">
        <w:rPr>
          <w:rFonts w:ascii="Garamond" w:hAnsi="Garamond" w:cstheme="minorHAnsi"/>
          <w:sz w:val="24"/>
          <w:szCs w:val="24"/>
        </w:rPr>
        <w:t>scientific</w:t>
      </w:r>
      <w:r w:rsidR="009002B8" w:rsidRPr="00461D74">
        <w:rPr>
          <w:rFonts w:ascii="Garamond" w:hAnsi="Garamond" w:cstheme="minorHAnsi"/>
          <w:sz w:val="24"/>
          <w:szCs w:val="24"/>
        </w:rPr>
        <w:t xml:space="preserve"> </w:t>
      </w:r>
      <w:r w:rsidRPr="00461D74">
        <w:rPr>
          <w:rFonts w:ascii="Garamond" w:hAnsi="Garamond" w:cstheme="minorHAnsi"/>
          <w:sz w:val="24"/>
          <w:szCs w:val="24"/>
        </w:rPr>
        <w:t xml:space="preserve">inquiry, and by extension </w:t>
      </w:r>
      <w:r w:rsidR="009002B8">
        <w:rPr>
          <w:rFonts w:ascii="Garamond" w:hAnsi="Garamond" w:cstheme="minorHAnsi"/>
          <w:sz w:val="24"/>
          <w:szCs w:val="24"/>
        </w:rPr>
        <w:t>philosophy</w:t>
      </w:r>
      <w:r w:rsidR="00862592" w:rsidRPr="00461D74">
        <w:rPr>
          <w:rFonts w:ascii="Garamond" w:hAnsi="Garamond" w:cstheme="minorHAnsi"/>
          <w:sz w:val="24"/>
          <w:szCs w:val="24"/>
        </w:rPr>
        <w:t>,</w:t>
      </w:r>
      <w:r w:rsidR="00B163D7" w:rsidRPr="00461D74">
        <w:rPr>
          <w:rFonts w:ascii="Garamond" w:hAnsi="Garamond" w:cstheme="minorHAnsi"/>
          <w:sz w:val="24"/>
          <w:szCs w:val="24"/>
        </w:rPr>
        <w:t xml:space="preserve"> </w:t>
      </w:r>
      <w:r w:rsidR="0014760D">
        <w:rPr>
          <w:rFonts w:ascii="Garamond" w:hAnsi="Garamond" w:cstheme="minorHAnsi"/>
          <w:sz w:val="24"/>
          <w:szCs w:val="24"/>
        </w:rPr>
        <w:t>considering that</w:t>
      </w:r>
      <w:r w:rsidR="0014760D" w:rsidRPr="00461D74">
        <w:rPr>
          <w:rFonts w:ascii="Garamond" w:hAnsi="Garamond" w:cstheme="minorHAnsi"/>
          <w:sz w:val="24"/>
          <w:szCs w:val="24"/>
        </w:rPr>
        <w:t xml:space="preserve"> </w:t>
      </w:r>
      <w:r w:rsidRPr="00461D74">
        <w:rPr>
          <w:rFonts w:ascii="Garamond" w:hAnsi="Garamond" w:cstheme="minorHAnsi"/>
          <w:sz w:val="24"/>
          <w:szCs w:val="24"/>
        </w:rPr>
        <w:t xml:space="preserve">the </w:t>
      </w:r>
      <w:r w:rsidR="0014760D">
        <w:rPr>
          <w:rFonts w:ascii="Garamond" w:hAnsi="Garamond" w:cstheme="minorHAnsi"/>
          <w:sz w:val="24"/>
          <w:szCs w:val="24"/>
        </w:rPr>
        <w:t>separation</w:t>
      </w:r>
      <w:r w:rsidR="0014760D" w:rsidRPr="00461D74">
        <w:rPr>
          <w:rFonts w:ascii="Garamond" w:hAnsi="Garamond" w:cstheme="minorHAnsi"/>
          <w:sz w:val="24"/>
          <w:szCs w:val="24"/>
        </w:rPr>
        <w:t xml:space="preserve"> </w:t>
      </w:r>
      <w:r w:rsidRPr="00461D74">
        <w:rPr>
          <w:rFonts w:ascii="Garamond" w:hAnsi="Garamond" w:cstheme="minorHAnsi"/>
          <w:sz w:val="24"/>
          <w:szCs w:val="24"/>
        </w:rPr>
        <w:t xml:space="preserve">between philosophy and science </w:t>
      </w:r>
      <w:r w:rsidR="00862592" w:rsidRPr="00461D74">
        <w:rPr>
          <w:rFonts w:ascii="Garamond" w:hAnsi="Garamond" w:cstheme="minorHAnsi"/>
          <w:sz w:val="24"/>
          <w:szCs w:val="24"/>
        </w:rPr>
        <w:t xml:space="preserve">did not </w:t>
      </w:r>
      <w:r w:rsidRPr="00461D74">
        <w:rPr>
          <w:rFonts w:ascii="Garamond" w:hAnsi="Garamond" w:cstheme="minorHAnsi"/>
          <w:sz w:val="24"/>
          <w:szCs w:val="24"/>
        </w:rPr>
        <w:t xml:space="preserve">emerge until </w:t>
      </w:r>
      <w:r w:rsidR="0014760D">
        <w:rPr>
          <w:rFonts w:ascii="Garamond" w:hAnsi="Garamond" w:cstheme="minorHAnsi"/>
          <w:sz w:val="24"/>
          <w:szCs w:val="24"/>
        </w:rPr>
        <w:t xml:space="preserve">much later, </w:t>
      </w:r>
      <w:r w:rsidR="009002B8">
        <w:rPr>
          <w:rFonts w:ascii="Garamond" w:hAnsi="Garamond" w:cstheme="minorHAnsi"/>
          <w:sz w:val="24"/>
          <w:szCs w:val="24"/>
        </w:rPr>
        <w:t>at the cusp of the late 18</w:t>
      </w:r>
      <w:r w:rsidR="009002B8" w:rsidRPr="009002B8">
        <w:rPr>
          <w:rFonts w:ascii="Garamond" w:hAnsi="Garamond" w:cstheme="minorHAnsi"/>
          <w:sz w:val="24"/>
          <w:szCs w:val="24"/>
          <w:vertAlign w:val="superscript"/>
        </w:rPr>
        <w:t>th</w:t>
      </w:r>
      <w:r w:rsidR="009002B8">
        <w:rPr>
          <w:rFonts w:ascii="Garamond" w:hAnsi="Garamond" w:cstheme="minorHAnsi"/>
          <w:sz w:val="24"/>
          <w:szCs w:val="24"/>
        </w:rPr>
        <w:t xml:space="preserve"> and</w:t>
      </w:r>
      <w:r w:rsidRPr="00461D74">
        <w:rPr>
          <w:rFonts w:ascii="Garamond" w:hAnsi="Garamond" w:cstheme="minorHAnsi"/>
          <w:sz w:val="24"/>
          <w:szCs w:val="24"/>
        </w:rPr>
        <w:t xml:space="preserve"> </w:t>
      </w:r>
      <w:r w:rsidR="009002B8">
        <w:rPr>
          <w:rFonts w:ascii="Garamond" w:hAnsi="Garamond" w:cstheme="minorHAnsi"/>
          <w:sz w:val="24"/>
          <w:szCs w:val="24"/>
        </w:rPr>
        <w:t xml:space="preserve">early </w:t>
      </w:r>
      <w:r w:rsidRPr="00461D74">
        <w:rPr>
          <w:rFonts w:ascii="Garamond" w:hAnsi="Garamond" w:cstheme="minorHAnsi"/>
          <w:sz w:val="24"/>
          <w:szCs w:val="24"/>
        </w:rPr>
        <w:t>1</w:t>
      </w:r>
      <w:r w:rsidR="00862592" w:rsidRPr="00461D74">
        <w:rPr>
          <w:rFonts w:ascii="Garamond" w:hAnsi="Garamond" w:cstheme="minorHAnsi"/>
          <w:sz w:val="24"/>
          <w:szCs w:val="24"/>
        </w:rPr>
        <w:t>9</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w:t>
      </w:r>
      <w:r w:rsidR="00B163D7" w:rsidRPr="00461D74">
        <w:rPr>
          <w:rFonts w:ascii="Garamond" w:hAnsi="Garamond" w:cstheme="minorHAnsi"/>
          <w:sz w:val="24"/>
          <w:szCs w:val="24"/>
        </w:rPr>
        <w:t xml:space="preserve"> It seems to me</w:t>
      </w:r>
      <w:r w:rsidR="00862592" w:rsidRPr="00461D74">
        <w:rPr>
          <w:rFonts w:ascii="Garamond" w:hAnsi="Garamond" w:cstheme="minorHAnsi"/>
          <w:sz w:val="24"/>
          <w:szCs w:val="24"/>
        </w:rPr>
        <w:t xml:space="preserve"> then</w:t>
      </w:r>
      <w:r w:rsidR="00B163D7" w:rsidRPr="00461D74">
        <w:rPr>
          <w:rFonts w:ascii="Garamond" w:hAnsi="Garamond" w:cstheme="minorHAnsi"/>
          <w:sz w:val="24"/>
          <w:szCs w:val="24"/>
        </w:rPr>
        <w:t xml:space="preserve"> that</w:t>
      </w:r>
      <w:r w:rsidRPr="00461D74">
        <w:rPr>
          <w:rFonts w:ascii="Garamond" w:hAnsi="Garamond" w:cstheme="minorHAnsi"/>
          <w:sz w:val="24"/>
          <w:szCs w:val="24"/>
        </w:rPr>
        <w:t xml:space="preserve"> the </w:t>
      </w:r>
      <w:r w:rsidR="008E764A">
        <w:rPr>
          <w:rFonts w:ascii="Garamond" w:hAnsi="Garamond" w:cstheme="minorHAnsi"/>
          <w:sz w:val="24"/>
          <w:szCs w:val="24"/>
        </w:rPr>
        <w:t>‘</w:t>
      </w:r>
      <w:r w:rsidRPr="00461D74">
        <w:rPr>
          <w:rFonts w:ascii="Garamond" w:hAnsi="Garamond" w:cstheme="minorHAnsi"/>
          <w:sz w:val="24"/>
          <w:szCs w:val="24"/>
        </w:rPr>
        <w:t>story of science</w:t>
      </w:r>
      <w:r w:rsidR="009002B8">
        <w:rPr>
          <w:rFonts w:ascii="Garamond" w:hAnsi="Garamond" w:cstheme="minorHAnsi"/>
          <w:sz w:val="24"/>
          <w:szCs w:val="24"/>
        </w:rPr>
        <w:t>,</w:t>
      </w:r>
      <w:r w:rsidR="008E764A">
        <w:rPr>
          <w:rFonts w:ascii="Garamond" w:hAnsi="Garamond" w:cstheme="minorHAnsi"/>
          <w:sz w:val="24"/>
          <w:szCs w:val="24"/>
        </w:rPr>
        <w:t>’</w:t>
      </w:r>
      <w:r w:rsidRPr="00461D74">
        <w:rPr>
          <w:rFonts w:ascii="Garamond" w:hAnsi="Garamond" w:cstheme="minorHAnsi"/>
          <w:sz w:val="24"/>
          <w:szCs w:val="24"/>
        </w:rPr>
        <w:t xml:space="preserve"> which I </w:t>
      </w:r>
      <w:r w:rsidR="00B163D7" w:rsidRPr="00461D74">
        <w:rPr>
          <w:rFonts w:ascii="Garamond" w:hAnsi="Garamond" w:cstheme="minorHAnsi"/>
          <w:sz w:val="24"/>
          <w:szCs w:val="24"/>
        </w:rPr>
        <w:t>outlined</w:t>
      </w:r>
      <w:r w:rsidRPr="00461D74">
        <w:rPr>
          <w:rFonts w:ascii="Garamond" w:hAnsi="Garamond" w:cstheme="minorHAnsi"/>
          <w:sz w:val="24"/>
          <w:szCs w:val="24"/>
        </w:rPr>
        <w:t xml:space="preserve"> earlier</w:t>
      </w:r>
      <w:r w:rsidR="00862592" w:rsidRPr="00461D74">
        <w:rPr>
          <w:rFonts w:ascii="Garamond" w:hAnsi="Garamond" w:cstheme="minorHAnsi"/>
          <w:sz w:val="24"/>
          <w:szCs w:val="24"/>
        </w:rPr>
        <w:t>,</w:t>
      </w:r>
      <w:r w:rsidR="00B163D7" w:rsidRPr="00461D74">
        <w:rPr>
          <w:rFonts w:ascii="Garamond" w:hAnsi="Garamond" w:cstheme="minorHAnsi"/>
          <w:sz w:val="24"/>
          <w:szCs w:val="24"/>
        </w:rPr>
        <w:t xml:space="preserve"> </w:t>
      </w:r>
      <w:r w:rsidR="00964BEC">
        <w:rPr>
          <w:rFonts w:ascii="Garamond" w:hAnsi="Garamond" w:cstheme="minorHAnsi"/>
          <w:sz w:val="24"/>
          <w:szCs w:val="24"/>
        </w:rPr>
        <w:t>affords</w:t>
      </w:r>
      <w:r w:rsidR="00964BEC" w:rsidRPr="00461D74">
        <w:rPr>
          <w:rFonts w:ascii="Garamond" w:hAnsi="Garamond" w:cstheme="minorHAnsi"/>
          <w:sz w:val="24"/>
          <w:szCs w:val="24"/>
        </w:rPr>
        <w:t xml:space="preserve"> </w:t>
      </w:r>
      <w:r w:rsidR="00B163D7" w:rsidRPr="00461D74">
        <w:rPr>
          <w:rFonts w:ascii="Garamond" w:hAnsi="Garamond" w:cstheme="minorHAnsi"/>
          <w:sz w:val="24"/>
          <w:szCs w:val="24"/>
        </w:rPr>
        <w:t>a better explanation</w:t>
      </w:r>
      <w:r w:rsidRPr="00461D74">
        <w:rPr>
          <w:rFonts w:ascii="Garamond" w:hAnsi="Garamond" w:cstheme="minorHAnsi"/>
          <w:sz w:val="24"/>
          <w:szCs w:val="24"/>
        </w:rPr>
        <w:t xml:space="preserve">. On this story, Aristotle’s problematic metaphysics was eliminated due to some important limitations which hindered inquiry more generally; and because </w:t>
      </w:r>
      <w:r w:rsidR="00DE09AE">
        <w:rPr>
          <w:rFonts w:ascii="Garamond" w:hAnsi="Garamond" w:cstheme="minorHAnsi"/>
          <w:sz w:val="24"/>
          <w:szCs w:val="24"/>
        </w:rPr>
        <w:t>the</w:t>
      </w:r>
      <w:r w:rsidR="00DE09AE" w:rsidRPr="00461D74">
        <w:rPr>
          <w:rFonts w:ascii="Garamond" w:hAnsi="Garamond" w:cstheme="minorHAnsi"/>
          <w:sz w:val="24"/>
          <w:szCs w:val="24"/>
        </w:rPr>
        <w:t xml:space="preserve"> </w:t>
      </w:r>
      <w:r w:rsidRPr="00461D74">
        <w:rPr>
          <w:rFonts w:ascii="Garamond" w:hAnsi="Garamond" w:cstheme="minorHAnsi"/>
          <w:sz w:val="24"/>
          <w:szCs w:val="24"/>
        </w:rPr>
        <w:t xml:space="preserve">metaphysics was discarded it was </w:t>
      </w:r>
      <w:r w:rsidR="00DE09AE">
        <w:rPr>
          <w:rFonts w:ascii="Garamond" w:hAnsi="Garamond" w:cstheme="minorHAnsi"/>
          <w:sz w:val="24"/>
          <w:szCs w:val="24"/>
        </w:rPr>
        <w:t>difficult</w:t>
      </w:r>
      <w:r w:rsidR="00DE09AE" w:rsidRPr="00461D74">
        <w:rPr>
          <w:rFonts w:ascii="Garamond" w:hAnsi="Garamond" w:cstheme="minorHAnsi"/>
          <w:sz w:val="24"/>
          <w:szCs w:val="24"/>
        </w:rPr>
        <w:t xml:space="preserve"> </w:t>
      </w:r>
      <w:r w:rsidRPr="00461D74">
        <w:rPr>
          <w:rFonts w:ascii="Garamond" w:hAnsi="Garamond" w:cstheme="minorHAnsi"/>
          <w:sz w:val="24"/>
          <w:szCs w:val="24"/>
        </w:rPr>
        <w:t xml:space="preserve">to hold on to Aristotle’s teleology </w:t>
      </w:r>
      <w:r w:rsidR="00DE09AE">
        <w:rPr>
          <w:rFonts w:ascii="Garamond" w:hAnsi="Garamond" w:cstheme="minorHAnsi"/>
          <w:sz w:val="24"/>
          <w:szCs w:val="24"/>
        </w:rPr>
        <w:t>which crucially depended on</w:t>
      </w:r>
      <w:r w:rsidRPr="00461D74">
        <w:rPr>
          <w:rFonts w:ascii="Garamond" w:hAnsi="Garamond" w:cstheme="minorHAnsi"/>
          <w:sz w:val="24"/>
          <w:szCs w:val="24"/>
        </w:rPr>
        <w:t xml:space="preserve"> his metaphysics.</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However, MacIntyre might respond that without the change to a more theoretical form of moral philosophy, we could have preserved a role for some form of teleology in moral philosophy and moral education. Perhaps we could have discarded teleology with respect to the sciences but kept it in moral education. The problem with this answer</w:t>
      </w:r>
      <w:r w:rsidR="00603FA6">
        <w:rPr>
          <w:rFonts w:ascii="Garamond" w:hAnsi="Garamond" w:cstheme="minorHAnsi"/>
          <w:sz w:val="24"/>
          <w:szCs w:val="24"/>
        </w:rPr>
        <w:t xml:space="preserve"> are two-fold: f</w:t>
      </w:r>
      <w:r w:rsidRPr="00461D74">
        <w:rPr>
          <w:rFonts w:ascii="Garamond" w:hAnsi="Garamond" w:cstheme="minorHAnsi"/>
          <w:sz w:val="24"/>
          <w:szCs w:val="24"/>
        </w:rPr>
        <w:t xml:space="preserve">irst, based on what we considered in the above discussion, the move to a more theoretical approach in ethics was in fact made by Aquinas; and if we condemn </w:t>
      </w:r>
      <w:proofErr w:type="spellStart"/>
      <w:r w:rsidRPr="00461D74">
        <w:rPr>
          <w:rFonts w:ascii="Garamond" w:hAnsi="Garamond" w:cstheme="minorHAnsi"/>
          <w:sz w:val="24"/>
          <w:szCs w:val="24"/>
        </w:rPr>
        <w:t>Piccolomini’s</w:t>
      </w:r>
      <w:proofErr w:type="spellEnd"/>
      <w:r w:rsidRPr="00461D74">
        <w:rPr>
          <w:rFonts w:ascii="Garamond" w:hAnsi="Garamond" w:cstheme="minorHAnsi"/>
          <w:sz w:val="24"/>
          <w:szCs w:val="24"/>
        </w:rPr>
        <w:t xml:space="preserve"> revision of the Aristotelian corpus as MacIntyre suggests, we have to likewise censure Aquinas. Second, it is </w:t>
      </w:r>
      <w:r w:rsidRPr="00461D74">
        <w:rPr>
          <w:rFonts w:ascii="Garamond" w:hAnsi="Garamond" w:cstheme="minorHAnsi"/>
          <w:sz w:val="24"/>
          <w:szCs w:val="24"/>
        </w:rPr>
        <w:lastRenderedPageBreak/>
        <w:t>important to note that philosophical inquiry in the 16</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and 17</w:t>
      </w:r>
      <w:r w:rsidRPr="00461D74">
        <w:rPr>
          <w:rFonts w:ascii="Garamond" w:hAnsi="Garamond" w:cstheme="minorHAnsi"/>
          <w:sz w:val="24"/>
          <w:szCs w:val="24"/>
          <w:vertAlign w:val="superscript"/>
        </w:rPr>
        <w:t>th</w:t>
      </w:r>
      <w:r w:rsidRPr="00461D74">
        <w:rPr>
          <w:rFonts w:ascii="Garamond" w:hAnsi="Garamond" w:cstheme="minorHAnsi"/>
          <w:sz w:val="24"/>
          <w:szCs w:val="24"/>
        </w:rPr>
        <w:t xml:space="preserve"> century refers to both philosophy and science; and thus at the time when Aristotle’s metaphysics came to suffer from disrepute, philosophy and science were more or less indistinguishable. Hence, without any real distinction between philosophy and science once Aristotle’s metaphysics and teleology were found to be wanting, </w:t>
      </w:r>
      <w:r w:rsidR="00603FA6">
        <w:rPr>
          <w:rFonts w:ascii="Garamond" w:hAnsi="Garamond" w:cstheme="minorHAnsi"/>
          <w:sz w:val="24"/>
          <w:szCs w:val="24"/>
        </w:rPr>
        <w:t>it might be reasonable to conclude that they were viewed</w:t>
      </w:r>
      <w:r w:rsidRPr="00461D74">
        <w:rPr>
          <w:rFonts w:ascii="Garamond" w:hAnsi="Garamond" w:cstheme="minorHAnsi"/>
          <w:sz w:val="24"/>
          <w:szCs w:val="24"/>
        </w:rPr>
        <w:t xml:space="preserve"> </w:t>
      </w:r>
      <w:r w:rsidR="00603FA6">
        <w:rPr>
          <w:rFonts w:ascii="Garamond" w:hAnsi="Garamond" w:cstheme="minorHAnsi"/>
          <w:sz w:val="24"/>
          <w:szCs w:val="24"/>
        </w:rPr>
        <w:t xml:space="preserve">as </w:t>
      </w:r>
      <w:r w:rsidRPr="00461D74">
        <w:rPr>
          <w:rFonts w:ascii="Garamond" w:hAnsi="Garamond" w:cstheme="minorHAnsi"/>
          <w:sz w:val="24"/>
          <w:szCs w:val="24"/>
        </w:rPr>
        <w:t>problematic in all forms of inquiry (both moral inquiry and science, taken together as a whole).</w:t>
      </w:r>
    </w:p>
    <w:p w:rsidR="00016049" w:rsidRPr="00461D74" w:rsidRDefault="00016049"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Now, if we take into account not only this last specific criticism but also the other criticisms I’ve advanced thus far, it seems that MacIntyre’s genealogy considered as a demonstration for the historical folly of the intellectual marginalization of Aristotelian-Thomism, and specifically, the teleological (or functional) view of human nature, cannot be considered a success. Ultimately, the problem with MacIntyre’s genealogy is that it fails to offer us good reasons for the recovery of the teleological (functional) insights in that tradition, or why we should come to believe that the displacement of the Aristotelian-Thomism wasn’t for the most part justified. </w:t>
      </w:r>
    </w:p>
    <w:p w:rsidR="00966315"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Therefore, MacIntyre’s attempt to resolve the difficulty that is generated by the first tension in his account is questionable, because the genealogy itself doesn’t seem to explain the eclipse of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in a way that allows MacIntyre to present a convincing case for </w:t>
      </w:r>
      <w:r w:rsidR="00504443">
        <w:rPr>
          <w:rFonts w:ascii="Garamond" w:hAnsi="Garamond" w:cstheme="minorHAnsi"/>
          <w:sz w:val="24"/>
          <w:szCs w:val="24"/>
        </w:rPr>
        <w:t>a mistaken</w:t>
      </w:r>
      <w:r w:rsidR="00504443" w:rsidRPr="00461D74">
        <w:rPr>
          <w:rFonts w:ascii="Garamond" w:hAnsi="Garamond" w:cstheme="minorHAnsi"/>
          <w:sz w:val="24"/>
          <w:szCs w:val="24"/>
        </w:rPr>
        <w:t xml:space="preserve"> </w:t>
      </w:r>
      <w:r w:rsidRPr="00461D74">
        <w:rPr>
          <w:rFonts w:ascii="Garamond" w:hAnsi="Garamond" w:cstheme="minorHAnsi"/>
          <w:sz w:val="24"/>
          <w:szCs w:val="24"/>
        </w:rPr>
        <w:t xml:space="preserve">decline of Aristotelian-Thomism, </w:t>
      </w:r>
      <w:r w:rsidR="00504443">
        <w:rPr>
          <w:rFonts w:ascii="Garamond" w:hAnsi="Garamond" w:cstheme="minorHAnsi"/>
          <w:sz w:val="24"/>
          <w:szCs w:val="24"/>
        </w:rPr>
        <w:t>and therefore, the</w:t>
      </w:r>
      <w:r w:rsidR="00504443" w:rsidRPr="00461D74">
        <w:rPr>
          <w:rFonts w:ascii="Garamond" w:hAnsi="Garamond" w:cstheme="minorHAnsi"/>
          <w:sz w:val="24"/>
          <w:szCs w:val="24"/>
        </w:rPr>
        <w:t xml:space="preserve"> </w:t>
      </w:r>
      <w:r w:rsidRPr="00461D74">
        <w:rPr>
          <w:rFonts w:ascii="Garamond" w:hAnsi="Garamond" w:cstheme="minorHAnsi"/>
          <w:sz w:val="24"/>
          <w:szCs w:val="24"/>
        </w:rPr>
        <w:t>recover</w:t>
      </w:r>
      <w:r w:rsidR="00504443">
        <w:rPr>
          <w:rFonts w:ascii="Garamond" w:hAnsi="Garamond" w:cstheme="minorHAnsi"/>
          <w:sz w:val="24"/>
          <w:szCs w:val="24"/>
        </w:rPr>
        <w:t>y of</w:t>
      </w:r>
      <w:r w:rsidRPr="00461D74">
        <w:rPr>
          <w:rFonts w:ascii="Garamond" w:hAnsi="Garamond" w:cstheme="minorHAnsi"/>
          <w:sz w:val="24"/>
          <w:szCs w:val="24"/>
        </w:rPr>
        <w:t xml:space="preserve"> the teleological resources in that tradition. </w:t>
      </w:r>
    </w:p>
    <w:p w:rsidR="00016049" w:rsidRPr="00461D74" w:rsidRDefault="005373E5" w:rsidP="00164E4D">
      <w:pPr>
        <w:spacing w:after="200" w:line="360" w:lineRule="auto"/>
        <w:ind w:firstLine="720"/>
        <w:jc w:val="both"/>
        <w:rPr>
          <w:rFonts w:ascii="Garamond" w:hAnsi="Garamond" w:cstheme="minorHAnsi"/>
          <w:sz w:val="24"/>
          <w:szCs w:val="24"/>
        </w:rPr>
      </w:pPr>
      <w:r>
        <w:rPr>
          <w:rFonts w:ascii="Garamond" w:hAnsi="Garamond" w:cstheme="minorHAnsi"/>
          <w:sz w:val="24"/>
          <w:szCs w:val="24"/>
        </w:rPr>
        <w:t>Considering</w:t>
      </w:r>
      <w:r w:rsidRPr="00461D74">
        <w:rPr>
          <w:rFonts w:ascii="Garamond" w:hAnsi="Garamond" w:cstheme="minorHAnsi"/>
          <w:sz w:val="24"/>
          <w:szCs w:val="24"/>
        </w:rPr>
        <w:t xml:space="preserve"> </w:t>
      </w:r>
      <w:r w:rsidR="00016049" w:rsidRPr="00461D74">
        <w:rPr>
          <w:rFonts w:ascii="Garamond" w:hAnsi="Garamond" w:cstheme="minorHAnsi"/>
          <w:sz w:val="24"/>
          <w:szCs w:val="24"/>
        </w:rPr>
        <w:t>this challenge</w:t>
      </w:r>
      <w:r>
        <w:rPr>
          <w:rFonts w:ascii="Garamond" w:hAnsi="Garamond" w:cstheme="minorHAnsi"/>
          <w:sz w:val="24"/>
          <w:szCs w:val="24"/>
        </w:rPr>
        <w:t>,</w:t>
      </w:r>
      <w:r w:rsidR="00016049" w:rsidRPr="00461D74">
        <w:rPr>
          <w:rFonts w:ascii="Garamond" w:hAnsi="Garamond" w:cstheme="minorHAnsi"/>
          <w:sz w:val="24"/>
          <w:szCs w:val="24"/>
        </w:rPr>
        <w:t xml:space="preserve"> </w:t>
      </w:r>
      <w:r>
        <w:rPr>
          <w:rFonts w:ascii="Garamond" w:hAnsi="Garamond" w:cstheme="minorHAnsi"/>
          <w:sz w:val="24"/>
          <w:szCs w:val="24"/>
        </w:rPr>
        <w:t>our</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only hope </w:t>
      </w:r>
      <w:r>
        <w:rPr>
          <w:rFonts w:ascii="Garamond" w:hAnsi="Garamond" w:cstheme="minorHAnsi"/>
          <w:sz w:val="24"/>
          <w:szCs w:val="24"/>
        </w:rPr>
        <w:t>appears to be the articulation of</w:t>
      </w:r>
      <w:r w:rsidR="00016049" w:rsidRPr="00461D74">
        <w:rPr>
          <w:rFonts w:ascii="Garamond" w:hAnsi="Garamond" w:cstheme="minorHAnsi"/>
          <w:sz w:val="24"/>
          <w:szCs w:val="24"/>
        </w:rPr>
        <w:t xml:space="preserve"> a much more modest </w:t>
      </w:r>
      <w:r>
        <w:rPr>
          <w:rFonts w:ascii="Garamond" w:hAnsi="Garamond" w:cstheme="minorHAnsi"/>
          <w:sz w:val="24"/>
          <w:szCs w:val="24"/>
        </w:rPr>
        <w:t>version</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of teleology, without the metaphysical </w:t>
      </w:r>
      <w:r w:rsidR="00347094" w:rsidRPr="00461D74">
        <w:rPr>
          <w:rFonts w:ascii="Garamond" w:hAnsi="Garamond" w:cstheme="minorHAnsi"/>
          <w:sz w:val="24"/>
          <w:szCs w:val="24"/>
        </w:rPr>
        <w:t xml:space="preserve">baggage that </w:t>
      </w:r>
      <w:r w:rsidR="00016049" w:rsidRPr="00461D74">
        <w:rPr>
          <w:rFonts w:ascii="Garamond" w:hAnsi="Garamond" w:cstheme="minorHAnsi"/>
          <w:sz w:val="24"/>
          <w:szCs w:val="24"/>
        </w:rPr>
        <w:t xml:space="preserve">makes it less compatible with a more modern conception of inquiry, as empirically informed. </w:t>
      </w:r>
    </w:p>
    <w:p w:rsidR="00966315" w:rsidRPr="00461D74" w:rsidRDefault="00016049" w:rsidP="00164E4D">
      <w:pPr>
        <w:spacing w:after="20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would like to conclude here with an optimistic suggestion. It may be possible to offer a different kind of explanation that could aid us in </w:t>
      </w:r>
      <w:r w:rsidR="00524784">
        <w:rPr>
          <w:rFonts w:ascii="Garamond" w:hAnsi="Garamond" w:cstheme="minorHAnsi"/>
          <w:sz w:val="24"/>
          <w:szCs w:val="24"/>
        </w:rPr>
        <w:t>capturing the</w:t>
      </w:r>
      <w:r w:rsidR="00524784" w:rsidRPr="00461D74">
        <w:rPr>
          <w:rFonts w:ascii="Garamond" w:hAnsi="Garamond" w:cstheme="minorHAnsi"/>
          <w:sz w:val="24"/>
          <w:szCs w:val="24"/>
        </w:rPr>
        <w:t xml:space="preserve"> </w:t>
      </w:r>
      <w:r w:rsidR="005E4907">
        <w:rPr>
          <w:rFonts w:ascii="Garamond" w:hAnsi="Garamond" w:cstheme="minorHAnsi"/>
          <w:sz w:val="24"/>
          <w:szCs w:val="24"/>
        </w:rPr>
        <w:lastRenderedPageBreak/>
        <w:t xml:space="preserve">kind of </w:t>
      </w:r>
      <w:r w:rsidRPr="00461D74">
        <w:rPr>
          <w:rFonts w:ascii="Garamond" w:hAnsi="Garamond" w:cstheme="minorHAnsi"/>
          <w:sz w:val="24"/>
          <w:szCs w:val="24"/>
        </w:rPr>
        <w:t xml:space="preserve">insights </w:t>
      </w:r>
      <w:r w:rsidR="005E4907">
        <w:rPr>
          <w:rFonts w:ascii="Garamond" w:hAnsi="Garamond" w:cstheme="minorHAnsi"/>
          <w:sz w:val="24"/>
          <w:szCs w:val="24"/>
        </w:rPr>
        <w:t>which</w:t>
      </w:r>
      <w:r w:rsidRPr="00461D74">
        <w:rPr>
          <w:rFonts w:ascii="Garamond" w:hAnsi="Garamond" w:cstheme="minorHAnsi"/>
          <w:sz w:val="24"/>
          <w:szCs w:val="24"/>
        </w:rPr>
        <w:t xml:space="preserve"> MacIntyre is really after – </w:t>
      </w:r>
      <w:r w:rsidR="005E4907">
        <w:rPr>
          <w:rFonts w:ascii="Garamond" w:hAnsi="Garamond" w:cstheme="minorHAnsi"/>
          <w:sz w:val="24"/>
          <w:szCs w:val="24"/>
        </w:rPr>
        <w:t>a</w:t>
      </w:r>
      <w:r w:rsidR="005E4907" w:rsidRPr="00461D74">
        <w:rPr>
          <w:rFonts w:ascii="Garamond" w:hAnsi="Garamond" w:cstheme="minorHAnsi"/>
          <w:sz w:val="24"/>
          <w:szCs w:val="24"/>
        </w:rPr>
        <w:t xml:space="preserve"> </w:t>
      </w:r>
      <w:r w:rsidRPr="00461D74">
        <w:rPr>
          <w:rFonts w:ascii="Garamond" w:hAnsi="Garamond" w:cstheme="minorHAnsi"/>
          <w:sz w:val="24"/>
          <w:szCs w:val="24"/>
        </w:rPr>
        <w:t xml:space="preserve">teleological/functional </w:t>
      </w:r>
      <w:r w:rsidR="005E4907">
        <w:rPr>
          <w:rFonts w:ascii="Garamond" w:hAnsi="Garamond" w:cstheme="minorHAnsi"/>
          <w:sz w:val="24"/>
          <w:szCs w:val="24"/>
        </w:rPr>
        <w:t>conception</w:t>
      </w:r>
      <w:r w:rsidR="005E4907" w:rsidRPr="00461D74">
        <w:rPr>
          <w:rFonts w:ascii="Garamond" w:hAnsi="Garamond" w:cstheme="minorHAnsi"/>
          <w:sz w:val="24"/>
          <w:szCs w:val="24"/>
        </w:rPr>
        <w:t xml:space="preserve"> </w:t>
      </w:r>
      <w:r w:rsidRPr="00461D74">
        <w:rPr>
          <w:rFonts w:ascii="Garamond" w:hAnsi="Garamond" w:cstheme="minorHAnsi"/>
          <w:sz w:val="24"/>
          <w:szCs w:val="24"/>
        </w:rPr>
        <w:t xml:space="preserve">of human nature and </w:t>
      </w:r>
      <w:r w:rsidR="005E4907">
        <w:rPr>
          <w:rFonts w:ascii="Garamond" w:hAnsi="Garamond" w:cstheme="minorHAnsi"/>
          <w:sz w:val="24"/>
          <w:szCs w:val="24"/>
        </w:rPr>
        <w:t xml:space="preserve">explanations for use in </w:t>
      </w:r>
      <w:r w:rsidRPr="00461D74">
        <w:rPr>
          <w:rFonts w:ascii="Garamond" w:hAnsi="Garamond" w:cstheme="minorHAnsi"/>
          <w:sz w:val="24"/>
          <w:szCs w:val="24"/>
        </w:rPr>
        <w:t>normativ</w:t>
      </w:r>
      <w:r w:rsidR="005E4907">
        <w:rPr>
          <w:rFonts w:ascii="Garamond" w:hAnsi="Garamond" w:cstheme="minorHAnsi"/>
          <w:sz w:val="24"/>
          <w:szCs w:val="24"/>
        </w:rPr>
        <w:t>e contexts</w:t>
      </w:r>
      <w:r w:rsidRPr="00461D74">
        <w:rPr>
          <w:rFonts w:ascii="Garamond" w:hAnsi="Garamond" w:cstheme="minorHAnsi"/>
          <w:sz w:val="24"/>
          <w:szCs w:val="24"/>
        </w:rPr>
        <w:t xml:space="preserve">. In the next chapter, I will argue that another kind of account – perhaps an alternative </w:t>
      </w:r>
      <w:r w:rsidR="00124F72" w:rsidRPr="00461D74">
        <w:rPr>
          <w:rFonts w:ascii="Garamond" w:hAnsi="Garamond" w:cstheme="minorHAnsi"/>
          <w:sz w:val="24"/>
          <w:szCs w:val="24"/>
        </w:rPr>
        <w:t xml:space="preserve">pragmatic teleology </w:t>
      </w:r>
      <w:r w:rsidRPr="00461D74">
        <w:rPr>
          <w:rFonts w:ascii="Garamond" w:hAnsi="Garamond" w:cstheme="minorHAnsi"/>
          <w:sz w:val="24"/>
          <w:szCs w:val="24"/>
        </w:rPr>
        <w:t xml:space="preserve">– could offer a better way for resolving </w:t>
      </w:r>
      <w:r w:rsidR="005E4907" w:rsidRPr="00461D74">
        <w:rPr>
          <w:rFonts w:ascii="Garamond" w:hAnsi="Garamond" w:cstheme="minorHAnsi"/>
          <w:sz w:val="24"/>
          <w:szCs w:val="24"/>
        </w:rPr>
        <w:t>th</w:t>
      </w:r>
      <w:r w:rsidR="005E4907">
        <w:rPr>
          <w:rFonts w:ascii="Garamond" w:hAnsi="Garamond" w:cstheme="minorHAnsi"/>
          <w:sz w:val="24"/>
          <w:szCs w:val="24"/>
        </w:rPr>
        <w:t>e</w:t>
      </w:r>
      <w:r w:rsidR="005E4907" w:rsidRPr="00461D74">
        <w:rPr>
          <w:rFonts w:ascii="Garamond" w:hAnsi="Garamond" w:cstheme="minorHAnsi"/>
          <w:sz w:val="24"/>
          <w:szCs w:val="24"/>
        </w:rPr>
        <w:t xml:space="preserve"> </w:t>
      </w:r>
      <w:r w:rsidRPr="00461D74">
        <w:rPr>
          <w:rFonts w:ascii="Garamond" w:hAnsi="Garamond" w:cstheme="minorHAnsi"/>
          <w:sz w:val="24"/>
          <w:szCs w:val="24"/>
        </w:rPr>
        <w:t>first tension</w:t>
      </w:r>
      <w:r w:rsidR="005E4907">
        <w:rPr>
          <w:rFonts w:ascii="Garamond" w:hAnsi="Garamond" w:cstheme="minorHAnsi"/>
          <w:sz w:val="24"/>
          <w:szCs w:val="24"/>
        </w:rPr>
        <w:t xml:space="preserve"> that plagues MacIntyre’s account</w:t>
      </w:r>
      <w:r w:rsidRPr="00461D74">
        <w:rPr>
          <w:rFonts w:ascii="Garamond" w:hAnsi="Garamond" w:cstheme="minorHAnsi"/>
          <w:sz w:val="24"/>
          <w:szCs w:val="24"/>
        </w:rPr>
        <w:t xml:space="preserve">, </w:t>
      </w:r>
      <w:r w:rsidR="005E4907">
        <w:rPr>
          <w:rFonts w:ascii="Garamond" w:hAnsi="Garamond" w:cstheme="minorHAnsi"/>
          <w:sz w:val="24"/>
          <w:szCs w:val="24"/>
        </w:rPr>
        <w:t xml:space="preserve">in a way that </w:t>
      </w:r>
      <w:r w:rsidRPr="00461D74">
        <w:rPr>
          <w:rFonts w:ascii="Garamond" w:hAnsi="Garamond" w:cstheme="minorHAnsi"/>
          <w:sz w:val="24"/>
          <w:szCs w:val="24"/>
        </w:rPr>
        <w:t>render</w:t>
      </w:r>
      <w:r w:rsidR="005E4907">
        <w:rPr>
          <w:rFonts w:ascii="Garamond" w:hAnsi="Garamond" w:cstheme="minorHAnsi"/>
          <w:sz w:val="24"/>
          <w:szCs w:val="24"/>
        </w:rPr>
        <w:t>s</w:t>
      </w:r>
      <w:r w:rsidRPr="00461D74">
        <w:rPr>
          <w:rFonts w:ascii="Garamond" w:hAnsi="Garamond" w:cstheme="minorHAnsi"/>
          <w:sz w:val="24"/>
          <w:szCs w:val="24"/>
        </w:rPr>
        <w:t xml:space="preserve"> </w:t>
      </w:r>
      <w:r w:rsidR="005E4907">
        <w:rPr>
          <w:rFonts w:ascii="Garamond" w:hAnsi="Garamond" w:cstheme="minorHAnsi"/>
          <w:sz w:val="24"/>
          <w:szCs w:val="24"/>
        </w:rPr>
        <w:t>his</w:t>
      </w:r>
      <w:r w:rsidR="005E4907" w:rsidRPr="00461D74">
        <w:rPr>
          <w:rFonts w:ascii="Garamond" w:hAnsi="Garamond" w:cstheme="minorHAnsi"/>
          <w:sz w:val="24"/>
          <w:szCs w:val="24"/>
        </w:rPr>
        <w:t xml:space="preserve"> </w:t>
      </w:r>
      <w:r w:rsidRPr="00461D74">
        <w:rPr>
          <w:rFonts w:ascii="Garamond" w:hAnsi="Garamond" w:cstheme="minorHAnsi"/>
          <w:sz w:val="24"/>
          <w:szCs w:val="24"/>
        </w:rPr>
        <w:t>project more coherent.</w:t>
      </w:r>
      <w:r w:rsidRPr="00461D74">
        <w:rPr>
          <w:rFonts w:ascii="Garamond" w:hAnsi="Garamond" w:cstheme="minorHAnsi"/>
          <w:sz w:val="24"/>
          <w:szCs w:val="24"/>
          <w:highlight w:val="cyan"/>
        </w:rPr>
        <w:t xml:space="preserve"> </w:t>
      </w:r>
    </w:p>
    <w:p w:rsidR="00966315" w:rsidRPr="00461D74" w:rsidRDefault="00966315" w:rsidP="00164E4D">
      <w:pPr>
        <w:spacing w:line="360" w:lineRule="auto"/>
        <w:jc w:val="both"/>
        <w:rPr>
          <w:rFonts w:ascii="Garamond" w:hAnsi="Garamond"/>
        </w:rPr>
      </w:pPr>
    </w:p>
    <w:p w:rsidR="00016049" w:rsidRPr="00461D74" w:rsidRDefault="000B58AA" w:rsidP="00164E4D">
      <w:pPr>
        <w:pStyle w:val="Heading2"/>
        <w:spacing w:line="360" w:lineRule="auto"/>
        <w:jc w:val="both"/>
        <w:rPr>
          <w:rFonts w:cstheme="majorHAnsi"/>
        </w:rPr>
      </w:pPr>
      <w:bookmarkStart w:id="20" w:name="_Toc528077802"/>
      <w:r w:rsidRPr="00461D74">
        <w:rPr>
          <w:rFonts w:cstheme="majorHAnsi"/>
        </w:rPr>
        <w:t>6</w:t>
      </w:r>
      <w:r w:rsidR="00195ABA" w:rsidRPr="00461D74">
        <w:rPr>
          <w:rFonts w:cstheme="majorHAnsi"/>
        </w:rPr>
        <w:t xml:space="preserve">. </w:t>
      </w:r>
      <w:r w:rsidR="0035042F" w:rsidRPr="00461D74">
        <w:rPr>
          <w:rFonts w:cstheme="majorHAnsi"/>
        </w:rPr>
        <w:t>Concluding Remarks</w:t>
      </w:r>
      <w:bookmarkEnd w:id="20"/>
    </w:p>
    <w:p w:rsidR="00016049" w:rsidRPr="00461D74" w:rsidRDefault="00016049" w:rsidP="00164E4D">
      <w:pPr>
        <w:spacing w:line="360" w:lineRule="auto"/>
        <w:jc w:val="both"/>
        <w:rPr>
          <w:rFonts w:ascii="Garamond" w:hAnsi="Garamond"/>
        </w:rPr>
      </w:pPr>
    </w:p>
    <w:p w:rsidR="00E82E64" w:rsidRDefault="00A7081E"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 xml:space="preserve">In </w:t>
      </w:r>
      <w:r w:rsidR="00B5475A" w:rsidRPr="00461D74">
        <w:rPr>
          <w:rFonts w:ascii="Garamond" w:hAnsi="Garamond" w:cstheme="minorHAnsi"/>
          <w:sz w:val="24"/>
          <w:szCs w:val="24"/>
          <w:lang w:val="en-GB"/>
        </w:rPr>
        <w:t xml:space="preserve">this chapter, I considered the first problem that emerges for MacIntyre’s work, specifically when we take into account MacIntyre’s later endorsement of Thomism, and the various historicist and contextualist commitments that </w:t>
      </w:r>
      <w:r w:rsidR="008214BA" w:rsidRPr="00461D74">
        <w:rPr>
          <w:rFonts w:ascii="Garamond" w:hAnsi="Garamond" w:cstheme="minorHAnsi"/>
          <w:sz w:val="24"/>
          <w:szCs w:val="24"/>
          <w:lang w:val="en-GB"/>
        </w:rPr>
        <w:t>emerge from his historical account of tradition-guided moral inquiry</w:t>
      </w:r>
      <w:r w:rsidR="003763B1" w:rsidRPr="00461D74">
        <w:rPr>
          <w:rFonts w:ascii="Garamond" w:hAnsi="Garamond" w:cstheme="minorHAnsi"/>
          <w:sz w:val="24"/>
          <w:szCs w:val="24"/>
          <w:lang w:val="en-GB"/>
        </w:rPr>
        <w:t>, for it seems that under the same historical account, Aristotelian-Thomism was in fact discarded, or at least marginalised.</w:t>
      </w:r>
    </w:p>
    <w:p w:rsidR="00D52A95" w:rsidRPr="00461D74" w:rsidRDefault="00E82E64" w:rsidP="00E82E64">
      <w:pPr>
        <w:spacing w:line="360" w:lineRule="auto"/>
        <w:jc w:val="both"/>
        <w:rPr>
          <w:rFonts w:ascii="Garamond" w:hAnsi="Garamond" w:cstheme="minorHAnsi"/>
          <w:sz w:val="24"/>
          <w:szCs w:val="24"/>
          <w:lang w:val="en-GB"/>
        </w:rPr>
      </w:pPr>
      <w:r>
        <w:rPr>
          <w:rFonts w:ascii="Garamond" w:hAnsi="Garamond" w:cstheme="minorHAnsi"/>
          <w:sz w:val="24"/>
          <w:szCs w:val="24"/>
          <w:lang w:val="en-GB"/>
        </w:rPr>
        <w:tab/>
        <w:t xml:space="preserve">First, I made a distinction between two aspects of progress – ‘intellectual’ (or rational) and ‘material.’ I argued that the success of MacIntyre’s argument for a mistaken or premature marginalisation of Aristotelian-Thomism rests on whether he is able to successfully disentangle these two aspects in a meaningful sense. </w:t>
      </w:r>
      <w:r w:rsidR="003763B1" w:rsidRPr="00461D74">
        <w:rPr>
          <w:rFonts w:ascii="Garamond" w:hAnsi="Garamond" w:cstheme="minorHAnsi"/>
          <w:sz w:val="24"/>
          <w:szCs w:val="24"/>
          <w:lang w:val="en-GB"/>
        </w:rPr>
        <w:t xml:space="preserve">I </w:t>
      </w:r>
      <w:r>
        <w:rPr>
          <w:rFonts w:ascii="Garamond" w:hAnsi="Garamond" w:cstheme="minorHAnsi"/>
          <w:sz w:val="24"/>
          <w:szCs w:val="24"/>
          <w:lang w:val="en-GB"/>
        </w:rPr>
        <w:t xml:space="preserve">also </w:t>
      </w:r>
      <w:r w:rsidR="003763B1" w:rsidRPr="00461D74">
        <w:rPr>
          <w:rFonts w:ascii="Garamond" w:hAnsi="Garamond" w:cstheme="minorHAnsi"/>
          <w:sz w:val="24"/>
          <w:szCs w:val="24"/>
          <w:lang w:val="en-GB"/>
        </w:rPr>
        <w:t xml:space="preserve">argued that MacIntyre’s answer to this question is crucial </w:t>
      </w:r>
      <w:r w:rsidR="00D52A95" w:rsidRPr="00461D74">
        <w:rPr>
          <w:rFonts w:ascii="Garamond" w:hAnsi="Garamond" w:cstheme="minorHAnsi"/>
          <w:sz w:val="24"/>
          <w:szCs w:val="24"/>
          <w:lang w:val="en-GB"/>
        </w:rPr>
        <w:t>to</w:t>
      </w:r>
      <w:r w:rsidR="003763B1" w:rsidRPr="00461D74">
        <w:rPr>
          <w:rFonts w:ascii="Garamond" w:hAnsi="Garamond" w:cstheme="minorHAnsi"/>
          <w:sz w:val="24"/>
          <w:szCs w:val="24"/>
          <w:lang w:val="en-GB"/>
        </w:rPr>
        <w:t xml:space="preserve"> his </w:t>
      </w:r>
      <w:r w:rsidR="00D52A95" w:rsidRPr="00461D74">
        <w:rPr>
          <w:rFonts w:ascii="Garamond" w:hAnsi="Garamond" w:cstheme="minorHAnsi"/>
          <w:sz w:val="24"/>
          <w:szCs w:val="24"/>
          <w:lang w:val="en-GB"/>
        </w:rPr>
        <w:t xml:space="preserve">overall </w:t>
      </w:r>
      <w:r w:rsidR="003763B1" w:rsidRPr="00461D74">
        <w:rPr>
          <w:rFonts w:ascii="Garamond" w:hAnsi="Garamond" w:cstheme="minorHAnsi"/>
          <w:sz w:val="24"/>
          <w:szCs w:val="24"/>
          <w:lang w:val="en-GB"/>
        </w:rPr>
        <w:t>project</w:t>
      </w:r>
      <w:r>
        <w:rPr>
          <w:rFonts w:ascii="Garamond" w:hAnsi="Garamond" w:cstheme="minorHAnsi"/>
          <w:sz w:val="24"/>
          <w:szCs w:val="24"/>
          <w:lang w:val="en-GB"/>
        </w:rPr>
        <w:t>, and that</w:t>
      </w:r>
      <w:r w:rsidR="00D52A95" w:rsidRPr="00461D74">
        <w:rPr>
          <w:rFonts w:ascii="Garamond" w:hAnsi="Garamond" w:cstheme="minorHAnsi"/>
          <w:sz w:val="24"/>
          <w:szCs w:val="24"/>
          <w:lang w:val="en-GB"/>
        </w:rPr>
        <w:t xml:space="preserve"> should MacIntyre’s attempt at securing the</w:t>
      </w:r>
      <w:r w:rsidR="003763B1" w:rsidRPr="00461D74">
        <w:rPr>
          <w:rFonts w:ascii="Garamond" w:hAnsi="Garamond" w:cstheme="minorHAnsi"/>
          <w:sz w:val="24"/>
          <w:szCs w:val="24"/>
          <w:lang w:val="en-GB"/>
        </w:rPr>
        <w:t xml:space="preserve"> </w:t>
      </w:r>
      <w:r w:rsidR="00D52A95" w:rsidRPr="00461D74">
        <w:rPr>
          <w:rFonts w:ascii="Garamond" w:hAnsi="Garamond" w:cstheme="minorHAnsi"/>
          <w:sz w:val="24"/>
          <w:szCs w:val="24"/>
          <w:lang w:val="en-GB"/>
        </w:rPr>
        <w:t xml:space="preserve">teleological resources in </w:t>
      </w:r>
      <w:r w:rsidR="003763B1" w:rsidRPr="00461D74">
        <w:rPr>
          <w:rFonts w:ascii="Garamond" w:hAnsi="Garamond" w:cstheme="minorHAnsi"/>
          <w:sz w:val="24"/>
          <w:szCs w:val="24"/>
          <w:lang w:val="en-GB"/>
        </w:rPr>
        <w:t>the Thomis</w:t>
      </w:r>
      <w:r w:rsidR="00D52A95" w:rsidRPr="00461D74">
        <w:rPr>
          <w:rFonts w:ascii="Garamond" w:hAnsi="Garamond" w:cstheme="minorHAnsi"/>
          <w:sz w:val="24"/>
          <w:szCs w:val="24"/>
          <w:lang w:val="en-GB"/>
        </w:rPr>
        <w:t xml:space="preserve">tic tradition fail, he is not able to offer a compelling account that is capable of reconciling or adjudicating between rival moral claims. </w:t>
      </w:r>
      <w:r w:rsidR="003763B1" w:rsidRPr="00461D74">
        <w:rPr>
          <w:rFonts w:ascii="Garamond" w:hAnsi="Garamond" w:cstheme="minorHAnsi"/>
          <w:sz w:val="24"/>
          <w:szCs w:val="24"/>
          <w:lang w:val="en-GB"/>
        </w:rPr>
        <w:t xml:space="preserve">I went on to suggest, nevertheless, that MacIntyre is in </w:t>
      </w:r>
      <w:r w:rsidR="00D52A95" w:rsidRPr="00461D74">
        <w:rPr>
          <w:rFonts w:ascii="Garamond" w:hAnsi="Garamond" w:cstheme="minorHAnsi"/>
          <w:sz w:val="24"/>
          <w:szCs w:val="24"/>
          <w:lang w:val="en-GB"/>
        </w:rPr>
        <w:t>fact cognizant of this problem.</w:t>
      </w:r>
      <w:r w:rsidR="00BE5661" w:rsidRPr="00461D74">
        <w:rPr>
          <w:rStyle w:val="FootnoteReference"/>
          <w:rFonts w:ascii="Garamond" w:hAnsi="Garamond" w:cstheme="minorHAnsi"/>
          <w:sz w:val="24"/>
          <w:szCs w:val="24"/>
          <w:lang w:val="en-GB"/>
        </w:rPr>
        <w:footnoteReference w:id="217"/>
      </w:r>
    </w:p>
    <w:p w:rsidR="006A6DE5" w:rsidRPr="00461D74" w:rsidRDefault="003763B1"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I then </w:t>
      </w:r>
      <w:r w:rsidR="00CD12D8" w:rsidRPr="00461D74">
        <w:rPr>
          <w:rFonts w:ascii="Garamond" w:hAnsi="Garamond" w:cstheme="minorHAnsi"/>
          <w:sz w:val="24"/>
          <w:szCs w:val="24"/>
          <w:lang w:val="en-GB"/>
        </w:rPr>
        <w:t>outlined an</w:t>
      </w:r>
      <w:r w:rsidR="004B0EC5" w:rsidRPr="00461D74">
        <w:rPr>
          <w:rFonts w:ascii="Garamond" w:hAnsi="Garamond" w:cstheme="minorHAnsi"/>
          <w:sz w:val="24"/>
          <w:szCs w:val="24"/>
          <w:lang w:val="en-GB"/>
        </w:rPr>
        <w:t xml:space="preserve"> attempt by </w:t>
      </w:r>
      <w:r w:rsidRPr="00461D74">
        <w:rPr>
          <w:rFonts w:ascii="Garamond" w:hAnsi="Garamond" w:cstheme="minorHAnsi"/>
          <w:sz w:val="24"/>
          <w:szCs w:val="24"/>
          <w:lang w:val="en-GB"/>
        </w:rPr>
        <w:t>MacIntyre</w:t>
      </w:r>
      <w:r w:rsidR="000472B2" w:rsidRPr="00461D74">
        <w:rPr>
          <w:rFonts w:ascii="Garamond" w:hAnsi="Garamond" w:cstheme="minorHAnsi"/>
          <w:sz w:val="24"/>
          <w:szCs w:val="24"/>
          <w:lang w:val="en-GB"/>
        </w:rPr>
        <w:t xml:space="preserve"> to </w:t>
      </w:r>
      <w:r w:rsidR="00CD12D8" w:rsidRPr="00461D74">
        <w:rPr>
          <w:rFonts w:ascii="Garamond" w:hAnsi="Garamond" w:cstheme="minorHAnsi"/>
          <w:sz w:val="24"/>
          <w:szCs w:val="24"/>
          <w:lang w:val="en-GB"/>
        </w:rPr>
        <w:t xml:space="preserve">precisely address </w:t>
      </w:r>
      <w:r w:rsidR="000476B1">
        <w:rPr>
          <w:rFonts w:ascii="Garamond" w:hAnsi="Garamond" w:cstheme="minorHAnsi"/>
          <w:sz w:val="24"/>
          <w:szCs w:val="24"/>
          <w:lang w:val="en-GB"/>
        </w:rPr>
        <w:t xml:space="preserve">just </w:t>
      </w:r>
      <w:r w:rsidR="004B0EC5" w:rsidRPr="00461D74">
        <w:rPr>
          <w:rFonts w:ascii="Garamond" w:hAnsi="Garamond" w:cstheme="minorHAnsi"/>
          <w:sz w:val="24"/>
          <w:szCs w:val="24"/>
          <w:lang w:val="en-GB"/>
        </w:rPr>
        <w:t>this</w:t>
      </w:r>
      <w:r w:rsidR="00CD12D8" w:rsidRPr="00461D74">
        <w:rPr>
          <w:rFonts w:ascii="Garamond" w:hAnsi="Garamond" w:cstheme="minorHAnsi"/>
          <w:sz w:val="24"/>
          <w:szCs w:val="24"/>
          <w:lang w:val="en-GB"/>
        </w:rPr>
        <w:t xml:space="preserve"> </w:t>
      </w:r>
      <w:r w:rsidR="004B0EC5" w:rsidRPr="00461D74">
        <w:rPr>
          <w:rFonts w:ascii="Garamond" w:hAnsi="Garamond" w:cstheme="minorHAnsi"/>
          <w:sz w:val="24"/>
          <w:szCs w:val="24"/>
          <w:lang w:val="en-GB"/>
        </w:rPr>
        <w:t>difficulty</w:t>
      </w:r>
      <w:r w:rsidRPr="00461D74">
        <w:rPr>
          <w:rFonts w:ascii="Garamond" w:hAnsi="Garamond" w:cstheme="minorHAnsi"/>
          <w:sz w:val="24"/>
          <w:szCs w:val="24"/>
          <w:lang w:val="en-GB"/>
        </w:rPr>
        <w:t>.</w:t>
      </w:r>
      <w:r w:rsidR="00BE5661" w:rsidRPr="00461D74">
        <w:rPr>
          <w:rFonts w:ascii="Garamond" w:hAnsi="Garamond" w:cstheme="minorHAnsi"/>
          <w:sz w:val="24"/>
          <w:szCs w:val="24"/>
          <w:lang w:val="en-GB"/>
        </w:rPr>
        <w:t xml:space="preserve"> </w:t>
      </w:r>
      <w:r w:rsidR="00BD40F8">
        <w:rPr>
          <w:rFonts w:ascii="Garamond" w:hAnsi="Garamond" w:cstheme="minorHAnsi"/>
          <w:sz w:val="24"/>
          <w:szCs w:val="24"/>
          <w:lang w:val="en-GB"/>
        </w:rPr>
        <w:t xml:space="preserve">Now, </w:t>
      </w:r>
      <w:r w:rsidR="00BE5661" w:rsidRPr="00461D74">
        <w:rPr>
          <w:rFonts w:ascii="Garamond" w:hAnsi="Garamond" w:cstheme="minorHAnsi"/>
          <w:sz w:val="24"/>
          <w:szCs w:val="24"/>
          <w:lang w:val="en-GB"/>
        </w:rPr>
        <w:t xml:space="preserve">MacIntyre </w:t>
      </w:r>
      <w:r w:rsidR="00CD12D8" w:rsidRPr="00461D74">
        <w:rPr>
          <w:rFonts w:ascii="Garamond" w:hAnsi="Garamond" w:cstheme="minorHAnsi"/>
          <w:sz w:val="24"/>
          <w:szCs w:val="24"/>
          <w:lang w:val="en-GB"/>
        </w:rPr>
        <w:t xml:space="preserve">utilised </w:t>
      </w:r>
      <w:proofErr w:type="spellStart"/>
      <w:r w:rsidR="00BD40F8" w:rsidRPr="00461D74">
        <w:rPr>
          <w:rFonts w:ascii="Garamond" w:hAnsi="Garamond" w:cstheme="minorHAnsi"/>
          <w:sz w:val="24"/>
          <w:szCs w:val="24"/>
          <w:lang w:val="en-GB"/>
        </w:rPr>
        <w:t>Piccolomini</w:t>
      </w:r>
      <w:proofErr w:type="spellEnd"/>
      <w:r w:rsidR="00BD40F8" w:rsidRPr="00461D74">
        <w:rPr>
          <w:rFonts w:ascii="Garamond" w:hAnsi="Garamond" w:cstheme="minorHAnsi"/>
          <w:sz w:val="24"/>
          <w:szCs w:val="24"/>
          <w:lang w:val="en-GB"/>
        </w:rPr>
        <w:t xml:space="preserve"> </w:t>
      </w:r>
      <w:r w:rsidR="00BD40F8">
        <w:rPr>
          <w:rFonts w:ascii="Garamond" w:hAnsi="Garamond" w:cstheme="minorHAnsi"/>
          <w:sz w:val="24"/>
          <w:szCs w:val="24"/>
          <w:lang w:val="en-GB"/>
        </w:rPr>
        <w:t>as a</w:t>
      </w:r>
      <w:r w:rsidR="00CD12D8" w:rsidRPr="00461D74">
        <w:rPr>
          <w:rFonts w:ascii="Garamond" w:hAnsi="Garamond" w:cstheme="minorHAnsi"/>
          <w:sz w:val="24"/>
          <w:szCs w:val="24"/>
          <w:lang w:val="en-GB"/>
        </w:rPr>
        <w:t xml:space="preserve"> paradigmatic example of </w:t>
      </w:r>
      <w:r w:rsidR="00CD12D8" w:rsidRPr="00461D74">
        <w:rPr>
          <w:rFonts w:ascii="Garamond" w:hAnsi="Garamond" w:cstheme="minorHAnsi"/>
          <w:sz w:val="24"/>
          <w:szCs w:val="24"/>
          <w:lang w:val="en-GB"/>
        </w:rPr>
        <w:lastRenderedPageBreak/>
        <w:t xml:space="preserve">Renaissance </w:t>
      </w:r>
      <w:proofErr w:type="spellStart"/>
      <w:r w:rsidR="00CD12D8" w:rsidRPr="00461D74">
        <w:rPr>
          <w:rFonts w:ascii="Garamond" w:hAnsi="Garamond" w:cstheme="minorHAnsi"/>
          <w:sz w:val="24"/>
          <w:szCs w:val="24"/>
          <w:lang w:val="en-GB"/>
        </w:rPr>
        <w:t>Aristotelian</w:t>
      </w:r>
      <w:r w:rsidR="008C0753">
        <w:rPr>
          <w:rFonts w:ascii="Garamond" w:hAnsi="Garamond" w:cstheme="minorHAnsi"/>
          <w:sz w:val="24"/>
          <w:szCs w:val="24"/>
          <w:lang w:val="en-GB"/>
        </w:rPr>
        <w:t>i</w:t>
      </w:r>
      <w:r w:rsidR="00BD40F8">
        <w:rPr>
          <w:rFonts w:ascii="Garamond" w:hAnsi="Garamond" w:cstheme="minorHAnsi"/>
          <w:sz w:val="24"/>
          <w:szCs w:val="24"/>
          <w:lang w:val="en-GB"/>
        </w:rPr>
        <w:t>s</w:t>
      </w:r>
      <w:r w:rsidR="008C0753">
        <w:rPr>
          <w:rFonts w:ascii="Garamond" w:hAnsi="Garamond" w:cstheme="minorHAnsi"/>
          <w:sz w:val="24"/>
          <w:szCs w:val="24"/>
          <w:lang w:val="en-GB"/>
        </w:rPr>
        <w:t>m</w:t>
      </w:r>
      <w:proofErr w:type="spellEnd"/>
      <w:r w:rsidR="00CD12D8" w:rsidRPr="00461D74">
        <w:rPr>
          <w:rFonts w:ascii="Garamond" w:hAnsi="Garamond" w:cstheme="minorHAnsi"/>
          <w:sz w:val="24"/>
          <w:szCs w:val="24"/>
          <w:lang w:val="en-GB"/>
        </w:rPr>
        <w:t xml:space="preserve">, to </w:t>
      </w:r>
      <w:r w:rsidR="00BD40F8">
        <w:rPr>
          <w:rFonts w:ascii="Garamond" w:hAnsi="Garamond" w:cstheme="minorHAnsi"/>
          <w:sz w:val="24"/>
          <w:szCs w:val="24"/>
          <w:lang w:val="en-GB"/>
        </w:rPr>
        <w:t>argue</w:t>
      </w:r>
      <w:r w:rsidR="00BD40F8" w:rsidRPr="00461D74">
        <w:rPr>
          <w:rFonts w:ascii="Garamond" w:hAnsi="Garamond" w:cstheme="minorHAnsi"/>
          <w:sz w:val="24"/>
          <w:szCs w:val="24"/>
          <w:lang w:val="en-GB"/>
        </w:rPr>
        <w:t xml:space="preserve"> </w:t>
      </w:r>
      <w:r w:rsidR="00CD12D8" w:rsidRPr="00461D74">
        <w:rPr>
          <w:rFonts w:ascii="Garamond" w:hAnsi="Garamond" w:cstheme="minorHAnsi"/>
          <w:sz w:val="24"/>
          <w:szCs w:val="24"/>
          <w:lang w:val="en-GB"/>
        </w:rPr>
        <w:t xml:space="preserve">that </w:t>
      </w:r>
      <w:proofErr w:type="spellStart"/>
      <w:r w:rsidR="00CD12D8" w:rsidRPr="00461D74">
        <w:rPr>
          <w:rFonts w:ascii="Garamond" w:hAnsi="Garamond" w:cstheme="minorHAnsi"/>
          <w:sz w:val="24"/>
          <w:szCs w:val="24"/>
          <w:lang w:val="en-GB"/>
        </w:rPr>
        <w:t>Piccolomini</w:t>
      </w:r>
      <w:proofErr w:type="spellEnd"/>
      <w:r w:rsidR="00CD12D8" w:rsidRPr="00461D74">
        <w:rPr>
          <w:rFonts w:ascii="Garamond" w:hAnsi="Garamond" w:cstheme="minorHAnsi"/>
          <w:sz w:val="24"/>
          <w:szCs w:val="24"/>
          <w:lang w:val="en-GB"/>
        </w:rPr>
        <w:t xml:space="preserve"> and other Renaissance figures, made important modifications to the standard Aristotelian account. MacIntyre </w:t>
      </w:r>
      <w:r w:rsidR="00BD40F8">
        <w:rPr>
          <w:rFonts w:ascii="Garamond" w:hAnsi="Garamond" w:cstheme="minorHAnsi"/>
          <w:sz w:val="24"/>
          <w:szCs w:val="24"/>
          <w:lang w:val="en-GB"/>
        </w:rPr>
        <w:t xml:space="preserve">however </w:t>
      </w:r>
      <w:r w:rsidR="00CD12D8" w:rsidRPr="00461D74">
        <w:rPr>
          <w:rFonts w:ascii="Garamond" w:hAnsi="Garamond" w:cstheme="minorHAnsi"/>
          <w:sz w:val="24"/>
          <w:szCs w:val="24"/>
          <w:lang w:val="en-GB"/>
        </w:rPr>
        <w:t xml:space="preserve">argued that unfortunately, by diverging from the Aristotelian account, specifically with respect to moral knowledge and moral education, Renaissance Aristotelians paved the way for marginalisation of </w:t>
      </w:r>
      <w:r w:rsidR="004C4F70" w:rsidRPr="00461D74">
        <w:rPr>
          <w:rFonts w:ascii="Garamond" w:hAnsi="Garamond" w:cstheme="minorHAnsi"/>
          <w:sz w:val="24"/>
          <w:szCs w:val="24"/>
          <w:lang w:val="en-GB"/>
        </w:rPr>
        <w:t>Aristotelian ethics and its corresponding teleology. Nevertheless, after a careful consideration of MacIntyre’s hypothesis, I argued that there is a much more plausible explanation for the decline of the Aristotelian-Thomistic ethics</w:t>
      </w:r>
      <w:r w:rsidR="0017208D" w:rsidRPr="00461D74">
        <w:rPr>
          <w:rFonts w:ascii="Garamond" w:hAnsi="Garamond" w:cstheme="minorHAnsi"/>
          <w:sz w:val="24"/>
          <w:szCs w:val="24"/>
          <w:lang w:val="en-GB"/>
        </w:rPr>
        <w:t>,</w:t>
      </w:r>
      <w:r w:rsidR="004C4F70" w:rsidRPr="00461D74">
        <w:rPr>
          <w:rFonts w:ascii="Garamond" w:hAnsi="Garamond" w:cstheme="minorHAnsi"/>
          <w:sz w:val="24"/>
          <w:szCs w:val="24"/>
          <w:lang w:val="en-GB"/>
        </w:rPr>
        <w:t xml:space="preserve"> an</w:t>
      </w:r>
      <w:r w:rsidR="00C22E15" w:rsidRPr="00461D74">
        <w:rPr>
          <w:rFonts w:ascii="Garamond" w:hAnsi="Garamond" w:cstheme="minorHAnsi"/>
          <w:sz w:val="24"/>
          <w:szCs w:val="24"/>
          <w:lang w:val="en-GB"/>
        </w:rPr>
        <w:t xml:space="preserve">d </w:t>
      </w:r>
      <w:r w:rsidR="0017208D" w:rsidRPr="00461D74">
        <w:rPr>
          <w:rFonts w:ascii="Garamond" w:hAnsi="Garamond" w:cstheme="minorHAnsi"/>
          <w:sz w:val="24"/>
          <w:szCs w:val="24"/>
          <w:lang w:val="en-GB"/>
        </w:rPr>
        <w:t>it</w:t>
      </w:r>
      <w:r w:rsidR="00C22E15" w:rsidRPr="00461D74">
        <w:rPr>
          <w:rFonts w:ascii="Garamond" w:hAnsi="Garamond" w:cstheme="minorHAnsi"/>
          <w:sz w:val="24"/>
          <w:szCs w:val="24"/>
          <w:lang w:val="en-GB"/>
        </w:rPr>
        <w:t xml:space="preserve">s </w:t>
      </w:r>
      <w:r w:rsidR="004C4F70" w:rsidRPr="00461D74">
        <w:rPr>
          <w:rFonts w:ascii="Garamond" w:hAnsi="Garamond" w:cstheme="minorHAnsi"/>
          <w:sz w:val="24"/>
          <w:szCs w:val="24"/>
          <w:lang w:val="en-GB"/>
        </w:rPr>
        <w:t>respective teleology</w:t>
      </w:r>
      <w:r w:rsidR="0017208D" w:rsidRPr="00461D74">
        <w:rPr>
          <w:rFonts w:ascii="Garamond" w:hAnsi="Garamond" w:cstheme="minorHAnsi"/>
          <w:sz w:val="24"/>
          <w:szCs w:val="24"/>
          <w:lang w:val="en-GB"/>
        </w:rPr>
        <w:t xml:space="preserve">; </w:t>
      </w:r>
      <w:r w:rsidR="004C4F70" w:rsidRPr="00461D74">
        <w:rPr>
          <w:rFonts w:ascii="Garamond" w:hAnsi="Garamond" w:cstheme="minorHAnsi"/>
          <w:sz w:val="24"/>
          <w:szCs w:val="24"/>
          <w:lang w:val="en-GB"/>
        </w:rPr>
        <w:t xml:space="preserve">namely, </w:t>
      </w:r>
      <w:r w:rsidR="004C4F70" w:rsidRPr="00461D74">
        <w:rPr>
          <w:rFonts w:ascii="Garamond" w:hAnsi="Garamond" w:cstheme="minorHAnsi"/>
          <w:i/>
          <w:sz w:val="24"/>
          <w:szCs w:val="24"/>
          <w:lang w:val="en-GB"/>
        </w:rPr>
        <w:t>the story of science</w:t>
      </w:r>
      <w:r w:rsidR="004C4F70" w:rsidRPr="00461D74">
        <w:rPr>
          <w:rFonts w:ascii="Garamond" w:hAnsi="Garamond" w:cstheme="minorHAnsi"/>
          <w:sz w:val="24"/>
          <w:szCs w:val="24"/>
          <w:lang w:val="en-GB"/>
        </w:rPr>
        <w:t>.</w:t>
      </w:r>
      <w:r w:rsidR="002936E6" w:rsidRPr="00461D74">
        <w:rPr>
          <w:rFonts w:ascii="Garamond" w:hAnsi="Garamond" w:cstheme="minorHAnsi"/>
          <w:sz w:val="24"/>
          <w:szCs w:val="24"/>
          <w:lang w:val="en-GB"/>
        </w:rPr>
        <w:t xml:space="preserve"> Moreover, I proposed that MacIntyre’s explanation for the decline of Aristotelian-Thomism turns out to be counterproductive</w:t>
      </w:r>
      <w:r w:rsidR="008C0753">
        <w:rPr>
          <w:rFonts w:ascii="Garamond" w:hAnsi="Garamond" w:cstheme="minorHAnsi"/>
          <w:sz w:val="24"/>
          <w:szCs w:val="24"/>
          <w:lang w:val="en-GB"/>
        </w:rPr>
        <w:t>,</w:t>
      </w:r>
      <w:r w:rsidR="00BD40F8">
        <w:rPr>
          <w:rFonts w:ascii="Garamond" w:hAnsi="Garamond" w:cstheme="minorHAnsi"/>
          <w:sz w:val="24"/>
          <w:szCs w:val="24"/>
          <w:lang w:val="en-GB"/>
        </w:rPr>
        <w:t xml:space="preserve"> for</w:t>
      </w:r>
      <w:r w:rsidR="002936E6" w:rsidRPr="00461D74">
        <w:rPr>
          <w:rFonts w:ascii="Garamond" w:hAnsi="Garamond" w:cstheme="minorHAnsi"/>
          <w:sz w:val="24"/>
          <w:szCs w:val="24"/>
          <w:lang w:val="en-GB"/>
        </w:rPr>
        <w:t xml:space="preserve"> MacIntyre’s condemnation of Renaissance Aristotelians could </w:t>
      </w:r>
      <w:r w:rsidR="00AC7974" w:rsidRPr="00461D74">
        <w:rPr>
          <w:rFonts w:ascii="Garamond" w:hAnsi="Garamond" w:cstheme="minorHAnsi"/>
          <w:sz w:val="24"/>
          <w:szCs w:val="24"/>
          <w:lang w:val="en-GB"/>
        </w:rPr>
        <w:t>correspondingly</w:t>
      </w:r>
      <w:r w:rsidR="002936E6" w:rsidRPr="00461D74">
        <w:rPr>
          <w:rFonts w:ascii="Garamond" w:hAnsi="Garamond" w:cstheme="minorHAnsi"/>
          <w:sz w:val="24"/>
          <w:szCs w:val="24"/>
          <w:lang w:val="en-GB"/>
        </w:rPr>
        <w:t xml:space="preserve"> apply to Aquinas’ </w:t>
      </w:r>
      <w:r w:rsidR="00232C6B" w:rsidRPr="00461D74">
        <w:rPr>
          <w:rFonts w:ascii="Garamond" w:hAnsi="Garamond" w:cstheme="minorHAnsi"/>
          <w:sz w:val="24"/>
          <w:szCs w:val="24"/>
          <w:lang w:val="en-GB"/>
        </w:rPr>
        <w:t xml:space="preserve">moral philosophy, </w:t>
      </w:r>
      <w:r w:rsidR="00BD40F8">
        <w:rPr>
          <w:rFonts w:ascii="Garamond" w:hAnsi="Garamond" w:cstheme="minorHAnsi"/>
          <w:sz w:val="24"/>
          <w:szCs w:val="24"/>
          <w:lang w:val="en-GB"/>
        </w:rPr>
        <w:t>given that</w:t>
      </w:r>
      <w:r w:rsidR="00BD40F8"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Aquinas</w:t>
      </w:r>
      <w:r w:rsidR="002936E6"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 xml:space="preserve">likewise modified the </w:t>
      </w:r>
      <w:r w:rsidR="002936E6" w:rsidRPr="00461D74">
        <w:rPr>
          <w:rFonts w:ascii="Garamond" w:hAnsi="Garamond" w:cstheme="minorHAnsi"/>
          <w:sz w:val="24"/>
          <w:szCs w:val="24"/>
          <w:lang w:val="en-GB"/>
        </w:rPr>
        <w:t>Arist</w:t>
      </w:r>
      <w:r w:rsidR="006A6DE5" w:rsidRPr="00461D74">
        <w:rPr>
          <w:rFonts w:ascii="Garamond" w:hAnsi="Garamond" w:cstheme="minorHAnsi"/>
          <w:sz w:val="24"/>
          <w:szCs w:val="24"/>
          <w:lang w:val="en-GB"/>
        </w:rPr>
        <w:t>otelian account</w:t>
      </w:r>
      <w:r w:rsidR="00AC7974" w:rsidRPr="00461D74">
        <w:rPr>
          <w:rFonts w:ascii="Garamond" w:hAnsi="Garamond" w:cstheme="minorHAnsi"/>
          <w:sz w:val="24"/>
          <w:szCs w:val="24"/>
          <w:lang w:val="en-GB"/>
        </w:rPr>
        <w:t xml:space="preserve"> to a considerable extent</w:t>
      </w:r>
      <w:r w:rsidR="006A6DE5" w:rsidRPr="00461D74">
        <w:rPr>
          <w:rFonts w:ascii="Garamond" w:hAnsi="Garamond" w:cstheme="minorHAnsi"/>
          <w:sz w:val="24"/>
          <w:szCs w:val="24"/>
          <w:lang w:val="en-GB"/>
        </w:rPr>
        <w:t>.</w:t>
      </w:r>
    </w:p>
    <w:p w:rsidR="00232C6B" w:rsidRPr="00461D74" w:rsidRDefault="006A6DE5"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First, </w:t>
      </w:r>
      <w:r w:rsidR="00232C6B" w:rsidRPr="00461D74">
        <w:rPr>
          <w:rFonts w:ascii="Garamond" w:hAnsi="Garamond" w:cstheme="minorHAnsi"/>
          <w:sz w:val="24"/>
          <w:szCs w:val="24"/>
          <w:lang w:val="en-GB"/>
        </w:rPr>
        <w:t xml:space="preserve">I demonstrated that Aquinas, in order to synthesize Augustinian insights </w:t>
      </w:r>
      <w:r w:rsidRPr="00461D74">
        <w:rPr>
          <w:rFonts w:ascii="Garamond" w:hAnsi="Garamond" w:cstheme="minorHAnsi"/>
          <w:sz w:val="24"/>
          <w:szCs w:val="24"/>
          <w:lang w:val="en-GB"/>
        </w:rPr>
        <w:t>into the Aristotelian tradition</w:t>
      </w:r>
      <w:r w:rsidR="00232C6B" w:rsidRPr="00461D74">
        <w:rPr>
          <w:rFonts w:ascii="Garamond" w:hAnsi="Garamond" w:cstheme="minorHAnsi"/>
          <w:sz w:val="24"/>
          <w:szCs w:val="24"/>
          <w:lang w:val="en-GB"/>
        </w:rPr>
        <w:t xml:space="preserve"> in fact ended up substantially revising Aristotle’s account of moral knowledge and moral education.</w:t>
      </w:r>
      <w:r w:rsidRPr="00461D74">
        <w:rPr>
          <w:rFonts w:ascii="Garamond" w:hAnsi="Garamond" w:cstheme="minorHAnsi"/>
          <w:sz w:val="24"/>
          <w:szCs w:val="24"/>
          <w:lang w:val="en-GB"/>
        </w:rPr>
        <w:t xml:space="preserve"> Second, I suggested that Aquinas’ natural law account and its corresponding formulation of moral knowledge, does not easily with the Aristotelian account of moral knowledge and education. Third, utilising </w:t>
      </w:r>
      <w:proofErr w:type="spellStart"/>
      <w:r w:rsidRPr="00461D74">
        <w:rPr>
          <w:rFonts w:ascii="Garamond" w:hAnsi="Garamond" w:cstheme="minorHAnsi"/>
          <w:sz w:val="24"/>
          <w:szCs w:val="24"/>
          <w:lang w:val="en-GB"/>
        </w:rPr>
        <w:t>Schneewind’s</w:t>
      </w:r>
      <w:proofErr w:type="spellEnd"/>
      <w:r w:rsidRPr="00461D74">
        <w:rPr>
          <w:rFonts w:ascii="Garamond" w:hAnsi="Garamond" w:cstheme="minorHAnsi"/>
          <w:sz w:val="24"/>
          <w:szCs w:val="24"/>
          <w:lang w:val="en-GB"/>
        </w:rPr>
        <w:t xml:space="preserve"> argument, I stated that the problem of fitting together Aquinas’ natural law</w:t>
      </w:r>
      <w:r w:rsidR="00810752"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w:t>
      </w:r>
      <w:r w:rsidR="00810752"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with respect to moral knowledge</w:t>
      </w:r>
      <w:r w:rsidR="00810752"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w:t>
      </w:r>
      <w:r w:rsidR="00810752" w:rsidRPr="00461D74">
        <w:rPr>
          <w:rFonts w:ascii="Garamond" w:hAnsi="Garamond" w:cstheme="minorHAnsi"/>
          <w:sz w:val="24"/>
          <w:szCs w:val="24"/>
          <w:lang w:val="en-GB"/>
        </w:rPr>
        <w:t xml:space="preserve"> </w:t>
      </w:r>
      <w:r w:rsidRPr="00461D74">
        <w:rPr>
          <w:rFonts w:ascii="Garamond" w:hAnsi="Garamond" w:cstheme="minorHAnsi"/>
          <w:sz w:val="24"/>
          <w:szCs w:val="24"/>
          <w:lang w:val="en-GB"/>
        </w:rPr>
        <w:t>with</w:t>
      </w:r>
      <w:r w:rsidR="00AC7974" w:rsidRPr="00461D74">
        <w:rPr>
          <w:rFonts w:ascii="Garamond" w:hAnsi="Garamond" w:cstheme="minorHAnsi"/>
          <w:sz w:val="24"/>
          <w:szCs w:val="24"/>
          <w:lang w:val="en-GB"/>
        </w:rPr>
        <w:t>in the standard Aristotelian</w:t>
      </w:r>
      <w:r w:rsidRPr="00461D74">
        <w:rPr>
          <w:rFonts w:ascii="Garamond" w:hAnsi="Garamond" w:cstheme="minorHAnsi"/>
          <w:sz w:val="24"/>
          <w:szCs w:val="24"/>
          <w:lang w:val="en-GB"/>
        </w:rPr>
        <w:t xml:space="preserve"> </w:t>
      </w:r>
      <w:r w:rsidR="00AC7974" w:rsidRPr="00461D74">
        <w:rPr>
          <w:rFonts w:ascii="Garamond" w:hAnsi="Garamond" w:cstheme="minorHAnsi"/>
          <w:sz w:val="24"/>
          <w:szCs w:val="24"/>
          <w:lang w:val="en-GB"/>
        </w:rPr>
        <w:t>account</w:t>
      </w:r>
      <w:r w:rsidR="003B4FFF" w:rsidRPr="00461D74">
        <w:rPr>
          <w:rFonts w:ascii="Garamond" w:hAnsi="Garamond" w:cstheme="minorHAnsi"/>
          <w:sz w:val="24"/>
          <w:szCs w:val="24"/>
          <w:lang w:val="en-GB"/>
        </w:rPr>
        <w:t>,</w:t>
      </w:r>
      <w:r w:rsidR="00AC7974" w:rsidRPr="00461D74">
        <w:rPr>
          <w:rFonts w:ascii="Garamond" w:hAnsi="Garamond" w:cstheme="minorHAnsi"/>
          <w:sz w:val="24"/>
          <w:szCs w:val="24"/>
          <w:lang w:val="en-GB"/>
        </w:rPr>
        <w:t xml:space="preserve"> remains problematic</w:t>
      </w:r>
      <w:r w:rsidR="003B4FFF" w:rsidRPr="00461D74">
        <w:rPr>
          <w:rFonts w:ascii="Garamond" w:hAnsi="Garamond" w:cstheme="minorHAnsi"/>
          <w:sz w:val="24"/>
          <w:szCs w:val="24"/>
          <w:lang w:val="en-GB"/>
        </w:rPr>
        <w:t>; this is</w:t>
      </w:r>
      <w:r w:rsidR="00AC7974" w:rsidRPr="00461D74">
        <w:rPr>
          <w:rFonts w:ascii="Garamond" w:hAnsi="Garamond" w:cstheme="minorHAnsi"/>
          <w:sz w:val="24"/>
          <w:szCs w:val="24"/>
          <w:lang w:val="en-GB"/>
        </w:rPr>
        <w:t xml:space="preserve"> precisely because the Christian Augustinian account, especially its </w:t>
      </w:r>
      <w:r w:rsidR="00BD40F8">
        <w:rPr>
          <w:rFonts w:ascii="Garamond" w:hAnsi="Garamond" w:cstheme="minorHAnsi"/>
          <w:sz w:val="24"/>
          <w:szCs w:val="24"/>
          <w:lang w:val="en-GB"/>
        </w:rPr>
        <w:t xml:space="preserve">eschatology, </w:t>
      </w:r>
      <w:r w:rsidR="00AC7974" w:rsidRPr="00461D74">
        <w:rPr>
          <w:rFonts w:ascii="Garamond" w:hAnsi="Garamond" w:cstheme="minorHAnsi"/>
          <w:sz w:val="24"/>
          <w:szCs w:val="24"/>
          <w:lang w:val="en-GB"/>
        </w:rPr>
        <w:t>cosmology</w:t>
      </w:r>
      <w:r w:rsidR="00BD40F8">
        <w:rPr>
          <w:rFonts w:ascii="Garamond" w:hAnsi="Garamond" w:cstheme="minorHAnsi"/>
          <w:sz w:val="24"/>
          <w:szCs w:val="24"/>
          <w:lang w:val="en-GB"/>
        </w:rPr>
        <w:t>,</w:t>
      </w:r>
      <w:r w:rsidR="00AC7974" w:rsidRPr="00461D74">
        <w:rPr>
          <w:rFonts w:ascii="Garamond" w:hAnsi="Garamond" w:cstheme="minorHAnsi"/>
          <w:sz w:val="24"/>
          <w:szCs w:val="24"/>
          <w:lang w:val="en-GB"/>
        </w:rPr>
        <w:t xml:space="preserve"> and </w:t>
      </w:r>
      <w:r w:rsidR="00AF7B4B" w:rsidRPr="00461D74">
        <w:rPr>
          <w:rFonts w:ascii="Garamond" w:hAnsi="Garamond" w:cstheme="minorHAnsi"/>
          <w:sz w:val="24"/>
          <w:szCs w:val="24"/>
          <w:lang w:val="en-GB"/>
        </w:rPr>
        <w:t xml:space="preserve">subsequent </w:t>
      </w:r>
      <w:r w:rsidR="00AC7974" w:rsidRPr="00461D74">
        <w:rPr>
          <w:rFonts w:ascii="Garamond" w:hAnsi="Garamond" w:cstheme="minorHAnsi"/>
          <w:sz w:val="24"/>
          <w:szCs w:val="24"/>
          <w:lang w:val="en-GB"/>
        </w:rPr>
        <w:t>rejection of hierarchy, is in conflict with fundamental aspects of the Aristotelian world-view.</w:t>
      </w:r>
    </w:p>
    <w:p w:rsidR="009B08FB" w:rsidRPr="00461D74" w:rsidRDefault="00232C6B" w:rsidP="00E94DA5">
      <w:pPr>
        <w:spacing w:line="360" w:lineRule="auto"/>
        <w:ind w:firstLine="720"/>
        <w:jc w:val="both"/>
        <w:sectPr w:rsidR="009B08FB" w:rsidRPr="00461D74" w:rsidSect="003D0941">
          <w:footnotePr>
            <w:numRestart w:val="eachSect"/>
          </w:footnotePr>
          <w:pgSz w:w="12240" w:h="15840"/>
          <w:pgMar w:top="1985" w:right="2268" w:bottom="2268" w:left="2268" w:header="709" w:footer="709" w:gutter="0"/>
          <w:cols w:space="708"/>
          <w:docGrid w:linePitch="360"/>
        </w:sectPr>
      </w:pPr>
      <w:r w:rsidRPr="00461D74">
        <w:rPr>
          <w:rFonts w:ascii="Garamond" w:hAnsi="Garamond" w:cstheme="minorHAnsi"/>
          <w:sz w:val="24"/>
          <w:szCs w:val="24"/>
          <w:lang w:val="en-GB"/>
        </w:rPr>
        <w:t xml:space="preserve">Finally, </w:t>
      </w:r>
      <w:r w:rsidR="00A7081E" w:rsidRPr="00461D74">
        <w:rPr>
          <w:rFonts w:ascii="Garamond" w:hAnsi="Garamond" w:cstheme="minorHAnsi"/>
          <w:sz w:val="24"/>
          <w:szCs w:val="24"/>
          <w:lang w:val="en-GB"/>
        </w:rPr>
        <w:t>I conclude</w:t>
      </w:r>
      <w:r w:rsidRPr="00461D74">
        <w:rPr>
          <w:rFonts w:ascii="Garamond" w:hAnsi="Garamond" w:cstheme="minorHAnsi"/>
          <w:sz w:val="24"/>
          <w:szCs w:val="24"/>
          <w:lang w:val="en-GB"/>
        </w:rPr>
        <w:t>d</w:t>
      </w:r>
      <w:r w:rsidR="00A7081E" w:rsidRPr="00461D74">
        <w:rPr>
          <w:rFonts w:ascii="Garamond" w:hAnsi="Garamond" w:cstheme="minorHAnsi"/>
          <w:sz w:val="24"/>
          <w:szCs w:val="24"/>
          <w:lang w:val="en-GB"/>
        </w:rPr>
        <w:t xml:space="preserve"> that MacIntyre’s </w:t>
      </w:r>
      <w:r w:rsidRPr="00461D74">
        <w:rPr>
          <w:rFonts w:ascii="Garamond" w:hAnsi="Garamond" w:cstheme="minorHAnsi"/>
          <w:sz w:val="24"/>
          <w:szCs w:val="24"/>
          <w:lang w:val="en-GB"/>
        </w:rPr>
        <w:t xml:space="preserve">account for the decline of Aristotelian-Thomism isn’t </w:t>
      </w:r>
      <w:r w:rsidR="00A7081E" w:rsidRPr="00461D74">
        <w:rPr>
          <w:rFonts w:ascii="Garamond" w:hAnsi="Garamond" w:cstheme="minorHAnsi"/>
          <w:sz w:val="24"/>
          <w:szCs w:val="24"/>
          <w:lang w:val="en-GB"/>
        </w:rPr>
        <w:t>ultimately successful</w:t>
      </w:r>
      <w:r w:rsidRPr="00461D74">
        <w:rPr>
          <w:rFonts w:ascii="Garamond" w:hAnsi="Garamond" w:cstheme="minorHAnsi"/>
          <w:sz w:val="24"/>
          <w:szCs w:val="24"/>
          <w:lang w:val="en-GB"/>
        </w:rPr>
        <w:t xml:space="preserve">. Here, MacIntyre’s explanation for the loss of the Aristotelian-Thomistic teleology doesn’t </w:t>
      </w:r>
      <w:r w:rsidR="00C95C2D">
        <w:rPr>
          <w:rFonts w:ascii="Garamond" w:hAnsi="Garamond" w:cstheme="minorHAnsi"/>
          <w:sz w:val="24"/>
          <w:szCs w:val="24"/>
          <w:lang w:val="en-GB"/>
        </w:rPr>
        <w:t>seem to afford</w:t>
      </w:r>
      <w:r w:rsidRPr="00461D74">
        <w:rPr>
          <w:rFonts w:ascii="Garamond" w:hAnsi="Garamond" w:cstheme="minorHAnsi"/>
          <w:sz w:val="24"/>
          <w:szCs w:val="24"/>
          <w:lang w:val="en-GB"/>
        </w:rPr>
        <w:t xml:space="preserve"> us a sound justification for the marginalisation of that tradition, and its associated </w:t>
      </w:r>
      <w:r w:rsidRPr="00461D74">
        <w:rPr>
          <w:rFonts w:ascii="Garamond" w:hAnsi="Garamond" w:cstheme="minorHAnsi"/>
          <w:sz w:val="24"/>
          <w:szCs w:val="24"/>
          <w:lang w:val="en-GB"/>
        </w:rPr>
        <w:lastRenderedPageBreak/>
        <w:t xml:space="preserve">teleological resources. </w:t>
      </w:r>
      <w:r w:rsidR="00F42401" w:rsidRPr="00461D74">
        <w:rPr>
          <w:rFonts w:ascii="Garamond" w:hAnsi="Garamond" w:cstheme="minorHAnsi"/>
          <w:sz w:val="24"/>
          <w:szCs w:val="24"/>
          <w:lang w:val="en-GB"/>
        </w:rPr>
        <w:t>And w</w:t>
      </w:r>
      <w:r w:rsidRPr="00461D74">
        <w:rPr>
          <w:rFonts w:ascii="Garamond" w:hAnsi="Garamond" w:cstheme="minorHAnsi"/>
          <w:sz w:val="24"/>
          <w:szCs w:val="24"/>
          <w:lang w:val="en-GB"/>
        </w:rPr>
        <w:t xml:space="preserve">hile MacIntyre endorses Aristotelian-Thomism, in the absence of a </w:t>
      </w:r>
      <w:r w:rsidR="00F42401" w:rsidRPr="00461D74">
        <w:rPr>
          <w:rFonts w:ascii="Garamond" w:hAnsi="Garamond" w:cstheme="minorHAnsi"/>
          <w:sz w:val="24"/>
          <w:szCs w:val="24"/>
          <w:lang w:val="en-GB"/>
        </w:rPr>
        <w:t>compelling</w:t>
      </w:r>
      <w:r w:rsidRPr="00461D74">
        <w:rPr>
          <w:rFonts w:ascii="Garamond" w:hAnsi="Garamond" w:cstheme="minorHAnsi"/>
          <w:sz w:val="24"/>
          <w:szCs w:val="24"/>
          <w:lang w:val="en-GB"/>
        </w:rPr>
        <w:t xml:space="preserve"> explanation </w:t>
      </w:r>
      <w:r w:rsidR="00F42401" w:rsidRPr="00461D74">
        <w:rPr>
          <w:rFonts w:ascii="Garamond" w:hAnsi="Garamond" w:cstheme="minorHAnsi"/>
          <w:sz w:val="24"/>
          <w:szCs w:val="24"/>
          <w:lang w:val="en-GB"/>
        </w:rPr>
        <w:t xml:space="preserve">that can offer a reasonable case for the mistaken (or wrongful) marginalisation of that tradition, </w:t>
      </w:r>
      <w:r w:rsidR="00B87BBE" w:rsidRPr="00461D74">
        <w:rPr>
          <w:rFonts w:ascii="Garamond" w:hAnsi="Garamond" w:cstheme="minorHAnsi"/>
          <w:sz w:val="24"/>
          <w:szCs w:val="24"/>
          <w:lang w:val="en-GB"/>
        </w:rPr>
        <w:t xml:space="preserve">he isn’t able to </w:t>
      </w:r>
      <w:r w:rsidR="00692E48">
        <w:rPr>
          <w:rFonts w:ascii="Garamond" w:hAnsi="Garamond" w:cstheme="minorHAnsi"/>
          <w:sz w:val="24"/>
          <w:szCs w:val="24"/>
          <w:lang w:val="en-GB"/>
        </w:rPr>
        <w:t xml:space="preserve">ultimately </w:t>
      </w:r>
      <w:r w:rsidR="00F42401" w:rsidRPr="00461D74">
        <w:rPr>
          <w:rFonts w:ascii="Garamond" w:hAnsi="Garamond" w:cstheme="minorHAnsi"/>
          <w:sz w:val="24"/>
          <w:szCs w:val="24"/>
          <w:lang w:val="en-GB"/>
        </w:rPr>
        <w:t>retrieve</w:t>
      </w:r>
      <w:r w:rsidR="00B87BBE" w:rsidRPr="00461D74">
        <w:rPr>
          <w:rFonts w:ascii="Garamond" w:hAnsi="Garamond" w:cstheme="minorHAnsi"/>
          <w:sz w:val="24"/>
          <w:szCs w:val="24"/>
          <w:lang w:val="en-GB"/>
        </w:rPr>
        <w:t xml:space="preserve"> </w:t>
      </w:r>
      <w:r w:rsidR="00F42401" w:rsidRPr="00461D74">
        <w:rPr>
          <w:rFonts w:ascii="Garamond" w:hAnsi="Garamond" w:cstheme="minorHAnsi"/>
          <w:sz w:val="24"/>
          <w:szCs w:val="24"/>
          <w:lang w:val="en-GB"/>
        </w:rPr>
        <w:t>the relevant</w:t>
      </w:r>
      <w:r w:rsidR="00B87BBE" w:rsidRPr="00461D74">
        <w:rPr>
          <w:rFonts w:ascii="Garamond" w:hAnsi="Garamond" w:cstheme="minorHAnsi"/>
          <w:sz w:val="24"/>
          <w:szCs w:val="24"/>
          <w:lang w:val="en-GB"/>
        </w:rPr>
        <w:t xml:space="preserve"> teleological resources</w:t>
      </w:r>
      <w:r w:rsidR="00F42401" w:rsidRPr="00461D74">
        <w:rPr>
          <w:rFonts w:ascii="Garamond" w:hAnsi="Garamond" w:cstheme="minorHAnsi"/>
          <w:sz w:val="24"/>
          <w:szCs w:val="24"/>
          <w:lang w:val="en-GB"/>
        </w:rPr>
        <w:t xml:space="preserve"> available in that earlier tradition</w:t>
      </w:r>
      <w:r w:rsidR="00C95C2D">
        <w:rPr>
          <w:rFonts w:ascii="Garamond" w:hAnsi="Garamond" w:cstheme="minorHAnsi"/>
          <w:sz w:val="24"/>
          <w:szCs w:val="24"/>
          <w:lang w:val="en-GB"/>
        </w:rPr>
        <w:t>,</w:t>
      </w:r>
      <w:r w:rsidR="00F42401" w:rsidRPr="00461D74">
        <w:rPr>
          <w:rFonts w:ascii="Garamond" w:hAnsi="Garamond" w:cstheme="minorHAnsi"/>
          <w:sz w:val="24"/>
          <w:szCs w:val="24"/>
          <w:lang w:val="en-GB"/>
        </w:rPr>
        <w:t xml:space="preserve"> even though those resources </w:t>
      </w:r>
      <w:r w:rsidR="00C95C2D">
        <w:rPr>
          <w:rFonts w:ascii="Garamond" w:hAnsi="Garamond" w:cstheme="minorHAnsi"/>
          <w:sz w:val="24"/>
          <w:szCs w:val="24"/>
          <w:lang w:val="en-GB"/>
        </w:rPr>
        <w:t>appear to be</w:t>
      </w:r>
      <w:r w:rsidR="00C95C2D" w:rsidRPr="00461D74">
        <w:rPr>
          <w:rFonts w:ascii="Garamond" w:hAnsi="Garamond" w:cstheme="minorHAnsi"/>
          <w:sz w:val="24"/>
          <w:szCs w:val="24"/>
          <w:lang w:val="en-GB"/>
        </w:rPr>
        <w:t xml:space="preserve"> </w:t>
      </w:r>
      <w:r w:rsidR="00B87BBE" w:rsidRPr="00461D74">
        <w:rPr>
          <w:rFonts w:ascii="Garamond" w:hAnsi="Garamond" w:cstheme="minorHAnsi"/>
          <w:sz w:val="24"/>
          <w:szCs w:val="24"/>
          <w:lang w:val="en-GB"/>
        </w:rPr>
        <w:t xml:space="preserve">crucial to the </w:t>
      </w:r>
      <w:r w:rsidR="00F42401" w:rsidRPr="00461D74">
        <w:rPr>
          <w:rFonts w:ascii="Garamond" w:hAnsi="Garamond" w:cstheme="minorHAnsi"/>
          <w:sz w:val="24"/>
          <w:szCs w:val="24"/>
          <w:lang w:val="en-GB"/>
        </w:rPr>
        <w:t xml:space="preserve">overall </w:t>
      </w:r>
      <w:r w:rsidR="00B87BBE" w:rsidRPr="00461D74">
        <w:rPr>
          <w:rFonts w:ascii="Garamond" w:hAnsi="Garamond" w:cstheme="minorHAnsi"/>
          <w:sz w:val="24"/>
          <w:szCs w:val="24"/>
          <w:lang w:val="en-GB"/>
        </w:rPr>
        <w:t>success of his account.</w:t>
      </w:r>
    </w:p>
    <w:p w:rsidR="00665157" w:rsidRDefault="00016049">
      <w:pPr>
        <w:pStyle w:val="Heading1"/>
        <w:spacing w:line="360" w:lineRule="auto"/>
        <w:jc w:val="both"/>
        <w:rPr>
          <w:rFonts w:cstheme="majorHAnsi"/>
        </w:rPr>
      </w:pPr>
      <w:bookmarkStart w:id="21" w:name="_Toc528077803"/>
      <w:r w:rsidRPr="00461D74">
        <w:rPr>
          <w:rFonts w:cstheme="majorHAnsi"/>
        </w:rPr>
        <w:lastRenderedPageBreak/>
        <w:t>Chapter 3</w:t>
      </w:r>
      <w:r w:rsidR="00996D1B" w:rsidRPr="00461D74">
        <w:rPr>
          <w:rFonts w:cstheme="majorHAnsi"/>
        </w:rPr>
        <w:t>: Deweyan Democracy as a Way of Life</w:t>
      </w:r>
      <w:bookmarkEnd w:id="21"/>
    </w:p>
    <w:p w:rsidR="00665157" w:rsidRDefault="00665157">
      <w:pPr>
        <w:spacing w:line="360" w:lineRule="auto"/>
        <w:rPr>
          <w:rFonts w:ascii="Garamond" w:hAnsi="Garamond"/>
          <w:lang w:val="en-GB"/>
        </w:rPr>
      </w:pPr>
    </w:p>
    <w:p w:rsidR="00665157" w:rsidRDefault="00016049">
      <w:pPr>
        <w:pStyle w:val="Heading2"/>
        <w:spacing w:line="360" w:lineRule="auto"/>
        <w:jc w:val="both"/>
        <w:rPr>
          <w:rFonts w:cstheme="majorHAnsi"/>
        </w:rPr>
      </w:pPr>
      <w:bookmarkStart w:id="22" w:name="_Toc528077804"/>
      <w:r w:rsidRPr="00461D74">
        <w:rPr>
          <w:rFonts w:cstheme="majorHAnsi"/>
        </w:rPr>
        <w:t>1. Introduction</w:t>
      </w:r>
      <w:bookmarkEnd w:id="22"/>
    </w:p>
    <w:p w:rsidR="00665157" w:rsidRDefault="00665157">
      <w:pPr>
        <w:spacing w:line="360" w:lineRule="auto"/>
        <w:jc w:val="both"/>
        <w:rPr>
          <w:rFonts w:ascii="Garamond" w:hAnsi="Garamond"/>
          <w:sz w:val="24"/>
          <w:szCs w:val="24"/>
          <w:lang w:val="en-US" w:eastAsia="en-US"/>
        </w:rPr>
      </w:pPr>
    </w:p>
    <w:p w:rsidR="00665157" w:rsidRDefault="00016049" w:rsidP="0076162F">
      <w:pPr>
        <w:spacing w:line="360" w:lineRule="auto"/>
        <w:jc w:val="both"/>
        <w:rPr>
          <w:rFonts w:ascii="Garamond" w:hAnsi="Garamond"/>
          <w:sz w:val="24"/>
          <w:szCs w:val="24"/>
          <w:lang w:val="en-US" w:eastAsia="en-US"/>
        </w:rPr>
      </w:pPr>
      <w:r w:rsidRPr="00461D74">
        <w:rPr>
          <w:rFonts w:ascii="Garamond" w:hAnsi="Garamond"/>
          <w:sz w:val="24"/>
          <w:szCs w:val="24"/>
          <w:lang w:val="en-US" w:eastAsia="en-US"/>
        </w:rPr>
        <w:t>In the previous chapter, we discussed the first difficulty that emerge</w:t>
      </w:r>
      <w:r w:rsidR="00BF3BB2">
        <w:rPr>
          <w:rFonts w:ascii="Garamond" w:hAnsi="Garamond"/>
          <w:sz w:val="24"/>
          <w:szCs w:val="24"/>
          <w:lang w:val="en-US" w:eastAsia="en-US"/>
        </w:rPr>
        <w:t>d</w:t>
      </w:r>
      <w:r w:rsidRPr="00461D74">
        <w:rPr>
          <w:rFonts w:ascii="Garamond" w:hAnsi="Garamond"/>
          <w:sz w:val="24"/>
          <w:szCs w:val="24"/>
          <w:lang w:val="en-US" w:eastAsia="en-US"/>
        </w:rPr>
        <w:t xml:space="preserve"> for MacIntyre’s account of tradition guided moral inquiry. There I argued that MacIntyre’s historical account of traditions seems to suggest that Aristotelian-Thomism – his own preferred tradition – was displaced in the transition to the modern period. </w:t>
      </w:r>
      <w:r w:rsidR="00BF3BB2">
        <w:rPr>
          <w:rFonts w:ascii="Garamond" w:hAnsi="Garamond"/>
          <w:sz w:val="24"/>
          <w:szCs w:val="24"/>
          <w:lang w:val="en-US" w:eastAsia="en-US"/>
        </w:rPr>
        <w:t>Nevertheless, MacIntyre argued that</w:t>
      </w:r>
      <w:r w:rsidRPr="00461D74">
        <w:rPr>
          <w:rFonts w:ascii="Garamond" w:hAnsi="Garamond"/>
          <w:sz w:val="24"/>
          <w:szCs w:val="24"/>
          <w:lang w:val="en-US" w:eastAsia="en-US"/>
        </w:rPr>
        <w:t xml:space="preserve"> </w:t>
      </w:r>
      <w:r w:rsidR="00BF3BB2">
        <w:rPr>
          <w:rFonts w:ascii="Garamond" w:hAnsi="Garamond"/>
          <w:sz w:val="24"/>
          <w:szCs w:val="24"/>
          <w:lang w:val="en-US" w:eastAsia="en-US"/>
        </w:rPr>
        <w:t>that tradition was displaced in part due to a series mistakes by Renaissance Aristotelians</w:t>
      </w:r>
      <w:r w:rsidR="000968A3">
        <w:rPr>
          <w:rFonts w:ascii="Garamond" w:hAnsi="Garamond"/>
          <w:sz w:val="24"/>
          <w:szCs w:val="24"/>
          <w:lang w:val="en-US" w:eastAsia="en-US"/>
        </w:rPr>
        <w:t>, and especially</w:t>
      </w:r>
      <w:r w:rsidRPr="00461D74">
        <w:rPr>
          <w:rFonts w:ascii="Garamond" w:hAnsi="Garamond"/>
          <w:sz w:val="24"/>
          <w:szCs w:val="24"/>
          <w:lang w:val="en-US" w:eastAsia="en-US"/>
        </w:rPr>
        <w:t xml:space="preserve"> </w:t>
      </w:r>
      <w:r w:rsidR="0076162F">
        <w:rPr>
          <w:rFonts w:ascii="Garamond" w:hAnsi="Garamond"/>
          <w:sz w:val="24"/>
          <w:szCs w:val="24"/>
          <w:lang w:val="en-US" w:eastAsia="en-US"/>
        </w:rPr>
        <w:t>the</w:t>
      </w:r>
      <w:r w:rsidR="00F66131">
        <w:rPr>
          <w:rFonts w:ascii="Garamond" w:hAnsi="Garamond"/>
          <w:sz w:val="24"/>
          <w:szCs w:val="24"/>
          <w:lang w:val="en-US" w:eastAsia="en-US"/>
        </w:rPr>
        <w:t>ir</w:t>
      </w:r>
      <w:r w:rsidR="0076162F" w:rsidRPr="00461D74">
        <w:rPr>
          <w:rFonts w:ascii="Garamond" w:hAnsi="Garamond"/>
          <w:sz w:val="24"/>
          <w:szCs w:val="24"/>
          <w:lang w:val="en-US" w:eastAsia="en-US"/>
        </w:rPr>
        <w:t xml:space="preserve"> </w:t>
      </w:r>
      <w:r w:rsidR="00F66131">
        <w:rPr>
          <w:rFonts w:ascii="Garamond" w:hAnsi="Garamond"/>
          <w:sz w:val="24"/>
          <w:szCs w:val="24"/>
          <w:lang w:val="en-US" w:eastAsia="en-US"/>
        </w:rPr>
        <w:t>emphasis on theory</w:t>
      </w:r>
      <w:r w:rsidR="00F66131" w:rsidRPr="00461D74">
        <w:rPr>
          <w:rFonts w:ascii="Garamond" w:hAnsi="Garamond"/>
          <w:sz w:val="24"/>
          <w:szCs w:val="24"/>
          <w:lang w:val="en-US" w:eastAsia="en-US"/>
        </w:rPr>
        <w:t xml:space="preserve"> </w:t>
      </w:r>
      <w:r w:rsidR="000968A3">
        <w:rPr>
          <w:rFonts w:ascii="Garamond" w:hAnsi="Garamond"/>
          <w:sz w:val="24"/>
          <w:szCs w:val="24"/>
          <w:lang w:val="en-US" w:eastAsia="en-US"/>
        </w:rPr>
        <w:t xml:space="preserve">over exercise of correct habits, </w:t>
      </w:r>
      <w:r w:rsidR="00F66131">
        <w:rPr>
          <w:rFonts w:ascii="Garamond" w:hAnsi="Garamond"/>
          <w:sz w:val="24"/>
          <w:szCs w:val="24"/>
          <w:lang w:val="en-US" w:eastAsia="en-US"/>
        </w:rPr>
        <w:t xml:space="preserve">gradually </w:t>
      </w:r>
      <w:r w:rsidRPr="00461D74">
        <w:rPr>
          <w:rFonts w:ascii="Garamond" w:hAnsi="Garamond"/>
          <w:sz w:val="24"/>
          <w:szCs w:val="24"/>
          <w:lang w:val="en-US" w:eastAsia="en-US"/>
        </w:rPr>
        <w:t>undermined a properly Aristotelian mode of education.</w:t>
      </w:r>
    </w:p>
    <w:p w:rsidR="000968A3" w:rsidRDefault="00016049" w:rsidP="000968A3">
      <w:pPr>
        <w:spacing w:line="360" w:lineRule="auto"/>
        <w:ind w:firstLine="720"/>
        <w:jc w:val="both"/>
        <w:rPr>
          <w:rFonts w:ascii="Garamond" w:hAnsi="Garamond"/>
          <w:sz w:val="24"/>
          <w:szCs w:val="24"/>
          <w:lang w:val="en-US" w:eastAsia="en-US"/>
        </w:rPr>
      </w:pPr>
      <w:r w:rsidRPr="00461D74">
        <w:rPr>
          <w:rFonts w:ascii="Garamond" w:hAnsi="Garamond"/>
          <w:sz w:val="24"/>
          <w:szCs w:val="24"/>
          <w:lang w:val="en-US" w:eastAsia="en-US"/>
        </w:rPr>
        <w:t>Ultimately, MacIntyre used his genealogy to argue that Aristot</w:t>
      </w:r>
      <w:r w:rsidR="00237E98" w:rsidRPr="00461D74">
        <w:rPr>
          <w:rFonts w:ascii="Garamond" w:hAnsi="Garamond"/>
          <w:sz w:val="24"/>
          <w:szCs w:val="24"/>
          <w:lang w:val="en-US" w:eastAsia="en-US"/>
        </w:rPr>
        <w:t>e</w:t>
      </w:r>
      <w:r w:rsidRPr="00461D74">
        <w:rPr>
          <w:rFonts w:ascii="Garamond" w:hAnsi="Garamond"/>
          <w:sz w:val="24"/>
          <w:szCs w:val="24"/>
          <w:lang w:val="en-US" w:eastAsia="en-US"/>
        </w:rPr>
        <w:t>l</w:t>
      </w:r>
      <w:r w:rsidR="00237E98" w:rsidRPr="00461D74">
        <w:rPr>
          <w:rFonts w:ascii="Garamond" w:hAnsi="Garamond"/>
          <w:sz w:val="24"/>
          <w:szCs w:val="24"/>
          <w:lang w:val="en-US" w:eastAsia="en-US"/>
        </w:rPr>
        <w:t>i</w:t>
      </w:r>
      <w:r w:rsidRPr="00461D74">
        <w:rPr>
          <w:rFonts w:ascii="Garamond" w:hAnsi="Garamond"/>
          <w:sz w:val="24"/>
          <w:szCs w:val="24"/>
          <w:lang w:val="en-US" w:eastAsia="en-US"/>
        </w:rPr>
        <w:t xml:space="preserve">an-Thomistic ethics was marginalized due to a number of errors committed by Renaissance Aristotelians that transformed Aristotle’s ethics in distinctly </w:t>
      </w:r>
      <w:proofErr w:type="spellStart"/>
      <w:r w:rsidRPr="00461D74">
        <w:rPr>
          <w:rFonts w:ascii="Garamond" w:hAnsi="Garamond"/>
          <w:sz w:val="24"/>
          <w:szCs w:val="24"/>
          <w:lang w:val="en-US" w:eastAsia="en-US"/>
        </w:rPr>
        <w:t>unAristotelian</w:t>
      </w:r>
      <w:proofErr w:type="spellEnd"/>
      <w:r w:rsidRPr="00461D74">
        <w:rPr>
          <w:rFonts w:ascii="Garamond" w:hAnsi="Garamond"/>
          <w:sz w:val="24"/>
          <w:szCs w:val="24"/>
          <w:lang w:val="en-US" w:eastAsia="en-US"/>
        </w:rPr>
        <w:t xml:space="preserve"> ways. But he also argues – albeit less convincingly – that the final demise of Aristotelian-Thomistic ethics and its associated teleology was not a refutation of Aristotelian ethics as understood by Aristotle, but a rejection of a simulacrum of that ethics. MacIntyre is in effect suggesting that because a bona fide Aristotelian-Thomistic ethics wasn’t really rejected, it is possible to recover important teleological resources that were available in that earlier tradition.</w:t>
      </w:r>
      <w:r w:rsidR="000968A3">
        <w:rPr>
          <w:rFonts w:ascii="Garamond" w:hAnsi="Garamond"/>
          <w:sz w:val="24"/>
          <w:szCs w:val="24"/>
          <w:lang w:val="en-US" w:eastAsia="en-US"/>
        </w:rPr>
        <w:t xml:space="preserve"> </w:t>
      </w:r>
      <w:r w:rsidRPr="00461D74">
        <w:rPr>
          <w:rFonts w:ascii="Garamond" w:hAnsi="Garamond"/>
          <w:sz w:val="24"/>
          <w:szCs w:val="24"/>
          <w:lang w:val="en-US" w:eastAsia="en-US"/>
        </w:rPr>
        <w:t>Nonetheless, I argued that if MacIntyre is to be consistent in his condemnation of Renaissance Aristotelians for diverging from Aristotle, he should also reproach Aquinas for similarly deviating from Aristotle’s account of ethics. I then suggested that the conceptual positions offered by Renaissance Aristotelians were not very different from the position that was adopted by Aquinas</w:t>
      </w:r>
      <w:r w:rsidR="000968A3">
        <w:rPr>
          <w:rFonts w:ascii="Garamond" w:hAnsi="Garamond"/>
          <w:sz w:val="24"/>
          <w:szCs w:val="24"/>
          <w:lang w:val="en-US" w:eastAsia="en-US"/>
        </w:rPr>
        <w:t xml:space="preserve">, and that they could be </w:t>
      </w:r>
      <w:r w:rsidR="000968A3">
        <w:rPr>
          <w:rFonts w:ascii="Garamond" w:hAnsi="Garamond"/>
          <w:sz w:val="24"/>
          <w:szCs w:val="24"/>
          <w:lang w:val="en-US" w:eastAsia="en-US"/>
        </w:rPr>
        <w:lastRenderedPageBreak/>
        <w:t xml:space="preserve">viewed as </w:t>
      </w:r>
      <w:r w:rsidRPr="00461D74">
        <w:rPr>
          <w:rFonts w:ascii="Garamond" w:hAnsi="Garamond"/>
          <w:sz w:val="24"/>
          <w:szCs w:val="24"/>
          <w:lang w:val="en-US" w:eastAsia="en-US"/>
        </w:rPr>
        <w:t>a natural progression from the position taken up by Aquinas</w:t>
      </w:r>
      <w:r w:rsidR="000968A3">
        <w:rPr>
          <w:rFonts w:ascii="Garamond" w:hAnsi="Garamond"/>
          <w:sz w:val="24"/>
          <w:szCs w:val="24"/>
          <w:lang w:val="en-US" w:eastAsia="en-US"/>
        </w:rPr>
        <w:t xml:space="preserve">. Therefore, </w:t>
      </w:r>
      <w:r w:rsidRPr="00461D74">
        <w:rPr>
          <w:rFonts w:ascii="Garamond" w:hAnsi="Garamond"/>
          <w:sz w:val="24"/>
          <w:szCs w:val="24"/>
          <w:lang w:val="en-US" w:eastAsia="en-US"/>
        </w:rPr>
        <w:t>conceptually, Aquinas appears to set the stage for the work of Renaissance Aristotelians who on MacIntyre’s view are responsible for the gradual decline of Aristotelian-Thomistic ethics.</w:t>
      </w:r>
    </w:p>
    <w:p w:rsidR="00665157" w:rsidRDefault="00016049">
      <w:pPr>
        <w:spacing w:line="360" w:lineRule="auto"/>
        <w:ind w:firstLine="720"/>
        <w:jc w:val="both"/>
        <w:rPr>
          <w:rFonts w:ascii="Garamond" w:hAnsi="Garamond"/>
          <w:sz w:val="24"/>
          <w:szCs w:val="24"/>
          <w:lang w:val="en-US" w:eastAsia="en-US"/>
        </w:rPr>
      </w:pPr>
      <w:r w:rsidRPr="00461D74">
        <w:rPr>
          <w:rFonts w:ascii="Garamond" w:hAnsi="Garamond"/>
          <w:sz w:val="24"/>
          <w:szCs w:val="24"/>
          <w:lang w:val="en-US" w:eastAsia="en-US"/>
        </w:rPr>
        <w:t xml:space="preserve">I concluded that MacIntyre’s genealogy appears ill equipped to resolve the first difficulty that emerges under his account, </w:t>
      </w:r>
      <w:r w:rsidR="007D00D1">
        <w:rPr>
          <w:rFonts w:ascii="Garamond" w:hAnsi="Garamond"/>
          <w:sz w:val="24"/>
          <w:szCs w:val="24"/>
          <w:lang w:val="en-US" w:eastAsia="en-US"/>
        </w:rPr>
        <w:t xml:space="preserve">precisely because there were </w:t>
      </w:r>
      <w:r w:rsidRPr="00461D74">
        <w:rPr>
          <w:rFonts w:ascii="Garamond" w:hAnsi="Garamond"/>
          <w:sz w:val="24"/>
          <w:szCs w:val="24"/>
          <w:lang w:val="en-US" w:eastAsia="en-US"/>
        </w:rPr>
        <w:t>a number of other valid social, historical and intellectual reasons for the decline of Aristotelian-Thomism (especially difficulties with the teleological or functional view of human nature which was a primary component of that account). Recall that earlier, I suggested that what MacIntyre is really after in offering a genealogical narrative for the decline of Aristotelian-Thomism, is the recovery of a teleological (or functional) view of human nature for use in ethics. On MacIntyre’s view, the Enlightenment Project</w:t>
      </w:r>
      <w:r w:rsidR="000A608C">
        <w:rPr>
          <w:rFonts w:ascii="Garamond" w:hAnsi="Garamond"/>
          <w:sz w:val="24"/>
          <w:szCs w:val="24"/>
          <w:lang w:val="en-US" w:eastAsia="en-US"/>
        </w:rPr>
        <w:t>’s</w:t>
      </w:r>
      <w:r w:rsidRPr="00461D74">
        <w:rPr>
          <w:rFonts w:ascii="Garamond" w:hAnsi="Garamond"/>
          <w:sz w:val="24"/>
          <w:szCs w:val="24"/>
          <w:lang w:val="en-US" w:eastAsia="en-US"/>
        </w:rPr>
        <w:t xml:space="preserve"> need for a rational justification </w:t>
      </w:r>
      <w:r w:rsidR="00417907">
        <w:rPr>
          <w:rFonts w:ascii="Garamond" w:hAnsi="Garamond"/>
          <w:sz w:val="24"/>
          <w:szCs w:val="24"/>
          <w:lang w:val="en-US" w:eastAsia="en-US"/>
        </w:rPr>
        <w:t>of</w:t>
      </w:r>
      <w:r w:rsidR="00417907" w:rsidRPr="00461D74">
        <w:rPr>
          <w:rFonts w:ascii="Garamond" w:hAnsi="Garamond"/>
          <w:sz w:val="24"/>
          <w:szCs w:val="24"/>
          <w:lang w:val="en-US" w:eastAsia="en-US"/>
        </w:rPr>
        <w:t xml:space="preserve"> </w:t>
      </w:r>
      <w:r w:rsidRPr="00461D74">
        <w:rPr>
          <w:rFonts w:ascii="Garamond" w:hAnsi="Garamond"/>
          <w:sz w:val="24"/>
          <w:szCs w:val="24"/>
          <w:lang w:val="en-US" w:eastAsia="en-US"/>
        </w:rPr>
        <w:t xml:space="preserve">morality </w:t>
      </w:r>
      <w:r w:rsidR="000A608C">
        <w:rPr>
          <w:rFonts w:ascii="Garamond" w:hAnsi="Garamond"/>
          <w:sz w:val="24"/>
          <w:szCs w:val="24"/>
          <w:lang w:val="en-US" w:eastAsia="en-US"/>
        </w:rPr>
        <w:t xml:space="preserve">precipitates in part </w:t>
      </w:r>
      <w:r w:rsidR="00417907">
        <w:rPr>
          <w:rFonts w:ascii="Garamond" w:hAnsi="Garamond"/>
          <w:sz w:val="24"/>
          <w:szCs w:val="24"/>
          <w:lang w:val="en-US" w:eastAsia="en-US"/>
        </w:rPr>
        <w:t>on account of</w:t>
      </w:r>
      <w:r w:rsidR="000A608C">
        <w:rPr>
          <w:rFonts w:ascii="Garamond" w:hAnsi="Garamond"/>
          <w:sz w:val="24"/>
          <w:szCs w:val="24"/>
          <w:lang w:val="en-US" w:eastAsia="en-US"/>
        </w:rPr>
        <w:t xml:space="preserve"> the loss of</w:t>
      </w:r>
      <w:r w:rsidRPr="00461D74">
        <w:rPr>
          <w:rFonts w:ascii="Garamond" w:hAnsi="Garamond"/>
          <w:sz w:val="24"/>
          <w:szCs w:val="24"/>
          <w:lang w:val="en-US" w:eastAsia="en-US"/>
        </w:rPr>
        <w:t xml:space="preserve"> the teleological view of human beings moving from an untutored state, to realizing their potential as human beings. Ultimately, for MacIntyre, even the failure of the Enlightenment Project is primarily because we no longer had access to teleological resources since discoveries in science had undermined the traditional teleological forms of argument. This loss of a teleological conception seems more central to explaining the decline of </w:t>
      </w:r>
      <w:proofErr w:type="spellStart"/>
      <w:r w:rsidRPr="00461D74">
        <w:rPr>
          <w:rFonts w:ascii="Garamond" w:hAnsi="Garamond"/>
          <w:sz w:val="24"/>
          <w:szCs w:val="24"/>
          <w:lang w:val="en-US" w:eastAsia="en-US"/>
        </w:rPr>
        <w:t>Aristotelianism</w:t>
      </w:r>
      <w:proofErr w:type="spellEnd"/>
      <w:r w:rsidRPr="00461D74">
        <w:rPr>
          <w:rFonts w:ascii="Garamond" w:hAnsi="Garamond"/>
          <w:sz w:val="24"/>
          <w:szCs w:val="24"/>
          <w:lang w:val="en-US" w:eastAsia="en-US"/>
        </w:rPr>
        <w:t xml:space="preserve"> than any of the issues addressed by MacIntyre’s genealogical argument.</w:t>
      </w:r>
    </w:p>
    <w:p w:rsidR="00665157" w:rsidRDefault="00016049">
      <w:pPr>
        <w:spacing w:line="360" w:lineRule="auto"/>
        <w:ind w:firstLine="720"/>
        <w:jc w:val="both"/>
        <w:rPr>
          <w:rFonts w:ascii="Garamond" w:hAnsi="Garamond"/>
          <w:sz w:val="24"/>
          <w:szCs w:val="24"/>
          <w:lang w:val="en-US" w:eastAsia="en-US"/>
        </w:rPr>
      </w:pPr>
      <w:r w:rsidRPr="00461D74">
        <w:rPr>
          <w:rFonts w:ascii="Garamond" w:hAnsi="Garamond"/>
          <w:sz w:val="24"/>
          <w:szCs w:val="24"/>
          <w:lang w:val="en-US" w:eastAsia="en-US"/>
        </w:rPr>
        <w:t xml:space="preserve">Furthermore, I argued in Chapter One, that MacIntyre’s three-fold account of the virtues in </w:t>
      </w:r>
      <w:r w:rsidRPr="00461D74">
        <w:rPr>
          <w:rFonts w:ascii="Garamond" w:hAnsi="Garamond"/>
          <w:i/>
          <w:sz w:val="24"/>
          <w:szCs w:val="24"/>
          <w:lang w:val="en-US" w:eastAsia="en-US"/>
        </w:rPr>
        <w:t>After Virtue</w:t>
      </w:r>
      <w:r w:rsidRPr="00461D74">
        <w:rPr>
          <w:rFonts w:ascii="Garamond" w:hAnsi="Garamond"/>
          <w:sz w:val="24"/>
          <w:szCs w:val="24"/>
          <w:lang w:val="en-US" w:eastAsia="en-US"/>
        </w:rPr>
        <w:t xml:space="preserve"> is a kind of social teleology that MacIntyre presents as an alternative. Yet, ultimately this fails since MacIntyre’s </w:t>
      </w:r>
      <w:r w:rsidR="00E42885">
        <w:rPr>
          <w:rFonts w:ascii="Garamond" w:hAnsi="Garamond"/>
          <w:sz w:val="24"/>
          <w:szCs w:val="24"/>
          <w:lang w:val="en-US" w:eastAsia="en-US"/>
        </w:rPr>
        <w:t>first concept of practice</w:t>
      </w:r>
      <w:r w:rsidRPr="00461D74">
        <w:rPr>
          <w:rFonts w:ascii="Garamond" w:hAnsi="Garamond"/>
          <w:sz w:val="24"/>
          <w:szCs w:val="24"/>
          <w:lang w:val="en-US" w:eastAsia="en-US"/>
        </w:rPr>
        <w:t xml:space="preserve"> </w:t>
      </w:r>
      <w:r w:rsidR="00E42885">
        <w:rPr>
          <w:rFonts w:ascii="Garamond" w:hAnsi="Garamond"/>
          <w:sz w:val="24"/>
          <w:szCs w:val="24"/>
          <w:lang w:val="en-US" w:eastAsia="en-US"/>
        </w:rPr>
        <w:t xml:space="preserve">is embedded within a very ambiguous and open-ended definition of the good, and therefore generates many different kinds of practices and heterogeneous set of goods </w:t>
      </w:r>
      <w:r w:rsidRPr="00461D74">
        <w:rPr>
          <w:rFonts w:ascii="Garamond" w:hAnsi="Garamond"/>
          <w:sz w:val="24"/>
          <w:szCs w:val="24"/>
          <w:lang w:val="en-US" w:eastAsia="en-US"/>
        </w:rPr>
        <w:t xml:space="preserve">that are difficult to reconcile under his account. Bernstein and </w:t>
      </w:r>
      <w:proofErr w:type="spellStart"/>
      <w:r w:rsidRPr="00461D74">
        <w:rPr>
          <w:rFonts w:ascii="Garamond" w:hAnsi="Garamond"/>
          <w:sz w:val="24"/>
          <w:szCs w:val="24"/>
          <w:lang w:val="en-US" w:eastAsia="en-US"/>
        </w:rPr>
        <w:t>Schneewind</w:t>
      </w:r>
      <w:proofErr w:type="spellEnd"/>
      <w:r w:rsidRPr="00461D74">
        <w:rPr>
          <w:rFonts w:ascii="Garamond" w:hAnsi="Garamond"/>
          <w:sz w:val="24"/>
          <w:szCs w:val="24"/>
          <w:lang w:val="en-US" w:eastAsia="en-US"/>
        </w:rPr>
        <w:t xml:space="preserve"> </w:t>
      </w:r>
      <w:r w:rsidR="00E42885">
        <w:rPr>
          <w:rFonts w:ascii="Garamond" w:hAnsi="Garamond"/>
          <w:sz w:val="24"/>
          <w:szCs w:val="24"/>
          <w:lang w:val="en-US" w:eastAsia="en-US"/>
        </w:rPr>
        <w:t xml:space="preserve">then </w:t>
      </w:r>
      <w:r w:rsidRPr="00461D74">
        <w:rPr>
          <w:rFonts w:ascii="Garamond" w:hAnsi="Garamond"/>
          <w:sz w:val="24"/>
          <w:szCs w:val="24"/>
          <w:lang w:val="en-US" w:eastAsia="en-US"/>
        </w:rPr>
        <w:t xml:space="preserve">argued that MacIntyre’s account in </w:t>
      </w:r>
      <w:r w:rsidRPr="00461D74">
        <w:rPr>
          <w:rFonts w:ascii="Garamond" w:hAnsi="Garamond"/>
          <w:i/>
          <w:sz w:val="24"/>
          <w:szCs w:val="24"/>
          <w:lang w:val="en-US" w:eastAsia="en-US"/>
        </w:rPr>
        <w:t>After Virtue</w:t>
      </w:r>
      <w:r w:rsidRPr="00461D74">
        <w:rPr>
          <w:rFonts w:ascii="Garamond" w:hAnsi="Garamond"/>
          <w:sz w:val="24"/>
          <w:szCs w:val="24"/>
          <w:lang w:val="en-US" w:eastAsia="en-US"/>
        </w:rPr>
        <w:t xml:space="preserve"> seems to </w:t>
      </w:r>
      <w:r w:rsidRPr="00461D74">
        <w:rPr>
          <w:rFonts w:ascii="Garamond" w:hAnsi="Garamond"/>
          <w:sz w:val="24"/>
          <w:szCs w:val="24"/>
          <w:lang w:val="en-US" w:eastAsia="en-US"/>
        </w:rPr>
        <w:lastRenderedPageBreak/>
        <w:t xml:space="preserve">reinforce, rather than undermine, emotivism. </w:t>
      </w:r>
      <w:r w:rsidR="00E42885">
        <w:rPr>
          <w:rFonts w:ascii="Garamond" w:hAnsi="Garamond"/>
          <w:sz w:val="24"/>
          <w:szCs w:val="24"/>
          <w:lang w:val="en-US" w:eastAsia="en-US"/>
        </w:rPr>
        <w:t xml:space="preserve">Therefore, notwithstanding the failure of MacIntyre’s efforts in </w:t>
      </w:r>
      <w:r w:rsidR="00DB00EA" w:rsidRPr="00DB00EA">
        <w:rPr>
          <w:rFonts w:ascii="Garamond" w:hAnsi="Garamond"/>
          <w:i/>
          <w:sz w:val="24"/>
          <w:szCs w:val="24"/>
          <w:lang w:val="en-US" w:eastAsia="en-US"/>
        </w:rPr>
        <w:t>After Virtue</w:t>
      </w:r>
      <w:r w:rsidRPr="00461D74">
        <w:rPr>
          <w:rFonts w:ascii="Garamond" w:hAnsi="Garamond"/>
          <w:sz w:val="24"/>
          <w:szCs w:val="24"/>
          <w:lang w:val="en-US" w:eastAsia="en-US"/>
        </w:rPr>
        <w:t>, the recovery of some form of teleology or functional view of human beings in ethics has been a central goal for MacIntyre going all the way back to</w:t>
      </w:r>
      <w:r w:rsidR="00E42885">
        <w:rPr>
          <w:rFonts w:ascii="Garamond" w:hAnsi="Garamond"/>
          <w:sz w:val="24"/>
          <w:szCs w:val="24"/>
          <w:lang w:val="en-US" w:eastAsia="en-US"/>
        </w:rPr>
        <w:t xml:space="preserve"> that work</w:t>
      </w:r>
      <w:r w:rsidRPr="00461D74">
        <w:rPr>
          <w:rFonts w:ascii="Garamond" w:hAnsi="Garamond"/>
          <w:sz w:val="24"/>
          <w:szCs w:val="24"/>
          <w:lang w:val="en-US" w:eastAsia="en-US"/>
        </w:rPr>
        <w:t>.</w:t>
      </w:r>
    </w:p>
    <w:p w:rsidR="00665157" w:rsidRDefault="00016049">
      <w:pPr>
        <w:spacing w:line="360" w:lineRule="auto"/>
        <w:ind w:firstLine="720"/>
        <w:jc w:val="both"/>
        <w:rPr>
          <w:rFonts w:ascii="Garamond" w:hAnsi="Garamond"/>
        </w:rPr>
      </w:pPr>
      <w:r w:rsidRPr="00461D74">
        <w:rPr>
          <w:rFonts w:ascii="Garamond" w:hAnsi="Garamond"/>
          <w:sz w:val="24"/>
          <w:szCs w:val="24"/>
          <w:lang w:val="en-US" w:eastAsia="en-US"/>
        </w:rPr>
        <w:t>However, in Chapter Two I concluded that the recovery of a traditional Aristotelian-Thomistic version of teleology is all but impossible</w:t>
      </w:r>
      <w:r w:rsidR="00CF711D">
        <w:rPr>
          <w:rFonts w:ascii="Garamond" w:hAnsi="Garamond"/>
          <w:sz w:val="24"/>
          <w:szCs w:val="24"/>
          <w:lang w:val="en-US" w:eastAsia="en-US"/>
        </w:rPr>
        <w:t>, in part because the recovery of the Thomistic conception of the good is unlikely</w:t>
      </w:r>
      <w:r w:rsidRPr="00461D74">
        <w:rPr>
          <w:rFonts w:ascii="Garamond" w:hAnsi="Garamond"/>
          <w:sz w:val="24"/>
          <w:szCs w:val="24"/>
          <w:lang w:val="en-US" w:eastAsia="en-US"/>
        </w:rPr>
        <w:t>. The question now is: can we formulate a more modern teleology that can help fill in the gap in MacIntyre’s account – namely, the lack of an adequate teleology?</w:t>
      </w:r>
      <w:r w:rsidRPr="00461D74">
        <w:rPr>
          <w:rFonts w:ascii="Garamond" w:hAnsi="Garamond"/>
          <w:sz w:val="24"/>
          <w:szCs w:val="24"/>
        </w:rPr>
        <w:t xml:space="preserve"> I will argue that the sort of teleology MacIntyre needs can in fact be found in </w:t>
      </w:r>
      <w:r w:rsidR="00B9213B" w:rsidRPr="00461D74">
        <w:rPr>
          <w:rFonts w:ascii="Garamond" w:hAnsi="Garamond"/>
          <w:sz w:val="24"/>
          <w:szCs w:val="24"/>
        </w:rPr>
        <w:t xml:space="preserve">John </w:t>
      </w:r>
      <w:r w:rsidRPr="00461D74">
        <w:rPr>
          <w:rFonts w:ascii="Garamond" w:hAnsi="Garamond"/>
          <w:sz w:val="24"/>
          <w:szCs w:val="24"/>
        </w:rPr>
        <w:t xml:space="preserve">Dewey’s formulation of </w:t>
      </w:r>
      <w:r w:rsidR="009E5505">
        <w:rPr>
          <w:rFonts w:ascii="Garamond" w:hAnsi="Garamond"/>
          <w:sz w:val="24"/>
          <w:szCs w:val="24"/>
        </w:rPr>
        <w:t>‘</w:t>
      </w:r>
      <w:r w:rsidRPr="00461D74">
        <w:rPr>
          <w:rFonts w:ascii="Garamond" w:hAnsi="Garamond"/>
          <w:sz w:val="24"/>
          <w:szCs w:val="24"/>
        </w:rPr>
        <w:t>democracy as a way of life.</w:t>
      </w:r>
      <w:r w:rsidR="009E5505">
        <w:rPr>
          <w:rFonts w:ascii="Garamond" w:hAnsi="Garamond"/>
          <w:sz w:val="24"/>
          <w:szCs w:val="24"/>
        </w:rPr>
        <w:t>’</w:t>
      </w:r>
      <w:r w:rsidRPr="00461D74">
        <w:rPr>
          <w:rFonts w:ascii="Garamond" w:hAnsi="Garamond"/>
          <w:sz w:val="24"/>
          <w:szCs w:val="24"/>
        </w:rPr>
        <w:t xml:space="preserve"> On this view, democracy is a way of life and not simply a form of government. Dewey’s democracy as a way of life is a particular orientation towards living in which human beings are understood as irreducibly social problem-solving animals that flourish in communal settings and in the context of interdependent living. Democracy as a way of life is then the condition for a free rational egalitarian communal living; one that is best able to ameliorate social problems and engender human flourishing and self-realization. Viewed in this way, Dewey’s democracy as a way of life allows me to capture important teleological insights that on my view will benefit MacIntyre’s account, and ultimately resolve the first tension that is generated </w:t>
      </w:r>
      <w:r w:rsidR="00650662">
        <w:rPr>
          <w:rFonts w:ascii="Garamond" w:hAnsi="Garamond"/>
          <w:sz w:val="24"/>
          <w:szCs w:val="24"/>
        </w:rPr>
        <w:t>under</w:t>
      </w:r>
      <w:r w:rsidR="00650662" w:rsidRPr="00461D74">
        <w:rPr>
          <w:rFonts w:ascii="Garamond" w:hAnsi="Garamond"/>
          <w:sz w:val="24"/>
          <w:szCs w:val="24"/>
        </w:rPr>
        <w:t xml:space="preserve"> </w:t>
      </w:r>
      <w:r w:rsidRPr="00461D74">
        <w:rPr>
          <w:rFonts w:ascii="Garamond" w:hAnsi="Garamond"/>
          <w:sz w:val="24"/>
          <w:szCs w:val="24"/>
        </w:rPr>
        <w:t>his account.</w:t>
      </w:r>
    </w:p>
    <w:p w:rsidR="00665157" w:rsidRDefault="00016049">
      <w:pPr>
        <w:spacing w:line="360" w:lineRule="auto"/>
        <w:ind w:firstLine="720"/>
        <w:jc w:val="both"/>
        <w:rPr>
          <w:rFonts w:ascii="Garamond" w:hAnsi="Garamond"/>
        </w:rPr>
      </w:pPr>
      <w:r w:rsidRPr="00461D74">
        <w:rPr>
          <w:rFonts w:ascii="Garamond" w:hAnsi="Garamond"/>
          <w:sz w:val="24"/>
          <w:szCs w:val="24"/>
          <w:lang w:val="en-US" w:eastAsia="en-US"/>
        </w:rPr>
        <w:t xml:space="preserve">In </w:t>
      </w:r>
      <w:r w:rsidR="00DD58A4">
        <w:rPr>
          <w:rFonts w:ascii="Garamond" w:hAnsi="Garamond"/>
          <w:sz w:val="24"/>
          <w:szCs w:val="24"/>
          <w:lang w:val="en-US" w:eastAsia="en-US"/>
        </w:rPr>
        <w:t>the next section</w:t>
      </w:r>
      <w:r w:rsidRPr="00461D74">
        <w:rPr>
          <w:rFonts w:ascii="Garamond" w:hAnsi="Garamond"/>
          <w:sz w:val="24"/>
          <w:szCs w:val="24"/>
          <w:lang w:val="en-US" w:eastAsia="en-US"/>
        </w:rPr>
        <w:t xml:space="preserve">, I will argue that Dewey’s democracy as a way of life offers MacIntyre a conception of flourishing that can help ease the first difficulty in MacIntyre’s account. In section three, I will consider three particular worries and try to provide answers that will alleviate them. Finally, in sections four and five, I consider a final possible objection, namely, that the </w:t>
      </w:r>
      <w:r w:rsidR="00456918" w:rsidRPr="00461D74">
        <w:rPr>
          <w:rFonts w:ascii="Garamond" w:hAnsi="Garamond"/>
          <w:sz w:val="24"/>
          <w:szCs w:val="24"/>
          <w:lang w:val="en-US" w:eastAsia="en-US"/>
        </w:rPr>
        <w:t>‘science/ethics’</w:t>
      </w:r>
      <w:r w:rsidRPr="00461D74">
        <w:rPr>
          <w:rFonts w:ascii="Garamond" w:hAnsi="Garamond"/>
          <w:sz w:val="24"/>
          <w:szCs w:val="24"/>
          <w:lang w:val="en-US" w:eastAsia="en-US"/>
        </w:rPr>
        <w:t xml:space="preserve"> distinction disbars us from the engaging in the type of ethical inquiry that Dewey envisions. I will utilize Putnam’s arguments in his paper ‘The Science-Ethics </w:t>
      </w:r>
      <w:r w:rsidRPr="00461D74">
        <w:rPr>
          <w:rFonts w:ascii="Garamond" w:hAnsi="Garamond"/>
          <w:sz w:val="24"/>
          <w:szCs w:val="24"/>
          <w:lang w:val="en-US" w:eastAsia="en-US"/>
        </w:rPr>
        <w:lastRenderedPageBreak/>
        <w:t>Distinction</w:t>
      </w:r>
      <w:r w:rsidR="00650662">
        <w:rPr>
          <w:rFonts w:ascii="Garamond" w:hAnsi="Garamond"/>
          <w:sz w:val="24"/>
          <w:szCs w:val="24"/>
          <w:lang w:val="en-US" w:eastAsia="en-US"/>
        </w:rPr>
        <w:t>,</w:t>
      </w:r>
      <w:r w:rsidRPr="00461D74">
        <w:rPr>
          <w:rFonts w:ascii="Garamond" w:hAnsi="Garamond"/>
          <w:sz w:val="24"/>
          <w:szCs w:val="24"/>
          <w:lang w:val="en-US" w:eastAsia="en-US"/>
        </w:rPr>
        <w:t xml:space="preserve">’ and his later book, </w:t>
      </w:r>
      <w:r w:rsidRPr="00461D74">
        <w:rPr>
          <w:rFonts w:ascii="Garamond" w:hAnsi="Garamond"/>
          <w:i/>
          <w:sz w:val="24"/>
          <w:szCs w:val="24"/>
          <w:lang w:val="en-US" w:eastAsia="en-US"/>
        </w:rPr>
        <w:t>The Collapse of the Fact/Value Dichotomy</w:t>
      </w:r>
      <w:r w:rsidRPr="00461D74">
        <w:rPr>
          <w:rFonts w:ascii="Garamond" w:hAnsi="Garamond"/>
          <w:sz w:val="24"/>
          <w:szCs w:val="24"/>
          <w:lang w:val="en-US" w:eastAsia="en-US"/>
        </w:rPr>
        <w:t xml:space="preserve">, in order to undermine a strong distinction between </w:t>
      </w:r>
      <w:r w:rsidR="00456918" w:rsidRPr="00461D74">
        <w:rPr>
          <w:rFonts w:ascii="Garamond" w:hAnsi="Garamond"/>
          <w:sz w:val="24"/>
          <w:szCs w:val="24"/>
          <w:lang w:val="en-US" w:eastAsia="en-US"/>
        </w:rPr>
        <w:t>‘</w:t>
      </w:r>
      <w:r w:rsidRPr="00461D74">
        <w:rPr>
          <w:rFonts w:ascii="Garamond" w:hAnsi="Garamond"/>
          <w:sz w:val="24"/>
          <w:szCs w:val="24"/>
          <w:lang w:val="en-US" w:eastAsia="en-US"/>
        </w:rPr>
        <w:t>fact/value</w:t>
      </w:r>
      <w:r w:rsidR="00456918" w:rsidRPr="00461D74">
        <w:rPr>
          <w:rFonts w:ascii="Garamond" w:hAnsi="Garamond"/>
          <w:sz w:val="24"/>
          <w:szCs w:val="24"/>
          <w:lang w:val="en-US" w:eastAsia="en-US"/>
        </w:rPr>
        <w:t>’</w:t>
      </w:r>
      <w:r w:rsidRPr="00461D74">
        <w:rPr>
          <w:rFonts w:ascii="Garamond" w:hAnsi="Garamond"/>
          <w:sz w:val="24"/>
          <w:szCs w:val="24"/>
          <w:lang w:val="en-US" w:eastAsia="en-US"/>
        </w:rPr>
        <w:t xml:space="preserve"> and </w:t>
      </w:r>
      <w:r w:rsidR="00456918" w:rsidRPr="00461D74">
        <w:rPr>
          <w:rFonts w:ascii="Garamond" w:hAnsi="Garamond"/>
          <w:sz w:val="24"/>
          <w:szCs w:val="24"/>
          <w:lang w:val="en-US" w:eastAsia="en-US"/>
        </w:rPr>
        <w:t>‘</w:t>
      </w:r>
      <w:r w:rsidRPr="00461D74">
        <w:rPr>
          <w:rFonts w:ascii="Garamond" w:hAnsi="Garamond"/>
          <w:sz w:val="24"/>
          <w:szCs w:val="24"/>
          <w:lang w:val="en-US" w:eastAsia="en-US"/>
        </w:rPr>
        <w:t>science/ethics</w:t>
      </w:r>
      <w:r w:rsidR="00456918" w:rsidRPr="00461D74">
        <w:rPr>
          <w:rFonts w:ascii="Garamond" w:hAnsi="Garamond"/>
          <w:sz w:val="24"/>
          <w:szCs w:val="24"/>
          <w:lang w:val="en-US" w:eastAsia="en-US"/>
        </w:rPr>
        <w:t>.’</w:t>
      </w:r>
    </w:p>
    <w:p w:rsidR="00DD58A4" w:rsidRPr="00DD58A4" w:rsidRDefault="00DD58A4" w:rsidP="00D610F2">
      <w:pPr>
        <w:spacing w:line="360" w:lineRule="auto"/>
        <w:ind w:firstLine="720"/>
        <w:jc w:val="both"/>
        <w:rPr>
          <w:rFonts w:ascii="Garamond" w:hAnsi="Garamond"/>
          <w:sz w:val="24"/>
          <w:szCs w:val="24"/>
        </w:rPr>
      </w:pPr>
      <w:r>
        <w:rPr>
          <w:rFonts w:ascii="Garamond" w:hAnsi="Garamond"/>
          <w:sz w:val="24"/>
          <w:szCs w:val="24"/>
        </w:rPr>
        <w:t xml:space="preserve">Now, before I advance the shape of the Deweyan account that can fulfill the promise of MacIntyre’s project, I should say something about </w:t>
      </w:r>
      <w:r w:rsidR="00D610F2">
        <w:rPr>
          <w:rFonts w:ascii="Garamond" w:hAnsi="Garamond"/>
          <w:sz w:val="24"/>
          <w:szCs w:val="24"/>
        </w:rPr>
        <w:t>(</w:t>
      </w:r>
      <w:proofErr w:type="spellStart"/>
      <w:r w:rsidR="00D610F2">
        <w:rPr>
          <w:rFonts w:ascii="Garamond" w:hAnsi="Garamond"/>
          <w:sz w:val="24"/>
          <w:szCs w:val="24"/>
        </w:rPr>
        <w:t>i</w:t>
      </w:r>
      <w:proofErr w:type="spellEnd"/>
      <w:r w:rsidR="00D610F2">
        <w:rPr>
          <w:rFonts w:ascii="Garamond" w:hAnsi="Garamond"/>
          <w:sz w:val="24"/>
          <w:szCs w:val="24"/>
        </w:rPr>
        <w:t xml:space="preserve">) </w:t>
      </w:r>
      <w:r>
        <w:rPr>
          <w:rFonts w:ascii="Garamond" w:hAnsi="Garamond"/>
          <w:sz w:val="24"/>
          <w:szCs w:val="24"/>
        </w:rPr>
        <w:t>the features of MacIntyre’s account that I intend to retain</w:t>
      </w:r>
      <w:r w:rsidR="00D610F2">
        <w:rPr>
          <w:rFonts w:ascii="Garamond" w:hAnsi="Garamond"/>
          <w:sz w:val="24"/>
          <w:szCs w:val="24"/>
        </w:rPr>
        <w:t xml:space="preserve">; (ii) </w:t>
      </w:r>
      <w:r>
        <w:rPr>
          <w:rFonts w:ascii="Garamond" w:hAnsi="Garamond"/>
          <w:sz w:val="24"/>
          <w:szCs w:val="24"/>
        </w:rPr>
        <w:t>my intentions to address the particular gap in MacIntyre’s account</w:t>
      </w:r>
      <w:r w:rsidR="00D610F2">
        <w:rPr>
          <w:rFonts w:ascii="Garamond" w:hAnsi="Garamond"/>
          <w:sz w:val="24"/>
          <w:szCs w:val="24"/>
        </w:rPr>
        <w:t>; and (iii) the best way to cash out my synthesis of MacIntyre and Dewey</w:t>
      </w:r>
      <w:r>
        <w:rPr>
          <w:rFonts w:ascii="Garamond" w:hAnsi="Garamond"/>
          <w:sz w:val="24"/>
          <w:szCs w:val="24"/>
        </w:rPr>
        <w:t xml:space="preserve">. First, I think we can retain </w:t>
      </w:r>
      <w:r w:rsidR="004C166E">
        <w:rPr>
          <w:rFonts w:ascii="Garamond" w:hAnsi="Garamond"/>
          <w:sz w:val="24"/>
          <w:szCs w:val="24"/>
        </w:rPr>
        <w:t>significant portions</w:t>
      </w:r>
      <w:r>
        <w:rPr>
          <w:rFonts w:ascii="Garamond" w:hAnsi="Garamond"/>
          <w:sz w:val="24"/>
          <w:szCs w:val="24"/>
        </w:rPr>
        <w:t xml:space="preserve"> of MacIntyre’s three-fold social teleology, with the caveat that the </w:t>
      </w:r>
      <w:r w:rsidR="004C166E">
        <w:rPr>
          <w:rFonts w:ascii="Garamond" w:hAnsi="Garamond"/>
          <w:sz w:val="24"/>
          <w:szCs w:val="24"/>
        </w:rPr>
        <w:t>concept</w:t>
      </w:r>
      <w:r>
        <w:rPr>
          <w:rFonts w:ascii="Garamond" w:hAnsi="Garamond"/>
          <w:sz w:val="24"/>
          <w:szCs w:val="24"/>
        </w:rPr>
        <w:t xml:space="preserve"> of tradition needs to be </w:t>
      </w:r>
      <w:r w:rsidR="004C166E">
        <w:rPr>
          <w:rFonts w:ascii="Garamond" w:hAnsi="Garamond"/>
          <w:sz w:val="24"/>
          <w:szCs w:val="24"/>
        </w:rPr>
        <w:t xml:space="preserve">sufficiently modified to account for the role which power plays in the development/decay of traditions. Second, instead of utilising MacIntyre’s account of the good in </w:t>
      </w:r>
      <w:r w:rsidR="004C166E" w:rsidRPr="004C166E">
        <w:rPr>
          <w:rFonts w:ascii="Garamond" w:hAnsi="Garamond"/>
          <w:i/>
          <w:sz w:val="24"/>
          <w:szCs w:val="24"/>
        </w:rPr>
        <w:t>After Virtue</w:t>
      </w:r>
      <w:r w:rsidR="004C166E">
        <w:rPr>
          <w:rFonts w:ascii="Garamond" w:hAnsi="Garamond"/>
          <w:sz w:val="24"/>
          <w:szCs w:val="24"/>
        </w:rPr>
        <w:t xml:space="preserve"> or his later Thomistic conception of the good, I will use Dewey’s account to ground (or underwrite) MacIntyre’s three-fold conception of the virtues</w:t>
      </w:r>
      <w:r w:rsidR="00650662">
        <w:rPr>
          <w:rFonts w:ascii="Garamond" w:hAnsi="Garamond"/>
          <w:sz w:val="24"/>
          <w:szCs w:val="24"/>
        </w:rPr>
        <w:t>. O</w:t>
      </w:r>
      <w:r w:rsidR="00D610F2">
        <w:rPr>
          <w:rFonts w:ascii="Garamond" w:hAnsi="Garamond"/>
          <w:sz w:val="24"/>
          <w:szCs w:val="24"/>
        </w:rPr>
        <w:t xml:space="preserve">n my view, the Deweyan account </w:t>
      </w:r>
      <w:r w:rsidR="00650662">
        <w:rPr>
          <w:rFonts w:ascii="Garamond" w:hAnsi="Garamond"/>
          <w:sz w:val="24"/>
          <w:szCs w:val="24"/>
        </w:rPr>
        <w:t xml:space="preserve">– democracy as a way of life – </w:t>
      </w:r>
      <w:r w:rsidR="00D610F2">
        <w:rPr>
          <w:rFonts w:ascii="Garamond" w:hAnsi="Garamond"/>
          <w:sz w:val="24"/>
          <w:szCs w:val="24"/>
        </w:rPr>
        <w:t xml:space="preserve">is in a better position to defend </w:t>
      </w:r>
      <w:r w:rsidR="008C0753">
        <w:rPr>
          <w:rFonts w:ascii="Garamond" w:hAnsi="Garamond"/>
          <w:sz w:val="24"/>
          <w:szCs w:val="24"/>
        </w:rPr>
        <w:t xml:space="preserve">itself </w:t>
      </w:r>
      <w:r w:rsidR="00D610F2">
        <w:rPr>
          <w:rFonts w:ascii="Garamond" w:hAnsi="Garamond"/>
          <w:sz w:val="24"/>
          <w:szCs w:val="24"/>
        </w:rPr>
        <w:t xml:space="preserve">against the kinds of criticisms that ultimately undermined MacIntyre’s account in </w:t>
      </w:r>
      <w:r w:rsidR="00DE5B33" w:rsidRPr="00DE5B33">
        <w:rPr>
          <w:rFonts w:ascii="Garamond" w:hAnsi="Garamond"/>
          <w:i/>
          <w:sz w:val="24"/>
          <w:szCs w:val="24"/>
        </w:rPr>
        <w:t>After Virtue</w:t>
      </w:r>
      <w:r w:rsidR="004C166E">
        <w:rPr>
          <w:rFonts w:ascii="Garamond" w:hAnsi="Garamond"/>
          <w:sz w:val="24"/>
          <w:szCs w:val="24"/>
        </w:rPr>
        <w:t xml:space="preserve">. </w:t>
      </w:r>
      <w:r w:rsidR="00D610F2">
        <w:rPr>
          <w:rFonts w:ascii="Garamond" w:hAnsi="Garamond"/>
          <w:sz w:val="24"/>
          <w:szCs w:val="24"/>
        </w:rPr>
        <w:t>Third</w:t>
      </w:r>
      <w:r w:rsidR="004C166E">
        <w:rPr>
          <w:rFonts w:ascii="Garamond" w:hAnsi="Garamond"/>
          <w:sz w:val="24"/>
          <w:szCs w:val="24"/>
        </w:rPr>
        <w:t xml:space="preserve">, </w:t>
      </w:r>
      <w:r w:rsidR="0060414C">
        <w:rPr>
          <w:rFonts w:ascii="Garamond" w:hAnsi="Garamond"/>
          <w:sz w:val="24"/>
          <w:szCs w:val="24"/>
        </w:rPr>
        <w:t xml:space="preserve">by utilising Dewey in this way, </w:t>
      </w:r>
      <w:r>
        <w:rPr>
          <w:rFonts w:ascii="Garamond" w:hAnsi="Garamond"/>
          <w:sz w:val="24"/>
          <w:szCs w:val="24"/>
        </w:rPr>
        <w:t xml:space="preserve">I </w:t>
      </w:r>
      <w:r w:rsidR="0060414C">
        <w:rPr>
          <w:rFonts w:ascii="Garamond" w:hAnsi="Garamond"/>
          <w:sz w:val="24"/>
          <w:szCs w:val="24"/>
        </w:rPr>
        <w:t>am framing</w:t>
      </w:r>
      <w:r>
        <w:rPr>
          <w:rFonts w:ascii="Garamond" w:hAnsi="Garamond"/>
          <w:sz w:val="24"/>
          <w:szCs w:val="24"/>
        </w:rPr>
        <w:t xml:space="preserve"> </w:t>
      </w:r>
      <w:r w:rsidR="004C166E">
        <w:rPr>
          <w:rFonts w:ascii="Garamond" w:hAnsi="Garamond"/>
          <w:sz w:val="24"/>
          <w:szCs w:val="24"/>
        </w:rPr>
        <w:t>MacIntyre’s</w:t>
      </w:r>
      <w:r>
        <w:rPr>
          <w:rFonts w:ascii="Garamond" w:hAnsi="Garamond"/>
          <w:sz w:val="24"/>
          <w:szCs w:val="24"/>
        </w:rPr>
        <w:t xml:space="preserve"> </w:t>
      </w:r>
      <w:r w:rsidR="004C166E">
        <w:rPr>
          <w:rFonts w:ascii="Garamond" w:hAnsi="Garamond"/>
          <w:sz w:val="24"/>
          <w:szCs w:val="24"/>
        </w:rPr>
        <w:t xml:space="preserve">account in </w:t>
      </w:r>
      <w:r w:rsidR="004C166E" w:rsidRPr="004C166E">
        <w:rPr>
          <w:rFonts w:ascii="Garamond" w:hAnsi="Garamond"/>
          <w:i/>
          <w:sz w:val="24"/>
          <w:szCs w:val="24"/>
        </w:rPr>
        <w:t>After Virtue</w:t>
      </w:r>
      <w:r>
        <w:rPr>
          <w:rFonts w:ascii="Garamond" w:hAnsi="Garamond"/>
          <w:sz w:val="24"/>
          <w:szCs w:val="24"/>
        </w:rPr>
        <w:t xml:space="preserve"> within </w:t>
      </w:r>
      <w:r w:rsidR="004C166E">
        <w:rPr>
          <w:rFonts w:ascii="Garamond" w:hAnsi="Garamond"/>
          <w:sz w:val="24"/>
          <w:szCs w:val="24"/>
        </w:rPr>
        <w:t xml:space="preserve">a Deweyan ethical </w:t>
      </w:r>
      <w:r w:rsidR="00B00A8A">
        <w:rPr>
          <w:rFonts w:ascii="Garamond" w:hAnsi="Garamond"/>
          <w:sz w:val="24"/>
          <w:szCs w:val="24"/>
        </w:rPr>
        <w:t>foundation (or structure)</w:t>
      </w:r>
      <w:r w:rsidR="00D610F2">
        <w:rPr>
          <w:rFonts w:ascii="Garamond" w:hAnsi="Garamond"/>
          <w:sz w:val="24"/>
          <w:szCs w:val="24"/>
        </w:rPr>
        <w:t xml:space="preserve">, and by the same token MacIntyre’s account </w:t>
      </w:r>
      <w:r w:rsidR="0060414C">
        <w:rPr>
          <w:rFonts w:ascii="Garamond" w:hAnsi="Garamond"/>
          <w:sz w:val="24"/>
          <w:szCs w:val="24"/>
        </w:rPr>
        <w:t>ought to</w:t>
      </w:r>
      <w:r w:rsidR="00D610F2">
        <w:rPr>
          <w:rFonts w:ascii="Garamond" w:hAnsi="Garamond"/>
          <w:sz w:val="24"/>
          <w:szCs w:val="24"/>
        </w:rPr>
        <w:t xml:space="preserve"> be </w:t>
      </w:r>
      <w:r w:rsidR="00B00A8A">
        <w:rPr>
          <w:rFonts w:ascii="Garamond" w:hAnsi="Garamond"/>
          <w:sz w:val="24"/>
          <w:szCs w:val="24"/>
        </w:rPr>
        <w:t xml:space="preserve">understood </w:t>
      </w:r>
      <w:r w:rsidR="00D610F2">
        <w:rPr>
          <w:rFonts w:ascii="Garamond" w:hAnsi="Garamond"/>
          <w:sz w:val="24"/>
          <w:szCs w:val="24"/>
        </w:rPr>
        <w:t>as the ethical superstructure that overlays th</w:t>
      </w:r>
      <w:r w:rsidR="00B00A8A">
        <w:rPr>
          <w:rFonts w:ascii="Garamond" w:hAnsi="Garamond"/>
          <w:sz w:val="24"/>
          <w:szCs w:val="24"/>
        </w:rPr>
        <w:t>e</w:t>
      </w:r>
      <w:r w:rsidR="00D610F2">
        <w:rPr>
          <w:rFonts w:ascii="Garamond" w:hAnsi="Garamond"/>
          <w:sz w:val="24"/>
          <w:szCs w:val="24"/>
        </w:rPr>
        <w:t xml:space="preserve"> Deweyan </w:t>
      </w:r>
      <w:r w:rsidR="00B00A8A">
        <w:rPr>
          <w:rFonts w:ascii="Garamond" w:hAnsi="Garamond"/>
          <w:sz w:val="24"/>
          <w:szCs w:val="24"/>
        </w:rPr>
        <w:t>foundation</w:t>
      </w:r>
      <w:r w:rsidR="00D610F2">
        <w:rPr>
          <w:rFonts w:ascii="Garamond" w:hAnsi="Garamond"/>
          <w:sz w:val="24"/>
          <w:szCs w:val="24"/>
        </w:rPr>
        <w:t>.</w:t>
      </w:r>
    </w:p>
    <w:p w:rsidR="00665157" w:rsidRDefault="0060414C" w:rsidP="0060414C">
      <w:pPr>
        <w:spacing w:line="360" w:lineRule="auto"/>
        <w:ind w:firstLine="720"/>
        <w:jc w:val="both"/>
        <w:rPr>
          <w:rFonts w:ascii="Garamond" w:hAnsi="Garamond"/>
          <w:sz w:val="24"/>
          <w:szCs w:val="24"/>
          <w:lang w:val="en-US" w:eastAsia="en-US"/>
        </w:rPr>
      </w:pPr>
      <w:r>
        <w:rPr>
          <w:rFonts w:ascii="Garamond" w:hAnsi="Garamond"/>
          <w:sz w:val="24"/>
          <w:szCs w:val="24"/>
          <w:lang w:val="en-US" w:eastAsia="en-US"/>
        </w:rPr>
        <w:t>Lastly</w:t>
      </w:r>
      <w:r w:rsidR="00016049" w:rsidRPr="00461D74">
        <w:rPr>
          <w:rFonts w:ascii="Garamond" w:hAnsi="Garamond"/>
          <w:sz w:val="24"/>
          <w:szCs w:val="24"/>
          <w:lang w:val="en-US" w:eastAsia="en-US"/>
        </w:rPr>
        <w:t>, I do realize that I am not resolving the problem in the way MacIntyre himself perhaps imagines. What I mean by this is that I am not offering better historical arguments for tracing the decline of Aristotelian-Thomism, in order to recover the teleological insights from that earlier tradition. Instead, I will attempt to show that Dewey’s conception of democracy as a way of life can stand</w:t>
      </w:r>
      <w:r w:rsidR="00A72A88">
        <w:rPr>
          <w:rFonts w:ascii="Garamond" w:hAnsi="Garamond"/>
          <w:sz w:val="24"/>
          <w:szCs w:val="24"/>
          <w:lang w:val="en-US" w:eastAsia="en-US"/>
        </w:rPr>
        <w:t xml:space="preserve"> in</w:t>
      </w:r>
      <w:r w:rsidR="00016049" w:rsidRPr="00461D74">
        <w:rPr>
          <w:rFonts w:ascii="Garamond" w:hAnsi="Garamond"/>
          <w:sz w:val="24"/>
          <w:szCs w:val="24"/>
          <w:lang w:val="en-US" w:eastAsia="en-US"/>
        </w:rPr>
        <w:t xml:space="preserve"> as an alternative teleology – one that is both modern and empirical; and one that I will argue is substantive enough to answer the sort of criticism advanced by </w:t>
      </w:r>
      <w:r w:rsidR="00016049" w:rsidRPr="00461D74">
        <w:rPr>
          <w:rFonts w:ascii="Garamond" w:hAnsi="Garamond"/>
          <w:sz w:val="24"/>
          <w:szCs w:val="24"/>
          <w:lang w:val="en-US" w:eastAsia="en-US"/>
        </w:rPr>
        <w:lastRenderedPageBreak/>
        <w:t xml:space="preserve">Bernstein and </w:t>
      </w:r>
      <w:proofErr w:type="spellStart"/>
      <w:r w:rsidR="00016049" w:rsidRPr="00461D74">
        <w:rPr>
          <w:rFonts w:ascii="Garamond" w:hAnsi="Garamond"/>
          <w:sz w:val="24"/>
          <w:szCs w:val="24"/>
          <w:lang w:val="en-US" w:eastAsia="en-US"/>
        </w:rPr>
        <w:t>Schneewind</w:t>
      </w:r>
      <w:proofErr w:type="spellEnd"/>
      <w:r w:rsidR="00016049" w:rsidRPr="00461D74">
        <w:rPr>
          <w:rFonts w:ascii="Garamond" w:hAnsi="Garamond"/>
          <w:sz w:val="24"/>
          <w:szCs w:val="24"/>
          <w:lang w:val="en-US" w:eastAsia="en-US"/>
        </w:rPr>
        <w:t>.</w:t>
      </w:r>
      <w:r w:rsidR="00016049" w:rsidRPr="00461D74">
        <w:rPr>
          <w:rStyle w:val="FootnoteReference"/>
          <w:rFonts w:ascii="Garamond" w:hAnsi="Garamond"/>
          <w:sz w:val="24"/>
          <w:szCs w:val="24"/>
          <w:lang w:val="en-US" w:eastAsia="en-US"/>
        </w:rPr>
        <w:footnoteReference w:id="218"/>
      </w:r>
      <w:r w:rsidR="00016049" w:rsidRPr="00461D74">
        <w:rPr>
          <w:rFonts w:ascii="Garamond" w:hAnsi="Garamond"/>
          <w:sz w:val="24"/>
          <w:szCs w:val="24"/>
          <w:lang w:val="en-US" w:eastAsia="en-US"/>
        </w:rPr>
        <w:t xml:space="preserve"> </w:t>
      </w:r>
      <w:r>
        <w:rPr>
          <w:rFonts w:ascii="Garamond" w:hAnsi="Garamond"/>
          <w:sz w:val="24"/>
          <w:szCs w:val="24"/>
          <w:lang w:val="en-US" w:eastAsia="en-US"/>
        </w:rPr>
        <w:t xml:space="preserve">Therefore, </w:t>
      </w:r>
      <w:r w:rsidR="00016049" w:rsidRPr="00461D74">
        <w:rPr>
          <w:rFonts w:ascii="Garamond" w:hAnsi="Garamond"/>
          <w:sz w:val="24"/>
          <w:szCs w:val="24"/>
          <w:lang w:val="en-US" w:eastAsia="en-US"/>
        </w:rPr>
        <w:t>I am resolving this tension by sidestepping the question of trying to recover and defend Thomism. I can accept the decline of the Aristotelian-Thomistic tradition in the historical account of traditions that MacIntyre seems to present in his work. But it seems to me that it isn’t necessary to defend a more traditional Aristotelian-Thomistic position, or recover the teleology of that earlier tradition</w:t>
      </w:r>
      <w:r w:rsidR="005F034E" w:rsidRPr="00461D74">
        <w:rPr>
          <w:rFonts w:ascii="Garamond" w:hAnsi="Garamond"/>
          <w:sz w:val="24"/>
          <w:szCs w:val="24"/>
          <w:lang w:val="en-US" w:eastAsia="en-US"/>
        </w:rPr>
        <w:t xml:space="preserve">: </w:t>
      </w:r>
      <w:r w:rsidR="00016049" w:rsidRPr="00461D74">
        <w:rPr>
          <w:rFonts w:ascii="Garamond" w:hAnsi="Garamond"/>
          <w:sz w:val="24"/>
          <w:szCs w:val="24"/>
          <w:lang w:val="en-US" w:eastAsia="en-US"/>
        </w:rPr>
        <w:t xml:space="preserve">we are </w:t>
      </w:r>
      <w:r w:rsidR="005F034E" w:rsidRPr="00461D74">
        <w:rPr>
          <w:rFonts w:ascii="Garamond" w:hAnsi="Garamond"/>
          <w:sz w:val="24"/>
          <w:szCs w:val="24"/>
          <w:lang w:val="en-US" w:eastAsia="en-US"/>
        </w:rPr>
        <w:t xml:space="preserve">still </w:t>
      </w:r>
      <w:r w:rsidR="00016049" w:rsidRPr="00461D74">
        <w:rPr>
          <w:rFonts w:ascii="Garamond" w:hAnsi="Garamond"/>
          <w:sz w:val="24"/>
          <w:szCs w:val="24"/>
          <w:lang w:val="en-US" w:eastAsia="en-US"/>
        </w:rPr>
        <w:t xml:space="preserve">able to utilize the insights of Dewey’s alternative pragmatist teleology to draw a number of </w:t>
      </w:r>
      <w:proofErr w:type="spellStart"/>
      <w:r w:rsidR="00016049" w:rsidRPr="00461D74">
        <w:rPr>
          <w:rFonts w:ascii="Garamond" w:hAnsi="Garamond"/>
          <w:sz w:val="24"/>
          <w:szCs w:val="24"/>
          <w:lang w:val="en-US" w:eastAsia="en-US"/>
        </w:rPr>
        <w:t>cognitivist</w:t>
      </w:r>
      <w:proofErr w:type="spellEnd"/>
      <w:r w:rsidR="00B00A8A">
        <w:rPr>
          <w:rFonts w:ascii="Garamond" w:hAnsi="Garamond"/>
          <w:sz w:val="24"/>
          <w:szCs w:val="24"/>
          <w:lang w:val="en-US" w:eastAsia="en-US"/>
        </w:rPr>
        <w:t xml:space="preserve"> – or anti-</w:t>
      </w:r>
      <w:proofErr w:type="spellStart"/>
      <w:r w:rsidR="00B00A8A">
        <w:rPr>
          <w:rFonts w:ascii="Garamond" w:hAnsi="Garamond"/>
          <w:sz w:val="24"/>
          <w:szCs w:val="24"/>
          <w:lang w:val="en-US" w:eastAsia="en-US"/>
        </w:rPr>
        <w:t>emotivist</w:t>
      </w:r>
      <w:proofErr w:type="spellEnd"/>
      <w:r w:rsidR="00B00A8A">
        <w:rPr>
          <w:rFonts w:ascii="Garamond" w:hAnsi="Garamond"/>
          <w:sz w:val="24"/>
          <w:szCs w:val="24"/>
          <w:lang w:val="en-US" w:eastAsia="en-US"/>
        </w:rPr>
        <w:t xml:space="preserve"> –</w:t>
      </w:r>
      <w:r w:rsidR="00016049" w:rsidRPr="00461D74">
        <w:rPr>
          <w:rFonts w:ascii="Garamond" w:hAnsi="Garamond"/>
          <w:sz w:val="24"/>
          <w:szCs w:val="24"/>
          <w:lang w:val="en-US" w:eastAsia="en-US"/>
        </w:rPr>
        <w:t xml:space="preserve"> inferences that MacIntyre would be happy with, without the need to posit a strong moral realism.</w:t>
      </w:r>
    </w:p>
    <w:p w:rsidR="00665157" w:rsidRDefault="00665157">
      <w:pPr>
        <w:spacing w:line="360" w:lineRule="auto"/>
        <w:ind w:firstLine="720"/>
        <w:jc w:val="both"/>
        <w:rPr>
          <w:rFonts w:ascii="Garamond" w:hAnsi="Garamond"/>
          <w:sz w:val="24"/>
          <w:szCs w:val="24"/>
          <w:lang w:val="en-US" w:eastAsia="en-US"/>
        </w:rPr>
      </w:pPr>
    </w:p>
    <w:p w:rsidR="00665157" w:rsidRDefault="00016049">
      <w:pPr>
        <w:pStyle w:val="Heading2"/>
        <w:spacing w:line="360" w:lineRule="auto"/>
        <w:jc w:val="both"/>
        <w:rPr>
          <w:rFonts w:cstheme="majorHAnsi"/>
        </w:rPr>
      </w:pPr>
      <w:bookmarkStart w:id="23" w:name="_Toc528077805"/>
      <w:r w:rsidRPr="00461D74">
        <w:rPr>
          <w:rFonts w:cstheme="majorHAnsi"/>
        </w:rPr>
        <w:t xml:space="preserve">2. Deweyan Democracy as </w:t>
      </w:r>
      <w:r w:rsidR="00F7719F" w:rsidRPr="00461D74">
        <w:rPr>
          <w:rFonts w:cstheme="majorHAnsi"/>
        </w:rPr>
        <w:t>T</w:t>
      </w:r>
      <w:r w:rsidRPr="00461D74">
        <w:rPr>
          <w:rFonts w:cstheme="majorHAnsi"/>
        </w:rPr>
        <w:t>eleology</w:t>
      </w:r>
      <w:bookmarkEnd w:id="23"/>
      <w:r w:rsidRPr="00461D74">
        <w:rPr>
          <w:rFonts w:cstheme="majorHAnsi"/>
        </w:rPr>
        <w:t xml:space="preserve"> </w:t>
      </w:r>
    </w:p>
    <w:p w:rsidR="00665157" w:rsidRDefault="00665157">
      <w:pPr>
        <w:spacing w:line="360" w:lineRule="auto"/>
        <w:jc w:val="both"/>
        <w:rPr>
          <w:rFonts w:ascii="Garamond" w:hAnsi="Garamond"/>
          <w:sz w:val="24"/>
          <w:szCs w:val="24"/>
        </w:rPr>
      </w:pPr>
    </w:p>
    <w:p w:rsidR="00665157" w:rsidRDefault="00016049">
      <w:pPr>
        <w:spacing w:line="360" w:lineRule="auto"/>
        <w:jc w:val="both"/>
        <w:rPr>
          <w:rFonts w:ascii="Garamond" w:hAnsi="Garamond"/>
          <w:sz w:val="24"/>
          <w:szCs w:val="24"/>
        </w:rPr>
      </w:pPr>
      <w:r w:rsidRPr="00461D74">
        <w:rPr>
          <w:rFonts w:ascii="Garamond" w:hAnsi="Garamond"/>
          <w:sz w:val="24"/>
          <w:szCs w:val="24"/>
        </w:rPr>
        <w:t xml:space="preserve">Before I begin my discussion of Dewey’s view, it is useful to set some parameters. Three important questions that must be answered are: First, what is traditional teleology? This question might appear as a diversion, but it needs to be addressed in order to answer the second question – namely, how </w:t>
      </w:r>
      <w:r w:rsidR="007A2020">
        <w:rPr>
          <w:rFonts w:ascii="Garamond" w:hAnsi="Garamond"/>
          <w:sz w:val="24"/>
          <w:szCs w:val="24"/>
        </w:rPr>
        <w:t>can we</w:t>
      </w:r>
      <w:r w:rsidR="007A2020" w:rsidRPr="00461D74">
        <w:rPr>
          <w:rFonts w:ascii="Garamond" w:hAnsi="Garamond"/>
          <w:sz w:val="24"/>
          <w:szCs w:val="24"/>
        </w:rPr>
        <w:t xml:space="preserve"> </w:t>
      </w:r>
      <w:r w:rsidR="007A2020">
        <w:rPr>
          <w:rFonts w:ascii="Garamond" w:hAnsi="Garamond"/>
          <w:sz w:val="24"/>
          <w:szCs w:val="24"/>
        </w:rPr>
        <w:t>articulate</w:t>
      </w:r>
      <w:r w:rsidR="007A2020" w:rsidRPr="00461D74">
        <w:rPr>
          <w:rFonts w:ascii="Garamond" w:hAnsi="Garamond"/>
          <w:sz w:val="24"/>
          <w:szCs w:val="24"/>
        </w:rPr>
        <w:t xml:space="preserve"> </w:t>
      </w:r>
      <w:r w:rsidRPr="00461D74">
        <w:rPr>
          <w:rFonts w:ascii="Garamond" w:hAnsi="Garamond"/>
          <w:sz w:val="24"/>
          <w:szCs w:val="24"/>
        </w:rPr>
        <w:t>an alternative teleology that will avoid some of the objections raised against traditional teleology</w:t>
      </w:r>
      <w:r w:rsidR="007A2020">
        <w:rPr>
          <w:rFonts w:ascii="Garamond" w:hAnsi="Garamond"/>
          <w:sz w:val="24"/>
          <w:szCs w:val="24"/>
        </w:rPr>
        <w:t>?</w:t>
      </w:r>
      <w:r w:rsidRPr="00461D74">
        <w:rPr>
          <w:rFonts w:ascii="Garamond" w:hAnsi="Garamond"/>
          <w:sz w:val="24"/>
          <w:szCs w:val="24"/>
        </w:rPr>
        <w:t xml:space="preserve"> The third and final question </w:t>
      </w:r>
      <w:r w:rsidR="00FF274A">
        <w:rPr>
          <w:rFonts w:ascii="Garamond" w:hAnsi="Garamond"/>
          <w:sz w:val="24"/>
          <w:szCs w:val="24"/>
        </w:rPr>
        <w:t>arises from an understandable scepticism in relation to the fit between Dewey and MacIntyre. P</w:t>
      </w:r>
      <w:r w:rsidRPr="00461D74">
        <w:rPr>
          <w:rFonts w:ascii="Garamond" w:hAnsi="Garamond"/>
          <w:sz w:val="24"/>
          <w:szCs w:val="24"/>
        </w:rPr>
        <w:t xml:space="preserve">ut differently, </w:t>
      </w:r>
      <w:r w:rsidR="00FF274A">
        <w:rPr>
          <w:rFonts w:ascii="Garamond" w:hAnsi="Garamond"/>
          <w:sz w:val="24"/>
          <w:szCs w:val="24"/>
        </w:rPr>
        <w:t xml:space="preserve">in the context of MacIntyre’s overall project, </w:t>
      </w:r>
      <w:r w:rsidRPr="00461D74">
        <w:rPr>
          <w:rFonts w:ascii="Garamond" w:hAnsi="Garamond"/>
          <w:sz w:val="24"/>
          <w:szCs w:val="24"/>
        </w:rPr>
        <w:t xml:space="preserve">what is it about Dewey’s account that makes it </w:t>
      </w:r>
      <w:r w:rsidR="00FF274A">
        <w:rPr>
          <w:rFonts w:ascii="Garamond" w:hAnsi="Garamond"/>
          <w:sz w:val="24"/>
          <w:szCs w:val="24"/>
        </w:rPr>
        <w:t xml:space="preserve">a </w:t>
      </w:r>
      <w:r w:rsidRPr="00461D74">
        <w:rPr>
          <w:rFonts w:ascii="Garamond" w:hAnsi="Garamond"/>
          <w:sz w:val="24"/>
          <w:szCs w:val="24"/>
        </w:rPr>
        <w:t xml:space="preserve">more attractive </w:t>
      </w:r>
      <w:r w:rsidR="00FF274A">
        <w:rPr>
          <w:rFonts w:ascii="Garamond" w:hAnsi="Garamond"/>
          <w:sz w:val="24"/>
          <w:szCs w:val="24"/>
        </w:rPr>
        <w:t xml:space="preserve">remedy </w:t>
      </w:r>
      <w:r w:rsidRPr="00461D74">
        <w:rPr>
          <w:rFonts w:ascii="Garamond" w:hAnsi="Garamond"/>
          <w:sz w:val="24"/>
          <w:szCs w:val="24"/>
        </w:rPr>
        <w:t xml:space="preserve">than other options? In order to advance my </w:t>
      </w:r>
      <w:r w:rsidRPr="00461D74">
        <w:rPr>
          <w:rFonts w:ascii="Garamond" w:hAnsi="Garamond"/>
          <w:sz w:val="24"/>
          <w:szCs w:val="24"/>
        </w:rPr>
        <w:lastRenderedPageBreak/>
        <w:t xml:space="preserve">argument I will at certain points refer to Dewey’s essay </w:t>
      </w:r>
      <w:r w:rsidR="005E2CA7" w:rsidRPr="00461D74">
        <w:rPr>
          <w:rFonts w:ascii="Garamond" w:hAnsi="Garamond"/>
          <w:sz w:val="24"/>
          <w:szCs w:val="24"/>
        </w:rPr>
        <w:t>“</w:t>
      </w:r>
      <w:r w:rsidRPr="00461D74">
        <w:rPr>
          <w:rFonts w:ascii="Garamond" w:hAnsi="Garamond"/>
          <w:sz w:val="24"/>
          <w:szCs w:val="24"/>
        </w:rPr>
        <w:t>The Influence of Darwinism on Philosophy</w:t>
      </w:r>
      <w:r w:rsidR="00E73D26">
        <w:rPr>
          <w:rFonts w:ascii="Garamond" w:hAnsi="Garamond"/>
          <w:sz w:val="24"/>
          <w:szCs w:val="24"/>
        </w:rPr>
        <w:t>.</w:t>
      </w:r>
      <w:r w:rsidR="005E2CA7" w:rsidRPr="00461D74">
        <w:rPr>
          <w:rFonts w:ascii="Garamond" w:hAnsi="Garamond"/>
          <w:sz w:val="24"/>
          <w:szCs w:val="24"/>
        </w:rPr>
        <w:t>”</w:t>
      </w:r>
      <w:r w:rsidR="00AA2A48">
        <w:rPr>
          <w:rFonts w:ascii="Garamond" w:hAnsi="Garamond"/>
          <w:sz w:val="24"/>
          <w:szCs w:val="24"/>
        </w:rPr>
        <w:fldChar w:fldCharType="begin"/>
      </w:r>
      <w:r w:rsidR="00124ED5">
        <w:rPr>
          <w:rFonts w:ascii="Garamond" w:hAnsi="Garamond"/>
          <w:sz w:val="24"/>
          <w:szCs w:val="24"/>
        </w:rPr>
        <w:instrText xml:space="preserve"> ADDIN EN.CITE &lt;EndNote&gt;&lt;Cite&gt;&lt;Author&gt;Dewey&lt;/Author&gt;&lt;Year&gt;1969-1991&lt;/Year&gt;&lt;RecNum&gt;122&lt;/RecNum&gt;&lt;Pages&gt;56&lt;/Pages&gt;&lt;record&gt;&lt;rec-number&gt;122&lt;/rec-number&gt;&lt;foreign-keys&gt;&lt;key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Pr>
          <w:rFonts w:ascii="Garamond" w:hAnsi="Garamond"/>
          <w:sz w:val="24"/>
          <w:szCs w:val="24"/>
        </w:rPr>
        <w:fldChar w:fldCharType="end"/>
      </w:r>
      <w:r w:rsidR="00C029CD">
        <w:rPr>
          <w:rStyle w:val="FootnoteReference"/>
          <w:rFonts w:ascii="Garamond" w:hAnsi="Garamond"/>
          <w:sz w:val="24"/>
          <w:szCs w:val="24"/>
        </w:rPr>
        <w:footnoteReference w:id="219"/>
      </w:r>
    </w:p>
    <w:p w:rsidR="00665157" w:rsidRDefault="00016049">
      <w:pPr>
        <w:spacing w:line="360" w:lineRule="auto"/>
        <w:jc w:val="both"/>
        <w:rPr>
          <w:rFonts w:ascii="Garamond" w:hAnsi="Garamond"/>
          <w:sz w:val="24"/>
          <w:szCs w:val="24"/>
        </w:rPr>
      </w:pPr>
      <w:r w:rsidRPr="00461D74">
        <w:rPr>
          <w:rFonts w:ascii="Garamond" w:hAnsi="Garamond"/>
          <w:sz w:val="24"/>
          <w:szCs w:val="24"/>
        </w:rPr>
        <w:tab/>
      </w:r>
      <w:r w:rsidR="00A16EE9">
        <w:rPr>
          <w:rFonts w:ascii="Garamond" w:hAnsi="Garamond"/>
          <w:sz w:val="24"/>
          <w:szCs w:val="24"/>
        </w:rPr>
        <w:t>Beginning now with the first question</w:t>
      </w:r>
      <w:r w:rsidR="008C6E4C">
        <w:rPr>
          <w:rFonts w:ascii="Garamond" w:hAnsi="Garamond"/>
          <w:sz w:val="24"/>
          <w:szCs w:val="24"/>
        </w:rPr>
        <w:t>,</w:t>
      </w:r>
      <w:r w:rsidR="008C6E4C" w:rsidDel="008C6E4C">
        <w:rPr>
          <w:rFonts w:ascii="Garamond" w:hAnsi="Garamond"/>
          <w:sz w:val="24"/>
          <w:szCs w:val="24"/>
        </w:rPr>
        <w:t xml:space="preserve"> </w:t>
      </w:r>
      <w:r w:rsidR="008C6E4C">
        <w:rPr>
          <w:rFonts w:ascii="Garamond" w:hAnsi="Garamond"/>
          <w:sz w:val="24"/>
          <w:szCs w:val="24"/>
        </w:rPr>
        <w:t>b</w:t>
      </w:r>
      <w:r w:rsidRPr="00461D74">
        <w:rPr>
          <w:rFonts w:ascii="Garamond" w:hAnsi="Garamond"/>
          <w:sz w:val="24"/>
          <w:szCs w:val="24"/>
        </w:rPr>
        <w:t xml:space="preserve">roadly speaking, traditional teleological explanations can be described as an examination of causes and effects with a view to an ultimate purpose, or an explanation of phenomena by the purpose it serves, as opposed to efficient causes. Dewey argues that traditional teleological explanations were premised on two important ideas. First, traditional teleology rested on the idea that we could come to know natures (or essences) through reason; and second, </w:t>
      </w:r>
      <w:r w:rsidR="00652E25">
        <w:rPr>
          <w:rFonts w:ascii="Garamond" w:hAnsi="Garamond"/>
          <w:sz w:val="24"/>
          <w:szCs w:val="24"/>
        </w:rPr>
        <w:t>that</w:t>
      </w:r>
      <w:r w:rsidR="00652E25" w:rsidRPr="00461D74">
        <w:rPr>
          <w:rFonts w:ascii="Garamond" w:hAnsi="Garamond"/>
          <w:sz w:val="24"/>
          <w:szCs w:val="24"/>
        </w:rPr>
        <w:t xml:space="preserve"> </w:t>
      </w:r>
      <w:r w:rsidRPr="00461D74">
        <w:rPr>
          <w:rFonts w:ascii="Garamond" w:hAnsi="Garamond"/>
          <w:sz w:val="24"/>
          <w:szCs w:val="24"/>
          <w:lang w:val="en-US"/>
        </w:rPr>
        <w:t xml:space="preserve">regulative changes observed in all life forms – namely, the orderly cumulative changes that take place in all living things where animals and plants appear to naturally advance from earlier, to later, stages of development in which each stage prepares the way for the successive stage – and the </w:t>
      </w:r>
      <w:r w:rsidR="00652E25">
        <w:rPr>
          <w:rFonts w:ascii="Garamond" w:hAnsi="Garamond"/>
          <w:sz w:val="24"/>
          <w:szCs w:val="24"/>
          <w:lang w:val="en-US"/>
        </w:rPr>
        <w:t>apparent</w:t>
      </w:r>
      <w:r w:rsidR="00652E25" w:rsidRPr="00461D74">
        <w:rPr>
          <w:rFonts w:ascii="Garamond" w:hAnsi="Garamond"/>
          <w:sz w:val="24"/>
          <w:szCs w:val="24"/>
          <w:lang w:val="en-US"/>
        </w:rPr>
        <w:t xml:space="preserve"> </w:t>
      </w:r>
      <w:r w:rsidRPr="00461D74">
        <w:rPr>
          <w:rFonts w:ascii="Garamond" w:hAnsi="Garamond"/>
          <w:sz w:val="24"/>
          <w:szCs w:val="24"/>
          <w:lang w:val="en-US"/>
        </w:rPr>
        <w:t>perfect adaptation of all life forms to their environment</w:t>
      </w:r>
      <w:r w:rsidR="00652E25">
        <w:rPr>
          <w:rFonts w:ascii="Garamond" w:hAnsi="Garamond"/>
          <w:sz w:val="24"/>
          <w:szCs w:val="24"/>
          <w:lang w:val="en-US"/>
        </w:rPr>
        <w:t>,</w:t>
      </w:r>
      <w:r w:rsidRPr="00461D74">
        <w:rPr>
          <w:rFonts w:ascii="Garamond" w:hAnsi="Garamond"/>
          <w:sz w:val="24"/>
          <w:szCs w:val="24"/>
          <w:lang w:val="en-US"/>
        </w:rPr>
        <w:t xml:space="preserve"> strengthened the case for teleological explanations.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However, </w:t>
      </w:r>
      <w:r w:rsidR="00554397">
        <w:rPr>
          <w:rFonts w:ascii="Garamond" w:hAnsi="Garamond"/>
          <w:sz w:val="24"/>
          <w:szCs w:val="24"/>
        </w:rPr>
        <w:t xml:space="preserve">I take it that </w:t>
      </w:r>
      <w:r w:rsidRPr="00461D74">
        <w:rPr>
          <w:rFonts w:ascii="Garamond" w:hAnsi="Garamond"/>
          <w:sz w:val="24"/>
          <w:szCs w:val="24"/>
        </w:rPr>
        <w:t xml:space="preserve">the emergence of early modern science undermined Aristotle’s teleology because it undermined this first premise, namely, that we can through reasoning come to understand the eternal nature of things. </w:t>
      </w:r>
      <w:r w:rsidR="00554397">
        <w:rPr>
          <w:rFonts w:ascii="Garamond" w:hAnsi="Garamond"/>
          <w:sz w:val="24"/>
          <w:szCs w:val="24"/>
        </w:rPr>
        <w:t xml:space="preserve">On Dewey’s view, </w:t>
      </w:r>
      <w:r w:rsidRPr="00461D74">
        <w:rPr>
          <w:rFonts w:ascii="Garamond" w:hAnsi="Garamond"/>
          <w:sz w:val="24"/>
          <w:szCs w:val="24"/>
        </w:rPr>
        <w:t xml:space="preserve">this conclusion was </w:t>
      </w:r>
      <w:r w:rsidR="00554397">
        <w:rPr>
          <w:rFonts w:ascii="Garamond" w:hAnsi="Garamond"/>
          <w:sz w:val="24"/>
          <w:szCs w:val="24"/>
        </w:rPr>
        <w:t xml:space="preserve">initially </w:t>
      </w:r>
      <w:r w:rsidRPr="00461D74">
        <w:rPr>
          <w:rFonts w:ascii="Garamond" w:hAnsi="Garamond"/>
          <w:sz w:val="24"/>
          <w:szCs w:val="24"/>
        </w:rPr>
        <w:t xml:space="preserve">reached with respect to the scientific understanding of the physical world, and hence teleological explanations were still seen as useful in explaining biological phenomena. Nonetheless, the revolutionary changes that followed from Darwin’s theory of evolution rendered teleological explanations untenable, precisely because </w:t>
      </w:r>
      <w:r w:rsidR="00652E25">
        <w:rPr>
          <w:rFonts w:ascii="Garamond" w:hAnsi="Garamond"/>
          <w:sz w:val="24"/>
          <w:szCs w:val="24"/>
        </w:rPr>
        <w:t>they</w:t>
      </w:r>
      <w:r w:rsidR="00652E25" w:rsidRPr="00461D74">
        <w:rPr>
          <w:rFonts w:ascii="Garamond" w:hAnsi="Garamond"/>
          <w:sz w:val="24"/>
          <w:szCs w:val="24"/>
        </w:rPr>
        <w:t xml:space="preserve"> </w:t>
      </w:r>
      <w:r w:rsidRPr="00461D74">
        <w:rPr>
          <w:rFonts w:ascii="Garamond" w:hAnsi="Garamond"/>
          <w:sz w:val="24"/>
          <w:szCs w:val="24"/>
        </w:rPr>
        <w:t xml:space="preserve">undermined the second premise – namely, teleology seen as a purposive regulative principle in which each stage of development perfectly anticipates and prepares for a later stage – </w:t>
      </w:r>
      <w:r w:rsidR="003415A3">
        <w:rPr>
          <w:rFonts w:ascii="Garamond" w:hAnsi="Garamond"/>
          <w:sz w:val="24"/>
          <w:szCs w:val="24"/>
        </w:rPr>
        <w:t>which in turn</w:t>
      </w:r>
      <w:r w:rsidR="003415A3" w:rsidRPr="00461D74">
        <w:rPr>
          <w:rFonts w:ascii="Garamond" w:hAnsi="Garamond"/>
          <w:sz w:val="24"/>
          <w:szCs w:val="24"/>
        </w:rPr>
        <w:t xml:space="preserve"> </w:t>
      </w:r>
      <w:r w:rsidRPr="00461D74">
        <w:rPr>
          <w:rFonts w:ascii="Garamond" w:hAnsi="Garamond"/>
          <w:sz w:val="24"/>
          <w:szCs w:val="24"/>
        </w:rPr>
        <w:t>support</w:t>
      </w:r>
      <w:r w:rsidR="003415A3">
        <w:rPr>
          <w:rFonts w:ascii="Garamond" w:hAnsi="Garamond"/>
          <w:sz w:val="24"/>
          <w:szCs w:val="24"/>
        </w:rPr>
        <w:t>ed</w:t>
      </w:r>
      <w:r w:rsidRPr="00461D74">
        <w:rPr>
          <w:rFonts w:ascii="Garamond" w:hAnsi="Garamond"/>
          <w:sz w:val="24"/>
          <w:szCs w:val="24"/>
        </w:rPr>
        <w:t xml:space="preserve"> teleological forms of explanation. If the myriad of adaptations observed </w:t>
      </w:r>
      <w:r w:rsidRPr="00461D74">
        <w:rPr>
          <w:rFonts w:ascii="Garamond" w:hAnsi="Garamond"/>
          <w:sz w:val="24"/>
          <w:szCs w:val="24"/>
        </w:rPr>
        <w:lastRenderedPageBreak/>
        <w:t>in different life forms are simply due to the constant variations in the expression of genes in individual members of a species; and if contingent historical material conditions render the expression of certain genes more (or less) useful in the struggle for survival, then it is not clear how we can cash out an all</w:t>
      </w:r>
      <w:r w:rsidR="005F034E" w:rsidRPr="00461D74">
        <w:rPr>
          <w:rFonts w:ascii="Garamond" w:hAnsi="Garamond"/>
          <w:sz w:val="24"/>
          <w:szCs w:val="24"/>
        </w:rPr>
        <w:t>-</w:t>
      </w:r>
      <w:r w:rsidRPr="00461D74">
        <w:rPr>
          <w:rFonts w:ascii="Garamond" w:hAnsi="Garamond"/>
          <w:sz w:val="24"/>
          <w:szCs w:val="24"/>
        </w:rPr>
        <w:t>encompassing conception of purposiveness from th</w:t>
      </w:r>
      <w:r w:rsidR="003415A3">
        <w:rPr>
          <w:rFonts w:ascii="Garamond" w:hAnsi="Garamond"/>
          <w:sz w:val="24"/>
          <w:szCs w:val="24"/>
        </w:rPr>
        <w:t>os</w:t>
      </w:r>
      <w:r w:rsidRPr="00461D74">
        <w:rPr>
          <w:rFonts w:ascii="Garamond" w:hAnsi="Garamond"/>
          <w:sz w:val="24"/>
          <w:szCs w:val="24"/>
        </w:rPr>
        <w:t xml:space="preserve">e </w:t>
      </w:r>
      <w:r w:rsidR="003415A3">
        <w:rPr>
          <w:rFonts w:ascii="Garamond" w:hAnsi="Garamond"/>
          <w:sz w:val="24"/>
          <w:szCs w:val="24"/>
        </w:rPr>
        <w:t xml:space="preserve">particular </w:t>
      </w:r>
      <w:r w:rsidRPr="00461D74">
        <w:rPr>
          <w:rFonts w:ascii="Garamond" w:hAnsi="Garamond"/>
          <w:sz w:val="24"/>
          <w:szCs w:val="24"/>
        </w:rPr>
        <w:t>expression</w:t>
      </w:r>
      <w:r w:rsidR="003415A3">
        <w:rPr>
          <w:rFonts w:ascii="Garamond" w:hAnsi="Garamond"/>
          <w:sz w:val="24"/>
          <w:szCs w:val="24"/>
        </w:rPr>
        <w:t>s</w:t>
      </w:r>
      <w:r w:rsidRPr="00461D74">
        <w:rPr>
          <w:rFonts w:ascii="Garamond" w:hAnsi="Garamond"/>
          <w:sz w:val="24"/>
          <w:szCs w:val="24"/>
        </w:rPr>
        <w:t xml:space="preserve"> </w:t>
      </w:r>
      <w:r w:rsidR="003415A3">
        <w:rPr>
          <w:rFonts w:ascii="Garamond" w:hAnsi="Garamond"/>
          <w:sz w:val="24"/>
          <w:szCs w:val="24"/>
        </w:rPr>
        <w:t>(</w:t>
      </w:r>
      <w:r w:rsidRPr="00461D74">
        <w:rPr>
          <w:rFonts w:ascii="Garamond" w:hAnsi="Garamond"/>
          <w:sz w:val="24"/>
          <w:szCs w:val="24"/>
        </w:rPr>
        <w:t>of genes in individual members of a species</w:t>
      </w:r>
      <w:r w:rsidR="00670D9F">
        <w:rPr>
          <w:rFonts w:ascii="Garamond" w:hAnsi="Garamond"/>
          <w:sz w:val="24"/>
          <w:szCs w:val="24"/>
        </w:rPr>
        <w:t>)</w:t>
      </w:r>
      <w:r w:rsidRPr="00461D74">
        <w:rPr>
          <w:rFonts w:ascii="Garamond" w:hAnsi="Garamond"/>
          <w:sz w:val="24"/>
          <w:szCs w:val="24"/>
        </w:rPr>
        <w:t xml:space="preserve"> that </w:t>
      </w:r>
      <w:r w:rsidR="003415A3">
        <w:rPr>
          <w:rFonts w:ascii="Garamond" w:hAnsi="Garamond"/>
          <w:sz w:val="24"/>
          <w:szCs w:val="24"/>
        </w:rPr>
        <w:t xml:space="preserve">purely by chance, </w:t>
      </w:r>
      <w:r w:rsidRPr="00461D74">
        <w:rPr>
          <w:rFonts w:ascii="Garamond" w:hAnsi="Garamond"/>
          <w:sz w:val="24"/>
          <w:szCs w:val="24"/>
        </w:rPr>
        <w:t xml:space="preserve">happen </w:t>
      </w:r>
      <w:r w:rsidR="003415A3">
        <w:rPr>
          <w:rFonts w:ascii="Garamond" w:hAnsi="Garamond"/>
          <w:sz w:val="24"/>
          <w:szCs w:val="24"/>
        </w:rPr>
        <w:t>to be</w:t>
      </w:r>
      <w:r w:rsidRPr="00461D74">
        <w:rPr>
          <w:rFonts w:ascii="Garamond" w:hAnsi="Garamond"/>
          <w:sz w:val="24"/>
          <w:szCs w:val="24"/>
        </w:rPr>
        <w:t xml:space="preserve"> less useful in that struggle.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Therefore, we can’t inquire by reason alone into the ultimate nature or essence of species</w:t>
      </w:r>
      <w:r w:rsidR="005F034E" w:rsidRPr="00461D74">
        <w:rPr>
          <w:rFonts w:ascii="Garamond" w:hAnsi="Garamond"/>
          <w:sz w:val="24"/>
          <w:szCs w:val="24"/>
        </w:rPr>
        <w:t>,</w:t>
      </w:r>
      <w:r w:rsidRPr="00461D74">
        <w:rPr>
          <w:rFonts w:ascii="Garamond" w:hAnsi="Garamond"/>
          <w:sz w:val="24"/>
          <w:szCs w:val="24"/>
        </w:rPr>
        <w:t xml:space="preserve"> partly because science has showed that </w:t>
      </w:r>
      <w:r w:rsidR="00375635">
        <w:rPr>
          <w:rFonts w:ascii="Garamond" w:hAnsi="Garamond"/>
          <w:sz w:val="24"/>
          <w:szCs w:val="24"/>
        </w:rPr>
        <w:t xml:space="preserve">that </w:t>
      </w:r>
      <w:r w:rsidRPr="00461D74">
        <w:rPr>
          <w:rFonts w:ascii="Garamond" w:hAnsi="Garamond"/>
          <w:sz w:val="24"/>
          <w:szCs w:val="24"/>
        </w:rPr>
        <w:t xml:space="preserve">sort of reasoning is faulty, and after Darwin, the older static conception of species is no longer tenable </w:t>
      </w:r>
      <w:r w:rsidR="00375635">
        <w:rPr>
          <w:rFonts w:ascii="Garamond" w:hAnsi="Garamond"/>
          <w:sz w:val="24"/>
          <w:szCs w:val="24"/>
        </w:rPr>
        <w:t>owing to the fact that</w:t>
      </w:r>
      <w:r w:rsidR="00375635" w:rsidRPr="00461D74">
        <w:rPr>
          <w:rFonts w:ascii="Garamond" w:hAnsi="Garamond"/>
          <w:sz w:val="24"/>
          <w:szCs w:val="24"/>
        </w:rPr>
        <w:t xml:space="preserve"> </w:t>
      </w:r>
      <w:r w:rsidRPr="00461D74">
        <w:rPr>
          <w:rFonts w:ascii="Garamond" w:hAnsi="Garamond"/>
          <w:sz w:val="24"/>
          <w:szCs w:val="24"/>
        </w:rPr>
        <w:t xml:space="preserve">species evolve – they are historical. Consequently the idea of inquiry into a final static nature doesn’t make sense in an historical universe. Second, in an historical </w:t>
      </w:r>
      <w:r w:rsidR="00375635">
        <w:rPr>
          <w:rFonts w:ascii="Garamond" w:hAnsi="Garamond"/>
          <w:sz w:val="24"/>
          <w:szCs w:val="24"/>
        </w:rPr>
        <w:t xml:space="preserve">stochastic </w:t>
      </w:r>
      <w:r w:rsidRPr="00461D74">
        <w:rPr>
          <w:rFonts w:ascii="Garamond" w:hAnsi="Garamond"/>
          <w:sz w:val="24"/>
          <w:szCs w:val="24"/>
        </w:rPr>
        <w:t xml:space="preserve">universe where chance and probability to some degree condition all outcomes, the whole idea of a necessary purposiveness in the generation and development of all things is implausible. Recall that MacIntyre’s account needs teleological explanations to be able to make </w:t>
      </w:r>
      <w:r w:rsidR="00CD516F">
        <w:rPr>
          <w:rFonts w:ascii="Garamond" w:hAnsi="Garamond"/>
          <w:sz w:val="24"/>
          <w:szCs w:val="24"/>
        </w:rPr>
        <w:t xml:space="preserve">the sort of </w:t>
      </w:r>
      <w:r w:rsidRPr="00461D74">
        <w:rPr>
          <w:rFonts w:ascii="Garamond" w:hAnsi="Garamond"/>
          <w:sz w:val="24"/>
          <w:szCs w:val="24"/>
        </w:rPr>
        <w:t>functional claims, in which we derive ‘ought’ conclusions from ‘is’ premises; so, for example, ‘If X has Y nature it ought to Z</w:t>
      </w:r>
      <w:r w:rsidR="006A476F">
        <w:rPr>
          <w:rFonts w:ascii="Garamond" w:hAnsi="Garamond"/>
          <w:sz w:val="24"/>
          <w:szCs w:val="24"/>
        </w:rPr>
        <w:t>,</w:t>
      </w:r>
      <w:r w:rsidRPr="00461D74">
        <w:rPr>
          <w:rFonts w:ascii="Garamond" w:hAnsi="Garamond"/>
          <w:sz w:val="24"/>
          <w:szCs w:val="24"/>
        </w:rPr>
        <w:t>’ or ‘Because X is Y sort of creature, it ought to adopt Z way of life</w:t>
      </w:r>
      <w:r w:rsidR="006A476F">
        <w:rPr>
          <w:rFonts w:ascii="Garamond" w:hAnsi="Garamond"/>
          <w:sz w:val="24"/>
          <w:szCs w:val="24"/>
        </w:rPr>
        <w:t>.</w:t>
      </w:r>
      <w:r w:rsidRPr="00461D74">
        <w:rPr>
          <w:rFonts w:ascii="Garamond" w:hAnsi="Garamond"/>
          <w:sz w:val="24"/>
          <w:szCs w:val="24"/>
        </w:rPr>
        <w:t xml:space="preserve">’ Nonetheless, </w:t>
      </w:r>
      <w:r w:rsidR="0097329A">
        <w:rPr>
          <w:rFonts w:ascii="Garamond" w:hAnsi="Garamond"/>
          <w:sz w:val="24"/>
          <w:szCs w:val="24"/>
        </w:rPr>
        <w:t xml:space="preserve">an implication of Darwinian evolutionary theory is </w:t>
      </w:r>
      <w:r w:rsidRPr="00461D74">
        <w:rPr>
          <w:rFonts w:ascii="Garamond" w:hAnsi="Garamond"/>
          <w:sz w:val="24"/>
          <w:szCs w:val="24"/>
        </w:rPr>
        <w:t>that we can’t identify the real (final/ideal) nature of human beings, in part because the various adaptations we have thus far accumulated as a biological species</w:t>
      </w:r>
      <w:r w:rsidR="001370C6">
        <w:rPr>
          <w:rFonts w:ascii="Garamond" w:hAnsi="Garamond"/>
          <w:sz w:val="24"/>
          <w:szCs w:val="24"/>
        </w:rPr>
        <w:t>,</w:t>
      </w:r>
      <w:r w:rsidRPr="00461D74">
        <w:rPr>
          <w:rFonts w:ascii="Garamond" w:hAnsi="Garamond"/>
          <w:sz w:val="24"/>
          <w:szCs w:val="24"/>
        </w:rPr>
        <w:t xml:space="preserve"> are the result of a long drawn out process of variations</w:t>
      </w:r>
      <w:r w:rsidR="006B08BE">
        <w:rPr>
          <w:rFonts w:ascii="Garamond" w:hAnsi="Garamond"/>
          <w:sz w:val="24"/>
          <w:szCs w:val="24"/>
        </w:rPr>
        <w:t>,</w:t>
      </w:r>
      <w:r w:rsidRPr="00461D74">
        <w:rPr>
          <w:rFonts w:ascii="Garamond" w:hAnsi="Garamond"/>
          <w:sz w:val="24"/>
          <w:szCs w:val="24"/>
        </w:rPr>
        <w:t xml:space="preserve"> and the elimination of some of </w:t>
      </w:r>
      <w:r w:rsidR="00202700">
        <w:rPr>
          <w:rFonts w:ascii="Garamond" w:hAnsi="Garamond"/>
          <w:sz w:val="24"/>
          <w:szCs w:val="24"/>
        </w:rPr>
        <w:t>the less useful instances</w:t>
      </w:r>
      <w:r w:rsidRPr="00461D74">
        <w:rPr>
          <w:rFonts w:ascii="Garamond" w:hAnsi="Garamond"/>
          <w:sz w:val="24"/>
          <w:szCs w:val="24"/>
        </w:rPr>
        <w:t xml:space="preserve"> in the struggle for survival against contingent material conditions.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It would appear that we have thus far strengthened the </w:t>
      </w:r>
      <w:proofErr w:type="spellStart"/>
      <w:r w:rsidRPr="00461D74">
        <w:rPr>
          <w:rFonts w:ascii="Garamond" w:hAnsi="Garamond"/>
          <w:sz w:val="24"/>
          <w:szCs w:val="24"/>
        </w:rPr>
        <w:t>Humean</w:t>
      </w:r>
      <w:proofErr w:type="spellEnd"/>
      <w:r w:rsidRPr="00461D74">
        <w:rPr>
          <w:rFonts w:ascii="Garamond" w:hAnsi="Garamond"/>
          <w:sz w:val="24"/>
          <w:szCs w:val="24"/>
        </w:rPr>
        <w:t xml:space="preserve"> injunction against moving from any ‘is’ premises to ‘ought’ conclusions, and as a consequence further undermined the possibility of a</w:t>
      </w:r>
      <w:r w:rsidR="001370C6">
        <w:rPr>
          <w:rFonts w:ascii="Garamond" w:hAnsi="Garamond"/>
          <w:sz w:val="24"/>
          <w:szCs w:val="24"/>
        </w:rPr>
        <w:t>ny</w:t>
      </w:r>
      <w:r w:rsidRPr="00461D74">
        <w:rPr>
          <w:rFonts w:ascii="Garamond" w:hAnsi="Garamond"/>
          <w:sz w:val="24"/>
          <w:szCs w:val="24"/>
        </w:rPr>
        <w:t xml:space="preserve"> teleology. </w:t>
      </w:r>
      <w:r w:rsidR="001370C6">
        <w:rPr>
          <w:rFonts w:ascii="Garamond" w:hAnsi="Garamond"/>
          <w:sz w:val="24"/>
          <w:szCs w:val="24"/>
        </w:rPr>
        <w:t>Having said that</w:t>
      </w:r>
      <w:r w:rsidRPr="00461D74">
        <w:rPr>
          <w:rFonts w:ascii="Garamond" w:hAnsi="Garamond"/>
          <w:sz w:val="24"/>
          <w:szCs w:val="24"/>
        </w:rPr>
        <w:t xml:space="preserve">, if Aristotelian teleology appears to be untenable, what sort of conditions must our </w:t>
      </w:r>
      <w:r w:rsidR="001370C6">
        <w:rPr>
          <w:rFonts w:ascii="Garamond" w:hAnsi="Garamond"/>
          <w:sz w:val="24"/>
          <w:szCs w:val="24"/>
        </w:rPr>
        <w:lastRenderedPageBreak/>
        <w:t>revised formulation</w:t>
      </w:r>
      <w:r w:rsidRPr="00461D74">
        <w:rPr>
          <w:rFonts w:ascii="Garamond" w:hAnsi="Garamond"/>
          <w:sz w:val="24"/>
          <w:szCs w:val="24"/>
        </w:rPr>
        <w:t xml:space="preserve"> meet so that it can address the above objections, and still be meaningfully understood as a kind of teleology? </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At this point, it is </w:t>
      </w:r>
      <w:r w:rsidR="001370C6">
        <w:rPr>
          <w:rFonts w:ascii="Garamond" w:hAnsi="Garamond"/>
          <w:sz w:val="24"/>
          <w:szCs w:val="24"/>
        </w:rPr>
        <w:t>instructive t</w:t>
      </w:r>
      <w:r w:rsidR="00A16EE9">
        <w:rPr>
          <w:rFonts w:ascii="Garamond" w:hAnsi="Garamond"/>
          <w:sz w:val="24"/>
          <w:szCs w:val="24"/>
        </w:rPr>
        <w:t>o</w:t>
      </w:r>
      <w:r w:rsidR="001370C6">
        <w:rPr>
          <w:rFonts w:ascii="Garamond" w:hAnsi="Garamond"/>
          <w:sz w:val="24"/>
          <w:szCs w:val="24"/>
        </w:rPr>
        <w:t xml:space="preserve"> </w:t>
      </w:r>
      <w:r w:rsidRPr="00461D74">
        <w:rPr>
          <w:rFonts w:ascii="Garamond" w:hAnsi="Garamond"/>
          <w:sz w:val="24"/>
          <w:szCs w:val="24"/>
        </w:rPr>
        <w:t xml:space="preserve">turn to Dewey, </w:t>
      </w:r>
      <w:r w:rsidR="00A16EE9">
        <w:rPr>
          <w:rFonts w:ascii="Garamond" w:hAnsi="Garamond"/>
          <w:sz w:val="24"/>
          <w:szCs w:val="24"/>
        </w:rPr>
        <w:t>for the follow reason:</w:t>
      </w:r>
      <w:r w:rsidR="001370C6">
        <w:rPr>
          <w:rFonts w:ascii="Garamond" w:hAnsi="Garamond"/>
          <w:sz w:val="24"/>
          <w:szCs w:val="24"/>
        </w:rPr>
        <w:t xml:space="preserve"> while he</w:t>
      </w:r>
      <w:r w:rsidRPr="00461D74">
        <w:rPr>
          <w:rFonts w:ascii="Garamond" w:hAnsi="Garamond"/>
          <w:sz w:val="24"/>
          <w:szCs w:val="24"/>
        </w:rPr>
        <w:t xml:space="preserve"> takes Darwin’s impact very seriously, </w:t>
      </w:r>
      <w:r w:rsidR="001370C6">
        <w:rPr>
          <w:rFonts w:ascii="Garamond" w:hAnsi="Garamond"/>
          <w:sz w:val="24"/>
          <w:szCs w:val="24"/>
        </w:rPr>
        <w:t xml:space="preserve">Dewey </w:t>
      </w:r>
      <w:r w:rsidRPr="00461D74">
        <w:rPr>
          <w:rFonts w:ascii="Garamond" w:hAnsi="Garamond"/>
          <w:sz w:val="24"/>
          <w:szCs w:val="24"/>
        </w:rPr>
        <w:t xml:space="preserve">does not </w:t>
      </w:r>
      <w:r w:rsidR="001370C6">
        <w:rPr>
          <w:rFonts w:ascii="Garamond" w:hAnsi="Garamond"/>
          <w:sz w:val="24"/>
          <w:szCs w:val="24"/>
        </w:rPr>
        <w:t xml:space="preserve">end up </w:t>
      </w:r>
      <w:r w:rsidRPr="00461D74">
        <w:rPr>
          <w:rFonts w:ascii="Garamond" w:hAnsi="Garamond"/>
          <w:sz w:val="24"/>
          <w:szCs w:val="24"/>
        </w:rPr>
        <w:t>throw</w:t>
      </w:r>
      <w:r w:rsidR="001370C6">
        <w:rPr>
          <w:rFonts w:ascii="Garamond" w:hAnsi="Garamond"/>
          <w:sz w:val="24"/>
          <w:szCs w:val="24"/>
        </w:rPr>
        <w:t>ing</w:t>
      </w:r>
      <w:r w:rsidRPr="00461D74">
        <w:rPr>
          <w:rFonts w:ascii="Garamond" w:hAnsi="Garamond"/>
          <w:sz w:val="24"/>
          <w:szCs w:val="24"/>
        </w:rPr>
        <w:t xml:space="preserve"> his lot </w:t>
      </w:r>
      <w:r w:rsidR="005F034E" w:rsidRPr="00461D74">
        <w:rPr>
          <w:rFonts w:ascii="Garamond" w:hAnsi="Garamond"/>
          <w:sz w:val="24"/>
          <w:szCs w:val="24"/>
        </w:rPr>
        <w:t xml:space="preserve">in </w:t>
      </w:r>
      <w:r w:rsidR="00A16EE9">
        <w:rPr>
          <w:rFonts w:ascii="Garamond" w:hAnsi="Garamond"/>
          <w:sz w:val="24"/>
          <w:szCs w:val="24"/>
        </w:rPr>
        <w:t xml:space="preserve">with </w:t>
      </w:r>
      <w:r w:rsidRPr="00461D74">
        <w:rPr>
          <w:rFonts w:ascii="Garamond" w:hAnsi="Garamond"/>
          <w:sz w:val="24"/>
          <w:szCs w:val="24"/>
        </w:rPr>
        <w:t xml:space="preserve">the </w:t>
      </w:r>
      <w:proofErr w:type="spellStart"/>
      <w:r w:rsidRPr="00461D74">
        <w:rPr>
          <w:rFonts w:ascii="Garamond" w:hAnsi="Garamond"/>
          <w:sz w:val="24"/>
          <w:szCs w:val="24"/>
        </w:rPr>
        <w:t>emotivist</w:t>
      </w:r>
      <w:r w:rsidR="00A16EE9">
        <w:rPr>
          <w:rFonts w:ascii="Garamond" w:hAnsi="Garamond"/>
          <w:sz w:val="24"/>
          <w:szCs w:val="24"/>
        </w:rPr>
        <w:t>s</w:t>
      </w:r>
      <w:proofErr w:type="spellEnd"/>
      <w:r w:rsidR="006960C1">
        <w:rPr>
          <w:rFonts w:ascii="Garamond" w:hAnsi="Garamond"/>
          <w:sz w:val="24"/>
          <w:szCs w:val="24"/>
        </w:rPr>
        <w:t>; consequently</w:t>
      </w:r>
      <w:r w:rsidR="00A16EE9">
        <w:rPr>
          <w:rFonts w:ascii="Garamond" w:hAnsi="Garamond"/>
          <w:sz w:val="24"/>
          <w:szCs w:val="24"/>
        </w:rPr>
        <w:t>,</w:t>
      </w:r>
      <w:r w:rsidR="006960C1">
        <w:rPr>
          <w:rFonts w:ascii="Garamond" w:hAnsi="Garamond"/>
          <w:sz w:val="24"/>
          <w:szCs w:val="24"/>
        </w:rPr>
        <w:t xml:space="preserve"> he does not </w:t>
      </w:r>
      <w:r w:rsidRPr="00461D74">
        <w:rPr>
          <w:rFonts w:ascii="Garamond" w:hAnsi="Garamond"/>
          <w:sz w:val="24"/>
          <w:szCs w:val="24"/>
        </w:rPr>
        <w:t xml:space="preserve">reject the possibility that we can </w:t>
      </w:r>
      <w:r w:rsidR="006960C1">
        <w:rPr>
          <w:rFonts w:ascii="Garamond" w:hAnsi="Garamond"/>
          <w:sz w:val="24"/>
          <w:szCs w:val="24"/>
        </w:rPr>
        <w:t xml:space="preserve">perhaps </w:t>
      </w:r>
      <w:r w:rsidRPr="00461D74">
        <w:rPr>
          <w:rFonts w:ascii="Garamond" w:hAnsi="Garamond"/>
          <w:sz w:val="24"/>
          <w:szCs w:val="24"/>
        </w:rPr>
        <w:t xml:space="preserve">identify and describe normative phenomena in </w:t>
      </w:r>
      <w:r w:rsidR="006960C1">
        <w:rPr>
          <w:rFonts w:ascii="Garamond" w:hAnsi="Garamond"/>
          <w:sz w:val="24"/>
          <w:szCs w:val="24"/>
        </w:rPr>
        <w:t>some</w:t>
      </w:r>
      <w:r w:rsidR="006960C1" w:rsidRPr="00461D74">
        <w:rPr>
          <w:rFonts w:ascii="Garamond" w:hAnsi="Garamond"/>
          <w:sz w:val="24"/>
          <w:szCs w:val="24"/>
        </w:rPr>
        <w:t xml:space="preserve"> </w:t>
      </w:r>
      <w:r w:rsidRPr="00461D74">
        <w:rPr>
          <w:rFonts w:ascii="Garamond" w:hAnsi="Garamond"/>
          <w:sz w:val="24"/>
          <w:szCs w:val="24"/>
        </w:rPr>
        <w:t xml:space="preserve">objective sense. </w:t>
      </w:r>
      <w:r w:rsidR="006960C1">
        <w:rPr>
          <w:rFonts w:ascii="Garamond" w:hAnsi="Garamond"/>
          <w:sz w:val="24"/>
          <w:szCs w:val="24"/>
        </w:rPr>
        <w:t>It is r</w:t>
      </w:r>
      <w:r w:rsidRPr="00461D74">
        <w:rPr>
          <w:rFonts w:ascii="Garamond" w:hAnsi="Garamond"/>
          <w:sz w:val="24"/>
          <w:szCs w:val="24"/>
        </w:rPr>
        <w:t>ather</w:t>
      </w:r>
      <w:r w:rsidR="006960C1">
        <w:rPr>
          <w:rFonts w:ascii="Garamond" w:hAnsi="Garamond"/>
          <w:sz w:val="24"/>
          <w:szCs w:val="24"/>
        </w:rPr>
        <w:t xml:space="preserve"> that</w:t>
      </w:r>
      <w:r w:rsidR="006960C1" w:rsidRPr="00461D74">
        <w:rPr>
          <w:rFonts w:ascii="Garamond" w:hAnsi="Garamond"/>
          <w:sz w:val="24"/>
          <w:szCs w:val="24"/>
        </w:rPr>
        <w:t xml:space="preserve"> </w:t>
      </w:r>
      <w:r w:rsidR="006960C1">
        <w:rPr>
          <w:rFonts w:ascii="Garamond" w:hAnsi="Garamond"/>
          <w:sz w:val="24"/>
          <w:szCs w:val="24"/>
        </w:rPr>
        <w:t>Dewey</w:t>
      </w:r>
      <w:r w:rsidR="006960C1" w:rsidRPr="00461D74">
        <w:rPr>
          <w:rFonts w:ascii="Garamond" w:hAnsi="Garamond"/>
          <w:sz w:val="24"/>
          <w:szCs w:val="24"/>
        </w:rPr>
        <w:t xml:space="preserve"> </w:t>
      </w:r>
      <w:r w:rsidRPr="00461D74">
        <w:rPr>
          <w:rFonts w:ascii="Garamond" w:hAnsi="Garamond"/>
          <w:sz w:val="24"/>
          <w:szCs w:val="24"/>
        </w:rPr>
        <w:t xml:space="preserve">discusses Darwin </w:t>
      </w:r>
      <w:r w:rsidR="006960C1">
        <w:rPr>
          <w:rFonts w:ascii="Garamond" w:hAnsi="Garamond"/>
          <w:sz w:val="24"/>
          <w:szCs w:val="24"/>
        </w:rPr>
        <w:t xml:space="preserve">in order to articulate the following claim: </w:t>
      </w:r>
      <w:r w:rsidRPr="00461D74">
        <w:rPr>
          <w:rFonts w:ascii="Garamond" w:hAnsi="Garamond"/>
          <w:sz w:val="24"/>
          <w:szCs w:val="24"/>
        </w:rPr>
        <w:t xml:space="preserve">that while philosophy should not concern itself with inquiring into ultimate values, final nature/essence, or final purpose, it should </w:t>
      </w:r>
      <w:r w:rsidR="00E66EF7">
        <w:rPr>
          <w:rFonts w:ascii="Garamond" w:hAnsi="Garamond"/>
          <w:sz w:val="24"/>
          <w:szCs w:val="24"/>
        </w:rPr>
        <w:t xml:space="preserve">instead </w:t>
      </w:r>
      <w:r w:rsidRPr="00461D74">
        <w:rPr>
          <w:rFonts w:ascii="Garamond" w:hAnsi="Garamond"/>
          <w:sz w:val="24"/>
          <w:szCs w:val="24"/>
        </w:rPr>
        <w:t xml:space="preserve">reorganise itself as a discipline </w:t>
      </w:r>
      <w:r w:rsidR="00E66EF7">
        <w:rPr>
          <w:rFonts w:ascii="Garamond" w:hAnsi="Garamond"/>
          <w:sz w:val="24"/>
          <w:szCs w:val="24"/>
        </w:rPr>
        <w:t>trying to</w:t>
      </w:r>
      <w:r w:rsidRPr="00461D74">
        <w:rPr>
          <w:rFonts w:ascii="Garamond" w:hAnsi="Garamond"/>
          <w:sz w:val="24"/>
          <w:szCs w:val="24"/>
        </w:rPr>
        <w:t xml:space="preserve"> answer questions concerning specific values and particular natures as they are found under concrete historical conditions.</w:t>
      </w:r>
      <w:r w:rsidR="00724F80">
        <w:rPr>
          <w:rStyle w:val="FootnoteReference"/>
          <w:rFonts w:ascii="Garamond" w:hAnsi="Garamond"/>
          <w:sz w:val="24"/>
          <w:szCs w:val="24"/>
        </w:rPr>
        <w:footnoteReference w:id="220"/>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Thus, Dewey argues that an historical universe le</w:t>
      </w:r>
      <w:r w:rsidR="005F034E" w:rsidRPr="00461D74">
        <w:rPr>
          <w:rFonts w:ascii="Garamond" w:hAnsi="Garamond"/>
          <w:sz w:val="24"/>
          <w:szCs w:val="24"/>
        </w:rPr>
        <w:t>a</w:t>
      </w:r>
      <w:r w:rsidRPr="00461D74">
        <w:rPr>
          <w:rFonts w:ascii="Garamond" w:hAnsi="Garamond"/>
          <w:sz w:val="24"/>
          <w:szCs w:val="24"/>
        </w:rPr>
        <w:t xml:space="preserve">ds us to ask different kinds of questions. For Dewey, we can’t inquire into the eternal nature of things, but we can inquire into </w:t>
      </w:r>
      <w:r w:rsidR="005F034E" w:rsidRPr="00461D74">
        <w:rPr>
          <w:rFonts w:ascii="Garamond" w:hAnsi="Garamond"/>
          <w:sz w:val="24"/>
          <w:szCs w:val="24"/>
        </w:rPr>
        <w:t xml:space="preserve">the </w:t>
      </w:r>
      <w:r w:rsidRPr="00461D74">
        <w:rPr>
          <w:rFonts w:ascii="Garamond" w:hAnsi="Garamond"/>
          <w:sz w:val="24"/>
          <w:szCs w:val="24"/>
        </w:rPr>
        <w:t xml:space="preserve">historical concrete nature of particular phenomenon – that is, we can inquire into the </w:t>
      </w:r>
      <w:r w:rsidR="003C0358">
        <w:rPr>
          <w:rFonts w:ascii="Garamond" w:hAnsi="Garamond"/>
          <w:sz w:val="24"/>
          <w:szCs w:val="24"/>
        </w:rPr>
        <w:t>specific</w:t>
      </w:r>
      <w:r w:rsidR="003C0358" w:rsidRPr="00461D74">
        <w:rPr>
          <w:rFonts w:ascii="Garamond" w:hAnsi="Garamond"/>
          <w:sz w:val="24"/>
          <w:szCs w:val="24"/>
        </w:rPr>
        <w:t xml:space="preserve"> </w:t>
      </w:r>
      <w:r w:rsidRPr="00461D74">
        <w:rPr>
          <w:rFonts w:ascii="Garamond" w:hAnsi="Garamond"/>
          <w:sz w:val="24"/>
          <w:szCs w:val="24"/>
        </w:rPr>
        <w:t xml:space="preserve">conditions that </w:t>
      </w:r>
      <w:r w:rsidR="003C0358">
        <w:rPr>
          <w:rFonts w:ascii="Garamond" w:hAnsi="Garamond"/>
          <w:sz w:val="24"/>
          <w:szCs w:val="24"/>
        </w:rPr>
        <w:t>spawn</w:t>
      </w:r>
      <w:r w:rsidR="003C0358" w:rsidRPr="00461D74">
        <w:rPr>
          <w:rFonts w:ascii="Garamond" w:hAnsi="Garamond"/>
          <w:sz w:val="24"/>
          <w:szCs w:val="24"/>
        </w:rPr>
        <w:t xml:space="preserve"> </w:t>
      </w:r>
      <w:r w:rsidR="003C0358">
        <w:rPr>
          <w:rFonts w:ascii="Garamond" w:hAnsi="Garamond"/>
          <w:sz w:val="24"/>
          <w:szCs w:val="24"/>
        </w:rPr>
        <w:t>some particular</w:t>
      </w:r>
      <w:r w:rsidR="003C0358" w:rsidRPr="00461D74">
        <w:rPr>
          <w:rFonts w:ascii="Garamond" w:hAnsi="Garamond"/>
          <w:sz w:val="24"/>
          <w:szCs w:val="24"/>
        </w:rPr>
        <w:t xml:space="preserve"> </w:t>
      </w:r>
      <w:r w:rsidRPr="00461D74">
        <w:rPr>
          <w:rFonts w:ascii="Garamond" w:hAnsi="Garamond"/>
          <w:sz w:val="24"/>
          <w:szCs w:val="24"/>
        </w:rPr>
        <w:t xml:space="preserve">phenomenon and </w:t>
      </w:r>
      <w:r w:rsidR="003C0358">
        <w:rPr>
          <w:rFonts w:ascii="Garamond" w:hAnsi="Garamond"/>
          <w:sz w:val="24"/>
          <w:szCs w:val="24"/>
        </w:rPr>
        <w:t xml:space="preserve">study </w:t>
      </w:r>
      <w:r w:rsidRPr="00461D74">
        <w:rPr>
          <w:rFonts w:ascii="Garamond" w:hAnsi="Garamond"/>
          <w:sz w:val="24"/>
          <w:szCs w:val="24"/>
        </w:rPr>
        <w:t xml:space="preserve">the consequences that follow its </w:t>
      </w:r>
      <w:r w:rsidR="003C0358">
        <w:rPr>
          <w:rFonts w:ascii="Garamond" w:hAnsi="Garamond"/>
          <w:sz w:val="24"/>
          <w:szCs w:val="24"/>
        </w:rPr>
        <w:t>generation</w:t>
      </w:r>
      <w:r w:rsidRPr="00461D74">
        <w:rPr>
          <w:rFonts w:ascii="Garamond" w:hAnsi="Garamond"/>
          <w:sz w:val="24"/>
          <w:szCs w:val="24"/>
        </w:rPr>
        <w:t xml:space="preserve">. We can then intelligently administer the particular material conditions, </w:t>
      </w:r>
      <w:r w:rsidR="00A16EE9">
        <w:rPr>
          <w:rFonts w:ascii="Garamond" w:hAnsi="Garamond"/>
          <w:sz w:val="24"/>
          <w:szCs w:val="24"/>
        </w:rPr>
        <w:t xml:space="preserve">so </w:t>
      </w:r>
      <w:r w:rsidRPr="00461D74">
        <w:rPr>
          <w:rFonts w:ascii="Garamond" w:hAnsi="Garamond"/>
          <w:sz w:val="24"/>
          <w:szCs w:val="24"/>
        </w:rPr>
        <w:t xml:space="preserve">as to incrementally generate better outcomes. We can speak in terms of realising increments of justice, freedom, equality, prosperity, and improvement in material conditions. Finally, in an historical universe the question of ultimate purpose doesn’t make sense. We don’t need an ultimate purpose to make sense of </w:t>
      </w:r>
      <w:r w:rsidR="003C0358">
        <w:rPr>
          <w:rFonts w:ascii="Garamond" w:hAnsi="Garamond"/>
          <w:sz w:val="24"/>
          <w:szCs w:val="24"/>
        </w:rPr>
        <w:t xml:space="preserve">the constitutive features of </w:t>
      </w:r>
      <w:r w:rsidRPr="00461D74">
        <w:rPr>
          <w:rFonts w:ascii="Garamond" w:hAnsi="Garamond"/>
          <w:sz w:val="24"/>
          <w:szCs w:val="24"/>
        </w:rPr>
        <w:t xml:space="preserve">our social world, and make improvements upon it. On this revised teleology, our purpose isn’t transcendent; the purpose is </w:t>
      </w:r>
      <w:r w:rsidR="00F77D53">
        <w:rPr>
          <w:rFonts w:ascii="Garamond" w:hAnsi="Garamond"/>
          <w:sz w:val="24"/>
          <w:szCs w:val="24"/>
        </w:rPr>
        <w:t xml:space="preserve">then </w:t>
      </w:r>
      <w:r w:rsidRPr="00461D74">
        <w:rPr>
          <w:rFonts w:ascii="Garamond" w:hAnsi="Garamond"/>
          <w:sz w:val="24"/>
          <w:szCs w:val="24"/>
        </w:rPr>
        <w:t xml:space="preserve">nothing more than the democratic intelligent administration of inquiry, geared towards realising increments of better outcomes that improve actual concrete conditions. Dewey indentifies this process – </w:t>
      </w:r>
      <w:r w:rsidR="00E23170">
        <w:rPr>
          <w:rFonts w:ascii="Garamond" w:hAnsi="Garamond"/>
          <w:sz w:val="24"/>
          <w:szCs w:val="24"/>
        </w:rPr>
        <w:t xml:space="preserve">which </w:t>
      </w:r>
      <w:r w:rsidRPr="00461D74">
        <w:rPr>
          <w:rFonts w:ascii="Garamond" w:hAnsi="Garamond"/>
          <w:sz w:val="24"/>
          <w:szCs w:val="24"/>
        </w:rPr>
        <w:t xml:space="preserve">we </w:t>
      </w:r>
      <w:r w:rsidR="00E23170">
        <w:rPr>
          <w:rFonts w:ascii="Garamond" w:hAnsi="Garamond"/>
          <w:sz w:val="24"/>
          <w:szCs w:val="24"/>
        </w:rPr>
        <w:t xml:space="preserve">can </w:t>
      </w:r>
      <w:r w:rsidRPr="00461D74">
        <w:rPr>
          <w:rFonts w:ascii="Garamond" w:hAnsi="Garamond"/>
          <w:sz w:val="24"/>
          <w:szCs w:val="24"/>
        </w:rPr>
        <w:t xml:space="preserve">define in terms of goal or purpose – as </w:t>
      </w:r>
      <w:r w:rsidR="00A16EE9">
        <w:rPr>
          <w:rFonts w:ascii="Garamond" w:hAnsi="Garamond"/>
          <w:i/>
          <w:sz w:val="24"/>
          <w:szCs w:val="24"/>
        </w:rPr>
        <w:t>g</w:t>
      </w:r>
      <w:r w:rsidRPr="00461D74">
        <w:rPr>
          <w:rFonts w:ascii="Garamond" w:hAnsi="Garamond"/>
          <w:i/>
          <w:sz w:val="24"/>
          <w:szCs w:val="24"/>
        </w:rPr>
        <w:t>rowth</w:t>
      </w:r>
      <w:r w:rsidRPr="00461D74">
        <w:rPr>
          <w:rFonts w:ascii="Garamond" w:hAnsi="Garamond"/>
          <w:sz w:val="24"/>
          <w:szCs w:val="24"/>
        </w:rPr>
        <w:t>.</w:t>
      </w:r>
    </w:p>
    <w:p w:rsidR="002D425D" w:rsidRPr="002D425D" w:rsidRDefault="002D425D" w:rsidP="002D425D">
      <w:pPr>
        <w:spacing w:line="360" w:lineRule="auto"/>
        <w:ind w:left="1440"/>
        <w:jc w:val="both"/>
        <w:rPr>
          <w:rFonts w:ascii="Garamond" w:hAnsi="Garamond"/>
        </w:rPr>
      </w:pPr>
      <w:r w:rsidRPr="002D425D">
        <w:rPr>
          <w:rFonts w:ascii="Garamond" w:hAnsi="Garamond"/>
        </w:rPr>
        <w:lastRenderedPageBreak/>
        <w:t>"Democracy has many meanings, but if it has a moral meaning, it is found in resolving that the supreme test of all political institutions and industrial arrangements shall be the contribution they make to the all-around growth of every member of society."</w:t>
      </w:r>
      <w:r w:rsidRPr="002D425D">
        <w:rPr>
          <w:rStyle w:val="FootnoteReference"/>
          <w:rFonts w:ascii="Garamond" w:hAnsi="Garamond"/>
        </w:rPr>
        <w:footnoteReference w:id="221"/>
      </w:r>
    </w:p>
    <w:p w:rsidR="00665157" w:rsidRDefault="00016049" w:rsidP="00757217">
      <w:pPr>
        <w:spacing w:line="360" w:lineRule="auto"/>
        <w:ind w:firstLine="720"/>
        <w:jc w:val="both"/>
        <w:rPr>
          <w:rFonts w:ascii="Garamond" w:hAnsi="Garamond"/>
          <w:sz w:val="24"/>
          <w:szCs w:val="24"/>
        </w:rPr>
      </w:pPr>
      <w:r w:rsidRPr="00461D74">
        <w:rPr>
          <w:rFonts w:ascii="Garamond" w:hAnsi="Garamond"/>
          <w:sz w:val="24"/>
          <w:szCs w:val="24"/>
        </w:rPr>
        <w:t xml:space="preserve">Therefore, Dewey’s account can be understood as a kind of </w:t>
      </w:r>
      <w:r w:rsidRPr="00461D74">
        <w:rPr>
          <w:rFonts w:ascii="Garamond" w:hAnsi="Garamond"/>
          <w:i/>
          <w:sz w:val="24"/>
          <w:szCs w:val="24"/>
        </w:rPr>
        <w:t>via media</w:t>
      </w:r>
      <w:r w:rsidRPr="00461D74">
        <w:rPr>
          <w:rFonts w:ascii="Garamond" w:hAnsi="Garamond"/>
          <w:sz w:val="24"/>
          <w:szCs w:val="24"/>
        </w:rPr>
        <w:t xml:space="preserve"> between traditional teleology and abandoning teleology altogether. </w:t>
      </w:r>
      <w:r w:rsidR="00EA7185">
        <w:rPr>
          <w:rFonts w:ascii="Garamond" w:hAnsi="Garamond"/>
          <w:sz w:val="24"/>
          <w:szCs w:val="24"/>
        </w:rPr>
        <w:t>On my view, if we follow</w:t>
      </w:r>
      <w:r w:rsidRPr="00461D74">
        <w:rPr>
          <w:rFonts w:ascii="Garamond" w:hAnsi="Garamond"/>
          <w:sz w:val="24"/>
          <w:szCs w:val="24"/>
        </w:rPr>
        <w:t xml:space="preserve"> Dewey</w:t>
      </w:r>
      <w:r w:rsidR="00EA7185">
        <w:rPr>
          <w:rFonts w:ascii="Garamond" w:hAnsi="Garamond"/>
          <w:sz w:val="24"/>
          <w:szCs w:val="24"/>
        </w:rPr>
        <w:t xml:space="preserve"> and grant his account of intelligent inquiry through participatory democratic means</w:t>
      </w:r>
      <w:r w:rsidRPr="00461D74">
        <w:rPr>
          <w:rFonts w:ascii="Garamond" w:hAnsi="Garamond"/>
          <w:sz w:val="24"/>
          <w:szCs w:val="24"/>
        </w:rPr>
        <w:t xml:space="preserve">, it </w:t>
      </w:r>
      <w:r w:rsidR="00EA7185">
        <w:rPr>
          <w:rFonts w:ascii="Garamond" w:hAnsi="Garamond"/>
          <w:sz w:val="24"/>
          <w:szCs w:val="24"/>
        </w:rPr>
        <w:t>seems that</w:t>
      </w:r>
      <w:r w:rsidRPr="00461D74">
        <w:rPr>
          <w:rFonts w:ascii="Garamond" w:hAnsi="Garamond"/>
          <w:sz w:val="24"/>
          <w:szCs w:val="24"/>
        </w:rPr>
        <w:t xml:space="preserve"> we can indeed advance from some ‘is’ premises to ‘ought’ conclusions. </w:t>
      </w:r>
      <w:r w:rsidR="00EA7185">
        <w:rPr>
          <w:rFonts w:ascii="Garamond" w:hAnsi="Garamond"/>
          <w:sz w:val="24"/>
          <w:szCs w:val="24"/>
        </w:rPr>
        <w:t>Now</w:t>
      </w:r>
      <w:r w:rsidRPr="00461D74">
        <w:rPr>
          <w:rFonts w:ascii="Garamond" w:hAnsi="Garamond"/>
          <w:sz w:val="24"/>
          <w:szCs w:val="24"/>
        </w:rPr>
        <w:t xml:space="preserve">, our ‘is’ premises and ‘ought’ conclusions are historical, fallible and subject to change as a result of further inquiry. </w:t>
      </w:r>
      <w:r w:rsidR="00EA7185">
        <w:rPr>
          <w:rFonts w:ascii="Garamond" w:hAnsi="Garamond"/>
          <w:sz w:val="24"/>
          <w:szCs w:val="24"/>
        </w:rPr>
        <w:t>Having said this</w:t>
      </w:r>
      <w:r w:rsidRPr="00461D74">
        <w:rPr>
          <w:rFonts w:ascii="Garamond" w:hAnsi="Garamond"/>
          <w:sz w:val="24"/>
          <w:szCs w:val="24"/>
        </w:rPr>
        <w:t xml:space="preserve">, if we are to understand Dewey’s account as </w:t>
      </w:r>
      <w:r w:rsidR="00EA7185">
        <w:rPr>
          <w:rFonts w:ascii="Garamond" w:hAnsi="Garamond"/>
          <w:sz w:val="24"/>
          <w:szCs w:val="24"/>
        </w:rPr>
        <w:t xml:space="preserve">affording us a framework for some sort </w:t>
      </w:r>
      <w:r w:rsidRPr="00461D74">
        <w:rPr>
          <w:rFonts w:ascii="Garamond" w:hAnsi="Garamond"/>
          <w:sz w:val="24"/>
          <w:szCs w:val="24"/>
        </w:rPr>
        <w:t>of</w:t>
      </w:r>
      <w:r w:rsidR="00EA7185">
        <w:rPr>
          <w:rFonts w:ascii="Garamond" w:hAnsi="Garamond"/>
          <w:sz w:val="24"/>
          <w:szCs w:val="24"/>
        </w:rPr>
        <w:t xml:space="preserve"> alternative</w:t>
      </w:r>
      <w:r w:rsidRPr="00461D74">
        <w:rPr>
          <w:rFonts w:ascii="Garamond" w:hAnsi="Garamond"/>
          <w:sz w:val="24"/>
          <w:szCs w:val="24"/>
        </w:rPr>
        <w:t xml:space="preserve"> teleology, it has to make some universal or necessary claims. </w:t>
      </w:r>
      <w:r w:rsidR="00757217">
        <w:rPr>
          <w:rFonts w:ascii="Garamond" w:hAnsi="Garamond"/>
          <w:sz w:val="24"/>
          <w:szCs w:val="24"/>
        </w:rPr>
        <w:t xml:space="preserve">In order to advance even a moderate teleological claim, it is not enough to simply infer values from facts; we need to also show that we can derive certain specific ‘ought’ claims, from particular ‘is’ claims. </w:t>
      </w:r>
      <w:r w:rsidRPr="00461D74">
        <w:rPr>
          <w:rFonts w:ascii="Garamond" w:hAnsi="Garamond"/>
          <w:sz w:val="24"/>
          <w:szCs w:val="24"/>
        </w:rPr>
        <w:t>So what are the necessary claims in Dewey’s teleology</w:t>
      </w:r>
      <w:r w:rsidR="00277297">
        <w:rPr>
          <w:rFonts w:ascii="Garamond" w:hAnsi="Garamond"/>
          <w:sz w:val="24"/>
          <w:szCs w:val="24"/>
        </w:rPr>
        <w:t>, or democracy as a way of life</w:t>
      </w:r>
      <w:r w:rsidRPr="00461D74">
        <w:rPr>
          <w:rFonts w:ascii="Garamond" w:hAnsi="Garamond"/>
          <w:sz w:val="24"/>
          <w:szCs w:val="24"/>
        </w:rPr>
        <w:t>?</w:t>
      </w:r>
    </w:p>
    <w:p w:rsidR="006D4DF0" w:rsidRDefault="00016049" w:rsidP="006D4DF0">
      <w:pPr>
        <w:spacing w:line="360" w:lineRule="auto"/>
        <w:ind w:firstLine="720"/>
        <w:jc w:val="both"/>
        <w:rPr>
          <w:rFonts w:ascii="Garamond" w:hAnsi="Garamond"/>
          <w:sz w:val="24"/>
          <w:szCs w:val="24"/>
          <w:lang w:val="en-US"/>
        </w:rPr>
      </w:pPr>
      <w:r w:rsidRPr="00461D74">
        <w:rPr>
          <w:rFonts w:ascii="Garamond" w:hAnsi="Garamond"/>
          <w:sz w:val="24"/>
          <w:szCs w:val="24"/>
        </w:rPr>
        <w:t xml:space="preserve">On my view, Dewey makes two such claims (these claims will become more apparent once we discuss Deweyan democracy later in this section). First, for Dewey, human beings are seen as inherently </w:t>
      </w:r>
      <w:r w:rsidRPr="00461D74">
        <w:rPr>
          <w:rFonts w:ascii="Garamond" w:hAnsi="Garamond"/>
          <w:i/>
          <w:sz w:val="24"/>
          <w:szCs w:val="24"/>
        </w:rPr>
        <w:t>social creatures</w:t>
      </w:r>
      <w:r w:rsidRPr="00461D74">
        <w:rPr>
          <w:rFonts w:ascii="Garamond" w:hAnsi="Garamond"/>
          <w:sz w:val="24"/>
          <w:szCs w:val="24"/>
        </w:rPr>
        <w:t xml:space="preserve">, and second, that human beings are </w:t>
      </w:r>
      <w:r w:rsidRPr="00461D74">
        <w:rPr>
          <w:rFonts w:ascii="Garamond" w:hAnsi="Garamond"/>
          <w:i/>
          <w:sz w:val="24"/>
          <w:szCs w:val="24"/>
        </w:rPr>
        <w:t>problem-solving animals</w:t>
      </w:r>
      <w:r w:rsidRPr="00461D74">
        <w:rPr>
          <w:rFonts w:ascii="Garamond" w:hAnsi="Garamond"/>
          <w:sz w:val="24"/>
          <w:szCs w:val="24"/>
        </w:rPr>
        <w:t xml:space="preserve">. </w:t>
      </w:r>
      <w:r w:rsidR="00F96BA5">
        <w:rPr>
          <w:rFonts w:ascii="Garamond" w:hAnsi="Garamond"/>
          <w:sz w:val="24"/>
          <w:szCs w:val="24"/>
        </w:rPr>
        <w:t>T</w:t>
      </w:r>
      <w:r w:rsidR="008F34A9">
        <w:rPr>
          <w:rFonts w:ascii="Garamond" w:hAnsi="Garamond"/>
          <w:sz w:val="24"/>
          <w:szCs w:val="24"/>
        </w:rPr>
        <w:t xml:space="preserve">hese are </w:t>
      </w:r>
      <w:r w:rsidR="00F96BA5">
        <w:rPr>
          <w:rFonts w:ascii="Garamond" w:hAnsi="Garamond"/>
          <w:sz w:val="24"/>
          <w:szCs w:val="24"/>
        </w:rPr>
        <w:t xml:space="preserve">then </w:t>
      </w:r>
      <w:r w:rsidR="008F34A9">
        <w:rPr>
          <w:rFonts w:ascii="Garamond" w:hAnsi="Garamond"/>
          <w:sz w:val="24"/>
          <w:szCs w:val="24"/>
        </w:rPr>
        <w:t>facts about the sort of creatures we are</w:t>
      </w:r>
      <w:r w:rsidR="00CF40D9">
        <w:rPr>
          <w:rFonts w:ascii="Garamond" w:hAnsi="Garamond"/>
          <w:sz w:val="24"/>
          <w:szCs w:val="24"/>
        </w:rPr>
        <w:t xml:space="preserve">. In addition, there are facts about our world – namely, that the world is historical and that conditions are liable to change. </w:t>
      </w:r>
      <w:r w:rsidR="008F4F93">
        <w:rPr>
          <w:rFonts w:ascii="Garamond" w:hAnsi="Garamond"/>
          <w:sz w:val="24"/>
          <w:szCs w:val="24"/>
        </w:rPr>
        <w:t>Hence</w:t>
      </w:r>
      <w:r w:rsidR="00CF40D9">
        <w:rPr>
          <w:rFonts w:ascii="Garamond" w:hAnsi="Garamond"/>
          <w:sz w:val="24"/>
          <w:szCs w:val="24"/>
        </w:rPr>
        <w:t xml:space="preserve">, in virtue of the fact that we are social creatures, have over the course of history developed impressive problem-solving capacities, </w:t>
      </w:r>
      <w:r w:rsidR="008F4F93">
        <w:rPr>
          <w:rFonts w:ascii="Garamond" w:hAnsi="Garamond"/>
          <w:sz w:val="24"/>
          <w:szCs w:val="24"/>
        </w:rPr>
        <w:t xml:space="preserve">and </w:t>
      </w:r>
      <w:r w:rsidR="00CF40D9">
        <w:rPr>
          <w:rFonts w:ascii="Garamond" w:hAnsi="Garamond"/>
          <w:sz w:val="24"/>
          <w:szCs w:val="24"/>
        </w:rPr>
        <w:t xml:space="preserve">encounter an historical world </w:t>
      </w:r>
      <w:r w:rsidR="008F4F93">
        <w:rPr>
          <w:rFonts w:ascii="Garamond" w:hAnsi="Garamond"/>
          <w:sz w:val="24"/>
          <w:szCs w:val="24"/>
        </w:rPr>
        <w:t xml:space="preserve">with changing material conditions, what conditions afford greater cooperation and problem-solving so that we can not only survive, but thrive and flourish in such a world? </w:t>
      </w:r>
      <w:r w:rsidR="00F96BA5">
        <w:rPr>
          <w:rFonts w:ascii="Garamond" w:hAnsi="Garamond"/>
          <w:sz w:val="24"/>
          <w:szCs w:val="24"/>
        </w:rPr>
        <w:t>I</w:t>
      </w:r>
      <w:r w:rsidR="00A134EE">
        <w:rPr>
          <w:rFonts w:ascii="Garamond" w:hAnsi="Garamond"/>
          <w:sz w:val="24"/>
          <w:szCs w:val="24"/>
        </w:rPr>
        <w:t xml:space="preserve">f </w:t>
      </w:r>
      <w:r w:rsidR="00A134EE">
        <w:rPr>
          <w:rFonts w:ascii="Garamond" w:hAnsi="Garamond"/>
          <w:sz w:val="24"/>
          <w:szCs w:val="24"/>
        </w:rPr>
        <w:lastRenderedPageBreak/>
        <w:t xml:space="preserve">we </w:t>
      </w:r>
      <w:r w:rsidR="00F96BA5">
        <w:rPr>
          <w:rFonts w:ascii="Garamond" w:hAnsi="Garamond"/>
          <w:sz w:val="24"/>
          <w:szCs w:val="24"/>
        </w:rPr>
        <w:t xml:space="preserve">then </w:t>
      </w:r>
      <w:r w:rsidR="00A134EE">
        <w:rPr>
          <w:rFonts w:ascii="Garamond" w:hAnsi="Garamond"/>
          <w:sz w:val="24"/>
          <w:szCs w:val="24"/>
        </w:rPr>
        <w:t>accept</w:t>
      </w:r>
      <w:r w:rsidRPr="00461D74">
        <w:rPr>
          <w:rFonts w:ascii="Garamond" w:hAnsi="Garamond"/>
          <w:sz w:val="24"/>
          <w:szCs w:val="24"/>
        </w:rPr>
        <w:t xml:space="preserve"> these </w:t>
      </w:r>
      <w:r w:rsidR="00A134EE">
        <w:rPr>
          <w:rFonts w:ascii="Garamond" w:hAnsi="Garamond"/>
          <w:sz w:val="24"/>
          <w:szCs w:val="24"/>
        </w:rPr>
        <w:t>two claims, and make the appropriate consideration for</w:t>
      </w:r>
      <w:r w:rsidRPr="00461D74">
        <w:rPr>
          <w:rFonts w:ascii="Garamond" w:hAnsi="Garamond"/>
          <w:sz w:val="24"/>
          <w:szCs w:val="24"/>
        </w:rPr>
        <w:t xml:space="preserve"> the particular historical condition </w:t>
      </w:r>
      <w:r w:rsidR="00A134EE">
        <w:rPr>
          <w:rFonts w:ascii="Garamond" w:hAnsi="Garamond"/>
          <w:sz w:val="24"/>
          <w:szCs w:val="24"/>
        </w:rPr>
        <w:t>that is constitutive of our social world</w:t>
      </w:r>
      <w:r w:rsidRPr="00461D74">
        <w:rPr>
          <w:rFonts w:ascii="Garamond" w:hAnsi="Garamond"/>
          <w:sz w:val="24"/>
          <w:szCs w:val="24"/>
        </w:rPr>
        <w:t xml:space="preserve">, </w:t>
      </w:r>
      <w:r w:rsidR="00A16EE9">
        <w:rPr>
          <w:rFonts w:ascii="Garamond" w:hAnsi="Garamond"/>
          <w:sz w:val="24"/>
          <w:szCs w:val="24"/>
        </w:rPr>
        <w:t xml:space="preserve">then this conclusion follows: </w:t>
      </w:r>
      <w:r w:rsidRPr="00461D74">
        <w:rPr>
          <w:rFonts w:ascii="Garamond" w:hAnsi="Garamond"/>
          <w:i/>
          <w:sz w:val="24"/>
          <w:szCs w:val="24"/>
          <w:lang w:val="en-US"/>
        </w:rPr>
        <w:t>the best way to live is through adopting democracy as a way of life in all of our social relationships</w:t>
      </w:r>
      <w:r w:rsidR="00A134EE">
        <w:rPr>
          <w:rFonts w:ascii="Garamond" w:hAnsi="Garamond"/>
          <w:i/>
          <w:sz w:val="24"/>
          <w:szCs w:val="24"/>
          <w:lang w:val="en-US"/>
        </w:rPr>
        <w:t>,</w:t>
      </w:r>
      <w:r w:rsidRPr="00461D74">
        <w:rPr>
          <w:rFonts w:ascii="Garamond" w:hAnsi="Garamond"/>
          <w:i/>
          <w:sz w:val="24"/>
          <w:szCs w:val="24"/>
          <w:lang w:val="en-US"/>
        </w:rPr>
        <w:t xml:space="preserve"> and </w:t>
      </w:r>
      <w:r w:rsidR="00A134EE">
        <w:rPr>
          <w:rFonts w:ascii="Garamond" w:hAnsi="Garamond"/>
          <w:i/>
          <w:sz w:val="24"/>
          <w:szCs w:val="24"/>
          <w:lang w:val="en-US"/>
        </w:rPr>
        <w:t>we ought to pursue</w:t>
      </w:r>
      <w:r w:rsidR="00A134EE" w:rsidRPr="00461D74">
        <w:rPr>
          <w:rFonts w:ascii="Garamond" w:hAnsi="Garamond"/>
          <w:i/>
          <w:sz w:val="24"/>
          <w:szCs w:val="24"/>
          <w:lang w:val="en-US"/>
        </w:rPr>
        <w:t xml:space="preserve"> </w:t>
      </w:r>
      <w:r w:rsidRPr="00461D74">
        <w:rPr>
          <w:rFonts w:ascii="Garamond" w:hAnsi="Garamond"/>
          <w:i/>
          <w:sz w:val="24"/>
          <w:szCs w:val="24"/>
          <w:lang w:val="en-US"/>
        </w:rPr>
        <w:t>the sort of inquiry that is established on the principles of democratic participation, amelioration, fallibilism, and experimentalism</w:t>
      </w:r>
      <w:r w:rsidRPr="00461D74">
        <w:rPr>
          <w:rFonts w:ascii="Garamond" w:hAnsi="Garamond"/>
          <w:sz w:val="24"/>
          <w:szCs w:val="24"/>
          <w:lang w:val="en-US"/>
        </w:rPr>
        <w:t xml:space="preserve">. </w:t>
      </w:r>
      <w:r w:rsidR="008F4F93">
        <w:rPr>
          <w:rFonts w:ascii="Garamond" w:hAnsi="Garamond"/>
          <w:sz w:val="24"/>
          <w:szCs w:val="24"/>
          <w:lang w:val="en-US"/>
        </w:rPr>
        <w:t>Therefore, the claim can be put as something like ‘because we are X sort of creatures, and live under Y conditions, generally the best way to live is according to Z.'</w:t>
      </w:r>
    </w:p>
    <w:p w:rsidR="00665157" w:rsidRDefault="00F96BA5" w:rsidP="006D4DF0">
      <w:pPr>
        <w:spacing w:line="360" w:lineRule="auto"/>
        <w:ind w:firstLine="720"/>
        <w:jc w:val="both"/>
        <w:rPr>
          <w:rFonts w:ascii="Garamond" w:hAnsi="Garamond"/>
          <w:sz w:val="24"/>
          <w:szCs w:val="24"/>
          <w:lang w:val="en-US"/>
        </w:rPr>
      </w:pPr>
      <w:r>
        <w:rPr>
          <w:rFonts w:ascii="Garamond" w:hAnsi="Garamond"/>
          <w:sz w:val="24"/>
          <w:szCs w:val="24"/>
          <w:lang w:val="en-US"/>
        </w:rPr>
        <w:t>Now, for Dewey</w:t>
      </w:r>
      <w:r w:rsidR="008569CA">
        <w:rPr>
          <w:rFonts w:ascii="Garamond" w:hAnsi="Garamond"/>
          <w:sz w:val="24"/>
          <w:szCs w:val="24"/>
          <w:lang w:val="en-US"/>
        </w:rPr>
        <w:t>, autonomy</w:t>
      </w:r>
      <w:r w:rsidR="00A16EE9">
        <w:rPr>
          <w:rFonts w:ascii="Garamond" w:hAnsi="Garamond"/>
          <w:sz w:val="24"/>
          <w:szCs w:val="24"/>
          <w:lang w:val="en-US"/>
        </w:rPr>
        <w:t xml:space="preserve"> – namely, </w:t>
      </w:r>
      <w:r w:rsidR="008569CA">
        <w:rPr>
          <w:rFonts w:ascii="Garamond" w:hAnsi="Garamond"/>
          <w:sz w:val="24"/>
          <w:szCs w:val="24"/>
          <w:lang w:val="en-US"/>
        </w:rPr>
        <w:t xml:space="preserve">individual freedom such as freedom of expression and thought </w:t>
      </w:r>
      <w:r w:rsidR="00A16EE9">
        <w:rPr>
          <w:rFonts w:ascii="Garamond" w:hAnsi="Garamond"/>
          <w:sz w:val="24"/>
          <w:szCs w:val="24"/>
          <w:lang w:val="en-US"/>
        </w:rPr>
        <w:t xml:space="preserve">– </w:t>
      </w:r>
      <w:r w:rsidR="008569CA">
        <w:rPr>
          <w:rFonts w:ascii="Garamond" w:hAnsi="Garamond"/>
          <w:sz w:val="24"/>
          <w:szCs w:val="24"/>
          <w:lang w:val="en-US"/>
        </w:rPr>
        <w:t>are important goods</w:t>
      </w:r>
      <w:r w:rsidR="002F47DB">
        <w:rPr>
          <w:rFonts w:ascii="Garamond" w:hAnsi="Garamond"/>
          <w:sz w:val="24"/>
          <w:szCs w:val="24"/>
          <w:lang w:val="en-US"/>
        </w:rPr>
        <w:t xml:space="preserve">, because they allow our minds to develop </w:t>
      </w:r>
      <w:r>
        <w:rPr>
          <w:rFonts w:ascii="Garamond" w:hAnsi="Garamond"/>
          <w:sz w:val="24"/>
          <w:szCs w:val="24"/>
          <w:lang w:val="en-US"/>
        </w:rPr>
        <w:t xml:space="preserve">in ways that help us </w:t>
      </w:r>
      <w:r w:rsidR="002F47DB">
        <w:rPr>
          <w:rFonts w:ascii="Garamond" w:hAnsi="Garamond"/>
          <w:sz w:val="24"/>
          <w:szCs w:val="24"/>
          <w:lang w:val="en-US"/>
        </w:rPr>
        <w:t xml:space="preserve">become more adept at solving problems; and given the structure of the world, and the fact that we encounter the world as historical creatures, problem solving is crucial to the kind of social and communal creatures that we indeed are.  </w:t>
      </w:r>
      <w:r>
        <w:rPr>
          <w:rFonts w:ascii="Garamond" w:hAnsi="Garamond"/>
          <w:sz w:val="24"/>
          <w:szCs w:val="24"/>
          <w:lang w:val="en-US"/>
        </w:rPr>
        <w:t>Now</w:t>
      </w:r>
      <w:r w:rsidR="002F47DB">
        <w:rPr>
          <w:rFonts w:ascii="Garamond" w:hAnsi="Garamond"/>
          <w:sz w:val="24"/>
          <w:szCs w:val="24"/>
          <w:lang w:val="en-US"/>
        </w:rPr>
        <w:t xml:space="preserve">, </w:t>
      </w:r>
      <w:r>
        <w:rPr>
          <w:rFonts w:ascii="Garamond" w:hAnsi="Garamond"/>
          <w:sz w:val="24"/>
          <w:szCs w:val="24"/>
          <w:lang w:val="en-US"/>
        </w:rPr>
        <w:t xml:space="preserve">if we take into account </w:t>
      </w:r>
      <w:r w:rsidR="002F47DB">
        <w:rPr>
          <w:rFonts w:ascii="Garamond" w:hAnsi="Garamond"/>
          <w:sz w:val="24"/>
          <w:szCs w:val="24"/>
          <w:lang w:val="en-US"/>
        </w:rPr>
        <w:t xml:space="preserve">additional facts about our contexts that </w:t>
      </w:r>
      <w:r w:rsidR="006D4DF0">
        <w:rPr>
          <w:rFonts w:ascii="Garamond" w:hAnsi="Garamond"/>
          <w:sz w:val="24"/>
          <w:szCs w:val="24"/>
          <w:lang w:val="en-US"/>
        </w:rPr>
        <w:t>make it all but impossible to forgo a life that is</w:t>
      </w:r>
      <w:r w:rsidR="002F47DB">
        <w:rPr>
          <w:rFonts w:ascii="Garamond" w:hAnsi="Garamond"/>
          <w:sz w:val="24"/>
          <w:szCs w:val="24"/>
          <w:lang w:val="en-US"/>
        </w:rPr>
        <w:t xml:space="preserve"> highly interdependent</w:t>
      </w:r>
      <w:r w:rsidR="007652E9">
        <w:rPr>
          <w:rFonts w:ascii="Garamond" w:hAnsi="Garamond"/>
          <w:sz w:val="24"/>
          <w:szCs w:val="24"/>
          <w:lang w:val="en-US"/>
        </w:rPr>
        <w:t xml:space="preserve">, </w:t>
      </w:r>
      <w:r w:rsidR="006D4DF0">
        <w:rPr>
          <w:rFonts w:ascii="Garamond" w:hAnsi="Garamond"/>
          <w:sz w:val="24"/>
          <w:szCs w:val="24"/>
          <w:lang w:val="en-US"/>
        </w:rPr>
        <w:t>this</w:t>
      </w:r>
      <w:r w:rsidR="002F47DB">
        <w:rPr>
          <w:rFonts w:ascii="Garamond" w:hAnsi="Garamond"/>
          <w:sz w:val="24"/>
          <w:szCs w:val="24"/>
          <w:lang w:val="en-US"/>
        </w:rPr>
        <w:t xml:space="preserve"> </w:t>
      </w:r>
      <w:r w:rsidR="006D4DF0">
        <w:rPr>
          <w:rFonts w:ascii="Garamond" w:hAnsi="Garamond"/>
          <w:sz w:val="24"/>
          <w:szCs w:val="24"/>
          <w:lang w:val="en-US"/>
        </w:rPr>
        <w:t xml:space="preserve">means that a democratic cooperative and participatory approach to life is more likely to afford better outcomes, in the context of our encounter with the world, and in terms of our capacity to tackle and solve the problems generated by that encounter. Thus, </w:t>
      </w:r>
      <w:r w:rsidR="00016049" w:rsidRPr="00461D74">
        <w:rPr>
          <w:rFonts w:ascii="Garamond" w:hAnsi="Garamond"/>
          <w:sz w:val="24"/>
          <w:szCs w:val="24"/>
          <w:lang w:val="en-US"/>
        </w:rPr>
        <w:t xml:space="preserve">Deweyan democratic inquiry can be understood as a commitment to these values and a commitment to realizing them on the largest possible scale, </w:t>
      </w:r>
      <w:r w:rsidR="00F57B90">
        <w:rPr>
          <w:rFonts w:ascii="Garamond" w:hAnsi="Garamond"/>
          <w:sz w:val="24"/>
          <w:szCs w:val="24"/>
          <w:lang w:val="en-US"/>
        </w:rPr>
        <w:t xml:space="preserve">for the sake of advancing and realizing </w:t>
      </w:r>
      <w:r w:rsidR="00016049" w:rsidRPr="00461D74">
        <w:rPr>
          <w:rFonts w:ascii="Garamond" w:hAnsi="Garamond"/>
          <w:sz w:val="24"/>
          <w:szCs w:val="24"/>
          <w:lang w:val="en-US"/>
        </w:rPr>
        <w:t xml:space="preserve">incremental improvements in concrete </w:t>
      </w:r>
      <w:r w:rsidR="00F57B90">
        <w:rPr>
          <w:rFonts w:ascii="Garamond" w:hAnsi="Garamond"/>
          <w:sz w:val="24"/>
          <w:szCs w:val="24"/>
          <w:lang w:val="en-US"/>
        </w:rPr>
        <w:t xml:space="preserve">material </w:t>
      </w:r>
      <w:r w:rsidR="00016049" w:rsidRPr="00461D74">
        <w:rPr>
          <w:rFonts w:ascii="Garamond" w:hAnsi="Garamond"/>
          <w:sz w:val="24"/>
          <w:szCs w:val="24"/>
          <w:lang w:val="en-US"/>
        </w:rPr>
        <w:t>conditions.</w:t>
      </w:r>
      <w:r w:rsidR="008363B5">
        <w:rPr>
          <w:rFonts w:ascii="Garamond" w:hAnsi="Garamond"/>
          <w:sz w:val="24"/>
          <w:szCs w:val="24"/>
          <w:lang w:val="en-US"/>
        </w:rPr>
        <w:t xml:space="preserve"> </w:t>
      </w:r>
      <w:r w:rsidR="008363B5" w:rsidRPr="00461D74">
        <w:rPr>
          <w:rFonts w:ascii="Garamond" w:hAnsi="Garamond"/>
          <w:sz w:val="24"/>
          <w:szCs w:val="24"/>
        </w:rPr>
        <w:t>Of course</w:t>
      </w:r>
      <w:r w:rsidR="007652E9">
        <w:rPr>
          <w:rFonts w:ascii="Garamond" w:hAnsi="Garamond"/>
          <w:sz w:val="24"/>
          <w:szCs w:val="24"/>
        </w:rPr>
        <w:t>,</w:t>
      </w:r>
      <w:r w:rsidR="008363B5" w:rsidRPr="00461D74">
        <w:rPr>
          <w:rFonts w:ascii="Garamond" w:hAnsi="Garamond"/>
          <w:sz w:val="24"/>
          <w:szCs w:val="24"/>
        </w:rPr>
        <w:t xml:space="preserve"> our claims can be revised or modified as a result of inquiry over the long run, but it seems that </w:t>
      </w:r>
      <w:r w:rsidR="008363B5">
        <w:rPr>
          <w:rFonts w:ascii="Garamond" w:hAnsi="Garamond"/>
          <w:sz w:val="24"/>
          <w:szCs w:val="24"/>
        </w:rPr>
        <w:t>at least</w:t>
      </w:r>
      <w:r w:rsidR="008363B5" w:rsidRPr="00461D74">
        <w:rPr>
          <w:rFonts w:ascii="Garamond" w:hAnsi="Garamond"/>
          <w:sz w:val="24"/>
          <w:szCs w:val="24"/>
        </w:rPr>
        <w:t xml:space="preserve"> to begin inquiry we need to accept something like them.</w:t>
      </w:r>
    </w:p>
    <w:p w:rsidR="006E17FA" w:rsidRDefault="00016049">
      <w:pPr>
        <w:spacing w:line="360" w:lineRule="auto"/>
        <w:ind w:firstLine="720"/>
        <w:jc w:val="both"/>
        <w:rPr>
          <w:rFonts w:ascii="Garamond" w:hAnsi="Garamond"/>
          <w:sz w:val="24"/>
          <w:szCs w:val="24"/>
          <w:lang w:val="en-US"/>
        </w:rPr>
      </w:pPr>
      <w:r w:rsidRPr="00461D74">
        <w:rPr>
          <w:rFonts w:ascii="Garamond" w:hAnsi="Garamond"/>
          <w:sz w:val="24"/>
          <w:szCs w:val="24"/>
          <w:lang w:val="en-US"/>
        </w:rPr>
        <w:t xml:space="preserve">Advancing to our third and final question, one might wonder whether Dewey’s philosophy is a good fit for MacIntyre’s account. My reasons for maintaining </w:t>
      </w:r>
      <w:r w:rsidR="006E17FA">
        <w:rPr>
          <w:rFonts w:ascii="Garamond" w:hAnsi="Garamond"/>
          <w:sz w:val="24"/>
          <w:szCs w:val="24"/>
          <w:lang w:val="en-US"/>
        </w:rPr>
        <w:t xml:space="preserve">that </w:t>
      </w:r>
      <w:r w:rsidRPr="00461D74">
        <w:rPr>
          <w:rFonts w:ascii="Garamond" w:hAnsi="Garamond"/>
          <w:sz w:val="24"/>
          <w:szCs w:val="24"/>
          <w:lang w:val="en-US"/>
        </w:rPr>
        <w:t xml:space="preserve">Dewey </w:t>
      </w:r>
      <w:r w:rsidR="006E17FA">
        <w:rPr>
          <w:rFonts w:ascii="Garamond" w:hAnsi="Garamond"/>
          <w:sz w:val="24"/>
          <w:szCs w:val="24"/>
          <w:lang w:val="en-US"/>
        </w:rPr>
        <w:t>i</w:t>
      </w:r>
      <w:r w:rsidRPr="00461D74">
        <w:rPr>
          <w:rFonts w:ascii="Garamond" w:hAnsi="Garamond"/>
          <w:sz w:val="24"/>
          <w:szCs w:val="24"/>
          <w:lang w:val="en-US"/>
        </w:rPr>
        <w:t xml:space="preserve">s </w:t>
      </w:r>
      <w:r w:rsidR="006E17FA">
        <w:rPr>
          <w:rFonts w:ascii="Garamond" w:hAnsi="Garamond"/>
          <w:sz w:val="24"/>
          <w:szCs w:val="24"/>
          <w:lang w:val="en-US"/>
        </w:rPr>
        <w:t xml:space="preserve">in fact </w:t>
      </w:r>
      <w:r w:rsidRPr="00461D74">
        <w:rPr>
          <w:rFonts w:ascii="Garamond" w:hAnsi="Garamond"/>
          <w:sz w:val="24"/>
          <w:szCs w:val="24"/>
          <w:lang w:val="en-US"/>
        </w:rPr>
        <w:t>a good fit are the following: (</w:t>
      </w:r>
      <w:proofErr w:type="spellStart"/>
      <w:r w:rsidRPr="00461D74">
        <w:rPr>
          <w:rFonts w:ascii="Garamond" w:hAnsi="Garamond"/>
          <w:sz w:val="24"/>
          <w:szCs w:val="24"/>
          <w:lang w:val="en-US"/>
        </w:rPr>
        <w:t>i</w:t>
      </w:r>
      <w:proofErr w:type="spellEnd"/>
      <w:r w:rsidRPr="00461D74">
        <w:rPr>
          <w:rFonts w:ascii="Garamond" w:hAnsi="Garamond"/>
          <w:sz w:val="24"/>
          <w:szCs w:val="24"/>
          <w:lang w:val="en-US"/>
        </w:rPr>
        <w:t xml:space="preserve">) </w:t>
      </w:r>
      <w:r w:rsidR="00A5397C" w:rsidRPr="00461D74">
        <w:rPr>
          <w:rFonts w:ascii="Garamond" w:hAnsi="Garamond"/>
          <w:sz w:val="24"/>
          <w:szCs w:val="24"/>
          <w:lang w:val="en-US"/>
        </w:rPr>
        <w:t>b</w:t>
      </w:r>
      <w:r w:rsidRPr="00461D74">
        <w:rPr>
          <w:rFonts w:ascii="Garamond" w:hAnsi="Garamond"/>
          <w:sz w:val="24"/>
          <w:szCs w:val="24"/>
          <w:lang w:val="en-US"/>
        </w:rPr>
        <w:t xml:space="preserve">oth accounts are open ended – namely, it is about the individual discovering and inquiring into our individual and common good as human beings; (ii) both accounts see human </w:t>
      </w:r>
      <w:r w:rsidRPr="00461D74">
        <w:rPr>
          <w:rFonts w:ascii="Garamond" w:hAnsi="Garamond"/>
          <w:sz w:val="24"/>
          <w:szCs w:val="24"/>
          <w:lang w:val="en-US"/>
        </w:rPr>
        <w:lastRenderedPageBreak/>
        <w:t>beings as irreducibly social creatures and their ultimate good is defined in social terms</w:t>
      </w:r>
      <w:r w:rsidR="0053088F" w:rsidRPr="00461D74">
        <w:rPr>
          <w:rFonts w:ascii="Garamond" w:hAnsi="Garamond"/>
          <w:sz w:val="24"/>
          <w:szCs w:val="24"/>
          <w:lang w:val="en-US"/>
        </w:rPr>
        <w:t>;</w:t>
      </w:r>
      <w:r w:rsidRPr="00461D74">
        <w:rPr>
          <w:rFonts w:ascii="Garamond" w:hAnsi="Garamond"/>
          <w:sz w:val="24"/>
          <w:szCs w:val="24"/>
          <w:lang w:val="en-US"/>
        </w:rPr>
        <w:t xml:space="preserve"> (iii) </w:t>
      </w:r>
      <w:r w:rsidR="0053088F" w:rsidRPr="00461D74">
        <w:rPr>
          <w:rFonts w:ascii="Garamond" w:hAnsi="Garamond"/>
          <w:sz w:val="24"/>
          <w:szCs w:val="24"/>
          <w:lang w:val="en-US"/>
        </w:rPr>
        <w:t xml:space="preserve">and </w:t>
      </w:r>
      <w:r w:rsidR="00A5397C" w:rsidRPr="00461D74">
        <w:rPr>
          <w:rFonts w:ascii="Garamond" w:hAnsi="Garamond"/>
          <w:sz w:val="24"/>
          <w:szCs w:val="24"/>
          <w:lang w:val="en-US"/>
        </w:rPr>
        <w:t>b</w:t>
      </w:r>
      <w:r w:rsidRPr="00461D74">
        <w:rPr>
          <w:rFonts w:ascii="Garamond" w:hAnsi="Garamond"/>
          <w:sz w:val="24"/>
          <w:szCs w:val="24"/>
          <w:lang w:val="en-US"/>
        </w:rPr>
        <w:t xml:space="preserve">oth accounts are historical and </w:t>
      </w:r>
      <w:r w:rsidR="006E17FA">
        <w:rPr>
          <w:rFonts w:ascii="Garamond" w:hAnsi="Garamond"/>
          <w:sz w:val="24"/>
          <w:szCs w:val="24"/>
          <w:lang w:val="en-US"/>
        </w:rPr>
        <w:t>therefore</w:t>
      </w:r>
      <w:r w:rsidR="0053088F" w:rsidRPr="00461D74">
        <w:rPr>
          <w:rFonts w:ascii="Garamond" w:hAnsi="Garamond"/>
          <w:sz w:val="24"/>
          <w:szCs w:val="24"/>
          <w:lang w:val="en-US"/>
        </w:rPr>
        <w:t xml:space="preserve"> </w:t>
      </w:r>
      <w:r w:rsidRPr="00461D74">
        <w:rPr>
          <w:rFonts w:ascii="Garamond" w:hAnsi="Garamond"/>
          <w:sz w:val="24"/>
          <w:szCs w:val="24"/>
          <w:lang w:val="en-US"/>
        </w:rPr>
        <w:t xml:space="preserve">sensitive to </w:t>
      </w:r>
      <w:r w:rsidR="0053088F" w:rsidRPr="00461D74">
        <w:rPr>
          <w:rFonts w:ascii="Garamond" w:hAnsi="Garamond"/>
          <w:sz w:val="24"/>
          <w:szCs w:val="24"/>
          <w:lang w:val="en-US"/>
        </w:rPr>
        <w:t xml:space="preserve">contingent </w:t>
      </w:r>
      <w:r w:rsidRPr="00461D74">
        <w:rPr>
          <w:rFonts w:ascii="Garamond" w:hAnsi="Garamond"/>
          <w:sz w:val="24"/>
          <w:szCs w:val="24"/>
          <w:lang w:val="en-US"/>
        </w:rPr>
        <w:t xml:space="preserve">historical </w:t>
      </w:r>
      <w:r w:rsidR="006E17FA">
        <w:rPr>
          <w:rFonts w:ascii="Garamond" w:hAnsi="Garamond"/>
          <w:sz w:val="24"/>
          <w:szCs w:val="24"/>
          <w:lang w:val="en-US"/>
        </w:rPr>
        <w:t xml:space="preserve">material </w:t>
      </w:r>
      <w:r w:rsidRPr="00461D74">
        <w:rPr>
          <w:rFonts w:ascii="Garamond" w:hAnsi="Garamond"/>
          <w:sz w:val="24"/>
          <w:szCs w:val="24"/>
          <w:lang w:val="en-US"/>
        </w:rPr>
        <w:t xml:space="preserve">conditions. </w:t>
      </w:r>
    </w:p>
    <w:p w:rsidR="00DE60EE" w:rsidRDefault="006E17FA">
      <w:pPr>
        <w:spacing w:line="360" w:lineRule="auto"/>
        <w:ind w:firstLine="720"/>
        <w:jc w:val="both"/>
        <w:rPr>
          <w:rStyle w:val="fontstyle01"/>
          <w:rFonts w:ascii="Garamond" w:hAnsi="Garamond"/>
          <w:sz w:val="24"/>
          <w:szCs w:val="24"/>
        </w:rPr>
      </w:pPr>
      <w:r>
        <w:rPr>
          <w:rFonts w:ascii="Garamond" w:hAnsi="Garamond"/>
          <w:sz w:val="24"/>
          <w:szCs w:val="24"/>
          <w:lang w:val="en-US"/>
        </w:rPr>
        <w:t>Notwithstanding the propriety of the fit between the two view</w:t>
      </w:r>
      <w:r w:rsidR="00016049" w:rsidRPr="00461D74">
        <w:rPr>
          <w:rFonts w:ascii="Garamond" w:hAnsi="Garamond"/>
          <w:sz w:val="24"/>
          <w:szCs w:val="24"/>
          <w:lang w:val="en-US"/>
        </w:rPr>
        <w:t xml:space="preserve">, Dewey’s </w:t>
      </w:r>
      <w:r>
        <w:rPr>
          <w:rFonts w:ascii="Garamond" w:hAnsi="Garamond"/>
          <w:sz w:val="24"/>
          <w:szCs w:val="24"/>
          <w:lang w:val="en-US"/>
        </w:rPr>
        <w:t>framework</w:t>
      </w:r>
      <w:r w:rsidRPr="00461D74">
        <w:rPr>
          <w:rFonts w:ascii="Garamond" w:hAnsi="Garamond"/>
          <w:sz w:val="24"/>
          <w:szCs w:val="24"/>
          <w:lang w:val="en-US"/>
        </w:rPr>
        <w:t xml:space="preserve"> </w:t>
      </w:r>
      <w:r w:rsidR="00016049" w:rsidRPr="00461D74">
        <w:rPr>
          <w:rFonts w:ascii="Garamond" w:hAnsi="Garamond"/>
          <w:sz w:val="24"/>
          <w:szCs w:val="24"/>
          <w:lang w:val="en-US"/>
        </w:rPr>
        <w:t xml:space="preserve">improves on MacIntyre’s account in the following ways: (a) Dewey’s account is dynamic and </w:t>
      </w:r>
      <w:r>
        <w:rPr>
          <w:rFonts w:ascii="Garamond" w:hAnsi="Garamond"/>
          <w:sz w:val="24"/>
          <w:szCs w:val="24"/>
          <w:lang w:val="en-US"/>
        </w:rPr>
        <w:t xml:space="preserve">its dynamism is grounded in Dewey’s </w:t>
      </w:r>
      <w:r w:rsidR="00016049" w:rsidRPr="00461D74">
        <w:rPr>
          <w:rFonts w:ascii="Garamond" w:hAnsi="Garamond"/>
          <w:sz w:val="24"/>
          <w:szCs w:val="24"/>
          <w:lang w:val="en-US"/>
        </w:rPr>
        <w:t xml:space="preserve">reflexive democratic epistemology; (b) </w:t>
      </w:r>
      <w:r w:rsidR="00016049" w:rsidRPr="00461D74">
        <w:rPr>
          <w:rStyle w:val="fontstyle01"/>
          <w:rFonts w:ascii="Garamond" w:hAnsi="Garamond"/>
          <w:sz w:val="24"/>
          <w:szCs w:val="24"/>
        </w:rPr>
        <w:t xml:space="preserve">Deweyan democracy, and its problem solving approach, is better able to organise and order social/political activity towards the resolution of social problems and the realisation of </w:t>
      </w:r>
      <w:r w:rsidR="007652E9">
        <w:rPr>
          <w:rStyle w:val="fontstyle01"/>
          <w:rFonts w:ascii="Garamond" w:hAnsi="Garamond"/>
          <w:sz w:val="24"/>
          <w:szCs w:val="24"/>
        </w:rPr>
        <w:t>g</w:t>
      </w:r>
      <w:r w:rsidR="00016049" w:rsidRPr="00461D74">
        <w:rPr>
          <w:rStyle w:val="fontstyle01"/>
          <w:rFonts w:ascii="Garamond" w:hAnsi="Garamond"/>
          <w:sz w:val="24"/>
          <w:szCs w:val="24"/>
        </w:rPr>
        <w:t xml:space="preserve">rowth; (c) </w:t>
      </w:r>
      <w:r w:rsidR="00016049" w:rsidRPr="00461D74">
        <w:rPr>
          <w:rFonts w:ascii="Garamond" w:hAnsi="Garamond"/>
          <w:sz w:val="24"/>
          <w:szCs w:val="24"/>
        </w:rPr>
        <w:t xml:space="preserve">Deweyan Democracy </w:t>
      </w:r>
      <w:r w:rsidR="00016049" w:rsidRPr="00461D74">
        <w:rPr>
          <w:rFonts w:ascii="Garamond" w:hAnsi="Garamond"/>
          <w:sz w:val="24"/>
          <w:szCs w:val="24"/>
          <w:lang w:val="en-US"/>
        </w:rPr>
        <w:t xml:space="preserve">offers a more substantive and determinate </w:t>
      </w:r>
      <w:r>
        <w:rPr>
          <w:rFonts w:ascii="Garamond" w:hAnsi="Garamond"/>
          <w:sz w:val="24"/>
          <w:szCs w:val="24"/>
          <w:lang w:val="en-US"/>
        </w:rPr>
        <w:t>account of the good</w:t>
      </w:r>
      <w:r w:rsidRPr="00461D74">
        <w:rPr>
          <w:rFonts w:ascii="Garamond" w:hAnsi="Garamond"/>
          <w:sz w:val="24"/>
          <w:szCs w:val="24"/>
          <w:lang w:val="en-US"/>
        </w:rPr>
        <w:t xml:space="preserve"> </w:t>
      </w:r>
      <w:r w:rsidR="00016049" w:rsidRPr="00461D74">
        <w:rPr>
          <w:rFonts w:ascii="Garamond" w:hAnsi="Garamond"/>
          <w:sz w:val="24"/>
          <w:szCs w:val="24"/>
          <w:lang w:val="en-US"/>
        </w:rPr>
        <w:t xml:space="preserve">than MacIntyre’s </w:t>
      </w:r>
      <w:r>
        <w:rPr>
          <w:rFonts w:ascii="Garamond" w:hAnsi="Garamond"/>
          <w:sz w:val="24"/>
          <w:szCs w:val="24"/>
          <w:lang w:val="en-US"/>
        </w:rPr>
        <w:t>conception of the good</w:t>
      </w:r>
      <w:r w:rsidR="00016049" w:rsidRPr="00461D74">
        <w:rPr>
          <w:rFonts w:ascii="Garamond" w:hAnsi="Garamond"/>
          <w:sz w:val="24"/>
          <w:szCs w:val="24"/>
          <w:lang w:val="en-US"/>
        </w:rPr>
        <w:t xml:space="preserve"> in </w:t>
      </w:r>
      <w:r w:rsidR="00016049" w:rsidRPr="00461D74">
        <w:rPr>
          <w:rFonts w:ascii="Garamond" w:hAnsi="Garamond"/>
          <w:i/>
          <w:sz w:val="24"/>
          <w:szCs w:val="24"/>
          <w:lang w:val="en-US"/>
        </w:rPr>
        <w:t>After Virtue</w:t>
      </w:r>
      <w:r w:rsidR="00DE60EE">
        <w:rPr>
          <w:rStyle w:val="fontstyle01"/>
          <w:rFonts w:ascii="Garamond" w:hAnsi="Garamond"/>
          <w:sz w:val="24"/>
          <w:szCs w:val="24"/>
        </w:rPr>
        <w:t>;</w:t>
      </w:r>
      <w:r>
        <w:rPr>
          <w:rStyle w:val="FootnoteReference"/>
          <w:rFonts w:ascii="Garamond" w:hAnsi="Garamond"/>
          <w:color w:val="000000"/>
          <w:sz w:val="24"/>
          <w:szCs w:val="24"/>
        </w:rPr>
        <w:footnoteReference w:id="222"/>
      </w:r>
      <w:r w:rsidR="007652E9">
        <w:rPr>
          <w:rStyle w:val="fontstyle01"/>
          <w:rFonts w:ascii="Garamond" w:hAnsi="Garamond"/>
          <w:sz w:val="24"/>
          <w:szCs w:val="24"/>
        </w:rPr>
        <w:t xml:space="preserve"> (d) </w:t>
      </w:r>
      <w:r w:rsidR="00DE60EE" w:rsidRPr="00461D74">
        <w:rPr>
          <w:rStyle w:val="fontstyle01"/>
          <w:rFonts w:ascii="Garamond" w:hAnsi="Garamond"/>
          <w:sz w:val="24"/>
          <w:szCs w:val="24"/>
        </w:rPr>
        <w:t xml:space="preserve">and lastly, </w:t>
      </w:r>
      <w:r w:rsidR="00DE60EE">
        <w:rPr>
          <w:rStyle w:val="fontstyle01"/>
          <w:rFonts w:ascii="Garamond" w:hAnsi="Garamond"/>
          <w:sz w:val="24"/>
          <w:szCs w:val="24"/>
        </w:rPr>
        <w:t xml:space="preserve">a crucially attractive feature of Dewey’s account is </w:t>
      </w:r>
      <w:r w:rsidR="00CA0FF5">
        <w:rPr>
          <w:rStyle w:val="fontstyle01"/>
          <w:rFonts w:ascii="Garamond" w:hAnsi="Garamond"/>
          <w:sz w:val="24"/>
          <w:szCs w:val="24"/>
        </w:rPr>
        <w:t xml:space="preserve">Dewey’s </w:t>
      </w:r>
      <w:r w:rsidR="00FA6CAD">
        <w:rPr>
          <w:rStyle w:val="fontstyle01"/>
          <w:rFonts w:ascii="Garamond" w:hAnsi="Garamond"/>
          <w:sz w:val="24"/>
          <w:szCs w:val="24"/>
        </w:rPr>
        <w:t xml:space="preserve">whole-hearted </w:t>
      </w:r>
      <w:r w:rsidR="00CA0FF5">
        <w:rPr>
          <w:rStyle w:val="fontstyle01"/>
          <w:rFonts w:ascii="Garamond" w:hAnsi="Garamond"/>
          <w:sz w:val="24"/>
          <w:szCs w:val="24"/>
        </w:rPr>
        <w:t>embrace of</w:t>
      </w:r>
      <w:r w:rsidR="00DE60EE">
        <w:rPr>
          <w:rStyle w:val="fontstyle01"/>
          <w:rFonts w:ascii="Garamond" w:hAnsi="Garamond"/>
          <w:sz w:val="24"/>
          <w:szCs w:val="24"/>
        </w:rPr>
        <w:t xml:space="preserve"> </w:t>
      </w:r>
      <w:r w:rsidR="00CA0FF5">
        <w:rPr>
          <w:rStyle w:val="fontstyle01"/>
          <w:rFonts w:ascii="Garamond" w:hAnsi="Garamond"/>
          <w:sz w:val="24"/>
          <w:szCs w:val="24"/>
        </w:rPr>
        <w:t>Darwin</w:t>
      </w:r>
      <w:r w:rsidR="00FA6CAD">
        <w:rPr>
          <w:rStyle w:val="fontstyle01"/>
          <w:rFonts w:ascii="Garamond" w:hAnsi="Garamond"/>
          <w:sz w:val="24"/>
          <w:szCs w:val="24"/>
        </w:rPr>
        <w:t>,</w:t>
      </w:r>
      <w:r w:rsidR="00DE60EE">
        <w:rPr>
          <w:rStyle w:val="fontstyle01"/>
          <w:rFonts w:ascii="Garamond" w:hAnsi="Garamond"/>
          <w:sz w:val="24"/>
          <w:szCs w:val="24"/>
        </w:rPr>
        <w:t xml:space="preserve"> </w:t>
      </w:r>
      <w:r w:rsidR="00CA0FF5">
        <w:rPr>
          <w:rStyle w:val="fontstyle01"/>
          <w:rFonts w:ascii="Garamond" w:hAnsi="Garamond"/>
          <w:sz w:val="24"/>
          <w:szCs w:val="24"/>
        </w:rPr>
        <w:t xml:space="preserve">and the integration of important Darwinian insights in his epistemic framework. </w:t>
      </w:r>
      <w:r w:rsidR="00FA6CAD">
        <w:rPr>
          <w:rStyle w:val="fontstyle01"/>
          <w:rFonts w:ascii="Garamond" w:hAnsi="Garamond"/>
          <w:sz w:val="24"/>
          <w:szCs w:val="24"/>
        </w:rPr>
        <w:t>Now, by</w:t>
      </w:r>
      <w:r w:rsidR="00CA0FF5">
        <w:rPr>
          <w:rStyle w:val="fontstyle01"/>
          <w:rFonts w:ascii="Garamond" w:hAnsi="Garamond"/>
          <w:sz w:val="24"/>
          <w:szCs w:val="24"/>
        </w:rPr>
        <w:t xml:space="preserve"> utilis</w:t>
      </w:r>
      <w:r w:rsidR="00FA6CAD">
        <w:rPr>
          <w:rStyle w:val="fontstyle01"/>
          <w:rFonts w:ascii="Garamond" w:hAnsi="Garamond"/>
          <w:sz w:val="24"/>
          <w:szCs w:val="24"/>
        </w:rPr>
        <w:t>ing</w:t>
      </w:r>
      <w:r w:rsidR="00CA0FF5">
        <w:rPr>
          <w:rStyle w:val="fontstyle01"/>
          <w:rFonts w:ascii="Garamond" w:hAnsi="Garamond"/>
          <w:sz w:val="24"/>
          <w:szCs w:val="24"/>
        </w:rPr>
        <w:t xml:space="preserve"> Dewey</w:t>
      </w:r>
      <w:r w:rsidR="00FA6CAD">
        <w:rPr>
          <w:rStyle w:val="fontstyle01"/>
          <w:rFonts w:ascii="Garamond" w:hAnsi="Garamond"/>
          <w:sz w:val="24"/>
          <w:szCs w:val="24"/>
        </w:rPr>
        <w:t>, we have the added benefit of improving</w:t>
      </w:r>
      <w:r w:rsidR="00CA0FF5">
        <w:rPr>
          <w:rStyle w:val="fontstyle01"/>
          <w:rFonts w:ascii="Garamond" w:hAnsi="Garamond"/>
          <w:sz w:val="24"/>
          <w:szCs w:val="24"/>
        </w:rPr>
        <w:t xml:space="preserve"> </w:t>
      </w:r>
      <w:r w:rsidR="00DE60EE">
        <w:rPr>
          <w:rStyle w:val="fontstyle01"/>
          <w:rFonts w:ascii="Garamond" w:hAnsi="Garamond"/>
          <w:sz w:val="24"/>
          <w:szCs w:val="24"/>
        </w:rPr>
        <w:t>MacIntyre’s</w:t>
      </w:r>
      <w:r w:rsidR="00CA0FF5">
        <w:rPr>
          <w:rStyle w:val="fontstyle01"/>
          <w:rFonts w:ascii="Garamond" w:hAnsi="Garamond"/>
          <w:sz w:val="24"/>
          <w:szCs w:val="24"/>
        </w:rPr>
        <w:t xml:space="preserve"> Neo</w:t>
      </w:r>
      <w:r w:rsidR="00E05C3C">
        <w:rPr>
          <w:rStyle w:val="fontstyle01"/>
          <w:rFonts w:ascii="Garamond" w:hAnsi="Garamond"/>
          <w:sz w:val="24"/>
          <w:szCs w:val="24"/>
        </w:rPr>
        <w:t>-</w:t>
      </w:r>
      <w:r w:rsidR="00CA0FF5">
        <w:rPr>
          <w:rStyle w:val="fontstyle01"/>
          <w:rFonts w:ascii="Garamond" w:hAnsi="Garamond"/>
          <w:sz w:val="24"/>
          <w:szCs w:val="24"/>
        </w:rPr>
        <w:t>Aristotelian</w:t>
      </w:r>
      <w:r w:rsidR="00DE60EE">
        <w:rPr>
          <w:rStyle w:val="fontstyle01"/>
          <w:rFonts w:ascii="Garamond" w:hAnsi="Garamond"/>
          <w:sz w:val="24"/>
          <w:szCs w:val="24"/>
        </w:rPr>
        <w:t xml:space="preserve"> </w:t>
      </w:r>
      <w:r w:rsidR="00CA0FF5">
        <w:rPr>
          <w:rStyle w:val="fontstyle01"/>
          <w:rFonts w:ascii="Garamond" w:hAnsi="Garamond"/>
          <w:sz w:val="24"/>
          <w:szCs w:val="24"/>
        </w:rPr>
        <w:t xml:space="preserve">account so it </w:t>
      </w:r>
      <w:r w:rsidR="00FA6CAD">
        <w:rPr>
          <w:rStyle w:val="fontstyle01"/>
          <w:rFonts w:ascii="Garamond" w:hAnsi="Garamond"/>
          <w:sz w:val="24"/>
          <w:szCs w:val="24"/>
        </w:rPr>
        <w:t xml:space="preserve">more effectively </w:t>
      </w:r>
      <w:r w:rsidR="00CA0FF5">
        <w:rPr>
          <w:rStyle w:val="fontstyle01"/>
          <w:rFonts w:ascii="Garamond" w:hAnsi="Garamond"/>
          <w:sz w:val="24"/>
          <w:szCs w:val="24"/>
        </w:rPr>
        <w:t>resist</w:t>
      </w:r>
      <w:r w:rsidR="00DE60EE">
        <w:rPr>
          <w:rStyle w:val="fontstyle01"/>
          <w:rFonts w:ascii="Garamond" w:hAnsi="Garamond"/>
          <w:sz w:val="24"/>
          <w:szCs w:val="24"/>
        </w:rPr>
        <w:t xml:space="preserve"> the </w:t>
      </w:r>
      <w:r w:rsidR="00CA0FF5">
        <w:rPr>
          <w:rStyle w:val="fontstyle01"/>
          <w:rFonts w:ascii="Garamond" w:hAnsi="Garamond"/>
          <w:sz w:val="24"/>
          <w:szCs w:val="24"/>
        </w:rPr>
        <w:t>kinds</w:t>
      </w:r>
      <w:r w:rsidR="00DE60EE">
        <w:rPr>
          <w:rStyle w:val="fontstyle01"/>
          <w:rFonts w:ascii="Garamond" w:hAnsi="Garamond"/>
          <w:sz w:val="24"/>
          <w:szCs w:val="24"/>
        </w:rPr>
        <w:t xml:space="preserve"> of criticisms </w:t>
      </w:r>
      <w:r w:rsidR="00CA0FF5">
        <w:rPr>
          <w:rStyle w:val="fontstyle01"/>
          <w:rFonts w:ascii="Garamond" w:hAnsi="Garamond"/>
          <w:sz w:val="24"/>
          <w:szCs w:val="24"/>
        </w:rPr>
        <w:t xml:space="preserve">– </w:t>
      </w:r>
      <w:r w:rsidR="00DE60EE">
        <w:rPr>
          <w:rStyle w:val="fontstyle01"/>
          <w:rFonts w:ascii="Garamond" w:hAnsi="Garamond"/>
          <w:sz w:val="24"/>
          <w:szCs w:val="24"/>
        </w:rPr>
        <w:t xml:space="preserve">advanced by </w:t>
      </w:r>
      <w:r w:rsidR="00CA0FF5">
        <w:rPr>
          <w:rStyle w:val="fontstyle01"/>
          <w:rFonts w:ascii="Garamond" w:hAnsi="Garamond"/>
          <w:sz w:val="24"/>
          <w:szCs w:val="24"/>
        </w:rPr>
        <w:t>meta-ethicists, and especially</w:t>
      </w:r>
      <w:r w:rsidR="00DE60EE">
        <w:rPr>
          <w:rStyle w:val="fontstyle01"/>
          <w:rFonts w:ascii="Garamond" w:hAnsi="Garamond"/>
          <w:sz w:val="24"/>
          <w:szCs w:val="24"/>
        </w:rPr>
        <w:t xml:space="preserve"> </w:t>
      </w:r>
      <w:proofErr w:type="spellStart"/>
      <w:r w:rsidR="00DE60EE">
        <w:rPr>
          <w:rStyle w:val="fontstyle01"/>
          <w:rFonts w:ascii="Garamond" w:hAnsi="Garamond"/>
          <w:sz w:val="24"/>
          <w:szCs w:val="24"/>
        </w:rPr>
        <w:t>expressivists</w:t>
      </w:r>
      <w:proofErr w:type="spellEnd"/>
      <w:r w:rsidR="00CA0FF5">
        <w:rPr>
          <w:rStyle w:val="fontstyle01"/>
          <w:rFonts w:ascii="Garamond" w:hAnsi="Garamond"/>
          <w:sz w:val="24"/>
          <w:szCs w:val="24"/>
        </w:rPr>
        <w:t xml:space="preserve"> –</w:t>
      </w:r>
      <w:r w:rsidR="00BF7F05">
        <w:rPr>
          <w:rStyle w:val="fontstyle01"/>
          <w:rFonts w:ascii="Garamond" w:hAnsi="Garamond"/>
          <w:sz w:val="24"/>
          <w:szCs w:val="24"/>
        </w:rPr>
        <w:t xml:space="preserve"> </w:t>
      </w:r>
      <w:r w:rsidR="00FA6CAD">
        <w:rPr>
          <w:rStyle w:val="fontstyle01"/>
          <w:rFonts w:ascii="Garamond" w:hAnsi="Garamond"/>
          <w:sz w:val="24"/>
          <w:szCs w:val="24"/>
        </w:rPr>
        <w:t>against</w:t>
      </w:r>
      <w:r w:rsidR="00CA0FF5">
        <w:rPr>
          <w:rStyle w:val="fontstyle01"/>
          <w:rFonts w:ascii="Garamond" w:hAnsi="Garamond"/>
          <w:sz w:val="24"/>
          <w:szCs w:val="24"/>
        </w:rPr>
        <w:t xml:space="preserve"> a </w:t>
      </w:r>
      <w:r w:rsidR="00FA6CAD">
        <w:rPr>
          <w:rStyle w:val="fontstyle01"/>
          <w:rFonts w:ascii="Garamond" w:hAnsi="Garamond"/>
          <w:sz w:val="24"/>
          <w:szCs w:val="24"/>
        </w:rPr>
        <w:t xml:space="preserve">wide range </w:t>
      </w:r>
      <w:r w:rsidR="00CA0FF5">
        <w:rPr>
          <w:rStyle w:val="fontstyle01"/>
          <w:rFonts w:ascii="Garamond" w:hAnsi="Garamond"/>
          <w:sz w:val="24"/>
          <w:szCs w:val="24"/>
        </w:rPr>
        <w:t xml:space="preserve">of </w:t>
      </w:r>
      <w:r w:rsidR="00DE60EE">
        <w:rPr>
          <w:rStyle w:val="fontstyle01"/>
          <w:rFonts w:ascii="Garamond" w:hAnsi="Garamond"/>
          <w:sz w:val="24"/>
          <w:szCs w:val="24"/>
        </w:rPr>
        <w:t>Neo</w:t>
      </w:r>
      <w:r w:rsidR="00E05C3C">
        <w:rPr>
          <w:rStyle w:val="fontstyle01"/>
          <w:rFonts w:ascii="Garamond" w:hAnsi="Garamond"/>
          <w:sz w:val="24"/>
          <w:szCs w:val="24"/>
        </w:rPr>
        <w:t>-</w:t>
      </w:r>
      <w:r w:rsidR="00DE60EE">
        <w:rPr>
          <w:rStyle w:val="fontstyle01"/>
          <w:rFonts w:ascii="Garamond" w:hAnsi="Garamond"/>
          <w:sz w:val="24"/>
          <w:szCs w:val="24"/>
        </w:rPr>
        <w:t>Aristotelian accounts</w:t>
      </w:r>
      <w:r w:rsidR="00BF7F05">
        <w:rPr>
          <w:rStyle w:val="fontstyle01"/>
          <w:rFonts w:ascii="Garamond" w:hAnsi="Garamond"/>
          <w:sz w:val="24"/>
          <w:szCs w:val="24"/>
        </w:rPr>
        <w:t>,</w:t>
      </w:r>
      <w:r w:rsidR="00DE60EE">
        <w:rPr>
          <w:rStyle w:val="fontstyle01"/>
          <w:rFonts w:ascii="Garamond" w:hAnsi="Garamond"/>
          <w:sz w:val="24"/>
          <w:szCs w:val="24"/>
        </w:rPr>
        <w:t xml:space="preserve"> </w:t>
      </w:r>
      <w:r w:rsidR="003B0C23">
        <w:rPr>
          <w:rStyle w:val="fontstyle01"/>
          <w:rFonts w:ascii="Garamond" w:hAnsi="Garamond"/>
          <w:sz w:val="24"/>
          <w:szCs w:val="24"/>
        </w:rPr>
        <w:t>especially</w:t>
      </w:r>
      <w:r w:rsidR="00DE60EE">
        <w:rPr>
          <w:rStyle w:val="fontstyle01"/>
          <w:rFonts w:ascii="Garamond" w:hAnsi="Garamond"/>
          <w:sz w:val="24"/>
          <w:szCs w:val="24"/>
        </w:rPr>
        <w:t xml:space="preserve"> </w:t>
      </w:r>
      <w:r w:rsidR="00FA6CAD">
        <w:rPr>
          <w:rStyle w:val="fontstyle01"/>
          <w:rFonts w:ascii="Garamond" w:hAnsi="Garamond"/>
          <w:sz w:val="24"/>
          <w:szCs w:val="24"/>
        </w:rPr>
        <w:t xml:space="preserve">those of the naturalist variety advocated by </w:t>
      </w:r>
      <w:proofErr w:type="spellStart"/>
      <w:r w:rsidR="00CA0FF5">
        <w:rPr>
          <w:rStyle w:val="fontstyle01"/>
          <w:rFonts w:ascii="Garamond" w:hAnsi="Garamond"/>
          <w:sz w:val="24"/>
          <w:szCs w:val="24"/>
        </w:rPr>
        <w:t>Philip</w:t>
      </w:r>
      <w:r w:rsidR="007652E9">
        <w:rPr>
          <w:rStyle w:val="fontstyle01"/>
          <w:rFonts w:ascii="Garamond" w:hAnsi="Garamond"/>
          <w:sz w:val="24"/>
          <w:szCs w:val="24"/>
        </w:rPr>
        <w:t>p</w:t>
      </w:r>
      <w:r w:rsidR="00CA0FF5">
        <w:rPr>
          <w:rStyle w:val="fontstyle01"/>
          <w:rFonts w:ascii="Garamond" w:hAnsi="Garamond"/>
          <w:sz w:val="24"/>
          <w:szCs w:val="24"/>
        </w:rPr>
        <w:t>a</w:t>
      </w:r>
      <w:proofErr w:type="spellEnd"/>
      <w:r w:rsidR="00CA0FF5">
        <w:rPr>
          <w:rStyle w:val="fontstyle01"/>
          <w:rFonts w:ascii="Garamond" w:hAnsi="Garamond"/>
          <w:sz w:val="24"/>
          <w:szCs w:val="24"/>
        </w:rPr>
        <w:t xml:space="preserve"> Foot, </w:t>
      </w:r>
      <w:r w:rsidR="00FA6CAD">
        <w:rPr>
          <w:rStyle w:val="fontstyle01"/>
          <w:rFonts w:ascii="Garamond" w:hAnsi="Garamond"/>
          <w:sz w:val="24"/>
          <w:szCs w:val="24"/>
        </w:rPr>
        <w:t xml:space="preserve">John </w:t>
      </w:r>
      <w:r w:rsidR="00CA0FF5">
        <w:rPr>
          <w:rStyle w:val="fontstyle01"/>
          <w:rFonts w:ascii="Garamond" w:hAnsi="Garamond"/>
          <w:sz w:val="24"/>
          <w:szCs w:val="24"/>
        </w:rPr>
        <w:t xml:space="preserve">McDowell, and </w:t>
      </w:r>
      <w:r w:rsidR="00FA6CAD">
        <w:rPr>
          <w:rStyle w:val="fontstyle01"/>
          <w:rFonts w:ascii="Garamond" w:hAnsi="Garamond"/>
          <w:sz w:val="24"/>
          <w:szCs w:val="24"/>
        </w:rPr>
        <w:t>Michael Thompson</w:t>
      </w:r>
      <w:r w:rsidR="00BF7F05">
        <w:rPr>
          <w:rStyle w:val="fontstyle01"/>
          <w:rFonts w:ascii="Garamond" w:hAnsi="Garamond"/>
          <w:sz w:val="24"/>
          <w:szCs w:val="24"/>
        </w:rPr>
        <w:t xml:space="preserve">, and which would </w:t>
      </w:r>
      <w:r w:rsidR="003B0C23">
        <w:rPr>
          <w:rStyle w:val="fontstyle01"/>
          <w:rFonts w:ascii="Garamond" w:hAnsi="Garamond"/>
          <w:sz w:val="24"/>
          <w:szCs w:val="24"/>
        </w:rPr>
        <w:t xml:space="preserve">nonetheless </w:t>
      </w:r>
      <w:r w:rsidR="00BF7F05">
        <w:rPr>
          <w:rStyle w:val="fontstyle01"/>
          <w:rFonts w:ascii="Garamond" w:hAnsi="Garamond"/>
          <w:sz w:val="24"/>
          <w:szCs w:val="24"/>
        </w:rPr>
        <w:t xml:space="preserve">equally apply to MacIntyre’s </w:t>
      </w:r>
      <w:r w:rsidR="003B0C23">
        <w:rPr>
          <w:rStyle w:val="fontstyle01"/>
          <w:rFonts w:ascii="Garamond" w:hAnsi="Garamond"/>
          <w:sz w:val="24"/>
          <w:szCs w:val="24"/>
        </w:rPr>
        <w:t>distinctive rendition</w:t>
      </w:r>
      <w:r w:rsidR="00BF7F05">
        <w:rPr>
          <w:rStyle w:val="fontstyle01"/>
          <w:rFonts w:ascii="Garamond" w:hAnsi="Garamond"/>
          <w:sz w:val="24"/>
          <w:szCs w:val="24"/>
        </w:rPr>
        <w:t xml:space="preserve"> of Neo</w:t>
      </w:r>
      <w:r w:rsidR="00E05C3C">
        <w:rPr>
          <w:rStyle w:val="fontstyle01"/>
          <w:rFonts w:ascii="Garamond" w:hAnsi="Garamond"/>
          <w:sz w:val="24"/>
          <w:szCs w:val="24"/>
        </w:rPr>
        <w:t>-</w:t>
      </w:r>
      <w:proofErr w:type="spellStart"/>
      <w:r w:rsidR="00BF7F05">
        <w:rPr>
          <w:rStyle w:val="fontstyle01"/>
          <w:rFonts w:ascii="Garamond" w:hAnsi="Garamond"/>
          <w:sz w:val="24"/>
          <w:szCs w:val="24"/>
        </w:rPr>
        <w:t>Aristotelianism</w:t>
      </w:r>
      <w:proofErr w:type="spellEnd"/>
      <w:r w:rsidR="00FA6CAD">
        <w:rPr>
          <w:rStyle w:val="fontstyle01"/>
          <w:rFonts w:ascii="Garamond" w:hAnsi="Garamond"/>
          <w:sz w:val="24"/>
          <w:szCs w:val="24"/>
        </w:rPr>
        <w:t>.</w:t>
      </w:r>
      <w:r w:rsidR="00BF7F05">
        <w:rPr>
          <w:rStyle w:val="FootnoteReference"/>
          <w:rFonts w:ascii="Garamond" w:hAnsi="Garamond"/>
          <w:color w:val="000000"/>
          <w:sz w:val="24"/>
          <w:szCs w:val="24"/>
        </w:rPr>
        <w:footnoteReference w:id="223"/>
      </w:r>
    </w:p>
    <w:p w:rsidR="00665157" w:rsidRDefault="00016049">
      <w:pPr>
        <w:spacing w:line="360" w:lineRule="auto"/>
        <w:ind w:firstLine="720"/>
        <w:jc w:val="both"/>
        <w:rPr>
          <w:rFonts w:ascii="Garamond" w:hAnsi="Garamond"/>
          <w:sz w:val="24"/>
          <w:szCs w:val="24"/>
        </w:rPr>
      </w:pPr>
      <w:r w:rsidRPr="00461D74">
        <w:rPr>
          <w:rStyle w:val="fontstyle01"/>
          <w:rFonts w:ascii="Garamond" w:hAnsi="Garamond"/>
          <w:sz w:val="24"/>
          <w:szCs w:val="24"/>
        </w:rPr>
        <w:t xml:space="preserve">I will now proceed to outline some of the features of Deweyan democracy, </w:t>
      </w:r>
      <w:r w:rsidR="005C559D">
        <w:rPr>
          <w:rStyle w:val="fontstyle01"/>
          <w:rFonts w:ascii="Garamond" w:hAnsi="Garamond"/>
          <w:sz w:val="24"/>
          <w:szCs w:val="24"/>
        </w:rPr>
        <w:t>for the purpose of</w:t>
      </w:r>
      <w:r w:rsidRPr="00461D74">
        <w:rPr>
          <w:rStyle w:val="fontstyle01"/>
          <w:rFonts w:ascii="Garamond" w:hAnsi="Garamond"/>
          <w:sz w:val="24"/>
          <w:szCs w:val="24"/>
        </w:rPr>
        <w:t xml:space="preserve"> </w:t>
      </w:r>
      <w:r w:rsidR="002C2974">
        <w:rPr>
          <w:rStyle w:val="fontstyle01"/>
          <w:rFonts w:ascii="Garamond" w:hAnsi="Garamond"/>
          <w:sz w:val="24"/>
          <w:szCs w:val="24"/>
        </w:rPr>
        <w:t>articulat</w:t>
      </w:r>
      <w:r w:rsidR="005C559D">
        <w:rPr>
          <w:rStyle w:val="fontstyle01"/>
          <w:rFonts w:ascii="Garamond" w:hAnsi="Garamond"/>
          <w:sz w:val="24"/>
          <w:szCs w:val="24"/>
        </w:rPr>
        <w:t>ing</w:t>
      </w:r>
      <w:r w:rsidR="002C2974" w:rsidRPr="00461D74">
        <w:rPr>
          <w:rStyle w:val="fontstyle01"/>
          <w:rFonts w:ascii="Garamond" w:hAnsi="Garamond"/>
          <w:sz w:val="24"/>
          <w:szCs w:val="24"/>
        </w:rPr>
        <w:t xml:space="preserve"> </w:t>
      </w:r>
      <w:r w:rsidRPr="00461D74">
        <w:rPr>
          <w:rStyle w:val="fontstyle01"/>
          <w:rFonts w:ascii="Garamond" w:hAnsi="Garamond"/>
          <w:sz w:val="24"/>
          <w:szCs w:val="24"/>
        </w:rPr>
        <w:t xml:space="preserve">why in Dewey’s </w:t>
      </w:r>
      <w:r w:rsidR="001240D3">
        <w:rPr>
          <w:rStyle w:val="fontstyle01"/>
          <w:rFonts w:ascii="Garamond" w:hAnsi="Garamond"/>
          <w:sz w:val="24"/>
          <w:szCs w:val="24"/>
        </w:rPr>
        <w:t>conception of ‘democracy</w:t>
      </w:r>
      <w:r w:rsidR="001240D3" w:rsidRPr="00461D74">
        <w:rPr>
          <w:rStyle w:val="fontstyle01"/>
          <w:rFonts w:ascii="Garamond" w:hAnsi="Garamond"/>
          <w:sz w:val="24"/>
          <w:szCs w:val="24"/>
        </w:rPr>
        <w:t xml:space="preserve"> </w:t>
      </w:r>
      <w:r w:rsidR="001240D3">
        <w:rPr>
          <w:rStyle w:val="fontstyle01"/>
          <w:rFonts w:ascii="Garamond" w:hAnsi="Garamond"/>
          <w:sz w:val="24"/>
          <w:szCs w:val="24"/>
        </w:rPr>
        <w:t xml:space="preserve">as a way of life,’ </w:t>
      </w:r>
      <w:r w:rsidRPr="00461D74">
        <w:rPr>
          <w:rStyle w:val="fontstyle01"/>
          <w:rFonts w:ascii="Garamond" w:hAnsi="Garamond"/>
          <w:sz w:val="24"/>
          <w:szCs w:val="24"/>
        </w:rPr>
        <w:t>we possess an alternative pragmatic teleology that can remedy the difficulty in MacIntyre’s account.</w:t>
      </w:r>
    </w:p>
    <w:p w:rsidR="001C62D0" w:rsidRPr="001C62D0" w:rsidRDefault="001C62D0" w:rsidP="001C62D0">
      <w:pPr>
        <w:pStyle w:val="Heading2"/>
        <w:rPr>
          <w:rFonts w:cstheme="majorHAnsi"/>
        </w:rPr>
      </w:pPr>
      <w:bookmarkStart w:id="24" w:name="_Toc528077806"/>
      <w:r w:rsidRPr="001C62D0">
        <w:rPr>
          <w:rFonts w:cstheme="majorHAnsi"/>
        </w:rPr>
        <w:lastRenderedPageBreak/>
        <w:t>3. Democracy as a Way of Life</w:t>
      </w:r>
      <w:bookmarkEnd w:id="24"/>
    </w:p>
    <w:p w:rsidR="001C62D0" w:rsidRDefault="001C62D0" w:rsidP="001C62D0">
      <w:pPr>
        <w:spacing w:line="360" w:lineRule="auto"/>
        <w:jc w:val="both"/>
        <w:rPr>
          <w:rFonts w:ascii="Garamond" w:hAnsi="Garamond" w:cs="Arial"/>
          <w:iCs/>
          <w:color w:val="2C221F"/>
          <w:sz w:val="24"/>
          <w:szCs w:val="24"/>
        </w:rPr>
      </w:pPr>
    </w:p>
    <w:p w:rsidR="00665157" w:rsidRDefault="00016049" w:rsidP="001C62D0">
      <w:pPr>
        <w:spacing w:line="360" w:lineRule="auto"/>
        <w:jc w:val="both"/>
        <w:rPr>
          <w:rFonts w:ascii="Garamond" w:hAnsi="Garamond" w:cs="Arial"/>
          <w:iCs/>
          <w:color w:val="2C221F"/>
          <w:sz w:val="24"/>
          <w:szCs w:val="24"/>
        </w:rPr>
      </w:pPr>
      <w:r w:rsidRPr="00461D74">
        <w:rPr>
          <w:rFonts w:ascii="Garamond" w:hAnsi="Garamond" w:cs="Arial"/>
          <w:iCs/>
          <w:color w:val="2C221F"/>
          <w:sz w:val="24"/>
          <w:szCs w:val="24"/>
        </w:rPr>
        <w:t xml:space="preserve">In </w:t>
      </w:r>
      <w:r w:rsidR="00BD75A4">
        <w:rPr>
          <w:rFonts w:ascii="Garamond" w:hAnsi="Garamond" w:cs="Arial"/>
          <w:iCs/>
          <w:color w:val="2C221F"/>
          <w:sz w:val="24"/>
          <w:szCs w:val="24"/>
        </w:rPr>
        <w:t>furthering our</w:t>
      </w:r>
      <w:r w:rsidRPr="00461D74">
        <w:rPr>
          <w:rFonts w:ascii="Garamond" w:hAnsi="Garamond" w:cs="Arial"/>
          <w:iCs/>
          <w:color w:val="2C221F"/>
          <w:sz w:val="24"/>
          <w:szCs w:val="24"/>
        </w:rPr>
        <w:t xml:space="preserve"> understand</w:t>
      </w:r>
      <w:r w:rsidR="00BD75A4">
        <w:rPr>
          <w:rFonts w:ascii="Garamond" w:hAnsi="Garamond" w:cs="Arial"/>
          <w:iCs/>
          <w:color w:val="2C221F"/>
          <w:sz w:val="24"/>
          <w:szCs w:val="24"/>
        </w:rPr>
        <w:t>ing of</w:t>
      </w:r>
      <w:r w:rsidRPr="00461D74">
        <w:rPr>
          <w:rFonts w:ascii="Garamond" w:hAnsi="Garamond" w:cs="Arial"/>
          <w:iCs/>
          <w:color w:val="2C221F"/>
          <w:sz w:val="24"/>
          <w:szCs w:val="24"/>
        </w:rPr>
        <w:t xml:space="preserve"> Deweyan democracy – democracy as a way of life – we should begin our discussion with </w:t>
      </w:r>
      <w:r w:rsidR="00B770F9">
        <w:rPr>
          <w:rFonts w:ascii="Garamond" w:hAnsi="Garamond" w:cs="Arial"/>
          <w:iCs/>
          <w:color w:val="2C221F"/>
          <w:sz w:val="24"/>
          <w:szCs w:val="24"/>
        </w:rPr>
        <w:t>specifying</w:t>
      </w:r>
      <w:r w:rsidR="00B770F9"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what Dewey means by democracy. The usual </w:t>
      </w:r>
      <w:r w:rsidR="00AD3A4B">
        <w:rPr>
          <w:rFonts w:ascii="Garamond" w:hAnsi="Garamond" w:cs="Arial"/>
          <w:iCs/>
          <w:color w:val="2C221F"/>
          <w:sz w:val="24"/>
          <w:szCs w:val="24"/>
        </w:rPr>
        <w:t xml:space="preserve">(instrumental) </w:t>
      </w:r>
      <w:r w:rsidRPr="00461D74">
        <w:rPr>
          <w:rFonts w:ascii="Garamond" w:hAnsi="Garamond" w:cs="Arial"/>
          <w:iCs/>
          <w:color w:val="2C221F"/>
          <w:sz w:val="24"/>
          <w:szCs w:val="24"/>
        </w:rPr>
        <w:t>definition of democracy is that it is a form of government. In modern representative democracies, citizens of a state participate in elections and choose representatives to represent them in a legislative assembly</w:t>
      </w:r>
      <w:r w:rsidR="00AD3A4B">
        <w:rPr>
          <w:rFonts w:ascii="Garamond" w:hAnsi="Garamond" w:cs="Arial"/>
          <w:iCs/>
          <w:color w:val="2C221F"/>
          <w:sz w:val="24"/>
          <w:szCs w:val="24"/>
        </w:rPr>
        <w:t>.</w:t>
      </w:r>
      <w:r w:rsidRPr="00461D74">
        <w:rPr>
          <w:rFonts w:ascii="Garamond" w:hAnsi="Garamond" w:cs="Arial"/>
          <w:iCs/>
          <w:color w:val="2C221F"/>
          <w:sz w:val="24"/>
          <w:szCs w:val="24"/>
        </w:rPr>
        <w:t xml:space="preserve"> </w:t>
      </w:r>
      <w:r w:rsidR="00AD3A4B">
        <w:rPr>
          <w:rFonts w:ascii="Garamond" w:hAnsi="Garamond" w:cs="Arial"/>
          <w:iCs/>
          <w:color w:val="2C221F"/>
          <w:sz w:val="24"/>
          <w:szCs w:val="24"/>
        </w:rPr>
        <w:t>T</w:t>
      </w:r>
      <w:r w:rsidRPr="00461D74">
        <w:rPr>
          <w:rFonts w:ascii="Garamond" w:hAnsi="Garamond" w:cs="Arial"/>
          <w:iCs/>
          <w:color w:val="2C221F"/>
          <w:sz w:val="24"/>
          <w:szCs w:val="24"/>
        </w:rPr>
        <w:t xml:space="preserve">he members of legislative </w:t>
      </w:r>
      <w:proofErr w:type="gramStart"/>
      <w:r w:rsidRPr="00461D74">
        <w:rPr>
          <w:rFonts w:ascii="Garamond" w:hAnsi="Garamond" w:cs="Arial"/>
          <w:iCs/>
          <w:color w:val="2C221F"/>
          <w:sz w:val="24"/>
          <w:szCs w:val="24"/>
        </w:rPr>
        <w:t>assemblies</w:t>
      </w:r>
      <w:proofErr w:type="gramEnd"/>
      <w:r w:rsidRPr="00461D74">
        <w:rPr>
          <w:rFonts w:ascii="Garamond" w:hAnsi="Garamond" w:cs="Arial"/>
          <w:iCs/>
          <w:color w:val="2C221F"/>
          <w:sz w:val="24"/>
          <w:szCs w:val="24"/>
        </w:rPr>
        <w:t xml:space="preserve"> </w:t>
      </w:r>
      <w:r w:rsidR="007652E9">
        <w:rPr>
          <w:rFonts w:ascii="Garamond" w:hAnsi="Garamond" w:cs="Arial"/>
          <w:iCs/>
          <w:color w:val="2C221F"/>
          <w:sz w:val="24"/>
          <w:szCs w:val="24"/>
        </w:rPr>
        <w:t xml:space="preserve">who are </w:t>
      </w:r>
      <w:r w:rsidRPr="00461D74">
        <w:rPr>
          <w:rFonts w:ascii="Garamond" w:hAnsi="Garamond" w:cs="Arial"/>
          <w:iCs/>
          <w:color w:val="2C221F"/>
          <w:sz w:val="24"/>
          <w:szCs w:val="24"/>
        </w:rPr>
        <w:t xml:space="preserve">chosen by the people through </w:t>
      </w:r>
      <w:r w:rsidR="009C049C">
        <w:rPr>
          <w:rFonts w:ascii="Garamond" w:hAnsi="Garamond" w:cs="Arial"/>
          <w:iCs/>
          <w:color w:val="2C221F"/>
          <w:sz w:val="24"/>
          <w:szCs w:val="24"/>
        </w:rPr>
        <w:t>some</w:t>
      </w:r>
      <w:r w:rsidR="00AD3A4B">
        <w:rPr>
          <w:rFonts w:ascii="Garamond" w:hAnsi="Garamond" w:cs="Arial"/>
          <w:iCs/>
          <w:color w:val="2C221F"/>
          <w:sz w:val="24"/>
          <w:szCs w:val="24"/>
        </w:rPr>
        <w:t xml:space="preserve"> electoral mechanism</w:t>
      </w:r>
      <w:r w:rsidR="000863E2">
        <w:rPr>
          <w:rFonts w:ascii="Garamond" w:hAnsi="Garamond" w:cs="Arial"/>
          <w:iCs/>
          <w:color w:val="2C221F"/>
          <w:sz w:val="24"/>
          <w:szCs w:val="24"/>
        </w:rPr>
        <w:t>,</w:t>
      </w:r>
      <w:r w:rsidRPr="00461D74">
        <w:rPr>
          <w:rFonts w:ascii="Garamond" w:hAnsi="Garamond" w:cs="Arial"/>
          <w:iCs/>
          <w:color w:val="2C221F"/>
          <w:sz w:val="24"/>
          <w:szCs w:val="24"/>
        </w:rPr>
        <w:t xml:space="preserve"> are then</w:t>
      </w:r>
      <w:r w:rsidR="00AD3A4B">
        <w:rPr>
          <w:rFonts w:ascii="Garamond" w:hAnsi="Garamond" w:cs="Arial"/>
          <w:iCs/>
          <w:color w:val="2C221F"/>
          <w:sz w:val="24"/>
          <w:szCs w:val="24"/>
        </w:rPr>
        <w:t xml:space="preserve"> empowered with a number of powers and responsibilities, and at least ideally, are supposed to </w:t>
      </w:r>
      <w:r w:rsidR="00F465BB">
        <w:rPr>
          <w:rFonts w:ascii="Garamond" w:hAnsi="Garamond" w:cs="Arial"/>
          <w:iCs/>
          <w:color w:val="2C221F"/>
          <w:sz w:val="24"/>
          <w:szCs w:val="24"/>
        </w:rPr>
        <w:t>under</w:t>
      </w:r>
      <w:r w:rsidR="00AD3A4B">
        <w:rPr>
          <w:rFonts w:ascii="Garamond" w:hAnsi="Garamond" w:cs="Arial"/>
          <w:iCs/>
          <w:color w:val="2C221F"/>
          <w:sz w:val="24"/>
          <w:szCs w:val="24"/>
        </w:rPr>
        <w:t xml:space="preserve">take actions that </w:t>
      </w:r>
      <w:r w:rsidR="00F465BB">
        <w:rPr>
          <w:rFonts w:ascii="Garamond" w:hAnsi="Garamond" w:cs="Arial"/>
          <w:iCs/>
          <w:color w:val="2C221F"/>
          <w:sz w:val="24"/>
          <w:szCs w:val="24"/>
        </w:rPr>
        <w:t>are</w:t>
      </w:r>
      <w:r w:rsidR="00AD3A4B">
        <w:rPr>
          <w:rFonts w:ascii="Garamond" w:hAnsi="Garamond" w:cs="Arial"/>
          <w:iCs/>
          <w:color w:val="2C221F"/>
          <w:sz w:val="24"/>
          <w:szCs w:val="24"/>
        </w:rPr>
        <w:t xml:space="preserve"> in line with </w:t>
      </w:r>
      <w:r w:rsidRPr="00461D74">
        <w:rPr>
          <w:rFonts w:ascii="Garamond" w:hAnsi="Garamond" w:cs="Arial"/>
          <w:iCs/>
          <w:color w:val="2C221F"/>
          <w:sz w:val="24"/>
          <w:szCs w:val="24"/>
        </w:rPr>
        <w:t>the interests of their respective constituents. When it comes to legislation</w:t>
      </w:r>
      <w:r w:rsidR="007652E9">
        <w:rPr>
          <w:rFonts w:ascii="Garamond" w:hAnsi="Garamond" w:cs="Arial"/>
          <w:iCs/>
          <w:color w:val="2C221F"/>
          <w:sz w:val="24"/>
          <w:szCs w:val="24"/>
        </w:rPr>
        <w:t>,</w:t>
      </w:r>
      <w:r w:rsidRPr="00461D74">
        <w:rPr>
          <w:rFonts w:ascii="Garamond" w:hAnsi="Garamond" w:cs="Arial"/>
          <w:iCs/>
          <w:color w:val="2C221F"/>
          <w:sz w:val="24"/>
          <w:szCs w:val="24"/>
        </w:rPr>
        <w:t xml:space="preserve"> a number of policies are usually drafted and discussed first by legislative leaders; the policies that pass the vetting process are then presented to the rest of the assembly. In the context of parliamentary rules and procedures, the votes of different members of a legislative assembly, representing different constituencies, are aggregated</w:t>
      </w:r>
      <w:r w:rsidR="00F465BB">
        <w:rPr>
          <w:rFonts w:ascii="Garamond" w:hAnsi="Garamond" w:cs="Arial"/>
          <w:iCs/>
          <w:color w:val="2C221F"/>
          <w:sz w:val="24"/>
          <w:szCs w:val="24"/>
        </w:rPr>
        <w:t>,</w:t>
      </w:r>
      <w:r w:rsidRPr="00461D74">
        <w:rPr>
          <w:rFonts w:ascii="Garamond" w:hAnsi="Garamond" w:cs="Arial"/>
          <w:iCs/>
          <w:color w:val="2C221F"/>
          <w:sz w:val="24"/>
          <w:szCs w:val="24"/>
        </w:rPr>
        <w:t xml:space="preserve"> and the legislative measures that receive a majority of the votes in the legislature are then enacted or otherwise pursued.</w:t>
      </w:r>
    </w:p>
    <w:p w:rsidR="00D64999" w:rsidRDefault="00016049">
      <w:pPr>
        <w:spacing w:line="360" w:lineRule="auto"/>
        <w:ind w:firstLine="720"/>
        <w:jc w:val="both"/>
        <w:rPr>
          <w:rFonts w:ascii="Garamond" w:hAnsi="Garamond" w:cs="Arial"/>
          <w:iCs/>
          <w:color w:val="2C221F"/>
          <w:sz w:val="24"/>
          <w:szCs w:val="24"/>
        </w:rPr>
      </w:pPr>
      <w:r w:rsidRPr="00461D74">
        <w:rPr>
          <w:rFonts w:ascii="Garamond" w:hAnsi="Garamond" w:cs="Arial"/>
          <w:iCs/>
          <w:color w:val="2C221F"/>
          <w:sz w:val="24"/>
          <w:szCs w:val="24"/>
        </w:rPr>
        <w:t>However, Dewey’s conception of democracy is not simply democracy as a form of government</w:t>
      </w:r>
      <w:r w:rsidR="00F465BB">
        <w:rPr>
          <w:rFonts w:ascii="Garamond" w:hAnsi="Garamond" w:cs="Arial"/>
          <w:iCs/>
          <w:color w:val="2C221F"/>
          <w:sz w:val="24"/>
          <w:szCs w:val="24"/>
        </w:rPr>
        <w:t>, or put differently, democracy is not merely</w:t>
      </w:r>
      <w:r w:rsidRPr="00461D74">
        <w:rPr>
          <w:rFonts w:ascii="Garamond" w:hAnsi="Garamond" w:cs="Arial"/>
          <w:iCs/>
          <w:color w:val="2C221F"/>
          <w:sz w:val="24"/>
          <w:szCs w:val="24"/>
        </w:rPr>
        <w:t xml:space="preserve"> </w:t>
      </w:r>
      <w:r w:rsidR="00F465BB">
        <w:rPr>
          <w:rFonts w:ascii="Garamond" w:hAnsi="Garamond" w:cs="Arial"/>
          <w:iCs/>
          <w:color w:val="2C221F"/>
          <w:sz w:val="24"/>
          <w:szCs w:val="24"/>
        </w:rPr>
        <w:t>the particular form of the</w:t>
      </w:r>
      <w:r w:rsidRPr="00461D74">
        <w:rPr>
          <w:rFonts w:ascii="Garamond" w:hAnsi="Garamond" w:cs="Arial"/>
          <w:iCs/>
          <w:color w:val="2C221F"/>
          <w:sz w:val="24"/>
          <w:szCs w:val="24"/>
        </w:rPr>
        <w:t xml:space="preserve"> institutional </w:t>
      </w:r>
      <w:r w:rsidR="00F465BB">
        <w:rPr>
          <w:rFonts w:ascii="Garamond" w:hAnsi="Garamond" w:cs="Arial"/>
          <w:iCs/>
          <w:color w:val="2C221F"/>
          <w:sz w:val="24"/>
          <w:szCs w:val="24"/>
        </w:rPr>
        <w:t>apparatus</w:t>
      </w:r>
      <w:r w:rsidR="00F465BB"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through which we engage in politics and secure our interests and preferences. </w:t>
      </w:r>
    </w:p>
    <w:p w:rsidR="00D64999" w:rsidRPr="00D64999" w:rsidRDefault="00D64999" w:rsidP="00D64999">
      <w:pPr>
        <w:spacing w:line="360" w:lineRule="auto"/>
        <w:ind w:left="1440"/>
        <w:jc w:val="both"/>
        <w:rPr>
          <w:rFonts w:ascii="Garamond" w:hAnsi="Garamond" w:cs="Arial"/>
          <w:iCs/>
          <w:color w:val="2C221F"/>
        </w:rPr>
      </w:pPr>
      <w:r w:rsidRPr="00D64999">
        <w:rPr>
          <w:rFonts w:ascii="Garamond" w:hAnsi="Garamond" w:cs="Arial"/>
          <w:iCs/>
          <w:color w:val="2C221F"/>
        </w:rPr>
        <w:t>“We have had occasion to refer in passing to the distinction between democracy as a social idea and political democracy as a system of government. The two are, of course, connected. The idea remains barren and empty save as it is incarnated in human relationships.</w:t>
      </w:r>
      <w:r>
        <w:rPr>
          <w:rFonts w:ascii="Garamond" w:hAnsi="Garamond" w:cs="Arial"/>
          <w:iCs/>
          <w:color w:val="2C221F"/>
        </w:rPr>
        <w:t>”</w:t>
      </w:r>
      <w:r w:rsidR="00C424F5">
        <w:rPr>
          <w:rStyle w:val="FootnoteReference"/>
          <w:rFonts w:ascii="Garamond" w:hAnsi="Garamond" w:cs="Arial"/>
          <w:iCs/>
          <w:color w:val="2C221F"/>
        </w:rPr>
        <w:footnoteReference w:id="224"/>
      </w:r>
    </w:p>
    <w:p w:rsidR="00665157" w:rsidRDefault="009F2264" w:rsidP="00D64999">
      <w:pPr>
        <w:spacing w:line="360" w:lineRule="auto"/>
        <w:jc w:val="both"/>
        <w:rPr>
          <w:rFonts w:ascii="Garamond" w:hAnsi="Garamond" w:cs="Arial"/>
          <w:iCs/>
          <w:color w:val="2C221F"/>
          <w:sz w:val="24"/>
          <w:szCs w:val="24"/>
        </w:rPr>
      </w:pPr>
      <w:r>
        <w:rPr>
          <w:rFonts w:ascii="Garamond" w:hAnsi="Garamond" w:cs="Arial"/>
          <w:iCs/>
          <w:color w:val="2C221F"/>
          <w:sz w:val="24"/>
          <w:szCs w:val="24"/>
        </w:rPr>
        <w:lastRenderedPageBreak/>
        <w:t xml:space="preserve">Even in his earlier work, </w:t>
      </w:r>
      <w:r w:rsidR="00016049" w:rsidRPr="00461D74">
        <w:rPr>
          <w:rFonts w:ascii="Garamond" w:hAnsi="Garamond" w:cs="Arial"/>
          <w:iCs/>
          <w:color w:val="2C221F"/>
          <w:sz w:val="24"/>
          <w:szCs w:val="24"/>
        </w:rPr>
        <w:t>“The Ethics of Democracy</w:t>
      </w:r>
      <w:r>
        <w:rPr>
          <w:rFonts w:ascii="Garamond" w:hAnsi="Garamond" w:cs="Arial"/>
          <w:iCs/>
          <w:color w:val="2C221F"/>
          <w:sz w:val="24"/>
          <w:szCs w:val="24"/>
        </w:rPr>
        <w:t>,</w:t>
      </w:r>
      <w:r w:rsidR="00016049" w:rsidRPr="00461D74">
        <w:rPr>
          <w:rFonts w:ascii="Garamond" w:hAnsi="Garamond" w:cs="Arial"/>
          <w:iCs/>
          <w:color w:val="2C221F"/>
          <w:sz w:val="24"/>
          <w:szCs w:val="24"/>
        </w:rPr>
        <w:t xml:space="preserve">” Dewey rejects the instrumentalist conception of democracy </w:t>
      </w:r>
      <w:r w:rsidR="009B3F21">
        <w:rPr>
          <w:rFonts w:ascii="Garamond" w:hAnsi="Garamond" w:cs="Arial"/>
          <w:iCs/>
          <w:color w:val="2C221F"/>
          <w:sz w:val="24"/>
          <w:szCs w:val="24"/>
        </w:rPr>
        <w:t>–</w:t>
      </w:r>
      <w:r w:rsidR="00016049" w:rsidRPr="00461D74">
        <w:rPr>
          <w:rFonts w:ascii="Garamond" w:hAnsi="Garamond" w:cs="Arial"/>
          <w:iCs/>
          <w:color w:val="2C221F"/>
          <w:sz w:val="24"/>
          <w:szCs w:val="24"/>
        </w:rPr>
        <w:t xml:space="preserve"> democracy as a tool for numerically aggregating interests and preferences </w:t>
      </w:r>
      <w:r w:rsidR="009B3F21">
        <w:rPr>
          <w:rFonts w:ascii="Garamond" w:hAnsi="Garamond" w:cs="Arial"/>
          <w:iCs/>
          <w:color w:val="2C221F"/>
          <w:sz w:val="24"/>
          <w:szCs w:val="24"/>
        </w:rPr>
        <w:t>–</w:t>
      </w:r>
      <w:r w:rsidR="00016049" w:rsidRPr="00461D74">
        <w:rPr>
          <w:rFonts w:ascii="Garamond" w:hAnsi="Garamond" w:cs="Arial"/>
          <w:iCs/>
          <w:color w:val="2C221F"/>
          <w:sz w:val="24"/>
          <w:szCs w:val="24"/>
        </w:rPr>
        <w:t xml:space="preserve"> because it assumes that human beings are atomically isolated individuals; individual isolated from communication, association, and cooperation. </w:t>
      </w:r>
      <w:r w:rsidR="009B3F21">
        <w:rPr>
          <w:rFonts w:ascii="Garamond" w:hAnsi="Garamond" w:cs="Arial"/>
          <w:iCs/>
          <w:color w:val="2C221F"/>
          <w:sz w:val="24"/>
          <w:szCs w:val="24"/>
        </w:rPr>
        <w:t xml:space="preserve">This view makes the further assumption </w:t>
      </w:r>
      <w:r w:rsidR="00016049" w:rsidRPr="00461D74">
        <w:rPr>
          <w:rFonts w:ascii="Garamond" w:hAnsi="Garamond" w:cs="Arial"/>
          <w:iCs/>
          <w:color w:val="2C221F"/>
          <w:sz w:val="24"/>
          <w:szCs w:val="24"/>
        </w:rPr>
        <w:t xml:space="preserve">that the individual and her interests exist prior to, and apart from, socialisation and association. For Dewey, this instrumentalist model of democracy is implausible </w:t>
      </w:r>
      <w:r w:rsidR="009B3F21">
        <w:rPr>
          <w:rFonts w:ascii="Garamond" w:hAnsi="Garamond" w:cs="Arial"/>
          <w:iCs/>
          <w:color w:val="2C221F"/>
          <w:sz w:val="24"/>
          <w:szCs w:val="24"/>
        </w:rPr>
        <w:t>given that</w:t>
      </w:r>
      <w:r w:rsidR="009B3F21" w:rsidRPr="00461D74">
        <w:rPr>
          <w:rFonts w:ascii="Garamond" w:hAnsi="Garamond" w:cs="Arial"/>
          <w:iCs/>
          <w:color w:val="2C221F"/>
          <w:sz w:val="24"/>
          <w:szCs w:val="24"/>
        </w:rPr>
        <w:t xml:space="preserve"> </w:t>
      </w:r>
      <w:r w:rsidR="00221810" w:rsidRPr="00461D74">
        <w:rPr>
          <w:rFonts w:ascii="Garamond" w:hAnsi="Garamond" w:cs="Arial"/>
          <w:iCs/>
          <w:color w:val="2C221F"/>
          <w:sz w:val="24"/>
          <w:szCs w:val="24"/>
        </w:rPr>
        <w:t xml:space="preserve">it fails to </w:t>
      </w:r>
      <w:r w:rsidR="00161D4D" w:rsidRPr="00461D74">
        <w:rPr>
          <w:rFonts w:ascii="Garamond" w:hAnsi="Garamond" w:cs="Arial"/>
          <w:iCs/>
          <w:color w:val="2C221F"/>
          <w:sz w:val="24"/>
          <w:szCs w:val="24"/>
        </w:rPr>
        <w:t xml:space="preserve">sufficiently </w:t>
      </w:r>
      <w:r w:rsidR="00221810" w:rsidRPr="00461D74">
        <w:rPr>
          <w:rFonts w:ascii="Garamond" w:hAnsi="Garamond" w:cs="Arial"/>
          <w:iCs/>
          <w:color w:val="2C221F"/>
          <w:sz w:val="24"/>
          <w:szCs w:val="24"/>
        </w:rPr>
        <w:t xml:space="preserve">acknowledge the </w:t>
      </w:r>
      <w:r w:rsidR="00161D4D" w:rsidRPr="00461D74">
        <w:rPr>
          <w:rFonts w:ascii="Garamond" w:hAnsi="Garamond" w:cs="Arial"/>
          <w:iCs/>
          <w:color w:val="2C221F"/>
          <w:sz w:val="24"/>
          <w:szCs w:val="24"/>
        </w:rPr>
        <w:t>idea that the ‘</w:t>
      </w:r>
      <w:r w:rsidR="00221810" w:rsidRPr="00461D74">
        <w:rPr>
          <w:rFonts w:ascii="Garamond" w:hAnsi="Garamond" w:cs="Arial"/>
          <w:iCs/>
          <w:color w:val="2C221F"/>
          <w:sz w:val="24"/>
          <w:szCs w:val="24"/>
        </w:rPr>
        <w:t>self</w:t>
      </w:r>
      <w:r w:rsidR="00161D4D" w:rsidRPr="00461D74">
        <w:rPr>
          <w:rFonts w:ascii="Garamond" w:hAnsi="Garamond" w:cs="Arial"/>
          <w:iCs/>
          <w:color w:val="2C221F"/>
          <w:sz w:val="24"/>
          <w:szCs w:val="24"/>
        </w:rPr>
        <w:t>’</w:t>
      </w:r>
      <w:r w:rsidR="00221810" w:rsidRPr="00461D74">
        <w:rPr>
          <w:rFonts w:ascii="Garamond" w:hAnsi="Garamond" w:cs="Arial"/>
          <w:iCs/>
          <w:color w:val="2C221F"/>
          <w:sz w:val="24"/>
          <w:szCs w:val="24"/>
        </w:rPr>
        <w:t xml:space="preserve"> is irreducibly social</w:t>
      </w:r>
      <w:r w:rsidR="00161D4D" w:rsidRPr="00461D74">
        <w:rPr>
          <w:rFonts w:ascii="Garamond" w:hAnsi="Garamond" w:cs="Arial"/>
          <w:iCs/>
          <w:color w:val="2C221F"/>
          <w:sz w:val="24"/>
          <w:szCs w:val="24"/>
        </w:rPr>
        <w:t>,</w:t>
      </w:r>
      <w:r w:rsidR="00221810" w:rsidRPr="00461D74">
        <w:rPr>
          <w:rFonts w:ascii="Garamond" w:hAnsi="Garamond" w:cs="Arial"/>
          <w:iCs/>
          <w:color w:val="2C221F"/>
          <w:sz w:val="24"/>
          <w:szCs w:val="24"/>
        </w:rPr>
        <w:t xml:space="preserve"> and that prior to politics the conditions for social life emerge precisely because of group formation</w:t>
      </w:r>
      <w:r w:rsidR="00161D4D" w:rsidRPr="00461D74">
        <w:rPr>
          <w:rFonts w:ascii="Garamond" w:hAnsi="Garamond" w:cs="Arial"/>
          <w:iCs/>
          <w:color w:val="2C221F"/>
          <w:sz w:val="24"/>
          <w:szCs w:val="24"/>
        </w:rPr>
        <w:t xml:space="preserve"> and association between individuals</w:t>
      </w:r>
      <w:r w:rsidR="002D01ED" w:rsidRPr="00461D74">
        <w:rPr>
          <w:rFonts w:ascii="Garamond" w:hAnsi="Garamond" w:cs="Arial"/>
          <w:iCs/>
          <w:color w:val="2C221F"/>
          <w:sz w:val="24"/>
          <w:szCs w:val="24"/>
        </w:rPr>
        <w:t>.</w:t>
      </w:r>
      <w:r w:rsidR="00016049" w:rsidRPr="00461D74">
        <w:rPr>
          <w:rStyle w:val="FootnoteReference"/>
          <w:rFonts w:ascii="Garamond" w:hAnsi="Garamond" w:cs="Arial"/>
          <w:iCs/>
          <w:color w:val="2C221F"/>
          <w:sz w:val="24"/>
          <w:szCs w:val="24"/>
        </w:rPr>
        <w:footnoteReference w:id="225"/>
      </w:r>
    </w:p>
    <w:p w:rsidR="00D64999" w:rsidRDefault="00016049">
      <w:pPr>
        <w:spacing w:line="360" w:lineRule="auto"/>
        <w:jc w:val="both"/>
        <w:rPr>
          <w:rFonts w:ascii="Garamond" w:hAnsi="Garamond" w:cs="Arial"/>
          <w:iCs/>
          <w:color w:val="2C221F"/>
          <w:sz w:val="24"/>
          <w:szCs w:val="24"/>
        </w:rPr>
      </w:pPr>
      <w:r w:rsidRPr="00461D74">
        <w:rPr>
          <w:rFonts w:ascii="Garamond" w:hAnsi="Garamond" w:cs="Arial"/>
          <w:iCs/>
          <w:color w:val="2C221F"/>
          <w:sz w:val="24"/>
          <w:szCs w:val="24"/>
        </w:rPr>
        <w:tab/>
      </w:r>
      <w:r w:rsidR="00D64999">
        <w:rPr>
          <w:rFonts w:ascii="Garamond" w:hAnsi="Garamond" w:cs="Arial"/>
          <w:iCs/>
          <w:color w:val="2C221F"/>
          <w:sz w:val="24"/>
          <w:szCs w:val="24"/>
        </w:rPr>
        <w:t>In</w:t>
      </w:r>
      <w:r w:rsidR="00D64999" w:rsidRPr="00461D74">
        <w:rPr>
          <w:rFonts w:ascii="Garamond" w:hAnsi="Garamond" w:cs="Arial"/>
          <w:iCs/>
          <w:color w:val="2C221F"/>
          <w:sz w:val="24"/>
          <w:szCs w:val="24"/>
        </w:rPr>
        <w:t xml:space="preserve"> </w:t>
      </w:r>
      <w:r w:rsidRPr="00461D74">
        <w:rPr>
          <w:rFonts w:ascii="Garamond" w:hAnsi="Garamond" w:cs="Arial"/>
          <w:iCs/>
          <w:color w:val="2C221F"/>
          <w:sz w:val="24"/>
          <w:szCs w:val="24"/>
        </w:rPr>
        <w:t>contrast, for Dewey, democracy as a way of life “exists in the attitudes and values and meanings of individuals in their interactions with one another.”</w:t>
      </w:r>
      <w:r w:rsidRPr="00461D74">
        <w:rPr>
          <w:rStyle w:val="FootnoteReference"/>
          <w:rFonts w:ascii="Garamond" w:hAnsi="Garamond" w:cs="Arial"/>
          <w:iCs/>
          <w:color w:val="2C221F"/>
          <w:sz w:val="24"/>
          <w:szCs w:val="24"/>
        </w:rPr>
        <w:footnoteReference w:id="226"/>
      </w:r>
      <w:r w:rsidRPr="00461D74">
        <w:rPr>
          <w:rFonts w:ascii="Garamond" w:hAnsi="Garamond" w:cs="Arial"/>
          <w:iCs/>
          <w:color w:val="2C221F"/>
          <w:sz w:val="24"/>
          <w:szCs w:val="24"/>
        </w:rPr>
        <w:t xml:space="preserve"> On this view, democracy “is a personal way of individual life; </w:t>
      </w:r>
      <w:r w:rsidR="001432F7" w:rsidRPr="00461D74">
        <w:rPr>
          <w:rFonts w:ascii="Garamond" w:hAnsi="Garamond" w:cs="Arial"/>
          <w:iCs/>
          <w:color w:val="2C221F"/>
          <w:sz w:val="24"/>
          <w:szCs w:val="24"/>
        </w:rPr>
        <w:t xml:space="preserve">that </w:t>
      </w:r>
      <w:r w:rsidRPr="00461D74">
        <w:rPr>
          <w:rFonts w:ascii="Garamond" w:hAnsi="Garamond" w:cs="Arial"/>
          <w:iCs/>
          <w:color w:val="2C221F"/>
          <w:sz w:val="24"/>
          <w:szCs w:val="24"/>
        </w:rPr>
        <w:t>it signifies the possession and continual use of certain attitudes, forming personal character and determining desire and purpose in all the relations of life</w:t>
      </w:r>
      <w:r w:rsidR="00714D68">
        <w:rPr>
          <w:rFonts w:ascii="Garamond" w:hAnsi="Garamond" w:cs="Arial"/>
          <w:iCs/>
          <w:color w:val="2C221F"/>
          <w:sz w:val="24"/>
          <w:szCs w:val="24"/>
        </w:rPr>
        <w:t>.</w:t>
      </w:r>
      <w:r w:rsidRPr="00461D74">
        <w:rPr>
          <w:rFonts w:ascii="Garamond" w:hAnsi="Garamond" w:cs="Arial"/>
          <w:iCs/>
          <w:color w:val="2C221F"/>
          <w:sz w:val="24"/>
          <w:szCs w:val="24"/>
        </w:rPr>
        <w:t>”</w:t>
      </w:r>
      <w:r w:rsidR="00AA2A48" w:rsidRPr="00461D74">
        <w:rPr>
          <w:rFonts w:ascii="Garamond" w:hAnsi="Garamond" w:cs="Arial"/>
          <w:iCs/>
          <w:color w:val="2C221F"/>
          <w:sz w:val="24"/>
          <w:szCs w:val="24"/>
        </w:rPr>
        <w:fldChar w:fldCharType="begin"/>
      </w:r>
      <w:r w:rsidR="0083324E" w:rsidRPr="00461D74">
        <w:rPr>
          <w:rFonts w:ascii="Garamond" w:hAnsi="Garamond" w:cs="Arial"/>
          <w:iCs/>
          <w:color w:val="2C221F"/>
          <w:sz w:val="24"/>
          <w:szCs w:val="24"/>
        </w:rPr>
        <w:instrText xml:space="preserve"> ADDIN EN.CITE &lt;EndNote&gt;&lt;Cite&gt;&lt;Author&gt;Dewey&lt;/Author&gt;&lt;Year&gt;1969-1991&lt;/Year&gt;&lt;RecNum&gt;122&lt;/RecNum&gt;&lt;Pages&gt;773&lt;/Pages&gt;&lt;record&gt;&lt;rec-number&gt;122&lt;/rec-number&gt;&lt;foreign-keys&gt;&lt;key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461D74">
        <w:rPr>
          <w:rFonts w:ascii="Garamond" w:hAnsi="Garamond" w:cs="Arial"/>
          <w:iCs/>
          <w:color w:val="2C221F"/>
          <w:sz w:val="24"/>
          <w:szCs w:val="24"/>
        </w:rPr>
        <w:fldChar w:fldCharType="end"/>
      </w:r>
      <w:r w:rsidR="00F341FC" w:rsidRPr="00461D74">
        <w:rPr>
          <w:rStyle w:val="FootnoteReference"/>
          <w:rFonts w:ascii="Garamond" w:hAnsi="Garamond" w:cs="Arial"/>
          <w:iCs/>
          <w:color w:val="2C221F"/>
          <w:sz w:val="24"/>
          <w:szCs w:val="24"/>
        </w:rPr>
        <w:footnoteReference w:id="227"/>
      </w:r>
      <w:r w:rsidRPr="00461D74">
        <w:rPr>
          <w:rFonts w:ascii="Garamond" w:hAnsi="Garamond" w:cs="Arial"/>
          <w:iCs/>
          <w:color w:val="2C221F"/>
          <w:sz w:val="24"/>
          <w:szCs w:val="24"/>
        </w:rPr>
        <w:t xml:space="preserve"> </w:t>
      </w:r>
    </w:p>
    <w:p w:rsidR="00D64999" w:rsidRPr="00D64999" w:rsidRDefault="00D64999" w:rsidP="00D64999">
      <w:pPr>
        <w:spacing w:line="360" w:lineRule="auto"/>
        <w:ind w:left="1440"/>
        <w:jc w:val="both"/>
        <w:rPr>
          <w:rFonts w:ascii="Garamond" w:hAnsi="Garamond" w:cs="Arial"/>
          <w:iCs/>
          <w:color w:val="2C221F"/>
        </w:rPr>
      </w:pPr>
      <w:r>
        <w:rPr>
          <w:rFonts w:ascii="Garamond" w:hAnsi="Garamond" w:cs="Arial"/>
          <w:iCs/>
          <w:color w:val="2C221F"/>
        </w:rPr>
        <w:t>“</w:t>
      </w:r>
      <w:r w:rsidRPr="00D64999">
        <w:rPr>
          <w:rFonts w:ascii="Garamond" w:hAnsi="Garamond" w:cs="Arial"/>
          <w:iCs/>
          <w:color w:val="2C221F"/>
        </w:rPr>
        <w:t>The idea of democracy is a wider and fuller idea than can be exemplified in the state even at its best. To be realized it must affect all modes of human association, the family, the school, industry, religion. And even as far as political arrangements are concerned, governmental institutions are but a mechanism for securing to an idea channels of effective operation.</w:t>
      </w:r>
      <w:r>
        <w:rPr>
          <w:rFonts w:ascii="Garamond" w:hAnsi="Garamond" w:cs="Arial"/>
          <w:iCs/>
          <w:color w:val="2C221F"/>
        </w:rPr>
        <w:t>”</w:t>
      </w:r>
      <w:r>
        <w:rPr>
          <w:rStyle w:val="FootnoteReference"/>
          <w:rFonts w:ascii="Garamond" w:hAnsi="Garamond" w:cs="Arial"/>
          <w:iCs/>
          <w:color w:val="2C221F"/>
        </w:rPr>
        <w:footnoteReference w:id="228"/>
      </w:r>
    </w:p>
    <w:p w:rsidR="00665157" w:rsidRDefault="00016049">
      <w:pPr>
        <w:spacing w:line="360" w:lineRule="auto"/>
        <w:jc w:val="both"/>
        <w:rPr>
          <w:rFonts w:ascii="Garamond" w:hAnsi="Garamond" w:cs="Arial"/>
          <w:iCs/>
          <w:color w:val="2C221F"/>
          <w:sz w:val="24"/>
          <w:szCs w:val="24"/>
        </w:rPr>
      </w:pPr>
      <w:r w:rsidRPr="00461D74">
        <w:rPr>
          <w:rFonts w:ascii="Garamond" w:hAnsi="Garamond" w:cs="Arial"/>
          <w:iCs/>
          <w:color w:val="2C221F"/>
          <w:sz w:val="24"/>
          <w:szCs w:val="24"/>
        </w:rPr>
        <w:t xml:space="preserve">What follows from this is that democracy as a way of life requires a particular orientation towards living generally. And, this democratic orientation is a </w:t>
      </w:r>
      <w:r w:rsidRPr="00461D74">
        <w:rPr>
          <w:rFonts w:ascii="Garamond" w:hAnsi="Garamond" w:cs="Arial"/>
          <w:iCs/>
          <w:color w:val="2C221F"/>
          <w:sz w:val="24"/>
          <w:szCs w:val="24"/>
        </w:rPr>
        <w:lastRenderedPageBreak/>
        <w:t>requirement in all social interactions and relationships, and not just those in the context of politics. What does this consist in? Dewey states:</w:t>
      </w:r>
    </w:p>
    <w:p w:rsidR="00665157" w:rsidRDefault="00016049">
      <w:pPr>
        <w:spacing w:line="360" w:lineRule="auto"/>
        <w:ind w:left="1440"/>
        <w:jc w:val="both"/>
        <w:rPr>
          <w:rFonts w:ascii="Garamond" w:hAnsi="Garamond" w:cs="Arial"/>
          <w:iCs/>
          <w:color w:val="2C221F"/>
        </w:rPr>
      </w:pPr>
      <w:r w:rsidRPr="00461D74">
        <w:rPr>
          <w:rFonts w:ascii="Garamond" w:hAnsi="Garamond" w:cs="Arial"/>
          <w:iCs/>
          <w:color w:val="2C221F"/>
        </w:rPr>
        <w:t>“From the standpoint of the individual, it consists in having a responsible share according to capacity in forming and directing activities of the groups to which one belongs and in participating according to need in the values which the groups sustain. From the standpoint of the groups, it demands liberation of the potentialities of members of a group in harmony with the interests and goods which are in common”.</w:t>
      </w:r>
      <w:r w:rsidR="00561EE3" w:rsidRPr="00461D74">
        <w:rPr>
          <w:rStyle w:val="FootnoteReference"/>
          <w:rFonts w:ascii="Garamond" w:hAnsi="Garamond" w:cs="Arial"/>
          <w:iCs/>
          <w:color w:val="2C221F"/>
        </w:rPr>
        <w:footnoteReference w:id="229"/>
      </w:r>
    </w:p>
    <w:p w:rsidR="00847847" w:rsidRDefault="00016049" w:rsidP="00847847">
      <w:pPr>
        <w:spacing w:line="360" w:lineRule="auto"/>
        <w:ind w:firstLine="720"/>
        <w:jc w:val="both"/>
        <w:rPr>
          <w:rFonts w:ascii="Garamond" w:hAnsi="Garamond" w:cs="Arial"/>
          <w:iCs/>
          <w:color w:val="2C221F"/>
          <w:sz w:val="24"/>
          <w:szCs w:val="24"/>
        </w:rPr>
      </w:pPr>
      <w:r w:rsidRPr="00461D74">
        <w:rPr>
          <w:rFonts w:ascii="Garamond" w:hAnsi="Garamond" w:cs="Arial"/>
          <w:iCs/>
          <w:color w:val="2C221F"/>
          <w:sz w:val="24"/>
          <w:szCs w:val="24"/>
        </w:rPr>
        <w:t>Dewey seeks to achieve a kind of society where democracy is not just a form of government, but a way of life – what Dewey calls a “Great Community</w:t>
      </w:r>
      <w:r w:rsidR="00D6631D">
        <w:rPr>
          <w:rFonts w:ascii="Garamond" w:hAnsi="Garamond" w:cs="Arial"/>
          <w:iCs/>
          <w:color w:val="2C221F"/>
          <w:sz w:val="24"/>
          <w:szCs w:val="24"/>
        </w:rPr>
        <w:t>.”</w:t>
      </w:r>
      <w:r w:rsidRPr="00461D74">
        <w:rPr>
          <w:rFonts w:ascii="Garamond" w:hAnsi="Garamond" w:cs="Arial"/>
          <w:iCs/>
          <w:color w:val="2C221F"/>
          <w:sz w:val="24"/>
          <w:szCs w:val="24"/>
        </w:rPr>
        <w:t xml:space="preserve"> When democracy as a way of life is </w:t>
      </w:r>
      <w:r w:rsidR="006375A6">
        <w:rPr>
          <w:rFonts w:ascii="Garamond" w:hAnsi="Garamond" w:cs="Arial"/>
          <w:iCs/>
          <w:color w:val="2C221F"/>
          <w:sz w:val="24"/>
          <w:szCs w:val="24"/>
        </w:rPr>
        <w:t>widely</w:t>
      </w:r>
      <w:r w:rsidR="006375A6"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realised at the </w:t>
      </w:r>
      <w:r w:rsidR="00915233">
        <w:rPr>
          <w:rFonts w:ascii="Garamond" w:hAnsi="Garamond" w:cs="Arial"/>
          <w:iCs/>
          <w:color w:val="2C221F"/>
          <w:sz w:val="24"/>
          <w:szCs w:val="24"/>
        </w:rPr>
        <w:t xml:space="preserve">various </w:t>
      </w:r>
      <w:r w:rsidRPr="00461D74">
        <w:rPr>
          <w:rFonts w:ascii="Garamond" w:hAnsi="Garamond" w:cs="Arial"/>
          <w:iCs/>
          <w:color w:val="2C221F"/>
          <w:sz w:val="24"/>
          <w:szCs w:val="24"/>
        </w:rPr>
        <w:t>level</w:t>
      </w:r>
      <w:r w:rsidR="00915233">
        <w:rPr>
          <w:rFonts w:ascii="Garamond" w:hAnsi="Garamond" w:cs="Arial"/>
          <w:iCs/>
          <w:color w:val="2C221F"/>
          <w:sz w:val="24"/>
          <w:szCs w:val="24"/>
        </w:rPr>
        <w:t xml:space="preserve">s of </w:t>
      </w:r>
      <w:r w:rsidR="006375A6">
        <w:rPr>
          <w:rFonts w:ascii="Garamond" w:hAnsi="Garamond" w:cs="Arial"/>
          <w:iCs/>
          <w:color w:val="2C221F"/>
          <w:sz w:val="24"/>
          <w:szCs w:val="24"/>
        </w:rPr>
        <w:t xml:space="preserve">the </w:t>
      </w:r>
      <w:r w:rsidR="00915233">
        <w:rPr>
          <w:rFonts w:ascii="Garamond" w:hAnsi="Garamond" w:cs="Arial"/>
          <w:iCs/>
          <w:color w:val="2C221F"/>
          <w:sz w:val="24"/>
          <w:szCs w:val="24"/>
        </w:rPr>
        <w:t>social life</w:t>
      </w:r>
      <w:r w:rsidR="006375A6">
        <w:rPr>
          <w:rFonts w:ascii="Garamond" w:hAnsi="Garamond" w:cs="Arial"/>
          <w:iCs/>
          <w:color w:val="2C221F"/>
          <w:sz w:val="24"/>
          <w:szCs w:val="24"/>
        </w:rPr>
        <w:t xml:space="preserve"> of a particular society</w:t>
      </w:r>
      <w:r w:rsidRPr="00461D74">
        <w:rPr>
          <w:rFonts w:ascii="Garamond" w:hAnsi="Garamond" w:cs="Arial"/>
          <w:iCs/>
          <w:color w:val="2C221F"/>
          <w:sz w:val="24"/>
          <w:szCs w:val="24"/>
        </w:rPr>
        <w:t xml:space="preserve">, it engenders the harmonious development of individuals within </w:t>
      </w:r>
      <w:r w:rsidR="006375A6">
        <w:rPr>
          <w:rFonts w:ascii="Garamond" w:hAnsi="Garamond" w:cs="Arial"/>
          <w:iCs/>
          <w:color w:val="2C221F"/>
          <w:sz w:val="24"/>
          <w:szCs w:val="24"/>
        </w:rPr>
        <w:t xml:space="preserve">that </w:t>
      </w:r>
      <w:r w:rsidRPr="00461D74">
        <w:rPr>
          <w:rFonts w:ascii="Garamond" w:hAnsi="Garamond" w:cs="Arial"/>
          <w:iCs/>
          <w:color w:val="2C221F"/>
          <w:sz w:val="24"/>
          <w:szCs w:val="24"/>
        </w:rPr>
        <w:t xml:space="preserve">society, and </w:t>
      </w:r>
      <w:r w:rsidR="00965AB3">
        <w:rPr>
          <w:rFonts w:ascii="Garamond" w:hAnsi="Garamond" w:cs="Arial"/>
          <w:iCs/>
          <w:color w:val="2C221F"/>
          <w:sz w:val="24"/>
          <w:szCs w:val="24"/>
        </w:rPr>
        <w:t xml:space="preserve">realises the </w:t>
      </w:r>
      <w:r w:rsidR="007652E9">
        <w:rPr>
          <w:rFonts w:ascii="Garamond" w:hAnsi="Garamond" w:cs="Arial"/>
          <w:iCs/>
          <w:color w:val="2C221F"/>
          <w:sz w:val="24"/>
          <w:szCs w:val="24"/>
        </w:rPr>
        <w:t>g</w:t>
      </w:r>
      <w:r w:rsidR="00965AB3">
        <w:rPr>
          <w:rFonts w:ascii="Garamond" w:hAnsi="Garamond" w:cs="Arial"/>
          <w:iCs/>
          <w:color w:val="2C221F"/>
          <w:sz w:val="24"/>
          <w:szCs w:val="24"/>
        </w:rPr>
        <w:t xml:space="preserve">rowth of society </w:t>
      </w:r>
      <w:r w:rsidRPr="00461D74">
        <w:rPr>
          <w:rFonts w:ascii="Garamond" w:hAnsi="Garamond" w:cs="Arial"/>
          <w:iCs/>
          <w:color w:val="2C221F"/>
          <w:sz w:val="24"/>
          <w:szCs w:val="24"/>
        </w:rPr>
        <w:t xml:space="preserve">as a whole. </w:t>
      </w:r>
      <w:r w:rsidR="006375A6">
        <w:rPr>
          <w:rFonts w:ascii="Garamond" w:hAnsi="Garamond" w:cs="Arial"/>
          <w:iCs/>
          <w:color w:val="2C221F"/>
          <w:sz w:val="24"/>
          <w:szCs w:val="24"/>
        </w:rPr>
        <w:t>Now</w:t>
      </w:r>
      <w:r w:rsidRPr="00461D74">
        <w:rPr>
          <w:rFonts w:ascii="Garamond" w:hAnsi="Garamond" w:cs="Arial"/>
          <w:iCs/>
          <w:color w:val="2C221F"/>
          <w:sz w:val="24"/>
          <w:szCs w:val="24"/>
        </w:rPr>
        <w:t>, the interests of individual</w:t>
      </w:r>
      <w:r w:rsidR="00EC1C11">
        <w:rPr>
          <w:rFonts w:ascii="Garamond" w:hAnsi="Garamond" w:cs="Arial"/>
          <w:iCs/>
          <w:color w:val="2C221F"/>
          <w:sz w:val="24"/>
          <w:szCs w:val="24"/>
        </w:rPr>
        <w:t xml:space="preserve"> citizen</w:t>
      </w:r>
      <w:r w:rsidRPr="00461D74">
        <w:rPr>
          <w:rFonts w:ascii="Garamond" w:hAnsi="Garamond" w:cs="Arial"/>
          <w:iCs/>
          <w:color w:val="2C221F"/>
          <w:sz w:val="24"/>
          <w:szCs w:val="24"/>
        </w:rPr>
        <w:t xml:space="preserve">s </w:t>
      </w:r>
      <w:r w:rsidR="001C7E5B">
        <w:rPr>
          <w:rFonts w:ascii="Garamond" w:hAnsi="Garamond" w:cs="Arial"/>
          <w:iCs/>
          <w:color w:val="2C221F"/>
          <w:sz w:val="24"/>
          <w:szCs w:val="24"/>
        </w:rPr>
        <w:t>can remain</w:t>
      </w:r>
      <w:r w:rsidR="00430A8E" w:rsidRPr="00461D74">
        <w:rPr>
          <w:rFonts w:ascii="Garamond" w:hAnsi="Garamond" w:cs="Arial"/>
          <w:iCs/>
          <w:color w:val="2C221F"/>
          <w:sz w:val="24"/>
          <w:szCs w:val="24"/>
        </w:rPr>
        <w:t xml:space="preserve"> </w:t>
      </w:r>
      <w:r w:rsidRPr="00461D74">
        <w:rPr>
          <w:rFonts w:ascii="Garamond" w:hAnsi="Garamond" w:cs="Arial"/>
          <w:iCs/>
          <w:color w:val="2C221F"/>
          <w:sz w:val="24"/>
          <w:szCs w:val="24"/>
        </w:rPr>
        <w:t>aligned with society</w:t>
      </w:r>
      <w:r w:rsidR="006375A6">
        <w:rPr>
          <w:rFonts w:ascii="Garamond" w:hAnsi="Garamond" w:cs="Arial"/>
          <w:iCs/>
          <w:color w:val="2C221F"/>
          <w:sz w:val="24"/>
          <w:szCs w:val="24"/>
        </w:rPr>
        <w:t>’s interests</w:t>
      </w:r>
      <w:r w:rsidR="001C7E5B">
        <w:rPr>
          <w:rFonts w:ascii="Garamond" w:hAnsi="Garamond" w:cs="Arial"/>
          <w:iCs/>
          <w:color w:val="2C221F"/>
          <w:sz w:val="24"/>
          <w:szCs w:val="24"/>
        </w:rPr>
        <w:t xml:space="preserve"> as a whole</w:t>
      </w:r>
      <w:r w:rsidRPr="00461D74">
        <w:rPr>
          <w:rFonts w:ascii="Garamond" w:hAnsi="Garamond" w:cs="Arial"/>
          <w:iCs/>
          <w:color w:val="2C221F"/>
          <w:sz w:val="24"/>
          <w:szCs w:val="24"/>
        </w:rPr>
        <w:t xml:space="preserve">, </w:t>
      </w:r>
      <w:r w:rsidR="00430A8E">
        <w:rPr>
          <w:rFonts w:ascii="Garamond" w:hAnsi="Garamond" w:cs="Arial"/>
          <w:iCs/>
          <w:color w:val="2C221F"/>
          <w:sz w:val="24"/>
          <w:szCs w:val="24"/>
        </w:rPr>
        <w:t xml:space="preserve">if </w:t>
      </w:r>
      <w:r w:rsidR="001C7E5B">
        <w:rPr>
          <w:rFonts w:ascii="Garamond" w:hAnsi="Garamond" w:cs="Arial"/>
          <w:iCs/>
          <w:color w:val="2C221F"/>
          <w:sz w:val="24"/>
          <w:szCs w:val="24"/>
        </w:rPr>
        <w:t>we can make a reasonable case for two further claims</w:t>
      </w:r>
      <w:r w:rsidR="00EC1C11">
        <w:rPr>
          <w:rFonts w:ascii="Garamond" w:hAnsi="Garamond" w:cs="Arial"/>
          <w:iCs/>
          <w:color w:val="2C221F"/>
          <w:sz w:val="24"/>
          <w:szCs w:val="24"/>
        </w:rPr>
        <w:t>.</w:t>
      </w:r>
    </w:p>
    <w:p w:rsidR="00CC4558" w:rsidRDefault="00EC1C11" w:rsidP="00CC42B8">
      <w:pPr>
        <w:spacing w:line="360" w:lineRule="auto"/>
        <w:ind w:firstLine="720"/>
        <w:jc w:val="both"/>
        <w:rPr>
          <w:rFonts w:ascii="Garamond" w:hAnsi="Garamond" w:cs="Arial"/>
          <w:iCs/>
          <w:color w:val="2C221F"/>
          <w:sz w:val="24"/>
          <w:szCs w:val="24"/>
        </w:rPr>
      </w:pPr>
      <w:r>
        <w:rPr>
          <w:rFonts w:ascii="Garamond" w:hAnsi="Garamond" w:cs="Arial"/>
          <w:iCs/>
          <w:color w:val="2C221F"/>
          <w:sz w:val="24"/>
          <w:szCs w:val="24"/>
        </w:rPr>
        <w:t>First, under Dewey</w:t>
      </w:r>
      <w:r w:rsidR="00B21422">
        <w:rPr>
          <w:rFonts w:ascii="Garamond" w:hAnsi="Garamond" w:cs="Arial"/>
          <w:iCs/>
          <w:color w:val="2C221F"/>
          <w:sz w:val="24"/>
          <w:szCs w:val="24"/>
        </w:rPr>
        <w:t xml:space="preserve">’s </w:t>
      </w:r>
      <w:r>
        <w:rPr>
          <w:rFonts w:ascii="Garamond" w:hAnsi="Garamond" w:cs="Arial"/>
          <w:iCs/>
          <w:color w:val="2C221F"/>
          <w:sz w:val="24"/>
          <w:szCs w:val="24"/>
        </w:rPr>
        <w:t xml:space="preserve">conception of society </w:t>
      </w:r>
      <w:r w:rsidR="00B21422">
        <w:rPr>
          <w:rFonts w:ascii="Garamond" w:hAnsi="Garamond" w:cs="Arial"/>
          <w:iCs/>
          <w:color w:val="2C221F"/>
          <w:sz w:val="24"/>
          <w:szCs w:val="24"/>
        </w:rPr>
        <w:t xml:space="preserve">(or Deweyan social model) </w:t>
      </w:r>
      <w:r w:rsidR="006B7F55">
        <w:rPr>
          <w:rFonts w:ascii="Garamond" w:hAnsi="Garamond" w:cs="Arial"/>
          <w:iCs/>
          <w:color w:val="2C221F"/>
          <w:sz w:val="24"/>
          <w:szCs w:val="24"/>
        </w:rPr>
        <w:t xml:space="preserve">the highest goods that human beings </w:t>
      </w:r>
      <w:r w:rsidR="001C7E5B">
        <w:rPr>
          <w:rFonts w:ascii="Garamond" w:hAnsi="Garamond" w:cs="Arial"/>
          <w:iCs/>
          <w:color w:val="2C221F"/>
          <w:sz w:val="24"/>
          <w:szCs w:val="24"/>
        </w:rPr>
        <w:t>can potentially</w:t>
      </w:r>
      <w:r w:rsidR="006B7F55">
        <w:rPr>
          <w:rFonts w:ascii="Garamond" w:hAnsi="Garamond" w:cs="Arial"/>
          <w:iCs/>
          <w:color w:val="2C221F"/>
          <w:sz w:val="24"/>
          <w:szCs w:val="24"/>
        </w:rPr>
        <w:t xml:space="preserve"> realise are irreducibly social </w:t>
      </w:r>
      <w:r w:rsidR="00D412AE">
        <w:rPr>
          <w:rFonts w:ascii="Garamond" w:hAnsi="Garamond" w:cs="Arial"/>
          <w:iCs/>
          <w:color w:val="2C221F"/>
          <w:sz w:val="24"/>
          <w:szCs w:val="24"/>
        </w:rPr>
        <w:t>goods</w:t>
      </w:r>
      <w:r w:rsidR="002805AD">
        <w:rPr>
          <w:rFonts w:ascii="Garamond" w:hAnsi="Garamond" w:cs="Arial"/>
          <w:iCs/>
          <w:color w:val="2C221F"/>
          <w:sz w:val="24"/>
          <w:szCs w:val="24"/>
        </w:rPr>
        <w:t xml:space="preserve"> </w:t>
      </w:r>
      <w:r w:rsidR="006B7F55">
        <w:rPr>
          <w:rFonts w:ascii="Garamond" w:hAnsi="Garamond" w:cs="Arial"/>
          <w:iCs/>
          <w:color w:val="2C221F"/>
          <w:sz w:val="24"/>
          <w:szCs w:val="24"/>
        </w:rPr>
        <w:t>–</w:t>
      </w:r>
      <w:r w:rsidR="00D412AE">
        <w:rPr>
          <w:rFonts w:ascii="Garamond" w:hAnsi="Garamond" w:cs="Arial"/>
          <w:iCs/>
          <w:color w:val="2C221F"/>
          <w:sz w:val="24"/>
          <w:szCs w:val="24"/>
        </w:rPr>
        <w:t xml:space="preserve"> </w:t>
      </w:r>
      <w:r w:rsidR="00016049" w:rsidRPr="00461D74">
        <w:rPr>
          <w:rFonts w:ascii="Garamond" w:hAnsi="Garamond" w:cs="Arial"/>
          <w:iCs/>
          <w:color w:val="2C221F"/>
          <w:sz w:val="24"/>
          <w:szCs w:val="24"/>
        </w:rPr>
        <w:t xml:space="preserve">goods that are the outcome of participation in </w:t>
      </w:r>
      <w:r w:rsidR="00D412AE">
        <w:rPr>
          <w:rFonts w:ascii="Garamond" w:hAnsi="Garamond" w:cs="Arial"/>
          <w:iCs/>
          <w:color w:val="2C221F"/>
          <w:sz w:val="24"/>
          <w:szCs w:val="24"/>
        </w:rPr>
        <w:t>cooperative activity</w:t>
      </w:r>
      <w:r w:rsidR="00016049" w:rsidRPr="00461D74">
        <w:rPr>
          <w:rFonts w:ascii="Garamond" w:hAnsi="Garamond" w:cs="Arial"/>
          <w:iCs/>
          <w:color w:val="2C221F"/>
          <w:sz w:val="24"/>
          <w:szCs w:val="24"/>
        </w:rPr>
        <w:t xml:space="preserve">, and in transaction with </w:t>
      </w:r>
      <w:r w:rsidR="00390238">
        <w:rPr>
          <w:rFonts w:ascii="Garamond" w:hAnsi="Garamond" w:cs="Arial"/>
          <w:iCs/>
          <w:color w:val="2C221F"/>
          <w:sz w:val="24"/>
          <w:szCs w:val="24"/>
        </w:rPr>
        <w:t xml:space="preserve">the rest of </w:t>
      </w:r>
      <w:r w:rsidR="00016049" w:rsidRPr="00461D74">
        <w:rPr>
          <w:rFonts w:ascii="Garamond" w:hAnsi="Garamond" w:cs="Arial"/>
          <w:iCs/>
          <w:color w:val="2C221F"/>
          <w:sz w:val="24"/>
          <w:szCs w:val="24"/>
        </w:rPr>
        <w:t xml:space="preserve">society and its institutions. </w:t>
      </w:r>
      <w:r w:rsidR="00390238">
        <w:rPr>
          <w:rFonts w:ascii="Garamond" w:hAnsi="Garamond" w:cs="Arial"/>
          <w:iCs/>
          <w:color w:val="2C221F"/>
          <w:sz w:val="24"/>
          <w:szCs w:val="24"/>
        </w:rPr>
        <w:t xml:space="preserve">The implication is that the close interdependence between the individual’s good and social goods that are a part of publicly realised cooperative activity will ensure an alignment between the interest of the individual and society. Nevertheless, this rationale by itself </w:t>
      </w:r>
      <w:r w:rsidR="00917480">
        <w:rPr>
          <w:rFonts w:ascii="Garamond" w:hAnsi="Garamond" w:cs="Arial"/>
          <w:iCs/>
          <w:color w:val="2C221F"/>
          <w:sz w:val="24"/>
          <w:szCs w:val="24"/>
        </w:rPr>
        <w:t>is</w:t>
      </w:r>
      <w:r w:rsidR="00390238">
        <w:rPr>
          <w:rFonts w:ascii="Garamond" w:hAnsi="Garamond" w:cs="Arial"/>
          <w:iCs/>
          <w:color w:val="2C221F"/>
          <w:sz w:val="24"/>
          <w:szCs w:val="24"/>
        </w:rPr>
        <w:t xml:space="preserve"> insufficient to ground </w:t>
      </w:r>
      <w:r w:rsidR="00917480">
        <w:rPr>
          <w:rFonts w:ascii="Garamond" w:hAnsi="Garamond" w:cs="Arial"/>
          <w:iCs/>
          <w:color w:val="2C221F"/>
          <w:sz w:val="24"/>
          <w:szCs w:val="24"/>
        </w:rPr>
        <w:t>a</w:t>
      </w:r>
      <w:r w:rsidR="007652E9">
        <w:rPr>
          <w:rFonts w:ascii="Garamond" w:hAnsi="Garamond" w:cs="Arial"/>
          <w:iCs/>
          <w:color w:val="2C221F"/>
          <w:sz w:val="24"/>
          <w:szCs w:val="24"/>
        </w:rPr>
        <w:t>n adequate</w:t>
      </w:r>
      <w:r w:rsidR="00917480">
        <w:rPr>
          <w:rFonts w:ascii="Garamond" w:hAnsi="Garamond" w:cs="Arial"/>
          <w:iCs/>
          <w:color w:val="2C221F"/>
          <w:sz w:val="24"/>
          <w:szCs w:val="24"/>
        </w:rPr>
        <w:t xml:space="preserve"> degree of concordance</w:t>
      </w:r>
      <w:r w:rsidR="00390238">
        <w:rPr>
          <w:rFonts w:ascii="Garamond" w:hAnsi="Garamond" w:cs="Arial"/>
          <w:iCs/>
          <w:color w:val="2C221F"/>
          <w:sz w:val="24"/>
          <w:szCs w:val="24"/>
        </w:rPr>
        <w:t xml:space="preserve"> between the individual’s good and societ</w:t>
      </w:r>
      <w:r w:rsidR="00917480">
        <w:rPr>
          <w:rFonts w:ascii="Garamond" w:hAnsi="Garamond" w:cs="Arial"/>
          <w:iCs/>
          <w:color w:val="2C221F"/>
          <w:sz w:val="24"/>
          <w:szCs w:val="24"/>
        </w:rPr>
        <w:t>al good</w:t>
      </w:r>
      <w:r w:rsidR="00390238">
        <w:rPr>
          <w:rFonts w:ascii="Garamond" w:hAnsi="Garamond" w:cs="Arial"/>
          <w:iCs/>
          <w:color w:val="2C221F"/>
          <w:sz w:val="24"/>
          <w:szCs w:val="24"/>
        </w:rPr>
        <w:t>, precisely because the standard by which each are evaluated</w:t>
      </w:r>
      <w:r w:rsidR="00047C3D">
        <w:rPr>
          <w:rFonts w:ascii="Garamond" w:hAnsi="Garamond" w:cs="Arial"/>
          <w:iCs/>
          <w:color w:val="2C221F"/>
          <w:sz w:val="24"/>
          <w:szCs w:val="24"/>
        </w:rPr>
        <w:t>,</w:t>
      </w:r>
      <w:r w:rsidR="00390238">
        <w:rPr>
          <w:rFonts w:ascii="Garamond" w:hAnsi="Garamond" w:cs="Arial"/>
          <w:iCs/>
          <w:color w:val="2C221F"/>
          <w:sz w:val="24"/>
          <w:szCs w:val="24"/>
        </w:rPr>
        <w:t xml:space="preserve"> could potentially diverge. </w:t>
      </w:r>
    </w:p>
    <w:p w:rsidR="00847847" w:rsidRDefault="00CC42B8" w:rsidP="00CC42B8">
      <w:pPr>
        <w:spacing w:line="360" w:lineRule="auto"/>
        <w:ind w:firstLine="720"/>
        <w:jc w:val="both"/>
        <w:rPr>
          <w:rFonts w:ascii="Garamond" w:hAnsi="Garamond" w:cs="Arial"/>
          <w:iCs/>
          <w:color w:val="2C221F"/>
          <w:sz w:val="24"/>
          <w:szCs w:val="24"/>
        </w:rPr>
      </w:pPr>
      <w:r>
        <w:rPr>
          <w:rFonts w:ascii="Garamond" w:hAnsi="Garamond" w:cs="Arial"/>
          <w:iCs/>
          <w:color w:val="2C221F"/>
          <w:sz w:val="24"/>
          <w:szCs w:val="24"/>
        </w:rPr>
        <w:lastRenderedPageBreak/>
        <w:t>Thus</w:t>
      </w:r>
      <w:r w:rsidR="00390238">
        <w:rPr>
          <w:rFonts w:ascii="Garamond" w:hAnsi="Garamond" w:cs="Arial"/>
          <w:iCs/>
          <w:color w:val="2C221F"/>
          <w:sz w:val="24"/>
          <w:szCs w:val="24"/>
        </w:rPr>
        <w:t xml:space="preserve">, Dewey needs </w:t>
      </w:r>
      <w:r>
        <w:rPr>
          <w:rFonts w:ascii="Garamond" w:hAnsi="Garamond" w:cs="Arial"/>
          <w:iCs/>
          <w:color w:val="2C221F"/>
          <w:sz w:val="24"/>
          <w:szCs w:val="24"/>
        </w:rPr>
        <w:t>to closely connect</w:t>
      </w:r>
      <w:r w:rsidR="00390238">
        <w:rPr>
          <w:rFonts w:ascii="Garamond" w:hAnsi="Garamond" w:cs="Arial"/>
          <w:iCs/>
          <w:color w:val="2C221F"/>
          <w:sz w:val="24"/>
          <w:szCs w:val="24"/>
        </w:rPr>
        <w:t xml:space="preserve"> </w:t>
      </w:r>
      <w:r>
        <w:rPr>
          <w:rFonts w:ascii="Garamond" w:hAnsi="Garamond" w:cs="Arial"/>
          <w:iCs/>
          <w:color w:val="2C221F"/>
          <w:sz w:val="24"/>
          <w:szCs w:val="24"/>
        </w:rPr>
        <w:t>these two standards</w:t>
      </w:r>
      <w:r w:rsidR="00D46B56">
        <w:rPr>
          <w:rFonts w:ascii="Garamond" w:hAnsi="Garamond" w:cs="Arial"/>
          <w:iCs/>
          <w:color w:val="2C221F"/>
          <w:sz w:val="24"/>
          <w:szCs w:val="24"/>
        </w:rPr>
        <w:t xml:space="preserve">, and it is at this point we can move to consider the </w:t>
      </w:r>
      <w:r>
        <w:rPr>
          <w:rFonts w:ascii="Garamond" w:hAnsi="Garamond" w:cs="Arial"/>
          <w:iCs/>
          <w:color w:val="2C221F"/>
          <w:sz w:val="24"/>
          <w:szCs w:val="24"/>
        </w:rPr>
        <w:t xml:space="preserve">second </w:t>
      </w:r>
      <w:r w:rsidR="00343AE9">
        <w:rPr>
          <w:rFonts w:ascii="Garamond" w:hAnsi="Garamond" w:cs="Arial"/>
          <w:iCs/>
          <w:color w:val="2C221F"/>
          <w:sz w:val="24"/>
          <w:szCs w:val="24"/>
        </w:rPr>
        <w:t>claim</w:t>
      </w:r>
      <w:r w:rsidR="00D46B56">
        <w:rPr>
          <w:rFonts w:ascii="Garamond" w:hAnsi="Garamond" w:cs="Arial"/>
          <w:iCs/>
          <w:color w:val="2C221F"/>
          <w:sz w:val="24"/>
          <w:szCs w:val="24"/>
        </w:rPr>
        <w:t xml:space="preserve">. Here, </w:t>
      </w:r>
      <w:r>
        <w:rPr>
          <w:rFonts w:ascii="Garamond" w:hAnsi="Garamond" w:cs="Arial"/>
          <w:iCs/>
          <w:color w:val="2C221F"/>
          <w:sz w:val="24"/>
          <w:szCs w:val="24"/>
        </w:rPr>
        <w:t xml:space="preserve">we discover that the standard of success for the Deweyan democratic model </w:t>
      </w:r>
      <w:r w:rsidR="00847847">
        <w:rPr>
          <w:rFonts w:ascii="Garamond" w:hAnsi="Garamond" w:cs="Arial"/>
          <w:iCs/>
          <w:color w:val="2C221F"/>
          <w:sz w:val="24"/>
          <w:szCs w:val="24"/>
        </w:rPr>
        <w:t xml:space="preserve">is defined in terms of the degree to which the conditions for freedom and emancipation </w:t>
      </w:r>
      <w:r w:rsidR="007652E9">
        <w:rPr>
          <w:rFonts w:ascii="Garamond" w:hAnsi="Garamond" w:cs="Arial"/>
          <w:iCs/>
          <w:color w:val="2C221F"/>
          <w:sz w:val="24"/>
          <w:szCs w:val="24"/>
        </w:rPr>
        <w:t xml:space="preserve">are </w:t>
      </w:r>
      <w:r w:rsidR="00847847">
        <w:rPr>
          <w:rFonts w:ascii="Garamond" w:hAnsi="Garamond" w:cs="Arial"/>
          <w:iCs/>
          <w:color w:val="2C221F"/>
          <w:sz w:val="24"/>
          <w:szCs w:val="24"/>
        </w:rPr>
        <w:t>manifest, and widespread participation</w:t>
      </w:r>
      <w:r w:rsidR="00343AE9">
        <w:rPr>
          <w:rFonts w:ascii="Garamond" w:hAnsi="Garamond" w:cs="Arial"/>
          <w:iCs/>
          <w:color w:val="2C221F"/>
          <w:sz w:val="24"/>
          <w:szCs w:val="24"/>
        </w:rPr>
        <w:t xml:space="preserve"> </w:t>
      </w:r>
      <w:r w:rsidR="00717C91">
        <w:rPr>
          <w:rFonts w:ascii="Garamond" w:hAnsi="Garamond" w:cs="Arial"/>
          <w:iCs/>
          <w:color w:val="2C221F"/>
          <w:sz w:val="24"/>
          <w:szCs w:val="24"/>
        </w:rPr>
        <w:t xml:space="preserve">by </w:t>
      </w:r>
      <w:r>
        <w:rPr>
          <w:rFonts w:ascii="Garamond" w:hAnsi="Garamond" w:cs="Arial"/>
          <w:iCs/>
          <w:color w:val="2C221F"/>
          <w:sz w:val="24"/>
          <w:szCs w:val="24"/>
        </w:rPr>
        <w:t>individual</w:t>
      </w:r>
      <w:r w:rsidR="00343AE9">
        <w:rPr>
          <w:rFonts w:ascii="Garamond" w:hAnsi="Garamond" w:cs="Arial"/>
          <w:iCs/>
          <w:color w:val="2C221F"/>
          <w:sz w:val="24"/>
          <w:szCs w:val="24"/>
        </w:rPr>
        <w:t xml:space="preserve"> member</w:t>
      </w:r>
      <w:r>
        <w:rPr>
          <w:rFonts w:ascii="Garamond" w:hAnsi="Garamond" w:cs="Arial"/>
          <w:iCs/>
          <w:color w:val="2C221F"/>
          <w:sz w:val="24"/>
          <w:szCs w:val="24"/>
        </w:rPr>
        <w:t>s</w:t>
      </w:r>
      <w:r w:rsidR="00343AE9">
        <w:rPr>
          <w:rFonts w:ascii="Garamond" w:hAnsi="Garamond" w:cs="Arial"/>
          <w:iCs/>
          <w:color w:val="2C221F"/>
          <w:sz w:val="24"/>
          <w:szCs w:val="24"/>
        </w:rPr>
        <w:t xml:space="preserve"> of the community</w:t>
      </w:r>
      <w:r w:rsidR="00847847">
        <w:rPr>
          <w:rFonts w:ascii="Garamond" w:hAnsi="Garamond" w:cs="Arial"/>
          <w:iCs/>
          <w:color w:val="2C221F"/>
          <w:sz w:val="24"/>
          <w:szCs w:val="24"/>
        </w:rPr>
        <w:t xml:space="preserve"> in those conditions</w:t>
      </w:r>
      <w:r w:rsidR="00343AE9">
        <w:rPr>
          <w:rFonts w:ascii="Garamond" w:hAnsi="Garamond" w:cs="Arial"/>
          <w:iCs/>
          <w:color w:val="2C221F"/>
          <w:sz w:val="24"/>
          <w:szCs w:val="24"/>
        </w:rPr>
        <w:t xml:space="preserve"> emerge</w:t>
      </w:r>
      <w:r w:rsidR="00847847">
        <w:rPr>
          <w:rFonts w:ascii="Garamond" w:hAnsi="Garamond" w:cs="Arial"/>
          <w:iCs/>
          <w:color w:val="2C221F"/>
          <w:sz w:val="24"/>
          <w:szCs w:val="24"/>
        </w:rPr>
        <w:t>. I will tackle the first claim before moving on to the second.</w:t>
      </w:r>
    </w:p>
    <w:p w:rsidR="00665157" w:rsidRDefault="00CC42B8" w:rsidP="00CC42B8">
      <w:pPr>
        <w:spacing w:line="360" w:lineRule="auto"/>
        <w:ind w:firstLine="720"/>
        <w:jc w:val="both"/>
        <w:rPr>
          <w:rFonts w:ascii="Garamond" w:hAnsi="Garamond" w:cs="Arial"/>
          <w:iCs/>
          <w:color w:val="2C221F"/>
          <w:sz w:val="24"/>
          <w:szCs w:val="24"/>
        </w:rPr>
      </w:pPr>
      <w:r>
        <w:rPr>
          <w:rFonts w:ascii="Garamond" w:hAnsi="Garamond" w:cs="Arial"/>
          <w:iCs/>
          <w:color w:val="2C221F"/>
          <w:sz w:val="24"/>
          <w:szCs w:val="24"/>
        </w:rPr>
        <w:t>What is the basis of the first claim? On</w:t>
      </w:r>
      <w:r w:rsidR="00847847">
        <w:rPr>
          <w:rFonts w:ascii="Garamond" w:hAnsi="Garamond" w:cs="Arial"/>
          <w:iCs/>
          <w:color w:val="2C221F"/>
          <w:sz w:val="24"/>
          <w:szCs w:val="24"/>
        </w:rPr>
        <w:t xml:space="preserve"> </w:t>
      </w:r>
      <w:r w:rsidR="00016049" w:rsidRPr="00461D74">
        <w:rPr>
          <w:rFonts w:ascii="Garamond" w:hAnsi="Garamond" w:cs="Arial"/>
          <w:iCs/>
          <w:color w:val="2C221F"/>
          <w:sz w:val="24"/>
          <w:szCs w:val="24"/>
        </w:rPr>
        <w:t>Dewey</w:t>
      </w:r>
      <w:r>
        <w:rPr>
          <w:rFonts w:ascii="Garamond" w:hAnsi="Garamond" w:cs="Arial"/>
          <w:iCs/>
          <w:color w:val="2C221F"/>
          <w:sz w:val="24"/>
          <w:szCs w:val="24"/>
        </w:rPr>
        <w:t>’s account,</w:t>
      </w:r>
      <w:r w:rsidR="00016049" w:rsidRPr="00461D74">
        <w:rPr>
          <w:rFonts w:ascii="Garamond" w:hAnsi="Garamond" w:cs="Arial"/>
          <w:iCs/>
          <w:color w:val="2C221F"/>
          <w:sz w:val="24"/>
          <w:szCs w:val="24"/>
        </w:rPr>
        <w:t xml:space="preserve"> human beings </w:t>
      </w:r>
      <w:r>
        <w:rPr>
          <w:rFonts w:ascii="Garamond" w:hAnsi="Garamond" w:cs="Arial"/>
          <w:iCs/>
          <w:color w:val="2C221F"/>
          <w:sz w:val="24"/>
          <w:szCs w:val="24"/>
        </w:rPr>
        <w:t xml:space="preserve">are viewed </w:t>
      </w:r>
      <w:r w:rsidR="00016049" w:rsidRPr="00461D74">
        <w:rPr>
          <w:rFonts w:ascii="Garamond" w:hAnsi="Garamond" w:cs="Arial"/>
          <w:iCs/>
          <w:color w:val="2C221F"/>
          <w:sz w:val="24"/>
          <w:szCs w:val="24"/>
        </w:rPr>
        <w:t>as inherently social creatures</w:t>
      </w:r>
      <w:r w:rsidR="00860CD7">
        <w:rPr>
          <w:rFonts w:ascii="Garamond" w:hAnsi="Garamond" w:cs="Arial"/>
          <w:iCs/>
          <w:color w:val="2C221F"/>
          <w:sz w:val="24"/>
          <w:szCs w:val="24"/>
        </w:rPr>
        <w:t>, embedded in a variety of social relationships; furthermore,</w:t>
      </w:r>
      <w:r w:rsidR="00016049" w:rsidRPr="00461D74">
        <w:rPr>
          <w:rFonts w:ascii="Garamond" w:hAnsi="Garamond" w:cs="Arial"/>
          <w:iCs/>
          <w:color w:val="2C221F"/>
          <w:sz w:val="24"/>
          <w:szCs w:val="24"/>
        </w:rPr>
        <w:t xml:space="preserve"> </w:t>
      </w:r>
      <w:r w:rsidR="00847847">
        <w:rPr>
          <w:rFonts w:ascii="Garamond" w:hAnsi="Garamond" w:cs="Arial"/>
          <w:iCs/>
          <w:color w:val="2C221F"/>
          <w:sz w:val="24"/>
          <w:szCs w:val="24"/>
        </w:rPr>
        <w:t xml:space="preserve">the experience </w:t>
      </w:r>
      <w:r w:rsidR="00860CD7">
        <w:rPr>
          <w:rFonts w:ascii="Garamond" w:hAnsi="Garamond" w:cs="Arial"/>
          <w:iCs/>
          <w:color w:val="2C221F"/>
          <w:sz w:val="24"/>
          <w:szCs w:val="24"/>
        </w:rPr>
        <w:t>attained in the contexts of</w:t>
      </w:r>
      <w:r w:rsidR="00847847">
        <w:rPr>
          <w:rFonts w:ascii="Garamond" w:hAnsi="Garamond" w:cs="Arial"/>
          <w:iCs/>
          <w:color w:val="2C221F"/>
          <w:sz w:val="24"/>
          <w:szCs w:val="24"/>
        </w:rPr>
        <w:t xml:space="preserve"> </w:t>
      </w:r>
      <w:r w:rsidR="00860CD7">
        <w:rPr>
          <w:rFonts w:ascii="Garamond" w:hAnsi="Garamond" w:cs="Arial"/>
          <w:iCs/>
          <w:color w:val="2C221F"/>
          <w:sz w:val="24"/>
          <w:szCs w:val="24"/>
        </w:rPr>
        <w:t>those</w:t>
      </w:r>
      <w:r w:rsidR="00847847">
        <w:rPr>
          <w:rFonts w:ascii="Garamond" w:hAnsi="Garamond" w:cs="Arial"/>
          <w:iCs/>
          <w:color w:val="2C221F"/>
          <w:sz w:val="24"/>
          <w:szCs w:val="24"/>
        </w:rPr>
        <w:t xml:space="preserve"> relationships </w:t>
      </w:r>
      <w:r>
        <w:rPr>
          <w:rFonts w:ascii="Garamond" w:hAnsi="Garamond" w:cs="Arial"/>
          <w:iCs/>
          <w:color w:val="2C221F"/>
          <w:sz w:val="24"/>
          <w:szCs w:val="24"/>
        </w:rPr>
        <w:t>is</w:t>
      </w:r>
      <w:r w:rsidR="00860CD7">
        <w:rPr>
          <w:rFonts w:ascii="Garamond" w:hAnsi="Garamond" w:cs="Arial"/>
          <w:iCs/>
          <w:color w:val="2C221F"/>
          <w:sz w:val="24"/>
          <w:szCs w:val="24"/>
        </w:rPr>
        <w:t xml:space="preserve"> </w:t>
      </w:r>
      <w:r w:rsidR="00016049" w:rsidRPr="00461D74">
        <w:rPr>
          <w:rFonts w:ascii="Garamond" w:hAnsi="Garamond" w:cs="Arial"/>
          <w:iCs/>
          <w:color w:val="2C221F"/>
          <w:sz w:val="24"/>
          <w:szCs w:val="24"/>
        </w:rPr>
        <w:t>inherently part of what it means to be human. For Dewey, “we develop our humanity, our individuality, in the midst of community living</w:t>
      </w:r>
      <w:r w:rsidR="00D6631D">
        <w:rPr>
          <w:rFonts w:ascii="Garamond" w:hAnsi="Garamond" w:cs="Arial"/>
          <w:iCs/>
          <w:color w:val="2C221F"/>
          <w:sz w:val="24"/>
          <w:szCs w:val="24"/>
        </w:rPr>
        <w:t>.</w:t>
      </w:r>
      <w:r w:rsidR="00016049" w:rsidRPr="00461D74">
        <w:rPr>
          <w:rFonts w:ascii="Garamond" w:hAnsi="Garamond" w:cs="Arial"/>
          <w:iCs/>
          <w:color w:val="2C221F"/>
          <w:sz w:val="24"/>
          <w:szCs w:val="24"/>
        </w:rPr>
        <w:t>”</w:t>
      </w:r>
      <w:r w:rsidR="00016049" w:rsidRPr="00461D74">
        <w:rPr>
          <w:rStyle w:val="FootnoteReference"/>
          <w:rFonts w:ascii="Garamond" w:hAnsi="Garamond" w:cs="Arial"/>
          <w:iCs/>
          <w:color w:val="2C221F"/>
          <w:sz w:val="24"/>
          <w:szCs w:val="24"/>
        </w:rPr>
        <w:footnoteReference w:id="230"/>
      </w:r>
    </w:p>
    <w:p w:rsidR="00665157" w:rsidRDefault="00016049">
      <w:pPr>
        <w:spacing w:line="360" w:lineRule="auto"/>
        <w:ind w:left="1440"/>
        <w:jc w:val="both"/>
        <w:rPr>
          <w:rFonts w:ascii="Garamond" w:hAnsi="Garamond" w:cs="Arial"/>
          <w:iCs/>
          <w:color w:val="2C221F"/>
        </w:rPr>
      </w:pPr>
      <w:r w:rsidRPr="00461D74">
        <w:rPr>
          <w:rFonts w:ascii="Garamond" w:hAnsi="Garamond" w:cs="Arial"/>
          <w:iCs/>
          <w:color w:val="2C221F"/>
        </w:rPr>
        <w:t>“Individuality is a social product, a result of social relationships, a consequence of publicly acknowledged and stable social functions. We are born as separate (and, in this sense, individual) organism, but we are not born individuals. Individuality is not a given fact about human beings, something static, guaranteed</w:t>
      </w:r>
      <w:r w:rsidR="00A5397C" w:rsidRPr="00461D74">
        <w:rPr>
          <w:rFonts w:ascii="Garamond" w:hAnsi="Garamond" w:cs="Arial"/>
          <w:iCs/>
          <w:color w:val="2C221F"/>
        </w:rPr>
        <w:t xml:space="preserve"> </w:t>
      </w:r>
      <w:r w:rsidRPr="00461D74">
        <w:rPr>
          <w:rFonts w:ascii="Garamond" w:hAnsi="Garamond" w:cs="Arial"/>
          <w:iCs/>
          <w:color w:val="2C221F"/>
        </w:rPr>
        <w:t>…</w:t>
      </w:r>
      <w:r w:rsidR="00A5397C" w:rsidRPr="00461D74">
        <w:rPr>
          <w:rFonts w:ascii="Garamond" w:hAnsi="Garamond" w:cs="Arial"/>
          <w:iCs/>
          <w:color w:val="2C221F"/>
        </w:rPr>
        <w:t xml:space="preserve"> </w:t>
      </w:r>
      <w:r w:rsidRPr="00461D74">
        <w:rPr>
          <w:rFonts w:ascii="Garamond" w:hAnsi="Garamond" w:cs="Arial"/>
          <w:iCs/>
          <w:color w:val="2C221F"/>
        </w:rPr>
        <w:t>individuality</w:t>
      </w:r>
      <w:r w:rsidR="00A5397C" w:rsidRPr="00461D74">
        <w:rPr>
          <w:rFonts w:ascii="Garamond" w:hAnsi="Garamond" w:cs="Arial"/>
          <w:iCs/>
          <w:color w:val="2C221F"/>
        </w:rPr>
        <w:t xml:space="preserve"> </w:t>
      </w:r>
      <w:r w:rsidRPr="00461D74">
        <w:rPr>
          <w:rFonts w:ascii="Garamond" w:hAnsi="Garamond" w:cs="Arial"/>
          <w:iCs/>
          <w:color w:val="2C221F"/>
        </w:rPr>
        <w:t>…</w:t>
      </w:r>
      <w:r w:rsidR="00A5397C" w:rsidRPr="00461D74">
        <w:rPr>
          <w:rFonts w:ascii="Garamond" w:hAnsi="Garamond" w:cs="Arial"/>
          <w:iCs/>
          <w:color w:val="2C221F"/>
        </w:rPr>
        <w:t xml:space="preserve"> </w:t>
      </w:r>
      <w:r w:rsidRPr="00461D74">
        <w:rPr>
          <w:rFonts w:ascii="Garamond" w:hAnsi="Garamond" w:cs="Arial"/>
          <w:iCs/>
          <w:color w:val="2C221F"/>
        </w:rPr>
        <w:t>is an achievement, the result of an irreducibly social development process.”</w:t>
      </w:r>
      <w:r w:rsidR="00D73C74" w:rsidRPr="00461D74">
        <w:rPr>
          <w:rStyle w:val="FootnoteReference"/>
          <w:rFonts w:ascii="Garamond" w:hAnsi="Garamond" w:cs="Arial"/>
          <w:iCs/>
          <w:color w:val="2C221F"/>
        </w:rPr>
        <w:footnoteReference w:id="231"/>
      </w:r>
    </w:p>
    <w:p w:rsidR="00665157" w:rsidRDefault="00016049" w:rsidP="00847847">
      <w:pPr>
        <w:spacing w:line="360" w:lineRule="auto"/>
        <w:ind w:firstLine="720"/>
        <w:jc w:val="both"/>
        <w:rPr>
          <w:rFonts w:ascii="Garamond" w:hAnsi="Garamond" w:cs="Arial"/>
          <w:iCs/>
          <w:color w:val="2C221F"/>
          <w:sz w:val="24"/>
          <w:szCs w:val="24"/>
        </w:rPr>
      </w:pPr>
      <w:r w:rsidRPr="00461D74">
        <w:rPr>
          <w:rFonts w:ascii="Garamond" w:hAnsi="Garamond" w:cs="Arial"/>
          <w:iCs/>
          <w:color w:val="2C221F"/>
          <w:sz w:val="24"/>
          <w:szCs w:val="24"/>
        </w:rPr>
        <w:t>Individuality in this sense is the historical social development of the self</w:t>
      </w:r>
      <w:r w:rsidR="007652E9">
        <w:rPr>
          <w:rFonts w:ascii="Garamond" w:hAnsi="Garamond" w:cs="Arial"/>
          <w:iCs/>
          <w:color w:val="2C221F"/>
          <w:sz w:val="24"/>
          <w:szCs w:val="24"/>
        </w:rPr>
        <w:t>,</w:t>
      </w:r>
      <w:r w:rsidRPr="00461D74">
        <w:rPr>
          <w:rFonts w:ascii="Garamond" w:hAnsi="Garamond" w:cs="Arial"/>
          <w:iCs/>
          <w:color w:val="2C221F"/>
          <w:sz w:val="24"/>
          <w:szCs w:val="24"/>
        </w:rPr>
        <w:t xml:space="preserve"> and on Dewey’s view, this process of development is continuous with the development of democracy as a way of life – as taking a particular stand and orientation towards life. For Dewey, the process by which we realise our individuality is best understood as self-realisation; it involves the continuous development of the self in the context of all its social relationships. </w:t>
      </w:r>
      <w:r w:rsidR="00A5397C" w:rsidRPr="00461D74">
        <w:rPr>
          <w:rFonts w:ascii="Garamond" w:hAnsi="Garamond" w:cs="Arial"/>
          <w:iCs/>
          <w:color w:val="2C221F"/>
          <w:sz w:val="24"/>
          <w:szCs w:val="24"/>
        </w:rPr>
        <w:t>As one commentator puts it:</w:t>
      </w:r>
    </w:p>
    <w:p w:rsidR="00665157" w:rsidRDefault="00016049">
      <w:pPr>
        <w:spacing w:line="360" w:lineRule="auto"/>
        <w:ind w:left="1440"/>
        <w:jc w:val="both"/>
        <w:rPr>
          <w:rFonts w:ascii="Garamond" w:hAnsi="Garamond" w:cs="Arial"/>
          <w:iCs/>
          <w:color w:val="2C221F"/>
        </w:rPr>
      </w:pPr>
      <w:r w:rsidRPr="00461D74">
        <w:rPr>
          <w:rFonts w:ascii="Garamond" w:hAnsi="Garamond" w:cs="Arial"/>
          <w:iCs/>
          <w:color w:val="2C221F"/>
        </w:rPr>
        <w:lastRenderedPageBreak/>
        <w:t>“Individuality, then, is not reverse-conformity, self-sufficiency, or a necessary, natural human quality. Instead, for Dewey, individuality, like community, is a process of growth. It is self-realization, the continuous development of one’s potentialities. Seen in this way as self-actualization, individuality is fragile. It does not happen naturally or automatically, but rather requires the presence of those conditions which make possible continuing growth.”</w:t>
      </w:r>
      <w:r w:rsidRPr="00461D74">
        <w:rPr>
          <w:rStyle w:val="FootnoteReference"/>
          <w:rFonts w:ascii="Garamond" w:hAnsi="Garamond" w:cs="Arial"/>
          <w:iCs/>
          <w:color w:val="2C221F"/>
        </w:rPr>
        <w:footnoteReference w:id="232"/>
      </w:r>
    </w:p>
    <w:p w:rsidR="009F065E" w:rsidRDefault="00016049">
      <w:pPr>
        <w:spacing w:line="360" w:lineRule="auto"/>
        <w:jc w:val="both"/>
        <w:rPr>
          <w:rFonts w:ascii="Garamond" w:hAnsi="Garamond" w:cs="Arial"/>
          <w:iCs/>
          <w:color w:val="2C221F"/>
          <w:sz w:val="24"/>
          <w:szCs w:val="24"/>
        </w:rPr>
      </w:pPr>
      <w:r w:rsidRPr="00461D74">
        <w:rPr>
          <w:rFonts w:ascii="Garamond" w:hAnsi="Garamond" w:cs="Arial"/>
          <w:iCs/>
          <w:color w:val="2C221F"/>
          <w:sz w:val="24"/>
          <w:szCs w:val="24"/>
        </w:rPr>
        <w:t>We can then understand democracy as a way of life, as the intelligent realization of the individual’s potentialities through continuous social development, precisely because the social process from which democracy as a way of life emerges is the same as the social process that realises ‘individuality</w:t>
      </w:r>
      <w:r w:rsidR="00502669">
        <w:rPr>
          <w:rFonts w:ascii="Garamond" w:hAnsi="Garamond" w:cs="Arial"/>
          <w:iCs/>
          <w:color w:val="2C221F"/>
          <w:sz w:val="24"/>
          <w:szCs w:val="24"/>
        </w:rPr>
        <w:t>.</w:t>
      </w:r>
      <w:r w:rsidRPr="00461D74">
        <w:rPr>
          <w:rFonts w:ascii="Garamond" w:hAnsi="Garamond" w:cs="Arial"/>
          <w:iCs/>
          <w:color w:val="2C221F"/>
          <w:sz w:val="24"/>
          <w:szCs w:val="24"/>
        </w:rPr>
        <w:t>’</w:t>
      </w:r>
    </w:p>
    <w:p w:rsidR="00665157" w:rsidRDefault="009F065E" w:rsidP="00430A8E">
      <w:pPr>
        <w:spacing w:line="360" w:lineRule="auto"/>
        <w:ind w:firstLine="720"/>
        <w:jc w:val="both"/>
        <w:rPr>
          <w:rFonts w:ascii="Garamond" w:hAnsi="Garamond" w:cs="Arial"/>
          <w:iCs/>
          <w:color w:val="2C221F"/>
          <w:sz w:val="24"/>
          <w:szCs w:val="24"/>
        </w:rPr>
      </w:pPr>
      <w:r>
        <w:rPr>
          <w:rFonts w:ascii="Garamond" w:hAnsi="Garamond" w:cs="Arial"/>
          <w:iCs/>
          <w:color w:val="2C221F"/>
          <w:sz w:val="24"/>
          <w:szCs w:val="24"/>
        </w:rPr>
        <w:t xml:space="preserve">The second </w:t>
      </w:r>
      <w:r w:rsidR="00CC42B8">
        <w:rPr>
          <w:rFonts w:ascii="Garamond" w:hAnsi="Garamond" w:cs="Arial"/>
          <w:iCs/>
          <w:color w:val="2C221F"/>
          <w:sz w:val="24"/>
          <w:szCs w:val="24"/>
        </w:rPr>
        <w:t xml:space="preserve">claim is motivated </w:t>
      </w:r>
      <w:r w:rsidR="00570B6E">
        <w:rPr>
          <w:rFonts w:ascii="Garamond" w:hAnsi="Garamond" w:cs="Arial"/>
          <w:iCs/>
          <w:color w:val="2C221F"/>
          <w:sz w:val="24"/>
          <w:szCs w:val="24"/>
        </w:rPr>
        <w:t>by the fact that</w:t>
      </w:r>
      <w:r w:rsidR="00CC42B8">
        <w:rPr>
          <w:rFonts w:ascii="Garamond" w:hAnsi="Garamond" w:cs="Arial"/>
          <w:iCs/>
          <w:color w:val="2C221F"/>
          <w:sz w:val="24"/>
          <w:szCs w:val="24"/>
        </w:rPr>
        <w:t xml:space="preserve"> </w:t>
      </w:r>
      <w:r w:rsidR="00016049" w:rsidRPr="00461D74">
        <w:rPr>
          <w:rFonts w:ascii="Garamond" w:hAnsi="Garamond" w:cs="Arial"/>
          <w:iCs/>
          <w:color w:val="2C221F"/>
          <w:sz w:val="24"/>
          <w:szCs w:val="24"/>
        </w:rPr>
        <w:t xml:space="preserve">democracy as a way life </w:t>
      </w:r>
      <w:r w:rsidR="00430A8E">
        <w:rPr>
          <w:rFonts w:ascii="Garamond" w:hAnsi="Garamond" w:cs="Arial"/>
          <w:iCs/>
          <w:color w:val="2C221F"/>
          <w:sz w:val="24"/>
          <w:szCs w:val="24"/>
        </w:rPr>
        <w:t>can only</w:t>
      </w:r>
      <w:r w:rsidR="00430A8E" w:rsidRPr="00461D74">
        <w:rPr>
          <w:rFonts w:ascii="Garamond" w:hAnsi="Garamond" w:cs="Arial"/>
          <w:iCs/>
          <w:color w:val="2C221F"/>
          <w:sz w:val="24"/>
          <w:szCs w:val="24"/>
        </w:rPr>
        <w:t xml:space="preserve"> </w:t>
      </w:r>
      <w:r w:rsidR="00016049" w:rsidRPr="00461D74">
        <w:rPr>
          <w:rFonts w:ascii="Garamond" w:hAnsi="Garamond" w:cs="Arial"/>
          <w:iCs/>
          <w:color w:val="2C221F"/>
          <w:sz w:val="24"/>
          <w:szCs w:val="24"/>
        </w:rPr>
        <w:t>emerge</w:t>
      </w:r>
      <w:r w:rsidR="00570B6E">
        <w:rPr>
          <w:rFonts w:ascii="Garamond" w:hAnsi="Garamond" w:cs="Arial"/>
          <w:iCs/>
          <w:color w:val="2C221F"/>
          <w:sz w:val="24"/>
          <w:szCs w:val="24"/>
        </w:rPr>
        <w:t>,</w:t>
      </w:r>
      <w:r w:rsidR="00016049" w:rsidRPr="00461D74">
        <w:rPr>
          <w:rFonts w:ascii="Garamond" w:hAnsi="Garamond" w:cs="Arial"/>
          <w:iCs/>
          <w:color w:val="2C221F"/>
          <w:sz w:val="24"/>
          <w:szCs w:val="24"/>
        </w:rPr>
        <w:t xml:space="preserve"> and </w:t>
      </w:r>
      <w:r w:rsidR="007652E9">
        <w:rPr>
          <w:rFonts w:ascii="Garamond" w:hAnsi="Garamond" w:cs="Arial"/>
          <w:iCs/>
          <w:color w:val="2C221F"/>
          <w:sz w:val="24"/>
          <w:szCs w:val="24"/>
        </w:rPr>
        <w:t>g</w:t>
      </w:r>
      <w:r w:rsidR="00016049" w:rsidRPr="00461D74">
        <w:rPr>
          <w:rFonts w:ascii="Garamond" w:hAnsi="Garamond" w:cs="Arial"/>
          <w:iCs/>
          <w:color w:val="2C221F"/>
          <w:sz w:val="24"/>
          <w:szCs w:val="24"/>
        </w:rPr>
        <w:t xml:space="preserve">rowth </w:t>
      </w:r>
      <w:r w:rsidR="00430A8E">
        <w:rPr>
          <w:rFonts w:ascii="Garamond" w:hAnsi="Garamond" w:cs="Arial"/>
          <w:iCs/>
          <w:color w:val="2C221F"/>
          <w:sz w:val="24"/>
          <w:szCs w:val="24"/>
        </w:rPr>
        <w:t xml:space="preserve">of individual and society as a whole can only </w:t>
      </w:r>
      <w:r w:rsidR="00016049" w:rsidRPr="00461D74">
        <w:rPr>
          <w:rFonts w:ascii="Garamond" w:hAnsi="Garamond" w:cs="Arial"/>
          <w:iCs/>
          <w:color w:val="2C221F"/>
          <w:sz w:val="24"/>
          <w:szCs w:val="24"/>
        </w:rPr>
        <w:t xml:space="preserve">be </w:t>
      </w:r>
      <w:r w:rsidR="00430A8E">
        <w:rPr>
          <w:rFonts w:ascii="Garamond" w:hAnsi="Garamond" w:cs="Arial"/>
          <w:iCs/>
          <w:color w:val="2C221F"/>
          <w:sz w:val="24"/>
          <w:szCs w:val="24"/>
        </w:rPr>
        <w:t>advanced</w:t>
      </w:r>
      <w:r w:rsidR="00570B6E">
        <w:rPr>
          <w:rFonts w:ascii="Garamond" w:hAnsi="Garamond" w:cs="Arial"/>
          <w:iCs/>
          <w:color w:val="2C221F"/>
          <w:sz w:val="24"/>
          <w:szCs w:val="24"/>
        </w:rPr>
        <w:t>,</w:t>
      </w:r>
      <w:r w:rsidR="00430A8E">
        <w:rPr>
          <w:rFonts w:ascii="Garamond" w:hAnsi="Garamond" w:cs="Arial"/>
          <w:iCs/>
          <w:color w:val="2C221F"/>
          <w:sz w:val="24"/>
          <w:szCs w:val="24"/>
        </w:rPr>
        <w:t xml:space="preserve"> under </w:t>
      </w:r>
      <w:r w:rsidR="00016049" w:rsidRPr="00461D74">
        <w:rPr>
          <w:rFonts w:ascii="Garamond" w:hAnsi="Garamond" w:cs="Arial"/>
          <w:iCs/>
          <w:color w:val="2C221F"/>
          <w:sz w:val="24"/>
          <w:szCs w:val="24"/>
        </w:rPr>
        <w:t xml:space="preserve">certain social conditions. So what are those conditions that make </w:t>
      </w:r>
      <w:r w:rsidR="007652E9">
        <w:rPr>
          <w:rFonts w:ascii="Garamond" w:hAnsi="Garamond" w:cs="Arial"/>
          <w:iCs/>
          <w:color w:val="2C221F"/>
          <w:sz w:val="24"/>
          <w:szCs w:val="24"/>
        </w:rPr>
        <w:t>g</w:t>
      </w:r>
      <w:r w:rsidR="00016049" w:rsidRPr="00461D74">
        <w:rPr>
          <w:rFonts w:ascii="Garamond" w:hAnsi="Garamond" w:cs="Arial"/>
          <w:iCs/>
          <w:color w:val="2C221F"/>
          <w:sz w:val="24"/>
          <w:szCs w:val="24"/>
        </w:rPr>
        <w:t xml:space="preserve">rowth possible? Dewey argues that ‘freedom’ makes </w:t>
      </w:r>
      <w:r w:rsidR="007652E9">
        <w:rPr>
          <w:rFonts w:ascii="Garamond" w:hAnsi="Garamond" w:cs="Arial"/>
          <w:iCs/>
          <w:color w:val="2C221F"/>
          <w:sz w:val="24"/>
          <w:szCs w:val="24"/>
        </w:rPr>
        <w:t>g</w:t>
      </w:r>
      <w:r w:rsidR="00016049" w:rsidRPr="00461D74">
        <w:rPr>
          <w:rFonts w:ascii="Garamond" w:hAnsi="Garamond" w:cs="Arial"/>
          <w:iCs/>
          <w:color w:val="2C221F"/>
          <w:sz w:val="24"/>
          <w:szCs w:val="24"/>
        </w:rPr>
        <w:t>rowth possible and defines it not only as the presence of the conditions necessary for self-realisation, but also the widespread participation by members of the community in the conditions necessary for self-realisation</w:t>
      </w:r>
      <w:r w:rsidR="00E6444D" w:rsidRPr="00461D74">
        <w:rPr>
          <w:rFonts w:ascii="Garamond" w:hAnsi="Garamond" w:cs="Arial"/>
          <w:iCs/>
          <w:color w:val="2C221F"/>
          <w:sz w:val="24"/>
          <w:szCs w:val="24"/>
        </w:rPr>
        <w:t>.</w:t>
      </w:r>
      <w:r w:rsidR="00E6444D" w:rsidRPr="00461D74">
        <w:rPr>
          <w:rStyle w:val="FootnoteReference"/>
          <w:rFonts w:ascii="Garamond" w:hAnsi="Garamond" w:cs="Arial"/>
          <w:iCs/>
          <w:color w:val="2C221F"/>
          <w:sz w:val="24"/>
          <w:szCs w:val="24"/>
        </w:rPr>
        <w:footnoteReference w:id="233"/>
      </w:r>
      <w:r w:rsidR="00016049" w:rsidRPr="00461D74">
        <w:rPr>
          <w:rFonts w:ascii="Garamond" w:hAnsi="Garamond" w:cs="Arial"/>
          <w:iCs/>
          <w:color w:val="2C221F"/>
          <w:sz w:val="24"/>
          <w:szCs w:val="24"/>
        </w:rPr>
        <w:t xml:space="preserve"> Thus freedom for Dewey can’t simply be defined in negative terms, since the absence of overt material or legal obstacles to </w:t>
      </w:r>
      <w:r w:rsidR="007652E9">
        <w:rPr>
          <w:rFonts w:ascii="Garamond" w:hAnsi="Garamond" w:cs="Arial"/>
          <w:iCs/>
          <w:color w:val="2C221F"/>
          <w:sz w:val="24"/>
          <w:szCs w:val="24"/>
        </w:rPr>
        <w:t>g</w:t>
      </w:r>
      <w:r w:rsidR="00016049" w:rsidRPr="00461D74">
        <w:rPr>
          <w:rFonts w:ascii="Garamond" w:hAnsi="Garamond" w:cs="Arial"/>
          <w:iCs/>
          <w:color w:val="2C221F"/>
          <w:sz w:val="24"/>
          <w:szCs w:val="24"/>
        </w:rPr>
        <w:t>rowth isn’t by itself sufficient for the realisation of genuine freedom.</w:t>
      </w:r>
    </w:p>
    <w:p w:rsidR="00665157" w:rsidRDefault="00016049">
      <w:pPr>
        <w:spacing w:line="360" w:lineRule="auto"/>
        <w:ind w:left="1440" w:firstLine="720"/>
        <w:jc w:val="both"/>
        <w:rPr>
          <w:rFonts w:ascii="Garamond" w:hAnsi="Garamond" w:cs="Arial"/>
          <w:iCs/>
          <w:color w:val="2C221F"/>
        </w:rPr>
      </w:pPr>
      <w:r w:rsidRPr="00461D74">
        <w:rPr>
          <w:rFonts w:ascii="Garamond" w:hAnsi="Garamond" w:cs="Arial"/>
          <w:iCs/>
          <w:color w:val="2C221F"/>
        </w:rPr>
        <w:t xml:space="preserve">“The real fallacy [of classical liberalism] lies in the notion that individuals have such a native or original endowment of rights, powers, and wants that all that is required on the side of institutions and laws is to eliminate the obstructions they offer to the </w:t>
      </w:r>
      <w:r w:rsidR="00A5397C" w:rsidRPr="00461D74">
        <w:rPr>
          <w:rFonts w:ascii="Garamond" w:hAnsi="Garamond" w:cs="Arial"/>
          <w:iCs/>
          <w:color w:val="2C221F"/>
        </w:rPr>
        <w:t>‘</w:t>
      </w:r>
      <w:r w:rsidRPr="00461D74">
        <w:rPr>
          <w:rFonts w:ascii="Garamond" w:hAnsi="Garamond" w:cs="Arial"/>
          <w:iCs/>
          <w:color w:val="2C221F"/>
        </w:rPr>
        <w:t>free equipment of individuals.</w:t>
      </w:r>
      <w:r w:rsidR="00A5397C" w:rsidRPr="00461D74">
        <w:rPr>
          <w:rFonts w:ascii="Garamond" w:hAnsi="Garamond" w:cs="Arial"/>
          <w:iCs/>
          <w:color w:val="2C221F"/>
        </w:rPr>
        <w:t>’</w:t>
      </w:r>
      <w:r w:rsidRPr="00461D74">
        <w:rPr>
          <w:rFonts w:ascii="Garamond" w:hAnsi="Garamond" w:cs="Arial"/>
          <w:iCs/>
          <w:color w:val="2C221F"/>
        </w:rPr>
        <w:t xml:space="preserve"> The removal of obstructions did have a liberating effect upon individuals as were antecedently possessed of the means, intellectual and economic, to take advantage of the changed social </w:t>
      </w:r>
      <w:r w:rsidRPr="00461D74">
        <w:rPr>
          <w:rFonts w:ascii="Garamond" w:hAnsi="Garamond" w:cs="Arial"/>
          <w:iCs/>
          <w:color w:val="2C221F"/>
        </w:rPr>
        <w:lastRenderedPageBreak/>
        <w:t>conditions. But it left all others at the mercy of the new social conditions brought about by the freed powers of those advantageously situated.</w:t>
      </w:r>
      <w:r w:rsidR="00313A5A" w:rsidRPr="00461D74">
        <w:rPr>
          <w:rFonts w:ascii="Garamond" w:hAnsi="Garamond" w:cs="Arial"/>
          <w:iCs/>
          <w:color w:val="2C221F"/>
        </w:rPr>
        <w:t xml:space="preserve"> </w:t>
      </w:r>
      <w:r w:rsidRPr="00461D74">
        <w:rPr>
          <w:rFonts w:ascii="Garamond" w:hAnsi="Garamond" w:cs="Arial"/>
          <w:iCs/>
          <w:color w:val="2C221F"/>
        </w:rPr>
        <w:t xml:space="preserve">The notion that men are equally free to act if only the same legal arrangements apply equally to all – irrespective of differences in education, in command of capital, and the control of the social environment which is furnished by the institution of property – is a pure absurdity. </w:t>
      </w:r>
      <w:r w:rsidRPr="00461D74">
        <w:rPr>
          <w:rFonts w:ascii="Garamond" w:hAnsi="Garamond"/>
        </w:rPr>
        <w:t>Since actual, that is effective, rights and demands are products of interactions, and are not found in the original and isolated constitution of human nature, whether moral or psychological, mere elimination is not enough. The latter merely liberates force and ability as that happens to be distributed by past accidents of history.</w:t>
      </w:r>
      <w:r w:rsidRPr="00461D74">
        <w:rPr>
          <w:rFonts w:ascii="Garamond" w:hAnsi="Garamond" w:cs="Arial"/>
          <w:iCs/>
          <w:color w:val="2C221F"/>
        </w:rPr>
        <w:t>”</w:t>
      </w:r>
      <w:r w:rsidR="00313A5A" w:rsidRPr="00461D74">
        <w:rPr>
          <w:rStyle w:val="FootnoteReference"/>
          <w:rFonts w:ascii="Garamond" w:hAnsi="Garamond" w:cs="Arial"/>
          <w:iCs/>
          <w:color w:val="2C221F"/>
        </w:rPr>
        <w:footnoteReference w:id="234"/>
      </w:r>
      <w:r w:rsidRPr="00461D74">
        <w:rPr>
          <w:rFonts w:ascii="Garamond" w:hAnsi="Garamond" w:cs="Arial"/>
          <w:iCs/>
          <w:color w:val="2C221F"/>
        </w:rPr>
        <w:t xml:space="preserve"> </w:t>
      </w:r>
    </w:p>
    <w:p w:rsidR="00665157" w:rsidRDefault="008C2295">
      <w:pPr>
        <w:spacing w:line="360" w:lineRule="auto"/>
        <w:ind w:firstLine="720"/>
        <w:jc w:val="both"/>
        <w:rPr>
          <w:rFonts w:ascii="Garamond" w:hAnsi="Garamond"/>
          <w:sz w:val="24"/>
          <w:szCs w:val="24"/>
          <w:lang w:val="en-US"/>
        </w:rPr>
      </w:pPr>
      <w:r w:rsidRPr="00461D74">
        <w:rPr>
          <w:rFonts w:ascii="Garamond" w:hAnsi="Garamond" w:cs="Arial"/>
          <w:iCs/>
          <w:color w:val="2C221F"/>
          <w:sz w:val="24"/>
          <w:szCs w:val="24"/>
        </w:rPr>
        <w:t>Thus, the realisation of freedom is dependent on</w:t>
      </w:r>
      <w:r w:rsidR="00016049" w:rsidRPr="00461D74">
        <w:rPr>
          <w:rFonts w:ascii="Garamond" w:hAnsi="Garamond" w:cs="Arial"/>
          <w:iCs/>
          <w:color w:val="2C221F"/>
          <w:sz w:val="24"/>
          <w:szCs w:val="24"/>
        </w:rPr>
        <w:t xml:space="preserve"> the </w:t>
      </w:r>
      <w:r w:rsidRPr="00461D74">
        <w:rPr>
          <w:rFonts w:ascii="Garamond" w:hAnsi="Garamond" w:cs="Arial"/>
          <w:iCs/>
          <w:color w:val="2C221F"/>
          <w:sz w:val="24"/>
          <w:szCs w:val="24"/>
        </w:rPr>
        <w:t xml:space="preserve">presence of the </w:t>
      </w:r>
      <w:r w:rsidR="00016049" w:rsidRPr="00461D74">
        <w:rPr>
          <w:rFonts w:ascii="Garamond" w:hAnsi="Garamond" w:cs="Arial"/>
          <w:iCs/>
          <w:color w:val="2C221F"/>
          <w:sz w:val="24"/>
          <w:szCs w:val="24"/>
        </w:rPr>
        <w:t xml:space="preserve">right </w:t>
      </w:r>
      <w:r w:rsidRPr="00461D74">
        <w:rPr>
          <w:rFonts w:ascii="Garamond" w:hAnsi="Garamond" w:cs="Arial"/>
          <w:iCs/>
          <w:color w:val="2C221F"/>
          <w:sz w:val="24"/>
          <w:szCs w:val="24"/>
        </w:rPr>
        <w:t xml:space="preserve">set of </w:t>
      </w:r>
      <w:r w:rsidR="00016049" w:rsidRPr="00461D74">
        <w:rPr>
          <w:rFonts w:ascii="Garamond" w:hAnsi="Garamond" w:cs="Arial"/>
          <w:iCs/>
          <w:color w:val="2C221F"/>
          <w:sz w:val="24"/>
          <w:szCs w:val="24"/>
        </w:rPr>
        <w:t>social conditions</w:t>
      </w:r>
      <w:r w:rsidRPr="00461D74">
        <w:rPr>
          <w:rFonts w:ascii="Garamond" w:hAnsi="Garamond" w:cs="Arial"/>
          <w:iCs/>
          <w:color w:val="2C221F"/>
          <w:sz w:val="24"/>
          <w:szCs w:val="24"/>
        </w:rPr>
        <w:t xml:space="preserve">; </w:t>
      </w:r>
      <w:r w:rsidR="00016049" w:rsidRPr="00461D74">
        <w:rPr>
          <w:rFonts w:ascii="Garamond" w:hAnsi="Garamond" w:cs="Arial"/>
          <w:iCs/>
          <w:color w:val="2C221F"/>
          <w:sz w:val="24"/>
          <w:szCs w:val="24"/>
        </w:rPr>
        <w:t xml:space="preserve">conditions </w:t>
      </w:r>
      <w:r w:rsidRPr="00461D74">
        <w:rPr>
          <w:rFonts w:ascii="Garamond" w:hAnsi="Garamond" w:cs="Arial"/>
          <w:iCs/>
          <w:color w:val="2C221F"/>
          <w:sz w:val="24"/>
          <w:szCs w:val="24"/>
        </w:rPr>
        <w:t>where</w:t>
      </w:r>
      <w:r w:rsidR="00016049" w:rsidRPr="00461D74">
        <w:rPr>
          <w:rFonts w:ascii="Garamond" w:hAnsi="Garamond" w:cs="Arial"/>
          <w:iCs/>
          <w:color w:val="2C221F"/>
          <w:sz w:val="24"/>
          <w:szCs w:val="24"/>
        </w:rPr>
        <w:t xml:space="preserve"> all members of </w:t>
      </w:r>
      <w:r w:rsidRPr="00461D74">
        <w:rPr>
          <w:rFonts w:ascii="Garamond" w:hAnsi="Garamond" w:cs="Arial"/>
          <w:iCs/>
          <w:color w:val="2C221F"/>
          <w:sz w:val="24"/>
          <w:szCs w:val="24"/>
        </w:rPr>
        <w:t>the</w:t>
      </w:r>
      <w:r w:rsidR="00016049" w:rsidRPr="00461D74">
        <w:rPr>
          <w:rFonts w:ascii="Garamond" w:hAnsi="Garamond" w:cs="Arial"/>
          <w:iCs/>
          <w:color w:val="2C221F"/>
          <w:sz w:val="24"/>
          <w:szCs w:val="24"/>
        </w:rPr>
        <w:t xml:space="preserve"> community are empowered to participate in substantive dialogue with each other as co-equal interlocutors, and in which intelligent inquiry is utilised </w:t>
      </w:r>
      <w:r w:rsidRPr="00461D74">
        <w:rPr>
          <w:rFonts w:ascii="Garamond" w:hAnsi="Garamond" w:cs="Arial"/>
          <w:iCs/>
          <w:color w:val="2C221F"/>
          <w:sz w:val="24"/>
          <w:szCs w:val="24"/>
        </w:rPr>
        <w:t>to</w:t>
      </w:r>
      <w:r w:rsidR="00016049" w:rsidRPr="00461D74">
        <w:rPr>
          <w:rFonts w:ascii="Garamond" w:hAnsi="Garamond" w:cs="Arial"/>
          <w:iCs/>
          <w:color w:val="2C221F"/>
          <w:sz w:val="24"/>
          <w:szCs w:val="24"/>
        </w:rPr>
        <w:t xml:space="preserve"> address the various social and political problems that emerge in all human communities.</w:t>
      </w:r>
      <w:r w:rsidR="001B6D4F" w:rsidRPr="00461D74">
        <w:rPr>
          <w:rFonts w:ascii="Garamond" w:hAnsi="Garamond" w:cs="Arial"/>
          <w:iCs/>
          <w:color w:val="2C221F"/>
          <w:sz w:val="24"/>
          <w:szCs w:val="24"/>
        </w:rPr>
        <w:t xml:space="preserve"> </w:t>
      </w:r>
      <w:r w:rsidR="00016049" w:rsidRPr="00461D74">
        <w:rPr>
          <w:rFonts w:ascii="Garamond" w:hAnsi="Garamond" w:cs="Arial"/>
          <w:iCs/>
          <w:color w:val="2C221F"/>
          <w:sz w:val="24"/>
          <w:szCs w:val="24"/>
        </w:rPr>
        <w:t>Dewey</w:t>
      </w:r>
      <w:r w:rsidR="00016049" w:rsidRPr="00461D74">
        <w:rPr>
          <w:rFonts w:ascii="Garamond" w:hAnsi="Garamond"/>
          <w:sz w:val="24"/>
          <w:szCs w:val="24"/>
          <w:lang w:val="en-US"/>
        </w:rPr>
        <w:t xml:space="preserve"> identifies these conditions as the conditions that generate democratic inquiry, and more broadly, democracy as a way of life. </w:t>
      </w:r>
      <w:r w:rsidR="00016049" w:rsidRPr="00461D74">
        <w:rPr>
          <w:rFonts w:ascii="Garamond" w:hAnsi="Garamond" w:cs="Arial"/>
          <w:iCs/>
          <w:color w:val="2C221F"/>
          <w:sz w:val="24"/>
          <w:szCs w:val="24"/>
        </w:rPr>
        <w:t>Dewey then concludes that genuine freedom requires constructive democratic changes to social arrangement, in order to create the conditions for the emergence of a “Great Community” – namely, a society that has adopted democracy as a way of life.</w:t>
      </w:r>
      <w:r w:rsidR="00313A5A" w:rsidRPr="00461D74">
        <w:rPr>
          <w:rStyle w:val="FootnoteReference"/>
          <w:rFonts w:ascii="Garamond" w:hAnsi="Garamond" w:cs="Arial"/>
          <w:iCs/>
          <w:color w:val="2C221F"/>
          <w:sz w:val="24"/>
          <w:szCs w:val="24"/>
        </w:rPr>
        <w:footnoteReference w:id="235"/>
      </w:r>
    </w:p>
    <w:p w:rsidR="00665157" w:rsidRDefault="00016049">
      <w:pPr>
        <w:spacing w:line="360" w:lineRule="auto"/>
        <w:ind w:firstLine="720"/>
        <w:jc w:val="both"/>
        <w:rPr>
          <w:rFonts w:ascii="Garamond" w:hAnsi="Garamond"/>
          <w:sz w:val="24"/>
          <w:szCs w:val="24"/>
          <w:lang w:val="en-US"/>
        </w:rPr>
      </w:pPr>
      <w:r w:rsidRPr="00461D74">
        <w:rPr>
          <w:rFonts w:ascii="Garamond" w:hAnsi="Garamond"/>
          <w:sz w:val="24"/>
          <w:szCs w:val="24"/>
          <w:lang w:val="en-US"/>
        </w:rPr>
        <w:t xml:space="preserve">So why are democratic inquiry, and more broadly, democratic activity, important goods? A skeptic might question the value of democratic inquiry and democracy as a way of life. She could reasonably argue that political activity doesn’t interest her, and that she does not see the value in adopting Deweyan democracy as a way of living more generally. Therefore, we </w:t>
      </w:r>
      <w:r w:rsidR="003836F7">
        <w:rPr>
          <w:rFonts w:ascii="Garamond" w:hAnsi="Garamond"/>
          <w:sz w:val="24"/>
          <w:szCs w:val="24"/>
          <w:lang w:val="en-US"/>
        </w:rPr>
        <w:t>should</w:t>
      </w:r>
      <w:r w:rsidRPr="00461D74">
        <w:rPr>
          <w:rFonts w:ascii="Garamond" w:hAnsi="Garamond"/>
          <w:sz w:val="24"/>
          <w:szCs w:val="24"/>
          <w:lang w:val="en-US"/>
        </w:rPr>
        <w:t xml:space="preserve"> offer good </w:t>
      </w:r>
      <w:r w:rsidRPr="00461D74">
        <w:rPr>
          <w:rFonts w:ascii="Garamond" w:hAnsi="Garamond"/>
          <w:sz w:val="24"/>
          <w:szCs w:val="24"/>
          <w:lang w:val="en-US"/>
        </w:rPr>
        <w:lastRenderedPageBreak/>
        <w:t>reasons as to why her interest</w:t>
      </w:r>
      <w:r w:rsidR="00B96183">
        <w:rPr>
          <w:rFonts w:ascii="Garamond" w:hAnsi="Garamond"/>
          <w:sz w:val="24"/>
          <w:szCs w:val="24"/>
          <w:lang w:val="en-US"/>
        </w:rPr>
        <w:t>s</w:t>
      </w:r>
      <w:r w:rsidRPr="00461D74">
        <w:rPr>
          <w:rFonts w:ascii="Garamond" w:hAnsi="Garamond"/>
          <w:sz w:val="24"/>
          <w:szCs w:val="24"/>
          <w:lang w:val="en-US"/>
        </w:rPr>
        <w:t xml:space="preserve"> </w:t>
      </w:r>
      <w:r w:rsidR="00B96183">
        <w:rPr>
          <w:rFonts w:ascii="Garamond" w:hAnsi="Garamond"/>
          <w:sz w:val="24"/>
          <w:szCs w:val="24"/>
          <w:lang w:val="en-US"/>
        </w:rPr>
        <w:t xml:space="preserve">are better served when she </w:t>
      </w:r>
      <w:r w:rsidR="003836F7">
        <w:rPr>
          <w:rFonts w:ascii="Garamond" w:hAnsi="Garamond"/>
          <w:sz w:val="24"/>
          <w:szCs w:val="24"/>
          <w:lang w:val="en-US"/>
        </w:rPr>
        <w:t>becomes a willing participant</w:t>
      </w:r>
      <w:r w:rsidR="00B96183">
        <w:rPr>
          <w:rFonts w:ascii="Garamond" w:hAnsi="Garamond"/>
          <w:sz w:val="24"/>
          <w:szCs w:val="24"/>
          <w:lang w:val="en-US"/>
        </w:rPr>
        <w:t xml:space="preserve"> </w:t>
      </w:r>
      <w:r w:rsidRPr="00461D74">
        <w:rPr>
          <w:rFonts w:ascii="Garamond" w:hAnsi="Garamond"/>
          <w:sz w:val="24"/>
          <w:szCs w:val="24"/>
          <w:lang w:val="en-US"/>
        </w:rPr>
        <w:t xml:space="preserve">in Deweyan democracy. </w:t>
      </w:r>
      <w:r w:rsidR="003836F7">
        <w:rPr>
          <w:rFonts w:ascii="Garamond" w:hAnsi="Garamond"/>
          <w:sz w:val="24"/>
          <w:szCs w:val="24"/>
          <w:lang w:val="en-US"/>
        </w:rPr>
        <w:t>Now, o</w:t>
      </w:r>
      <w:r w:rsidRPr="00461D74">
        <w:rPr>
          <w:rFonts w:ascii="Garamond" w:hAnsi="Garamond"/>
          <w:sz w:val="24"/>
          <w:szCs w:val="24"/>
          <w:lang w:val="en-US"/>
        </w:rPr>
        <w:t xml:space="preserve">n Dewey’s view, democracy as way of life is a necessary condition for realizing genuine freedom; and freedom is a significant moral good. If I don’t end up adopting the right habits – habits that are constitutive of democracy as a way of life and democratic inquiry – I fail to realize freedom, or put differently, I fail in realizing my potential as a human being. </w:t>
      </w:r>
      <w:r w:rsidR="003F286F">
        <w:rPr>
          <w:rFonts w:ascii="Garamond" w:hAnsi="Garamond"/>
          <w:sz w:val="24"/>
          <w:szCs w:val="24"/>
          <w:lang w:val="en-US"/>
        </w:rPr>
        <w:t>On this Deweyan view, if we do end up rejecting</w:t>
      </w:r>
      <w:r w:rsidRPr="00461D74">
        <w:rPr>
          <w:rFonts w:ascii="Garamond" w:hAnsi="Garamond"/>
          <w:sz w:val="24"/>
          <w:szCs w:val="24"/>
          <w:lang w:val="en-US"/>
        </w:rPr>
        <w:t xml:space="preserve"> democracy as a way of life, we </w:t>
      </w:r>
      <w:r w:rsidR="003F286F">
        <w:rPr>
          <w:rFonts w:ascii="Garamond" w:hAnsi="Garamond"/>
          <w:sz w:val="24"/>
          <w:szCs w:val="24"/>
          <w:lang w:val="en-US"/>
        </w:rPr>
        <w:t xml:space="preserve">shall </w:t>
      </w:r>
      <w:r w:rsidRPr="00461D74">
        <w:rPr>
          <w:rFonts w:ascii="Garamond" w:hAnsi="Garamond"/>
          <w:sz w:val="24"/>
          <w:szCs w:val="24"/>
          <w:lang w:val="en-US"/>
        </w:rPr>
        <w:t>suffer an ethical (or moral) loss. If we accept this conclusion, then democracy as a way of life (and democratic inquiry) can be understood as a form of teleology committed to a particular conception of the good.</w:t>
      </w:r>
    </w:p>
    <w:p w:rsidR="00665157" w:rsidRDefault="00016049" w:rsidP="00C30723">
      <w:pPr>
        <w:spacing w:line="360" w:lineRule="auto"/>
        <w:ind w:firstLine="720"/>
        <w:jc w:val="both"/>
        <w:rPr>
          <w:rFonts w:ascii="Garamond" w:hAnsi="Garamond" w:cs="Arial"/>
          <w:iCs/>
          <w:color w:val="2C221F"/>
          <w:sz w:val="24"/>
          <w:szCs w:val="24"/>
        </w:rPr>
      </w:pPr>
      <w:r w:rsidRPr="00461D74">
        <w:rPr>
          <w:rFonts w:ascii="Garamond" w:hAnsi="Garamond" w:cs="Arial"/>
          <w:iCs/>
          <w:color w:val="2C221F"/>
          <w:sz w:val="24"/>
          <w:szCs w:val="24"/>
        </w:rPr>
        <w:t xml:space="preserve">Thus in Dewey’s </w:t>
      </w:r>
      <w:r w:rsidRPr="00461D74">
        <w:rPr>
          <w:rFonts w:ascii="Garamond" w:hAnsi="Garamond" w:cs="Arial"/>
          <w:i/>
          <w:iCs/>
          <w:color w:val="2C221F"/>
          <w:sz w:val="24"/>
          <w:szCs w:val="24"/>
        </w:rPr>
        <w:t>democracy as a way of life</w:t>
      </w:r>
      <w:r w:rsidRPr="00461D74">
        <w:rPr>
          <w:rFonts w:ascii="Garamond" w:hAnsi="Garamond" w:cs="Arial"/>
          <w:iCs/>
          <w:color w:val="2C221F"/>
          <w:sz w:val="24"/>
          <w:szCs w:val="24"/>
        </w:rPr>
        <w:t xml:space="preserve">, we have a concept of human flourishing and self-realisation that on my view, </w:t>
      </w:r>
      <w:r w:rsidR="00FC14E0">
        <w:rPr>
          <w:rFonts w:ascii="Garamond" w:hAnsi="Garamond" w:cs="Arial"/>
          <w:iCs/>
          <w:color w:val="2C221F"/>
          <w:sz w:val="24"/>
          <w:szCs w:val="24"/>
        </w:rPr>
        <w:t>affords</w:t>
      </w:r>
      <w:r w:rsidR="00FC14E0"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us </w:t>
      </w:r>
      <w:r w:rsidR="00FC14E0">
        <w:rPr>
          <w:rFonts w:ascii="Garamond" w:hAnsi="Garamond" w:cs="Arial"/>
          <w:iCs/>
          <w:color w:val="2C221F"/>
          <w:sz w:val="24"/>
          <w:szCs w:val="24"/>
        </w:rPr>
        <w:t xml:space="preserve">a more substantive definition of the good than the account which MacIntyre proposes in </w:t>
      </w:r>
      <w:r w:rsidR="00DB00EA" w:rsidRPr="00DB00EA">
        <w:rPr>
          <w:rFonts w:ascii="Garamond" w:hAnsi="Garamond" w:cs="Arial"/>
          <w:i/>
          <w:iCs/>
          <w:color w:val="2C221F"/>
          <w:sz w:val="24"/>
          <w:szCs w:val="24"/>
        </w:rPr>
        <w:t>After Virtue</w:t>
      </w:r>
      <w:r w:rsidR="00FC14E0">
        <w:rPr>
          <w:rFonts w:ascii="Garamond" w:hAnsi="Garamond" w:cs="Arial"/>
          <w:iCs/>
          <w:color w:val="2C221F"/>
          <w:sz w:val="24"/>
          <w:szCs w:val="24"/>
        </w:rPr>
        <w:t xml:space="preserve">; which can in addition form a plausible basis for </w:t>
      </w:r>
      <w:r w:rsidRPr="00461D74">
        <w:rPr>
          <w:rFonts w:ascii="Garamond" w:hAnsi="Garamond" w:cs="Arial"/>
          <w:iCs/>
          <w:color w:val="2C221F"/>
          <w:sz w:val="24"/>
          <w:szCs w:val="24"/>
        </w:rPr>
        <w:t xml:space="preserve">an alternative pragmatist teleology. </w:t>
      </w:r>
      <w:r w:rsidR="00D14D52">
        <w:rPr>
          <w:rFonts w:ascii="Garamond" w:hAnsi="Garamond" w:cs="Arial"/>
          <w:iCs/>
          <w:color w:val="2C221F"/>
          <w:sz w:val="24"/>
          <w:szCs w:val="24"/>
        </w:rPr>
        <w:t xml:space="preserve">Still, </w:t>
      </w:r>
      <w:r w:rsidRPr="00461D74">
        <w:rPr>
          <w:rFonts w:ascii="Garamond" w:hAnsi="Garamond" w:cs="Arial"/>
          <w:iCs/>
          <w:color w:val="2C221F"/>
          <w:sz w:val="24"/>
          <w:szCs w:val="24"/>
        </w:rPr>
        <w:t xml:space="preserve">Dewey’s teleology isn’t grounded in a static account of human nature; human nature, on this view, is not entirely known to us – it is through the process of continuous social development, a process which is in part constituted through the amelioration of normative and practical problems, that we develop the range of our abilities and capacities. Democracy as a way of life, then, allows us to fully explore </w:t>
      </w:r>
      <w:r w:rsidR="00D14D52">
        <w:rPr>
          <w:rFonts w:ascii="Garamond" w:hAnsi="Garamond" w:cs="Arial"/>
          <w:iCs/>
          <w:color w:val="2C221F"/>
          <w:sz w:val="24"/>
          <w:szCs w:val="24"/>
        </w:rPr>
        <w:t>a range of</w:t>
      </w:r>
      <w:r w:rsidR="00D14D52"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human capacities </w:t>
      </w:r>
      <w:r w:rsidR="00D14D52">
        <w:rPr>
          <w:rFonts w:ascii="Garamond" w:hAnsi="Garamond" w:cs="Arial"/>
          <w:iCs/>
          <w:color w:val="2C221F"/>
          <w:sz w:val="24"/>
          <w:szCs w:val="24"/>
        </w:rPr>
        <w:t xml:space="preserve">in </w:t>
      </w:r>
      <w:r w:rsidR="00226D05">
        <w:rPr>
          <w:rFonts w:ascii="Garamond" w:hAnsi="Garamond" w:cs="Arial"/>
          <w:iCs/>
          <w:color w:val="2C221F"/>
          <w:sz w:val="24"/>
          <w:szCs w:val="24"/>
        </w:rPr>
        <w:t>ac</w:t>
      </w:r>
      <w:r w:rsidR="00D14D52">
        <w:rPr>
          <w:rFonts w:ascii="Garamond" w:hAnsi="Garamond" w:cs="Arial"/>
          <w:iCs/>
          <w:color w:val="2C221F"/>
          <w:sz w:val="24"/>
          <w:szCs w:val="24"/>
        </w:rPr>
        <w:t>cordance with the</w:t>
      </w:r>
      <w:r w:rsidRPr="00461D74">
        <w:rPr>
          <w:rFonts w:ascii="Garamond" w:hAnsi="Garamond" w:cs="Arial"/>
          <w:iCs/>
          <w:color w:val="2C221F"/>
          <w:sz w:val="24"/>
          <w:szCs w:val="24"/>
        </w:rPr>
        <w:t xml:space="preserve"> common good and common interests of the community.</w:t>
      </w:r>
    </w:p>
    <w:p w:rsidR="004E7DAA" w:rsidRDefault="004E7DAA">
      <w:pPr>
        <w:spacing w:line="360" w:lineRule="auto"/>
        <w:ind w:firstLine="720"/>
        <w:jc w:val="both"/>
        <w:rPr>
          <w:rFonts w:ascii="Garamond" w:hAnsi="Garamond" w:cs="Arial"/>
          <w:iCs/>
          <w:color w:val="2C221F"/>
          <w:sz w:val="24"/>
          <w:szCs w:val="24"/>
        </w:rPr>
      </w:pPr>
    </w:p>
    <w:p w:rsidR="00665157" w:rsidRDefault="001C62D0">
      <w:pPr>
        <w:pStyle w:val="Heading2"/>
        <w:spacing w:line="360" w:lineRule="auto"/>
        <w:jc w:val="both"/>
        <w:rPr>
          <w:rFonts w:cstheme="majorHAnsi"/>
        </w:rPr>
      </w:pPr>
      <w:bookmarkStart w:id="25" w:name="_Toc528077807"/>
      <w:r>
        <w:rPr>
          <w:rFonts w:cstheme="majorHAnsi"/>
        </w:rPr>
        <w:t>4</w:t>
      </w:r>
      <w:r w:rsidR="00016049" w:rsidRPr="00461D74">
        <w:rPr>
          <w:rFonts w:cstheme="majorHAnsi"/>
        </w:rPr>
        <w:t xml:space="preserve">. Three Possible </w:t>
      </w:r>
      <w:r w:rsidR="00331208">
        <w:rPr>
          <w:rFonts w:cstheme="majorHAnsi"/>
        </w:rPr>
        <w:t>Objections</w:t>
      </w:r>
      <w:bookmarkEnd w:id="25"/>
    </w:p>
    <w:p w:rsidR="00665157" w:rsidRDefault="00665157">
      <w:pPr>
        <w:spacing w:line="360" w:lineRule="auto"/>
        <w:jc w:val="both"/>
        <w:rPr>
          <w:rFonts w:ascii="Garamond" w:hAnsi="Garamond" w:cs="Arial"/>
          <w:iCs/>
          <w:color w:val="2C221F"/>
          <w:sz w:val="24"/>
          <w:szCs w:val="24"/>
        </w:rPr>
      </w:pPr>
    </w:p>
    <w:p w:rsidR="00665157" w:rsidRDefault="00016049">
      <w:pPr>
        <w:spacing w:line="360" w:lineRule="auto"/>
        <w:jc w:val="both"/>
        <w:rPr>
          <w:rFonts w:ascii="Garamond" w:hAnsi="Garamond" w:cs="Arial"/>
          <w:iCs/>
          <w:color w:val="2C221F"/>
          <w:sz w:val="24"/>
          <w:szCs w:val="24"/>
        </w:rPr>
      </w:pPr>
      <w:r w:rsidRPr="00461D74">
        <w:rPr>
          <w:rFonts w:ascii="Garamond" w:hAnsi="Garamond" w:cs="Arial"/>
          <w:iCs/>
          <w:color w:val="2C221F"/>
          <w:sz w:val="24"/>
          <w:szCs w:val="24"/>
        </w:rPr>
        <w:t xml:space="preserve">At this point there are </w:t>
      </w:r>
      <w:r w:rsidR="00F5731C">
        <w:rPr>
          <w:rFonts w:ascii="Garamond" w:hAnsi="Garamond" w:cs="Arial"/>
          <w:iCs/>
          <w:color w:val="2C221F"/>
          <w:sz w:val="24"/>
          <w:szCs w:val="24"/>
        </w:rPr>
        <w:t xml:space="preserve">at least </w:t>
      </w:r>
      <w:r w:rsidRPr="00461D74">
        <w:rPr>
          <w:rFonts w:ascii="Garamond" w:hAnsi="Garamond" w:cs="Arial"/>
          <w:iCs/>
          <w:color w:val="2C221F"/>
          <w:sz w:val="24"/>
          <w:szCs w:val="24"/>
        </w:rPr>
        <w:t xml:space="preserve">three potential lines of attack to my argument for utilising Dewey’s democracy, as the sort of </w:t>
      </w:r>
      <w:r w:rsidR="00CF6983">
        <w:rPr>
          <w:rFonts w:ascii="Garamond" w:hAnsi="Garamond" w:cs="Arial"/>
          <w:iCs/>
          <w:color w:val="2C221F"/>
          <w:sz w:val="24"/>
          <w:szCs w:val="24"/>
        </w:rPr>
        <w:t>account</w:t>
      </w:r>
      <w:r w:rsidR="00CF6983"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that can adequately address the </w:t>
      </w:r>
      <w:r w:rsidRPr="00461D74">
        <w:rPr>
          <w:rFonts w:ascii="Garamond" w:hAnsi="Garamond" w:cs="Arial"/>
          <w:iCs/>
          <w:color w:val="2C221F"/>
          <w:sz w:val="24"/>
          <w:szCs w:val="24"/>
        </w:rPr>
        <w:lastRenderedPageBreak/>
        <w:t>lack of a viable teleology in MacIntyre’s account.</w:t>
      </w:r>
      <w:r w:rsidR="003A1FBD">
        <w:rPr>
          <w:rStyle w:val="FootnoteReference"/>
          <w:rFonts w:ascii="Garamond" w:hAnsi="Garamond" w:cs="Arial"/>
          <w:iCs/>
          <w:color w:val="2C221F"/>
          <w:sz w:val="24"/>
          <w:szCs w:val="24"/>
        </w:rPr>
        <w:footnoteReference w:id="236"/>
      </w:r>
      <w:r w:rsidRPr="00461D74">
        <w:rPr>
          <w:rFonts w:ascii="Garamond" w:hAnsi="Garamond" w:cs="Arial"/>
          <w:iCs/>
          <w:color w:val="2C221F"/>
          <w:sz w:val="24"/>
          <w:szCs w:val="24"/>
        </w:rPr>
        <w:t xml:space="preserve"> </w:t>
      </w:r>
      <w:r w:rsidR="00A5397C" w:rsidRPr="00461D74">
        <w:rPr>
          <w:rFonts w:ascii="Garamond" w:hAnsi="Garamond" w:cs="Arial"/>
          <w:iCs/>
          <w:color w:val="2C221F"/>
          <w:sz w:val="24"/>
          <w:szCs w:val="24"/>
        </w:rPr>
        <w:t>The first objection is</w:t>
      </w:r>
      <w:r w:rsidRPr="00461D74">
        <w:rPr>
          <w:rFonts w:ascii="Garamond" w:hAnsi="Garamond" w:cs="Arial"/>
          <w:iCs/>
          <w:color w:val="2C221F"/>
          <w:sz w:val="24"/>
          <w:szCs w:val="24"/>
        </w:rPr>
        <w:t xml:space="preserve"> that my argument doesn’t furnish MacIntyre with a</w:t>
      </w:r>
      <w:r w:rsidR="00CF6983">
        <w:rPr>
          <w:rFonts w:ascii="Garamond" w:hAnsi="Garamond" w:cs="Arial"/>
          <w:iCs/>
          <w:color w:val="2C221F"/>
          <w:sz w:val="24"/>
          <w:szCs w:val="24"/>
        </w:rPr>
        <w:t xml:space="preserve"> sufficiently</w:t>
      </w:r>
      <w:r w:rsidRPr="00461D74">
        <w:rPr>
          <w:rFonts w:ascii="Garamond" w:hAnsi="Garamond" w:cs="Arial"/>
          <w:iCs/>
          <w:color w:val="2C221F"/>
          <w:sz w:val="24"/>
          <w:szCs w:val="24"/>
        </w:rPr>
        <w:t xml:space="preserve"> substantive teleology; put differently, if indeed Dewey’s account points to a </w:t>
      </w:r>
      <w:r w:rsidR="00CF6983">
        <w:rPr>
          <w:rFonts w:ascii="Garamond" w:hAnsi="Garamond" w:cs="Arial"/>
          <w:iCs/>
          <w:color w:val="2C221F"/>
          <w:sz w:val="24"/>
          <w:szCs w:val="24"/>
        </w:rPr>
        <w:t xml:space="preserve">version of </w:t>
      </w:r>
      <w:r w:rsidRPr="00461D74">
        <w:rPr>
          <w:rFonts w:ascii="Garamond" w:hAnsi="Garamond" w:cs="Arial"/>
          <w:iCs/>
          <w:color w:val="2C221F"/>
          <w:sz w:val="24"/>
          <w:szCs w:val="24"/>
        </w:rPr>
        <w:t xml:space="preserve">teleology, it is </w:t>
      </w:r>
      <w:r w:rsidR="00B9213B" w:rsidRPr="00461D74">
        <w:rPr>
          <w:rFonts w:ascii="Garamond" w:hAnsi="Garamond" w:cs="Arial"/>
          <w:iCs/>
          <w:color w:val="2C221F"/>
          <w:sz w:val="24"/>
          <w:szCs w:val="24"/>
        </w:rPr>
        <w:t xml:space="preserve">nonetheless </w:t>
      </w:r>
      <w:r w:rsidRPr="00461D74">
        <w:rPr>
          <w:rFonts w:ascii="Garamond" w:hAnsi="Garamond" w:cs="Arial"/>
          <w:iCs/>
          <w:color w:val="2C221F"/>
          <w:sz w:val="24"/>
          <w:szCs w:val="24"/>
        </w:rPr>
        <w:t xml:space="preserve">too weak to address our particular difficulty. The second objection concerns whether Dewey is able to avoid the kind of criticisms – criticisms advanced by Bernstein and </w:t>
      </w:r>
      <w:proofErr w:type="spellStart"/>
      <w:r w:rsidRPr="00461D74">
        <w:rPr>
          <w:rFonts w:ascii="Garamond" w:hAnsi="Garamond" w:cs="Arial"/>
          <w:iCs/>
          <w:color w:val="2C221F"/>
          <w:sz w:val="24"/>
          <w:szCs w:val="24"/>
        </w:rPr>
        <w:t>Schneewind</w:t>
      </w:r>
      <w:proofErr w:type="spellEnd"/>
      <w:r w:rsidRPr="00461D74">
        <w:rPr>
          <w:rFonts w:ascii="Garamond" w:hAnsi="Garamond" w:cs="Arial"/>
          <w:iCs/>
          <w:color w:val="2C221F"/>
          <w:sz w:val="24"/>
          <w:szCs w:val="24"/>
        </w:rPr>
        <w:t xml:space="preserve"> – that ultimately undermined MacIntyre’s </w:t>
      </w:r>
      <w:r w:rsidR="00CF6983">
        <w:rPr>
          <w:rFonts w:ascii="Garamond" w:hAnsi="Garamond" w:cs="Arial"/>
          <w:iCs/>
          <w:color w:val="2C221F"/>
          <w:sz w:val="24"/>
          <w:szCs w:val="24"/>
        </w:rPr>
        <w:t>account</w:t>
      </w:r>
      <w:r w:rsidRPr="00461D74">
        <w:rPr>
          <w:rFonts w:ascii="Garamond" w:hAnsi="Garamond" w:cs="Arial"/>
          <w:iCs/>
          <w:color w:val="2C221F"/>
          <w:sz w:val="24"/>
          <w:szCs w:val="24"/>
        </w:rPr>
        <w:t xml:space="preserve"> in </w:t>
      </w:r>
      <w:r w:rsidRPr="00461D74">
        <w:rPr>
          <w:rFonts w:ascii="Garamond" w:hAnsi="Garamond" w:cs="Arial"/>
          <w:i/>
          <w:iCs/>
          <w:color w:val="2C221F"/>
          <w:sz w:val="24"/>
          <w:szCs w:val="24"/>
        </w:rPr>
        <w:t>After Virtue</w:t>
      </w:r>
      <w:r w:rsidRPr="00461D74">
        <w:rPr>
          <w:rFonts w:ascii="Garamond" w:hAnsi="Garamond" w:cs="Arial"/>
          <w:iCs/>
          <w:color w:val="2C221F"/>
          <w:sz w:val="24"/>
          <w:szCs w:val="24"/>
        </w:rPr>
        <w:t xml:space="preserve">. Third, even if Dewey can avoid </w:t>
      </w:r>
      <w:r w:rsidR="00CF6983" w:rsidRPr="00461D74">
        <w:rPr>
          <w:rFonts w:ascii="Garamond" w:hAnsi="Garamond" w:cs="Arial"/>
          <w:iCs/>
          <w:color w:val="2C221F"/>
          <w:sz w:val="24"/>
          <w:szCs w:val="24"/>
        </w:rPr>
        <w:t>th</w:t>
      </w:r>
      <w:r w:rsidR="00CF6983">
        <w:rPr>
          <w:rFonts w:ascii="Garamond" w:hAnsi="Garamond" w:cs="Arial"/>
          <w:iCs/>
          <w:color w:val="2C221F"/>
          <w:sz w:val="24"/>
          <w:szCs w:val="24"/>
        </w:rPr>
        <w:t>e first two</w:t>
      </w:r>
      <w:r w:rsidR="00CF6983" w:rsidRPr="00461D74">
        <w:rPr>
          <w:rFonts w:ascii="Garamond" w:hAnsi="Garamond" w:cs="Arial"/>
          <w:iCs/>
          <w:color w:val="2C221F"/>
          <w:sz w:val="24"/>
          <w:szCs w:val="24"/>
        </w:rPr>
        <w:t xml:space="preserve"> </w:t>
      </w:r>
      <w:r w:rsidRPr="00461D74">
        <w:rPr>
          <w:rFonts w:ascii="Garamond" w:hAnsi="Garamond" w:cs="Arial"/>
          <w:iCs/>
          <w:color w:val="2C221F"/>
          <w:sz w:val="24"/>
          <w:szCs w:val="24"/>
        </w:rPr>
        <w:t>criticisms, it seems that Dewey’s anti-metaphysical and anti-essentialist philosophical positions do not fit well with MacIntyre’s Aristotelian-Thomism. I will turn to considering some possible responses that could address each of these objections.</w:t>
      </w:r>
    </w:p>
    <w:p w:rsidR="00665157" w:rsidRDefault="00665157">
      <w:pPr>
        <w:spacing w:line="360" w:lineRule="auto"/>
        <w:jc w:val="both"/>
        <w:rPr>
          <w:rFonts w:ascii="Garamond" w:hAnsi="Garamond"/>
        </w:rPr>
      </w:pPr>
    </w:p>
    <w:p w:rsidR="00665157" w:rsidRDefault="001C62D0">
      <w:pPr>
        <w:pStyle w:val="Heading3"/>
        <w:spacing w:line="360" w:lineRule="auto"/>
        <w:jc w:val="both"/>
        <w:rPr>
          <w:rFonts w:cstheme="majorHAnsi"/>
        </w:rPr>
      </w:pPr>
      <w:bookmarkStart w:id="26" w:name="_Toc528077808"/>
      <w:r>
        <w:rPr>
          <w:rFonts w:cstheme="majorHAnsi"/>
        </w:rPr>
        <w:t>4</w:t>
      </w:r>
      <w:r w:rsidR="00016049" w:rsidRPr="00331208">
        <w:rPr>
          <w:rFonts w:cstheme="majorHAnsi"/>
        </w:rPr>
        <w:t>.1 First Objection:</w:t>
      </w:r>
      <w:bookmarkEnd w:id="26"/>
    </w:p>
    <w:p w:rsidR="00665157" w:rsidRDefault="00016049">
      <w:pPr>
        <w:spacing w:line="360" w:lineRule="auto"/>
        <w:jc w:val="both"/>
        <w:rPr>
          <w:rFonts w:ascii="Garamond" w:hAnsi="Garamond"/>
          <w:sz w:val="24"/>
          <w:szCs w:val="24"/>
        </w:rPr>
      </w:pPr>
      <w:r w:rsidRPr="00461D74">
        <w:rPr>
          <w:rFonts w:ascii="Garamond" w:hAnsi="Garamond"/>
          <w:sz w:val="24"/>
          <w:szCs w:val="24"/>
        </w:rPr>
        <w:t>The worry here is that Dewey’s democracy as a way of life</w:t>
      </w:r>
      <w:r w:rsidR="00720506">
        <w:rPr>
          <w:rFonts w:ascii="Garamond" w:hAnsi="Garamond"/>
          <w:sz w:val="24"/>
          <w:szCs w:val="24"/>
        </w:rPr>
        <w:t>,</w:t>
      </w:r>
      <w:r w:rsidRPr="00461D74">
        <w:rPr>
          <w:rFonts w:ascii="Garamond" w:hAnsi="Garamond"/>
          <w:sz w:val="24"/>
          <w:szCs w:val="24"/>
        </w:rPr>
        <w:t xml:space="preserve"> and his conception of flourishing</w:t>
      </w:r>
      <w:r w:rsidR="00720506">
        <w:rPr>
          <w:rFonts w:ascii="Garamond" w:hAnsi="Garamond"/>
          <w:sz w:val="24"/>
          <w:szCs w:val="24"/>
        </w:rPr>
        <w:t>,</w:t>
      </w:r>
      <w:r w:rsidRPr="00461D74">
        <w:rPr>
          <w:rFonts w:ascii="Garamond" w:hAnsi="Garamond"/>
          <w:sz w:val="24"/>
          <w:szCs w:val="24"/>
        </w:rPr>
        <w:t xml:space="preserve"> isn’t adequately substantive </w:t>
      </w:r>
      <w:r w:rsidR="00D93295">
        <w:rPr>
          <w:rFonts w:ascii="Garamond" w:hAnsi="Garamond"/>
          <w:sz w:val="24"/>
          <w:szCs w:val="24"/>
        </w:rPr>
        <w:t xml:space="preserve">or </w:t>
      </w:r>
      <w:r w:rsidR="00720506">
        <w:rPr>
          <w:rFonts w:ascii="Garamond" w:hAnsi="Garamond"/>
          <w:sz w:val="24"/>
          <w:szCs w:val="24"/>
        </w:rPr>
        <w:t xml:space="preserve">rather </w:t>
      </w:r>
      <w:r w:rsidR="00D93295">
        <w:rPr>
          <w:rFonts w:ascii="Garamond" w:hAnsi="Garamond"/>
          <w:sz w:val="24"/>
          <w:szCs w:val="24"/>
        </w:rPr>
        <w:t xml:space="preserve">non-instrumental </w:t>
      </w:r>
      <w:r w:rsidRPr="00461D74">
        <w:rPr>
          <w:rFonts w:ascii="Garamond" w:hAnsi="Garamond"/>
          <w:sz w:val="24"/>
          <w:szCs w:val="24"/>
        </w:rPr>
        <w:t>to generate a distinctive conception of flourishing.</w:t>
      </w:r>
      <w:r w:rsidR="00D93295">
        <w:rPr>
          <w:rStyle w:val="FootnoteReference"/>
          <w:rFonts w:ascii="Garamond" w:hAnsi="Garamond"/>
          <w:sz w:val="24"/>
          <w:szCs w:val="24"/>
        </w:rPr>
        <w:footnoteReference w:id="237"/>
      </w:r>
      <w:r w:rsidRPr="00461D74">
        <w:rPr>
          <w:rFonts w:ascii="Garamond" w:hAnsi="Garamond"/>
          <w:sz w:val="24"/>
          <w:szCs w:val="24"/>
        </w:rPr>
        <w:t xml:space="preserve"> Consequently, in the liberal context, Deweyan democracy can only be just one more way of life among many other ways to live.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Now, if we define </w:t>
      </w:r>
      <w:r w:rsidR="00A5397C" w:rsidRPr="00461D74">
        <w:rPr>
          <w:rFonts w:ascii="Garamond" w:hAnsi="Garamond"/>
          <w:sz w:val="24"/>
          <w:szCs w:val="24"/>
        </w:rPr>
        <w:t>‘</w:t>
      </w:r>
      <w:r w:rsidRPr="00461D74">
        <w:rPr>
          <w:rFonts w:ascii="Garamond" w:hAnsi="Garamond"/>
          <w:sz w:val="24"/>
          <w:szCs w:val="24"/>
        </w:rPr>
        <w:t>substantiv</w:t>
      </w:r>
      <w:r w:rsidR="00D93295">
        <w:rPr>
          <w:rFonts w:ascii="Garamond" w:hAnsi="Garamond"/>
          <w:sz w:val="24"/>
          <w:szCs w:val="24"/>
        </w:rPr>
        <w:t>ity</w:t>
      </w:r>
      <w:r w:rsidR="00A5397C" w:rsidRPr="00461D74">
        <w:rPr>
          <w:rFonts w:ascii="Garamond" w:hAnsi="Garamond"/>
          <w:sz w:val="24"/>
          <w:szCs w:val="24"/>
        </w:rPr>
        <w:t>’</w:t>
      </w:r>
      <w:r w:rsidRPr="00461D74">
        <w:rPr>
          <w:rFonts w:ascii="Garamond" w:hAnsi="Garamond"/>
          <w:sz w:val="24"/>
          <w:szCs w:val="24"/>
        </w:rPr>
        <w:t xml:space="preserve"> </w:t>
      </w:r>
      <w:r w:rsidR="00D93295">
        <w:rPr>
          <w:rFonts w:ascii="Garamond" w:hAnsi="Garamond"/>
          <w:sz w:val="24"/>
          <w:szCs w:val="24"/>
        </w:rPr>
        <w:t xml:space="preserve">(or </w:t>
      </w:r>
      <w:r w:rsidR="004B604B">
        <w:rPr>
          <w:rFonts w:ascii="Garamond" w:hAnsi="Garamond"/>
          <w:sz w:val="24"/>
          <w:szCs w:val="24"/>
        </w:rPr>
        <w:t>‘</w:t>
      </w:r>
      <w:r w:rsidR="00D93295">
        <w:rPr>
          <w:rFonts w:ascii="Garamond" w:hAnsi="Garamond"/>
          <w:sz w:val="24"/>
          <w:szCs w:val="24"/>
        </w:rPr>
        <w:t>non-instrumentality</w:t>
      </w:r>
      <w:r w:rsidR="004B604B">
        <w:rPr>
          <w:rFonts w:ascii="Garamond" w:hAnsi="Garamond"/>
          <w:sz w:val="24"/>
          <w:szCs w:val="24"/>
        </w:rPr>
        <w:t>’</w:t>
      </w:r>
      <w:r w:rsidR="00D93295">
        <w:rPr>
          <w:rFonts w:ascii="Garamond" w:hAnsi="Garamond"/>
          <w:sz w:val="24"/>
          <w:szCs w:val="24"/>
        </w:rPr>
        <w:t xml:space="preserve">) </w:t>
      </w:r>
      <w:r w:rsidRPr="00461D74">
        <w:rPr>
          <w:rFonts w:ascii="Garamond" w:hAnsi="Garamond"/>
          <w:sz w:val="24"/>
          <w:szCs w:val="24"/>
        </w:rPr>
        <w:t xml:space="preserve">as endorsing a static system of values for all time, then </w:t>
      </w:r>
      <w:r w:rsidR="00A5397C" w:rsidRPr="00461D74">
        <w:rPr>
          <w:rFonts w:ascii="Garamond" w:hAnsi="Garamond"/>
          <w:sz w:val="24"/>
          <w:szCs w:val="24"/>
        </w:rPr>
        <w:t xml:space="preserve">indeed </w:t>
      </w:r>
      <w:r w:rsidRPr="00461D74">
        <w:rPr>
          <w:rFonts w:ascii="Garamond" w:hAnsi="Garamond"/>
          <w:sz w:val="24"/>
          <w:szCs w:val="24"/>
        </w:rPr>
        <w:t xml:space="preserve">his account isn’t substantive </w:t>
      </w:r>
      <w:r w:rsidR="00D34C9B">
        <w:rPr>
          <w:rFonts w:ascii="Garamond" w:hAnsi="Garamond"/>
          <w:sz w:val="24"/>
          <w:szCs w:val="24"/>
        </w:rPr>
        <w:t>or non-instrumental</w:t>
      </w:r>
      <w:r w:rsidR="00D34C9B" w:rsidRPr="00461D74">
        <w:rPr>
          <w:rFonts w:ascii="Garamond" w:hAnsi="Garamond"/>
          <w:sz w:val="24"/>
          <w:szCs w:val="24"/>
        </w:rPr>
        <w:t xml:space="preserve"> </w:t>
      </w:r>
      <w:r w:rsidRPr="00461D74">
        <w:rPr>
          <w:rFonts w:ascii="Garamond" w:hAnsi="Garamond"/>
          <w:sz w:val="24"/>
          <w:szCs w:val="24"/>
        </w:rPr>
        <w:t xml:space="preserve">in this sense. Nevertheless, Dewey wants to maintain that by adopting democracy as a way of life we do commit to certain values that make cooperative rational inquiry, and ultimately </w:t>
      </w:r>
      <w:r w:rsidR="00616ED8">
        <w:rPr>
          <w:rFonts w:ascii="Garamond" w:hAnsi="Garamond"/>
          <w:sz w:val="24"/>
          <w:szCs w:val="24"/>
        </w:rPr>
        <w:t>g</w:t>
      </w:r>
      <w:r w:rsidRPr="00461D74">
        <w:rPr>
          <w:rFonts w:ascii="Garamond" w:hAnsi="Garamond"/>
          <w:sz w:val="24"/>
          <w:szCs w:val="24"/>
        </w:rPr>
        <w:t>rowth, possible; namely, fall</w:t>
      </w:r>
      <w:r w:rsidR="001B3340" w:rsidRPr="00461D74">
        <w:rPr>
          <w:rFonts w:ascii="Garamond" w:hAnsi="Garamond"/>
          <w:sz w:val="24"/>
          <w:szCs w:val="24"/>
        </w:rPr>
        <w:t>i</w:t>
      </w:r>
      <w:r w:rsidRPr="00461D74">
        <w:rPr>
          <w:rFonts w:ascii="Garamond" w:hAnsi="Garamond"/>
          <w:sz w:val="24"/>
          <w:szCs w:val="24"/>
        </w:rPr>
        <w:t xml:space="preserve">bilism, </w:t>
      </w:r>
      <w:proofErr w:type="spellStart"/>
      <w:r w:rsidRPr="00461D74">
        <w:rPr>
          <w:rFonts w:ascii="Garamond" w:hAnsi="Garamond"/>
          <w:sz w:val="24"/>
          <w:szCs w:val="24"/>
        </w:rPr>
        <w:t>meliorism</w:t>
      </w:r>
      <w:proofErr w:type="spellEnd"/>
      <w:r w:rsidRPr="00461D74">
        <w:rPr>
          <w:rFonts w:ascii="Garamond" w:hAnsi="Garamond"/>
          <w:sz w:val="24"/>
          <w:szCs w:val="24"/>
        </w:rPr>
        <w:t xml:space="preserve"> and a commitment to learning from experience. Ethics as conceived by </w:t>
      </w:r>
      <w:r w:rsidRPr="00461D74">
        <w:rPr>
          <w:rFonts w:ascii="Garamond" w:hAnsi="Garamond"/>
          <w:sz w:val="24"/>
          <w:szCs w:val="24"/>
        </w:rPr>
        <w:lastRenderedPageBreak/>
        <w:t xml:space="preserve">Dewey, is </w:t>
      </w:r>
      <w:r w:rsidR="004B604B">
        <w:rPr>
          <w:rFonts w:ascii="Garamond" w:hAnsi="Garamond"/>
          <w:sz w:val="24"/>
          <w:szCs w:val="24"/>
        </w:rPr>
        <w:t>then</w:t>
      </w:r>
      <w:r w:rsidRPr="00461D74">
        <w:rPr>
          <w:rFonts w:ascii="Garamond" w:hAnsi="Garamond"/>
          <w:sz w:val="24"/>
          <w:szCs w:val="24"/>
        </w:rPr>
        <w:t xml:space="preserve"> tasked with developing ways of ameliorating problematic social situations and </w:t>
      </w:r>
      <w:r w:rsidR="004B604B">
        <w:rPr>
          <w:rFonts w:ascii="Garamond" w:hAnsi="Garamond"/>
          <w:sz w:val="24"/>
          <w:szCs w:val="24"/>
        </w:rPr>
        <w:t xml:space="preserve">thereby </w:t>
      </w:r>
      <w:r w:rsidRPr="00461D74">
        <w:rPr>
          <w:rFonts w:ascii="Garamond" w:hAnsi="Garamond"/>
          <w:sz w:val="24"/>
          <w:szCs w:val="24"/>
        </w:rPr>
        <w:t xml:space="preserve">developing solutions to the problems that emerge in </w:t>
      </w:r>
      <w:r w:rsidR="004B604B">
        <w:rPr>
          <w:rFonts w:ascii="Garamond" w:hAnsi="Garamond"/>
          <w:sz w:val="24"/>
          <w:szCs w:val="24"/>
        </w:rPr>
        <w:t>specific</w:t>
      </w:r>
      <w:r w:rsidR="004B604B" w:rsidRPr="00461D74">
        <w:rPr>
          <w:rFonts w:ascii="Garamond" w:hAnsi="Garamond"/>
          <w:sz w:val="24"/>
          <w:szCs w:val="24"/>
        </w:rPr>
        <w:t xml:space="preserve"> </w:t>
      </w:r>
      <w:r w:rsidRPr="00461D74">
        <w:rPr>
          <w:rFonts w:ascii="Garamond" w:hAnsi="Garamond"/>
          <w:sz w:val="24"/>
          <w:szCs w:val="24"/>
        </w:rPr>
        <w:t>contexts. On Dewey’s view, problems are always specifically tied to particular social and historical contexts, and these kinds of problems will often have particular solutions. Dewey is optimistic that through democratic inquiry, we can rationally converge on concrete solutions to at least some of those (social) problems, with the express aim of generating better practical social outcomes. In converging on solutions to social problems we are then able to make the relevant sort of normative claims that are the outcome of our careful deliberations. Those claims are obviously subject to further rational inquiry in the long run, yet they would remain objective in the relevant sense.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Still, I have not yet really answered whether Dewey’s account is substantive enough to </w:t>
      </w:r>
      <w:r w:rsidR="004B604B">
        <w:rPr>
          <w:rFonts w:ascii="Garamond" w:hAnsi="Garamond"/>
          <w:sz w:val="24"/>
          <w:szCs w:val="24"/>
        </w:rPr>
        <w:t xml:space="preserve">afford </w:t>
      </w:r>
      <w:r w:rsidRPr="00461D74">
        <w:rPr>
          <w:rFonts w:ascii="Garamond" w:hAnsi="Garamond"/>
          <w:sz w:val="24"/>
          <w:szCs w:val="24"/>
        </w:rPr>
        <w:t xml:space="preserve">a particular way of life for the individual to adopt. </w:t>
      </w:r>
      <w:r w:rsidRPr="00461D74">
        <w:rPr>
          <w:rFonts w:ascii="Garamond" w:hAnsi="Garamond" w:cs="Arial"/>
          <w:iCs/>
          <w:color w:val="2C221F"/>
          <w:sz w:val="24"/>
          <w:szCs w:val="24"/>
        </w:rPr>
        <w:t xml:space="preserve">I would like to argue </w:t>
      </w:r>
      <w:r w:rsidR="00A5397C" w:rsidRPr="00461D74">
        <w:rPr>
          <w:rFonts w:ascii="Garamond" w:hAnsi="Garamond" w:cs="Arial"/>
          <w:iCs/>
          <w:color w:val="2C221F"/>
          <w:sz w:val="24"/>
          <w:szCs w:val="24"/>
        </w:rPr>
        <w:t xml:space="preserve">now </w:t>
      </w:r>
      <w:r w:rsidRPr="00461D74">
        <w:rPr>
          <w:rFonts w:ascii="Garamond" w:hAnsi="Garamond" w:cs="Arial"/>
          <w:iCs/>
          <w:color w:val="2C221F"/>
          <w:sz w:val="24"/>
          <w:szCs w:val="24"/>
        </w:rPr>
        <w:t xml:space="preserve">that Dewey’s democracy as a way of life is in fact </w:t>
      </w:r>
      <w:r w:rsidR="004B604B">
        <w:rPr>
          <w:rFonts w:ascii="Garamond" w:hAnsi="Garamond" w:cs="Arial"/>
          <w:iCs/>
          <w:color w:val="2C221F"/>
          <w:sz w:val="24"/>
          <w:szCs w:val="24"/>
        </w:rPr>
        <w:t>non-instrumental in the appropriate sense,</w:t>
      </w:r>
      <w:r w:rsidR="00EE4F2D">
        <w:rPr>
          <w:rStyle w:val="FootnoteReference"/>
          <w:rFonts w:ascii="Garamond" w:hAnsi="Garamond" w:cs="Arial"/>
          <w:iCs/>
          <w:color w:val="2C221F"/>
          <w:sz w:val="24"/>
          <w:szCs w:val="24"/>
        </w:rPr>
        <w:footnoteReference w:id="238"/>
      </w:r>
      <w:r w:rsidR="004B604B">
        <w:rPr>
          <w:rFonts w:ascii="Garamond" w:hAnsi="Garamond" w:cs="Arial"/>
          <w:iCs/>
          <w:color w:val="2C221F"/>
          <w:sz w:val="24"/>
          <w:szCs w:val="24"/>
        </w:rPr>
        <w:t xml:space="preserve"> and </w:t>
      </w:r>
      <w:r w:rsidR="007C07D5">
        <w:rPr>
          <w:rFonts w:ascii="Garamond" w:hAnsi="Garamond" w:cs="Arial"/>
          <w:iCs/>
          <w:color w:val="2C221F"/>
          <w:sz w:val="24"/>
          <w:szCs w:val="24"/>
        </w:rPr>
        <w:t>therefore,</w:t>
      </w:r>
      <w:r w:rsidR="004B604B">
        <w:rPr>
          <w:rFonts w:ascii="Garamond" w:hAnsi="Garamond" w:cs="Arial"/>
          <w:iCs/>
          <w:color w:val="2C221F"/>
          <w:sz w:val="24"/>
          <w:szCs w:val="24"/>
        </w:rPr>
        <w:t xml:space="preserve"> is able to provide the basis for </w:t>
      </w:r>
      <w:r w:rsidR="00EE4F2D">
        <w:rPr>
          <w:rFonts w:ascii="Garamond" w:hAnsi="Garamond" w:cs="Arial"/>
          <w:iCs/>
          <w:color w:val="2C221F"/>
          <w:sz w:val="24"/>
          <w:szCs w:val="24"/>
        </w:rPr>
        <w:t>a viable conception of flourishing</w:t>
      </w:r>
      <w:r w:rsidR="007C07D5">
        <w:rPr>
          <w:rFonts w:ascii="Garamond" w:hAnsi="Garamond" w:cs="Arial"/>
          <w:iCs/>
          <w:color w:val="2C221F"/>
          <w:sz w:val="24"/>
          <w:szCs w:val="24"/>
        </w:rPr>
        <w:t xml:space="preserve"> and </w:t>
      </w:r>
      <w:r w:rsidR="00EE4F2D">
        <w:rPr>
          <w:rFonts w:ascii="Garamond" w:hAnsi="Garamond" w:cs="Arial"/>
          <w:iCs/>
          <w:color w:val="2C221F"/>
          <w:sz w:val="24"/>
          <w:szCs w:val="24"/>
        </w:rPr>
        <w:t xml:space="preserve">ultimately </w:t>
      </w:r>
      <w:r w:rsidR="007C07D5">
        <w:rPr>
          <w:rFonts w:ascii="Garamond" w:hAnsi="Garamond" w:cs="Arial"/>
          <w:iCs/>
          <w:color w:val="2C221F"/>
          <w:sz w:val="24"/>
          <w:szCs w:val="24"/>
        </w:rPr>
        <w:t>strengthen the weakness in MacIntyre’s social teleology (</w:t>
      </w:r>
      <w:r w:rsidR="00616ED8">
        <w:rPr>
          <w:rFonts w:ascii="Garamond" w:hAnsi="Garamond" w:cs="Arial"/>
          <w:iCs/>
          <w:color w:val="2C221F"/>
          <w:sz w:val="24"/>
          <w:szCs w:val="24"/>
        </w:rPr>
        <w:t xml:space="preserve">as it is </w:t>
      </w:r>
      <w:r w:rsidR="007C07D5">
        <w:rPr>
          <w:rFonts w:ascii="Garamond" w:hAnsi="Garamond" w:cs="Arial"/>
          <w:iCs/>
          <w:color w:val="2C221F"/>
          <w:sz w:val="24"/>
          <w:szCs w:val="24"/>
        </w:rPr>
        <w:t xml:space="preserve">presented in </w:t>
      </w:r>
      <w:r w:rsidR="003519B2" w:rsidRPr="003519B2">
        <w:rPr>
          <w:rFonts w:ascii="Garamond" w:hAnsi="Garamond" w:cs="Arial"/>
          <w:i/>
          <w:iCs/>
          <w:color w:val="2C221F"/>
          <w:sz w:val="24"/>
          <w:szCs w:val="24"/>
        </w:rPr>
        <w:t>After Virtue</w:t>
      </w:r>
      <w:r w:rsidR="007C07D5">
        <w:rPr>
          <w:rFonts w:ascii="Garamond" w:hAnsi="Garamond" w:cs="Arial"/>
          <w:iCs/>
          <w:color w:val="2C221F"/>
          <w:sz w:val="24"/>
          <w:szCs w:val="24"/>
        </w:rPr>
        <w:t>)</w:t>
      </w:r>
      <w:r w:rsidRPr="00461D74">
        <w:rPr>
          <w:rFonts w:ascii="Garamond" w:hAnsi="Garamond" w:cs="Arial"/>
          <w:iCs/>
          <w:color w:val="2C221F"/>
          <w:sz w:val="24"/>
          <w:szCs w:val="24"/>
        </w:rPr>
        <w:t xml:space="preserve">. In characterising Deweyan democracy </w:t>
      </w:r>
      <w:r w:rsidR="00EE4F2D">
        <w:rPr>
          <w:rFonts w:ascii="Garamond" w:hAnsi="Garamond" w:cs="Arial"/>
          <w:iCs/>
          <w:color w:val="2C221F"/>
          <w:sz w:val="24"/>
          <w:szCs w:val="24"/>
        </w:rPr>
        <w:t>in this way</w:t>
      </w:r>
      <w:r w:rsidRPr="00461D74">
        <w:rPr>
          <w:rFonts w:ascii="Garamond" w:hAnsi="Garamond" w:cs="Arial"/>
          <w:iCs/>
          <w:color w:val="2C221F"/>
          <w:sz w:val="24"/>
          <w:szCs w:val="24"/>
        </w:rPr>
        <w:t xml:space="preserve">, I mean </w:t>
      </w:r>
      <w:r w:rsidR="00DB769A">
        <w:rPr>
          <w:rFonts w:ascii="Garamond" w:hAnsi="Garamond" w:cs="Arial"/>
          <w:iCs/>
          <w:color w:val="2C221F"/>
          <w:sz w:val="24"/>
          <w:szCs w:val="24"/>
        </w:rPr>
        <w:t xml:space="preserve">to say </w:t>
      </w:r>
      <w:r w:rsidRPr="00461D74">
        <w:rPr>
          <w:rFonts w:ascii="Garamond" w:hAnsi="Garamond" w:cs="Arial"/>
          <w:iCs/>
          <w:color w:val="2C221F"/>
          <w:sz w:val="24"/>
          <w:szCs w:val="24"/>
        </w:rPr>
        <w:t>that the Deweyan commits herself to a particular way of life</w:t>
      </w:r>
      <w:r w:rsidR="00DB769A">
        <w:rPr>
          <w:rFonts w:ascii="Garamond" w:hAnsi="Garamond" w:cs="Arial"/>
          <w:iCs/>
          <w:color w:val="2C221F"/>
          <w:sz w:val="24"/>
          <w:szCs w:val="24"/>
        </w:rPr>
        <w:t>; and</w:t>
      </w:r>
      <w:r w:rsidRPr="00461D74">
        <w:rPr>
          <w:rFonts w:ascii="Garamond" w:hAnsi="Garamond" w:cs="Arial"/>
          <w:iCs/>
          <w:color w:val="2C221F"/>
          <w:sz w:val="24"/>
          <w:szCs w:val="24"/>
        </w:rPr>
        <w:t xml:space="preserve"> </w:t>
      </w:r>
      <w:r w:rsidR="00DB769A">
        <w:rPr>
          <w:rFonts w:ascii="Garamond" w:hAnsi="Garamond" w:cs="Arial"/>
          <w:iCs/>
          <w:color w:val="2C221F"/>
          <w:sz w:val="24"/>
          <w:szCs w:val="24"/>
        </w:rPr>
        <w:t>a</w:t>
      </w:r>
      <w:r w:rsidRPr="00461D74">
        <w:rPr>
          <w:rFonts w:ascii="Garamond" w:hAnsi="Garamond" w:cs="Arial"/>
          <w:iCs/>
          <w:color w:val="2C221F"/>
          <w:sz w:val="24"/>
          <w:szCs w:val="24"/>
        </w:rPr>
        <w:t xml:space="preserve">lthough there are potentially numerous ways to live in liberal societies, for the Deweyan, democracy as a way of life is the right (or ethical) way to live and that human ethical life is continuous with social and political life. What do I mean by right or ethical? </w:t>
      </w:r>
      <w:r w:rsidR="00DB769A">
        <w:rPr>
          <w:rFonts w:ascii="Garamond" w:hAnsi="Garamond" w:cs="Arial"/>
          <w:iCs/>
          <w:color w:val="2C221F"/>
          <w:sz w:val="24"/>
          <w:szCs w:val="24"/>
        </w:rPr>
        <w:t>Namely,</w:t>
      </w:r>
      <w:r w:rsidRPr="00461D74">
        <w:rPr>
          <w:rFonts w:ascii="Garamond" w:hAnsi="Garamond" w:cs="Arial"/>
          <w:iCs/>
          <w:color w:val="2C221F"/>
          <w:sz w:val="24"/>
          <w:szCs w:val="24"/>
        </w:rPr>
        <w:t xml:space="preserve"> that Deweyan democracy subscribes </w:t>
      </w:r>
      <w:r w:rsidRPr="00461D74">
        <w:rPr>
          <w:rFonts w:ascii="Garamond" w:hAnsi="Garamond" w:cs="Arial"/>
          <w:iCs/>
          <w:color w:val="2C221F"/>
          <w:sz w:val="24"/>
          <w:szCs w:val="24"/>
        </w:rPr>
        <w:lastRenderedPageBreak/>
        <w:t>to a distinctive non-neutral</w:t>
      </w:r>
      <w:r w:rsidR="00DB769A">
        <w:rPr>
          <w:rFonts w:ascii="Garamond" w:hAnsi="Garamond" w:cs="Arial"/>
          <w:iCs/>
          <w:color w:val="2C221F"/>
          <w:sz w:val="24"/>
          <w:szCs w:val="24"/>
        </w:rPr>
        <w:t xml:space="preserve"> and non-instrumental</w:t>
      </w:r>
      <w:r w:rsidRPr="00461D74">
        <w:rPr>
          <w:rFonts w:ascii="Garamond" w:hAnsi="Garamond" w:cs="Arial"/>
          <w:iCs/>
          <w:color w:val="2C221F"/>
          <w:sz w:val="24"/>
          <w:szCs w:val="24"/>
        </w:rPr>
        <w:t xml:space="preserve"> conception of the good with respect to human flourishing</w:t>
      </w:r>
      <w:r w:rsidR="000805E7" w:rsidRPr="00461D74">
        <w:rPr>
          <w:rFonts w:ascii="Garamond" w:hAnsi="Garamond" w:cs="Arial"/>
          <w:iCs/>
          <w:color w:val="2C221F"/>
          <w:sz w:val="24"/>
          <w:szCs w:val="24"/>
        </w:rPr>
        <w:t>.</w:t>
      </w:r>
    </w:p>
    <w:p w:rsidR="00665157" w:rsidRDefault="00016049">
      <w:pPr>
        <w:spacing w:line="360" w:lineRule="auto"/>
        <w:ind w:firstLine="720"/>
        <w:jc w:val="both"/>
        <w:rPr>
          <w:rStyle w:val="fontstyle01"/>
          <w:rFonts w:ascii="Garamond" w:hAnsi="Garamond" w:cs="Arial"/>
          <w:iCs/>
          <w:color w:val="2C221F"/>
          <w:sz w:val="24"/>
          <w:szCs w:val="24"/>
        </w:rPr>
      </w:pPr>
      <w:r w:rsidRPr="00461D74">
        <w:rPr>
          <w:rFonts w:ascii="Garamond" w:hAnsi="Garamond" w:cs="Arial"/>
          <w:iCs/>
          <w:color w:val="2C221F"/>
          <w:sz w:val="24"/>
          <w:szCs w:val="24"/>
        </w:rPr>
        <w:t xml:space="preserve">I will make use of Robert </w:t>
      </w:r>
      <w:proofErr w:type="spellStart"/>
      <w:r w:rsidRPr="00461D74">
        <w:rPr>
          <w:rFonts w:ascii="Garamond" w:hAnsi="Garamond" w:cs="Arial"/>
          <w:iCs/>
          <w:color w:val="2C221F"/>
          <w:sz w:val="24"/>
          <w:szCs w:val="24"/>
        </w:rPr>
        <w:t>Talisse’s</w:t>
      </w:r>
      <w:proofErr w:type="spellEnd"/>
      <w:r w:rsidRPr="00461D74">
        <w:rPr>
          <w:rFonts w:ascii="Garamond" w:hAnsi="Garamond" w:cs="Arial"/>
          <w:iCs/>
          <w:color w:val="2C221F"/>
          <w:sz w:val="24"/>
          <w:szCs w:val="24"/>
        </w:rPr>
        <w:t xml:space="preserve"> argument to show the substantive nature of Dewey’s teleology, namely, Dewey’s conception of democracy as a way of life. </w:t>
      </w:r>
      <w:proofErr w:type="spellStart"/>
      <w:r w:rsidRPr="00461D74">
        <w:rPr>
          <w:rFonts w:ascii="Garamond" w:hAnsi="Garamond" w:cs="Arial"/>
          <w:iCs/>
          <w:color w:val="2C221F"/>
          <w:sz w:val="24"/>
          <w:szCs w:val="24"/>
        </w:rPr>
        <w:t>Talisse’s</w:t>
      </w:r>
      <w:proofErr w:type="spellEnd"/>
      <w:r w:rsidRPr="00461D74">
        <w:rPr>
          <w:rFonts w:ascii="Garamond" w:hAnsi="Garamond" w:cs="Arial"/>
          <w:iCs/>
          <w:color w:val="2C221F"/>
          <w:sz w:val="24"/>
          <w:szCs w:val="24"/>
        </w:rPr>
        <w:t xml:space="preserve"> central claim is that Dewey’s account of democracy – and specifically his continuity thesis and democracy as a way of life – is </w:t>
      </w:r>
      <w:r w:rsidR="00DB3428">
        <w:rPr>
          <w:rFonts w:ascii="Garamond" w:hAnsi="Garamond" w:cs="Arial"/>
          <w:iCs/>
          <w:color w:val="2C221F"/>
          <w:sz w:val="24"/>
          <w:szCs w:val="24"/>
        </w:rPr>
        <w:t xml:space="preserve">much </w:t>
      </w:r>
      <w:r w:rsidRPr="00461D74">
        <w:rPr>
          <w:rFonts w:ascii="Garamond" w:hAnsi="Garamond" w:cs="Arial"/>
          <w:iCs/>
          <w:color w:val="2C221F"/>
          <w:sz w:val="24"/>
          <w:szCs w:val="24"/>
        </w:rPr>
        <w:t xml:space="preserve">too substantive to be properly </w:t>
      </w:r>
      <w:r w:rsidR="00F079F1">
        <w:rPr>
          <w:rFonts w:ascii="Garamond" w:hAnsi="Garamond" w:cs="Arial"/>
          <w:iCs/>
          <w:color w:val="2C221F"/>
          <w:sz w:val="24"/>
          <w:szCs w:val="24"/>
        </w:rPr>
        <w:t xml:space="preserve">counted as </w:t>
      </w:r>
      <w:r w:rsidRPr="00461D74">
        <w:rPr>
          <w:rFonts w:ascii="Garamond" w:hAnsi="Garamond" w:cs="Arial"/>
          <w:iCs/>
          <w:color w:val="2C221F"/>
          <w:sz w:val="24"/>
          <w:szCs w:val="24"/>
        </w:rPr>
        <w:t>liberal</w:t>
      </w:r>
      <w:r w:rsidR="00F079F1">
        <w:rPr>
          <w:rFonts w:ascii="Garamond" w:hAnsi="Garamond" w:cs="Arial"/>
          <w:iCs/>
          <w:color w:val="2C221F"/>
          <w:sz w:val="24"/>
          <w:szCs w:val="24"/>
        </w:rPr>
        <w:t xml:space="preserve"> in the </w:t>
      </w:r>
      <w:proofErr w:type="spellStart"/>
      <w:r w:rsidR="00F079F1">
        <w:rPr>
          <w:rFonts w:ascii="Garamond" w:hAnsi="Garamond" w:cs="Arial"/>
          <w:iCs/>
          <w:color w:val="2C221F"/>
          <w:sz w:val="24"/>
          <w:szCs w:val="24"/>
        </w:rPr>
        <w:t>Rawlsian</w:t>
      </w:r>
      <w:proofErr w:type="spellEnd"/>
      <w:r w:rsidR="00F079F1">
        <w:rPr>
          <w:rFonts w:ascii="Garamond" w:hAnsi="Garamond" w:cs="Arial"/>
          <w:iCs/>
          <w:color w:val="2C221F"/>
          <w:sz w:val="24"/>
          <w:szCs w:val="24"/>
        </w:rPr>
        <w:t xml:space="preserve"> sense</w:t>
      </w:r>
      <w:r w:rsidRPr="00461D74">
        <w:rPr>
          <w:rFonts w:ascii="Garamond" w:hAnsi="Garamond" w:cs="Arial"/>
          <w:iCs/>
          <w:color w:val="2C221F"/>
          <w:sz w:val="24"/>
          <w:szCs w:val="24"/>
        </w:rPr>
        <w:t xml:space="preserve">. I will show how </w:t>
      </w:r>
      <w:proofErr w:type="spellStart"/>
      <w:r w:rsidRPr="00461D74">
        <w:rPr>
          <w:rFonts w:ascii="Garamond" w:hAnsi="Garamond" w:cs="Arial"/>
          <w:iCs/>
          <w:color w:val="2C221F"/>
          <w:sz w:val="24"/>
          <w:szCs w:val="24"/>
        </w:rPr>
        <w:t>Talisse’s</w:t>
      </w:r>
      <w:proofErr w:type="spellEnd"/>
      <w:r w:rsidRPr="00461D74">
        <w:rPr>
          <w:rFonts w:ascii="Garamond" w:hAnsi="Garamond" w:cs="Arial"/>
          <w:iCs/>
          <w:color w:val="2C221F"/>
          <w:sz w:val="24"/>
          <w:szCs w:val="24"/>
        </w:rPr>
        <w:t xml:space="preserve"> argument demonstrates that Dewey indeed </w:t>
      </w:r>
      <w:r w:rsidR="005623D6">
        <w:rPr>
          <w:rFonts w:ascii="Garamond" w:hAnsi="Garamond" w:cs="Arial"/>
          <w:iCs/>
          <w:color w:val="2C221F"/>
          <w:sz w:val="24"/>
          <w:szCs w:val="24"/>
        </w:rPr>
        <w:t xml:space="preserve">subscribes to </w:t>
      </w:r>
      <w:r w:rsidRPr="00461D74">
        <w:rPr>
          <w:rFonts w:ascii="Garamond" w:hAnsi="Garamond" w:cs="Arial"/>
          <w:iCs/>
          <w:color w:val="2C221F"/>
          <w:sz w:val="24"/>
          <w:szCs w:val="24"/>
        </w:rPr>
        <w:t xml:space="preserve">a </w:t>
      </w:r>
      <w:r w:rsidR="005623D6">
        <w:rPr>
          <w:rFonts w:ascii="Garamond" w:hAnsi="Garamond" w:cs="Arial"/>
          <w:iCs/>
          <w:color w:val="2C221F"/>
          <w:sz w:val="24"/>
          <w:szCs w:val="24"/>
        </w:rPr>
        <w:t xml:space="preserve">(moderately) </w:t>
      </w:r>
      <w:r w:rsidRPr="00461D74">
        <w:rPr>
          <w:rFonts w:ascii="Garamond" w:hAnsi="Garamond" w:cs="Arial"/>
          <w:iCs/>
          <w:color w:val="2C221F"/>
          <w:sz w:val="24"/>
          <w:szCs w:val="24"/>
        </w:rPr>
        <w:t>substantive teleology. I will then argue that Talisse rejects Dewey’s account, precisely because Dewey’s democracy as a way of life requires us to make the kind of substantive teleological claims that are the outcome of adopting and endorsing a certain mode of living, and a distinctive conception of human flourishing.</w:t>
      </w:r>
      <w:r w:rsidR="00FC1D5F">
        <w:rPr>
          <w:rStyle w:val="FootnoteReference"/>
          <w:rFonts w:ascii="Garamond" w:hAnsi="Garamond" w:cs="Arial"/>
          <w:iCs/>
          <w:color w:val="2C221F"/>
          <w:sz w:val="24"/>
          <w:szCs w:val="24"/>
        </w:rPr>
        <w:footnoteReference w:id="239"/>
      </w:r>
    </w:p>
    <w:p w:rsidR="00665157" w:rsidRDefault="00016049">
      <w:pPr>
        <w:spacing w:line="360" w:lineRule="auto"/>
        <w:ind w:firstLine="720"/>
        <w:jc w:val="both"/>
        <w:rPr>
          <w:rFonts w:ascii="Garamond" w:hAnsi="Garamond" w:cstheme="minorHAnsi"/>
          <w:iCs/>
          <w:color w:val="2C221F"/>
          <w:sz w:val="24"/>
          <w:szCs w:val="24"/>
        </w:rPr>
      </w:pPr>
      <w:r w:rsidRPr="00461D74">
        <w:rPr>
          <w:rStyle w:val="fontstyle01"/>
          <w:rFonts w:ascii="Garamond" w:hAnsi="Garamond" w:cstheme="minorHAnsi"/>
          <w:sz w:val="24"/>
          <w:szCs w:val="24"/>
        </w:rPr>
        <w:t xml:space="preserve">Talisse, in support of his claim, </w:t>
      </w:r>
      <w:r w:rsidRPr="00461D74">
        <w:rPr>
          <w:rFonts w:ascii="Garamond" w:hAnsi="Garamond" w:cstheme="minorHAnsi"/>
          <w:iCs/>
          <w:color w:val="2C221F"/>
          <w:sz w:val="24"/>
          <w:szCs w:val="24"/>
        </w:rPr>
        <w:t xml:space="preserve">offers four hypotheses he identifies in Dewey’s account of democracy. For my purposes I will only consider the first three. </w:t>
      </w:r>
    </w:p>
    <w:p w:rsidR="00665157" w:rsidRDefault="00016049">
      <w:pPr>
        <w:pStyle w:val="ListParagraph"/>
        <w:numPr>
          <w:ilvl w:val="0"/>
          <w:numId w:val="11"/>
        </w:numPr>
        <w:spacing w:line="360" w:lineRule="auto"/>
        <w:jc w:val="both"/>
        <w:rPr>
          <w:rStyle w:val="fontstyle01"/>
          <w:rFonts w:ascii="Garamond" w:hAnsi="Garamond" w:cstheme="minorHAnsi"/>
          <w:sz w:val="24"/>
          <w:szCs w:val="24"/>
          <w:lang w:val="en-CA" w:eastAsia="zh-CN"/>
        </w:rPr>
      </w:pPr>
      <w:r w:rsidRPr="00461D74">
        <w:rPr>
          <w:rStyle w:val="fontstyle21"/>
          <w:rFonts w:ascii="Garamond" w:hAnsi="Garamond" w:cstheme="minorHAnsi"/>
          <w:sz w:val="24"/>
          <w:szCs w:val="24"/>
        </w:rPr>
        <w:t>The Continuity Thesis</w:t>
      </w:r>
      <w:r w:rsidRPr="00461D74">
        <w:rPr>
          <w:rStyle w:val="fontstyle01"/>
          <w:rFonts w:ascii="Garamond" w:hAnsi="Garamond" w:cstheme="minorHAnsi"/>
          <w:sz w:val="24"/>
          <w:szCs w:val="24"/>
        </w:rPr>
        <w:t xml:space="preserve">: </w:t>
      </w:r>
      <w:r w:rsidR="00BC51F7" w:rsidRPr="00461D74">
        <w:rPr>
          <w:rStyle w:val="fontstyle01"/>
          <w:rFonts w:ascii="Garamond" w:hAnsi="Garamond" w:cstheme="minorHAnsi"/>
          <w:sz w:val="24"/>
          <w:szCs w:val="24"/>
        </w:rPr>
        <w:t>“</w:t>
      </w:r>
      <w:r w:rsidRPr="00461D74">
        <w:rPr>
          <w:rStyle w:val="fontstyle01"/>
          <w:rFonts w:ascii="Garamond" w:hAnsi="Garamond" w:cstheme="minorHAnsi"/>
          <w:sz w:val="24"/>
          <w:szCs w:val="24"/>
        </w:rPr>
        <w:t>The democratic political order is a moral order characterized by</w:t>
      </w:r>
      <w:r w:rsidRPr="00461D74">
        <w:rPr>
          <w:rFonts w:ascii="Garamond" w:hAnsi="Garamond" w:cstheme="minorHAnsi"/>
          <w:color w:val="231F20"/>
        </w:rPr>
        <w:t xml:space="preserve"> </w:t>
      </w:r>
      <w:r w:rsidRPr="00461D74">
        <w:rPr>
          <w:rStyle w:val="fontstyle01"/>
          <w:rFonts w:ascii="Garamond" w:hAnsi="Garamond" w:cstheme="minorHAnsi"/>
          <w:sz w:val="24"/>
          <w:szCs w:val="24"/>
        </w:rPr>
        <w:t>a distinctive conception of human flourishing.</w:t>
      </w:r>
      <w:r w:rsidR="00BC51F7" w:rsidRPr="00461D74">
        <w:rPr>
          <w:rStyle w:val="fontstyle01"/>
          <w:rFonts w:ascii="Garamond" w:hAnsi="Garamond" w:cstheme="minorHAnsi"/>
          <w:sz w:val="24"/>
          <w:szCs w:val="24"/>
        </w:rPr>
        <w:t>”</w:t>
      </w:r>
      <w:r w:rsidR="00BD39C0" w:rsidRPr="00461D74">
        <w:rPr>
          <w:rStyle w:val="FootnoteReference"/>
          <w:rFonts w:ascii="Garamond" w:hAnsi="Garamond" w:cstheme="minorHAnsi"/>
          <w:color w:val="000000"/>
        </w:rPr>
        <w:footnoteReference w:id="240"/>
      </w:r>
    </w:p>
    <w:p w:rsidR="00665157" w:rsidRDefault="00BD39C0">
      <w:pPr>
        <w:spacing w:line="360" w:lineRule="auto"/>
        <w:ind w:left="60"/>
        <w:jc w:val="both"/>
        <w:rPr>
          <w:rStyle w:val="fontstyle01"/>
          <w:rFonts w:ascii="Garamond" w:hAnsi="Garamond" w:cstheme="minorHAnsi"/>
          <w:sz w:val="24"/>
          <w:szCs w:val="24"/>
        </w:rPr>
      </w:pPr>
      <w:r w:rsidRPr="00461D74">
        <w:rPr>
          <w:rStyle w:val="fontstyle01"/>
          <w:rFonts w:ascii="Garamond" w:hAnsi="Garamond" w:cstheme="minorHAnsi"/>
          <w:sz w:val="24"/>
          <w:szCs w:val="24"/>
        </w:rPr>
        <w:t>Now, for Dewey</w:t>
      </w:r>
      <w:r w:rsidR="00016049" w:rsidRPr="00461D74">
        <w:rPr>
          <w:rStyle w:val="fontstyle01"/>
          <w:rFonts w:ascii="Garamond" w:hAnsi="Garamond" w:cstheme="minorHAnsi"/>
          <w:sz w:val="24"/>
          <w:szCs w:val="24"/>
        </w:rPr>
        <w:t xml:space="preserve">, human beings are social creatures and their good is achieved in the process of socialisation, so that on Dewey’s view ethics and politics are </w:t>
      </w:r>
      <w:r w:rsidRPr="00461D74">
        <w:rPr>
          <w:rStyle w:val="fontstyle01"/>
          <w:rFonts w:ascii="Garamond" w:hAnsi="Garamond" w:cstheme="minorHAnsi"/>
          <w:sz w:val="24"/>
          <w:szCs w:val="24"/>
        </w:rPr>
        <w:t>essentially interdependent</w:t>
      </w:r>
      <w:r w:rsidR="00016049" w:rsidRPr="00461D74">
        <w:rPr>
          <w:rStyle w:val="fontstyle01"/>
          <w:rFonts w:ascii="Garamond" w:hAnsi="Garamond" w:cstheme="minorHAnsi"/>
          <w:sz w:val="24"/>
          <w:szCs w:val="24"/>
        </w:rPr>
        <w:t>.</w:t>
      </w:r>
      <w:r w:rsidRPr="00461D74">
        <w:rPr>
          <w:rStyle w:val="FootnoteReference"/>
          <w:rFonts w:ascii="Garamond" w:hAnsi="Garamond" w:cstheme="minorHAnsi"/>
          <w:color w:val="000000"/>
          <w:sz w:val="24"/>
          <w:szCs w:val="24"/>
        </w:rPr>
        <w:footnoteReference w:id="241"/>
      </w:r>
      <w:r w:rsidRPr="00461D74">
        <w:rPr>
          <w:rStyle w:val="fontstyle01"/>
          <w:rFonts w:ascii="Garamond" w:hAnsi="Garamond" w:cstheme="minorHAnsi"/>
          <w:sz w:val="24"/>
          <w:szCs w:val="24"/>
        </w:rPr>
        <w:t xml:space="preserve"> </w:t>
      </w:r>
      <w:r w:rsidR="00734AC8">
        <w:rPr>
          <w:rStyle w:val="fontstyle01"/>
          <w:rFonts w:ascii="Garamond" w:hAnsi="Garamond" w:cstheme="minorHAnsi"/>
          <w:sz w:val="24"/>
          <w:szCs w:val="24"/>
        </w:rPr>
        <w:t>Now</w:t>
      </w:r>
      <w:r w:rsidR="00016049"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if</w:t>
      </w:r>
      <w:r w:rsidR="00016049"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we </w:t>
      </w:r>
      <w:r w:rsidR="00734AC8">
        <w:rPr>
          <w:rStyle w:val="fontstyle01"/>
          <w:rFonts w:ascii="Garamond" w:hAnsi="Garamond" w:cstheme="minorHAnsi"/>
          <w:sz w:val="24"/>
          <w:szCs w:val="24"/>
        </w:rPr>
        <w:t>concede</w:t>
      </w:r>
      <w:r w:rsidR="00734AC8" w:rsidRPr="00461D74">
        <w:rPr>
          <w:rStyle w:val="fontstyle01"/>
          <w:rFonts w:ascii="Garamond" w:hAnsi="Garamond" w:cstheme="minorHAnsi"/>
          <w:sz w:val="24"/>
          <w:szCs w:val="24"/>
        </w:rPr>
        <w:t xml:space="preserve"> </w:t>
      </w:r>
      <w:r w:rsidR="000422B7" w:rsidRPr="00461D74">
        <w:rPr>
          <w:rStyle w:val="fontstyle01"/>
          <w:rFonts w:ascii="Garamond" w:hAnsi="Garamond" w:cstheme="minorHAnsi"/>
          <w:sz w:val="24"/>
          <w:szCs w:val="24"/>
        </w:rPr>
        <w:t>that the democratic order i</w:t>
      </w:r>
      <w:r w:rsidR="00016049" w:rsidRPr="00461D74">
        <w:rPr>
          <w:rStyle w:val="fontstyle01"/>
          <w:rFonts w:ascii="Garamond" w:hAnsi="Garamond" w:cstheme="minorHAnsi"/>
          <w:sz w:val="24"/>
          <w:szCs w:val="24"/>
        </w:rPr>
        <w:t xml:space="preserve">s a moral order </w:t>
      </w:r>
      <w:r w:rsidR="000422B7" w:rsidRPr="00461D74">
        <w:rPr>
          <w:rStyle w:val="fontstyle01"/>
          <w:rFonts w:ascii="Garamond" w:hAnsi="Garamond" w:cstheme="minorHAnsi"/>
          <w:sz w:val="24"/>
          <w:szCs w:val="24"/>
        </w:rPr>
        <w:t>characterised by a distinctive</w:t>
      </w:r>
      <w:r w:rsidR="00016049" w:rsidRPr="00461D74">
        <w:rPr>
          <w:rStyle w:val="fontstyle01"/>
          <w:rFonts w:ascii="Garamond" w:hAnsi="Garamond" w:cstheme="minorHAnsi"/>
          <w:sz w:val="24"/>
          <w:szCs w:val="24"/>
        </w:rPr>
        <w:t xml:space="preserve"> conception of flourishing</w:t>
      </w:r>
      <w:r w:rsidRPr="00461D74">
        <w:rPr>
          <w:rStyle w:val="fontstyle01"/>
          <w:rFonts w:ascii="Garamond" w:hAnsi="Garamond" w:cstheme="minorHAnsi"/>
          <w:sz w:val="24"/>
          <w:szCs w:val="24"/>
        </w:rPr>
        <w:t xml:space="preserve">, we end up </w:t>
      </w:r>
      <w:r w:rsidR="00016049" w:rsidRPr="00461D74">
        <w:rPr>
          <w:rStyle w:val="fontstyle01"/>
          <w:rFonts w:ascii="Garamond" w:hAnsi="Garamond" w:cstheme="minorHAnsi"/>
          <w:sz w:val="24"/>
          <w:szCs w:val="24"/>
        </w:rPr>
        <w:t>follow</w:t>
      </w:r>
      <w:r w:rsidRPr="00461D74">
        <w:rPr>
          <w:rStyle w:val="fontstyle01"/>
          <w:rFonts w:ascii="Garamond" w:hAnsi="Garamond" w:cstheme="minorHAnsi"/>
          <w:sz w:val="24"/>
          <w:szCs w:val="24"/>
        </w:rPr>
        <w:t>ing</w:t>
      </w:r>
      <w:r w:rsidR="00016049" w:rsidRPr="00461D74">
        <w:rPr>
          <w:rStyle w:val="fontstyle01"/>
          <w:rFonts w:ascii="Garamond" w:hAnsi="Garamond" w:cstheme="minorHAnsi"/>
          <w:sz w:val="24"/>
          <w:szCs w:val="24"/>
        </w:rPr>
        <w:t xml:space="preserve"> in the footsteps of Aristotle and accept continui</w:t>
      </w:r>
      <w:r w:rsidRPr="00461D74">
        <w:rPr>
          <w:rStyle w:val="fontstyle01"/>
          <w:rFonts w:ascii="Garamond" w:hAnsi="Garamond" w:cstheme="minorHAnsi"/>
          <w:sz w:val="24"/>
          <w:szCs w:val="24"/>
        </w:rPr>
        <w:t>ty between ethics and politics.</w:t>
      </w:r>
    </w:p>
    <w:p w:rsidR="00665157" w:rsidRDefault="00016049">
      <w:pPr>
        <w:pStyle w:val="ListParagraph"/>
        <w:numPr>
          <w:ilvl w:val="0"/>
          <w:numId w:val="11"/>
        </w:numPr>
        <w:spacing w:line="360" w:lineRule="auto"/>
        <w:jc w:val="both"/>
        <w:rPr>
          <w:rFonts w:ascii="Garamond" w:hAnsi="Garamond" w:cstheme="minorHAnsi"/>
          <w:color w:val="231F20"/>
        </w:rPr>
      </w:pPr>
      <w:r w:rsidRPr="00461D74">
        <w:rPr>
          <w:rStyle w:val="fontstyle21"/>
          <w:rFonts w:ascii="Garamond" w:hAnsi="Garamond" w:cstheme="minorHAnsi"/>
          <w:sz w:val="24"/>
          <w:szCs w:val="24"/>
        </w:rPr>
        <w:lastRenderedPageBreak/>
        <w:t>The Transformative Thesis</w:t>
      </w:r>
      <w:r w:rsidRPr="00461D74">
        <w:rPr>
          <w:rStyle w:val="fontstyle01"/>
          <w:rFonts w:ascii="Garamond" w:hAnsi="Garamond" w:cstheme="minorHAnsi"/>
          <w:sz w:val="24"/>
          <w:szCs w:val="24"/>
        </w:rPr>
        <w:t xml:space="preserve">: </w:t>
      </w:r>
      <w:r w:rsidR="00BC51F7" w:rsidRPr="00461D74">
        <w:rPr>
          <w:rStyle w:val="fontstyle01"/>
          <w:rFonts w:ascii="Garamond" w:hAnsi="Garamond" w:cstheme="minorHAnsi"/>
          <w:sz w:val="24"/>
          <w:szCs w:val="24"/>
        </w:rPr>
        <w:t>“</w:t>
      </w:r>
      <w:r w:rsidRPr="00461D74">
        <w:rPr>
          <w:rStyle w:val="fontstyle01"/>
          <w:rFonts w:ascii="Garamond" w:hAnsi="Garamond" w:cstheme="minorHAnsi"/>
          <w:sz w:val="24"/>
          <w:szCs w:val="24"/>
        </w:rPr>
        <w:t>The democratic process is one in which individual preferences, attitudes and opinions are informed and transformed rather than simply aggregated.</w:t>
      </w:r>
      <w:r w:rsidR="00BC51F7" w:rsidRPr="00461D74">
        <w:rPr>
          <w:rStyle w:val="fontstyle01"/>
          <w:rFonts w:ascii="Garamond" w:hAnsi="Garamond" w:cstheme="minorHAnsi"/>
          <w:sz w:val="24"/>
          <w:szCs w:val="24"/>
        </w:rPr>
        <w:t>”</w:t>
      </w:r>
      <w:r w:rsidR="00BC51F7" w:rsidRPr="00461D74">
        <w:rPr>
          <w:rStyle w:val="FootnoteReference"/>
          <w:rFonts w:ascii="Garamond" w:hAnsi="Garamond" w:cstheme="minorHAnsi"/>
          <w:color w:val="000000"/>
        </w:rPr>
        <w:footnoteReference w:id="242"/>
      </w:r>
    </w:p>
    <w:p w:rsidR="00665157" w:rsidRDefault="00016049">
      <w:pPr>
        <w:spacing w:line="360" w:lineRule="auto"/>
        <w:jc w:val="both"/>
        <w:rPr>
          <w:rStyle w:val="fontstyle01"/>
          <w:rFonts w:ascii="Garamond" w:hAnsi="Garamond" w:cstheme="minorHAnsi"/>
          <w:sz w:val="24"/>
          <w:szCs w:val="24"/>
        </w:rPr>
      </w:pPr>
      <w:r w:rsidRPr="00461D74">
        <w:rPr>
          <w:rStyle w:val="fontstyle01"/>
          <w:rFonts w:ascii="Garamond" w:hAnsi="Garamond" w:cstheme="minorHAnsi"/>
          <w:sz w:val="24"/>
          <w:szCs w:val="24"/>
        </w:rPr>
        <w:t xml:space="preserve">Talisse argues that the type of democracy Dewey advocates is rooted in Dewey’s conception of growth. The process in which the individual develops, and becomes an active participant in Deweyan democracy, is rooted in the same account of individual growth – </w:t>
      </w:r>
      <w:r w:rsidR="005D643B">
        <w:rPr>
          <w:rStyle w:val="fontstyle01"/>
          <w:rFonts w:ascii="Garamond" w:hAnsi="Garamond" w:cstheme="minorHAnsi"/>
          <w:sz w:val="24"/>
          <w:szCs w:val="24"/>
        </w:rPr>
        <w:t xml:space="preserve">and </w:t>
      </w:r>
      <w:r w:rsidRPr="00461D74">
        <w:rPr>
          <w:rStyle w:val="fontstyle01"/>
          <w:rFonts w:ascii="Garamond" w:hAnsi="Garamond" w:cstheme="minorHAnsi"/>
          <w:sz w:val="24"/>
          <w:szCs w:val="24"/>
        </w:rPr>
        <w:t>growth</w:t>
      </w:r>
      <w:r w:rsidR="005D643B">
        <w:rPr>
          <w:rStyle w:val="fontstyle01"/>
          <w:rFonts w:ascii="Garamond" w:hAnsi="Garamond" w:cstheme="minorHAnsi"/>
          <w:sz w:val="24"/>
          <w:szCs w:val="24"/>
        </w:rPr>
        <w:t>,</w:t>
      </w:r>
      <w:r w:rsidRPr="00461D74">
        <w:rPr>
          <w:rStyle w:val="fontstyle01"/>
          <w:rFonts w:ascii="Garamond" w:hAnsi="Garamond" w:cstheme="minorHAnsi"/>
          <w:sz w:val="24"/>
          <w:szCs w:val="24"/>
        </w:rPr>
        <w:t xml:space="preserve"> </w:t>
      </w:r>
      <w:r w:rsidR="005D643B">
        <w:rPr>
          <w:rStyle w:val="fontstyle01"/>
          <w:rFonts w:ascii="Garamond" w:hAnsi="Garamond" w:cstheme="minorHAnsi"/>
          <w:sz w:val="24"/>
          <w:szCs w:val="24"/>
        </w:rPr>
        <w:t>on this view, remains</w:t>
      </w:r>
      <w:r w:rsidRPr="00461D74">
        <w:rPr>
          <w:rStyle w:val="fontstyle01"/>
          <w:rFonts w:ascii="Garamond" w:hAnsi="Garamond" w:cstheme="minorHAnsi"/>
          <w:sz w:val="24"/>
          <w:szCs w:val="24"/>
        </w:rPr>
        <w:t xml:space="preserve"> irreducibly social. Summarising Dewey’s account of democracy, Talisse claims that for Dewey “participation in a democratic community is not simply a matter of voting, campaigning, canvassing, lobbying and petitioning in service of one’s preferences; rather, participation requires citizens to engage</w:t>
      </w:r>
      <w:r w:rsidRPr="00461D74">
        <w:rPr>
          <w:rFonts w:ascii="Garamond" w:hAnsi="Garamond" w:cstheme="minorHAnsi"/>
          <w:sz w:val="24"/>
          <w:szCs w:val="24"/>
          <w:lang w:val="en-US"/>
        </w:rPr>
        <w:t xml:space="preserve"> </w:t>
      </w:r>
      <w:r w:rsidRPr="00461D74">
        <w:rPr>
          <w:rStyle w:val="fontstyle01"/>
          <w:rFonts w:ascii="Garamond" w:hAnsi="Garamond" w:cstheme="minorHAnsi"/>
          <w:sz w:val="24"/>
          <w:szCs w:val="24"/>
        </w:rPr>
        <w:t>in activities by which they may by free and open discussion ‘convince and be convinced by reason’</w:t>
      </w:r>
      <w:r w:rsidR="00D6631D">
        <w:rPr>
          <w:rStyle w:val="fontstyle01"/>
          <w:rFonts w:ascii="Garamond" w:hAnsi="Garamond" w:cstheme="minorHAnsi"/>
          <w:sz w:val="24"/>
          <w:szCs w:val="24"/>
        </w:rPr>
        <w:t>.</w:t>
      </w:r>
      <w:r w:rsidRPr="00461D74">
        <w:rPr>
          <w:rStyle w:val="fontstyle01"/>
          <w:rFonts w:ascii="Garamond" w:hAnsi="Garamond" w:cstheme="minorHAnsi"/>
          <w:sz w:val="24"/>
          <w:szCs w:val="24"/>
        </w:rPr>
        <w:t>”</w:t>
      </w:r>
      <w:r w:rsidR="00A248AC" w:rsidRPr="00461D74">
        <w:rPr>
          <w:rStyle w:val="FootnoteReference"/>
          <w:rFonts w:ascii="Garamond" w:hAnsi="Garamond" w:cstheme="minorHAnsi"/>
          <w:color w:val="000000"/>
          <w:sz w:val="24"/>
          <w:szCs w:val="24"/>
        </w:rPr>
        <w:footnoteReference w:id="243"/>
      </w:r>
      <w:r w:rsidRPr="00461D74">
        <w:rPr>
          <w:rStyle w:val="fontstyle01"/>
          <w:rFonts w:ascii="Garamond" w:hAnsi="Garamond" w:cstheme="minorHAnsi"/>
          <w:sz w:val="24"/>
          <w:szCs w:val="24"/>
        </w:rPr>
        <w:t xml:space="preserve"> Talisse </w:t>
      </w:r>
      <w:r w:rsidR="00A248AC" w:rsidRPr="00461D74">
        <w:rPr>
          <w:rStyle w:val="fontstyle01"/>
          <w:rFonts w:ascii="Garamond" w:hAnsi="Garamond" w:cstheme="minorHAnsi"/>
          <w:sz w:val="24"/>
          <w:szCs w:val="24"/>
        </w:rPr>
        <w:t xml:space="preserve">then </w:t>
      </w:r>
      <w:r w:rsidRPr="00461D74">
        <w:rPr>
          <w:rStyle w:val="fontstyle01"/>
          <w:rFonts w:ascii="Garamond" w:hAnsi="Garamond" w:cstheme="minorHAnsi"/>
          <w:sz w:val="24"/>
          <w:szCs w:val="24"/>
        </w:rPr>
        <w:t>concludes that Deweyan democracy adopts a transformative model of democracy</w:t>
      </w:r>
      <w:r w:rsidR="00913FB7" w:rsidRPr="00461D74">
        <w:rPr>
          <w:rStyle w:val="fontstyle01"/>
          <w:rFonts w:ascii="Garamond" w:hAnsi="Garamond" w:cstheme="minorHAnsi"/>
          <w:sz w:val="24"/>
          <w:szCs w:val="24"/>
        </w:rPr>
        <w:t>,</w:t>
      </w:r>
      <w:r w:rsidRPr="00461D74">
        <w:rPr>
          <w:rStyle w:val="fontstyle01"/>
          <w:rFonts w:ascii="Garamond" w:hAnsi="Garamond" w:cstheme="minorHAnsi"/>
          <w:sz w:val="24"/>
          <w:szCs w:val="24"/>
        </w:rPr>
        <w:t xml:space="preserve"> one in which the development and growth of individuals, and wider societal development, are seen as interdependent.</w:t>
      </w:r>
      <w:r w:rsidR="00A248AC" w:rsidRPr="00461D74">
        <w:rPr>
          <w:rStyle w:val="FootnoteReference"/>
          <w:rFonts w:ascii="Garamond" w:hAnsi="Garamond" w:cstheme="minorHAnsi"/>
          <w:color w:val="000000"/>
          <w:sz w:val="24"/>
          <w:szCs w:val="24"/>
        </w:rPr>
        <w:footnoteReference w:id="244"/>
      </w:r>
      <w:r w:rsidR="00AA2A48" w:rsidRPr="00461D74">
        <w:rPr>
          <w:rStyle w:val="fontstyle01"/>
          <w:rFonts w:ascii="Garamond" w:hAnsi="Garamond" w:cstheme="minorHAnsi"/>
          <w:sz w:val="24"/>
          <w:szCs w:val="24"/>
        </w:rPr>
        <w:fldChar w:fldCharType="begin"/>
      </w:r>
      <w:r w:rsidR="0083324E" w:rsidRPr="00461D74">
        <w:rPr>
          <w:rStyle w:val="fontstyle01"/>
          <w:rFonts w:ascii="Garamond" w:hAnsi="Garamond" w:cstheme="minorHAnsi"/>
          <w:sz w:val="24"/>
          <w:szCs w:val="24"/>
        </w:rPr>
        <w:instrText xml:space="preserve"> ADDIN EN.CITE &lt;EndNote&gt;&lt;Cite AuthorYear="1"&gt;&lt;Author&gt;Talisse&lt;/Author&gt;&lt;Year&gt;2011&lt;/Year&gt;&lt;RecNum&gt;126&lt;/RecNum&gt;&lt;record&gt;&lt;rec-number&gt;126&lt;/rec-number&gt;&lt;foreign-keys&gt;&lt;key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Studies&lt;/full-title&gt;&lt;/periodical&gt;&lt;pages&gt;509-526&lt;/pages&gt;&lt;volume&gt;59&lt;/volume&gt;&lt;dates&gt;&lt;year&gt;2011&lt;/year&gt;&lt;/dates&gt;&lt;urls&gt;&lt;/urls&gt;&lt;/record&gt;&lt;/Cite&gt;&lt;Cite AuthorYear="1"&gt;&lt;Author&gt;Talisse&lt;/Author&gt;&lt;Year&gt;2011&lt;/Year&gt;&lt;RecNum&gt;126&lt;/RecNum&gt;&lt;record&gt;&lt;rec-number&gt;126&lt;/rec-number&gt;&lt;foreign-keys&gt;&lt;key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461D74">
        <w:rPr>
          <w:rStyle w:val="fontstyle01"/>
          <w:rFonts w:ascii="Garamond" w:hAnsi="Garamond" w:cstheme="minorHAnsi"/>
          <w:sz w:val="24"/>
          <w:szCs w:val="24"/>
        </w:rPr>
        <w:fldChar w:fldCharType="end"/>
      </w:r>
    </w:p>
    <w:p w:rsidR="00665157" w:rsidRDefault="00016049">
      <w:pPr>
        <w:pStyle w:val="ListParagraph"/>
        <w:numPr>
          <w:ilvl w:val="0"/>
          <w:numId w:val="11"/>
        </w:numPr>
        <w:spacing w:line="360" w:lineRule="auto"/>
        <w:jc w:val="both"/>
        <w:rPr>
          <w:rStyle w:val="fontstyle01"/>
          <w:rFonts w:ascii="Garamond" w:hAnsi="Garamond" w:cstheme="minorHAnsi"/>
          <w:sz w:val="24"/>
          <w:szCs w:val="24"/>
          <w:lang w:val="en-CA" w:eastAsia="zh-CN"/>
        </w:rPr>
      </w:pPr>
      <w:r w:rsidRPr="00461D74">
        <w:rPr>
          <w:rStyle w:val="fontstyle21"/>
          <w:rFonts w:ascii="Garamond" w:hAnsi="Garamond" w:cstheme="minorHAnsi"/>
          <w:sz w:val="24"/>
          <w:szCs w:val="24"/>
        </w:rPr>
        <w:t>The Way of Life Thesis</w:t>
      </w:r>
      <w:r w:rsidRPr="00461D74">
        <w:rPr>
          <w:rStyle w:val="fontstyle01"/>
          <w:rFonts w:ascii="Garamond" w:hAnsi="Garamond" w:cstheme="minorHAnsi"/>
          <w:sz w:val="24"/>
          <w:szCs w:val="24"/>
        </w:rPr>
        <w:t xml:space="preserve">: </w:t>
      </w:r>
      <w:r w:rsidR="00BC51F7" w:rsidRPr="00461D74">
        <w:rPr>
          <w:rStyle w:val="fontstyle01"/>
          <w:rFonts w:ascii="Garamond" w:hAnsi="Garamond" w:cstheme="minorHAnsi"/>
          <w:sz w:val="24"/>
          <w:szCs w:val="24"/>
        </w:rPr>
        <w:t>“</w:t>
      </w:r>
      <w:r w:rsidRPr="00461D74">
        <w:rPr>
          <w:rStyle w:val="fontstyle01"/>
          <w:rFonts w:ascii="Garamond" w:hAnsi="Garamond" w:cstheme="minorHAnsi"/>
          <w:sz w:val="24"/>
          <w:szCs w:val="24"/>
        </w:rPr>
        <w:t>Democracy is not simply a kind of state or a mode of</w:t>
      </w:r>
      <w:r w:rsidR="00BC51F7" w:rsidRPr="00461D74">
        <w:rPr>
          <w:rFonts w:ascii="Garamond" w:hAnsi="Garamond" w:cstheme="minorHAnsi"/>
          <w:color w:val="231F20"/>
        </w:rPr>
        <w:t xml:space="preserve"> </w:t>
      </w:r>
      <w:r w:rsidR="00BC51F7" w:rsidRPr="00461D74">
        <w:rPr>
          <w:rStyle w:val="fontstyle01"/>
          <w:rFonts w:ascii="Garamond" w:hAnsi="Garamond" w:cstheme="minorHAnsi"/>
          <w:sz w:val="24"/>
          <w:szCs w:val="24"/>
        </w:rPr>
        <w:t>government, but a way of life.”</w:t>
      </w:r>
      <w:r w:rsidR="00A248AC" w:rsidRPr="00461D74">
        <w:rPr>
          <w:rStyle w:val="FootnoteReference"/>
          <w:rFonts w:ascii="Garamond" w:hAnsi="Garamond" w:cstheme="minorHAnsi"/>
          <w:color w:val="000000"/>
        </w:rPr>
        <w:footnoteReference w:id="245"/>
      </w:r>
    </w:p>
    <w:p w:rsidR="00665157" w:rsidRDefault="00FE4502">
      <w:pPr>
        <w:spacing w:line="360" w:lineRule="auto"/>
        <w:ind w:left="60"/>
        <w:jc w:val="both"/>
        <w:rPr>
          <w:rStyle w:val="fontstyle01"/>
          <w:rFonts w:ascii="Garamond" w:hAnsi="Garamond" w:cstheme="minorHAnsi"/>
          <w:sz w:val="24"/>
          <w:szCs w:val="24"/>
        </w:rPr>
      </w:pPr>
      <w:r>
        <w:rPr>
          <w:rStyle w:val="fontstyle01"/>
          <w:rFonts w:ascii="Garamond" w:hAnsi="Garamond" w:cstheme="minorHAnsi"/>
          <w:sz w:val="24"/>
          <w:szCs w:val="24"/>
        </w:rPr>
        <w:t>Given that</w:t>
      </w:r>
      <w:r w:rsidRPr="00461D74">
        <w:rPr>
          <w:rStyle w:val="fontstyle01"/>
          <w:rFonts w:ascii="Garamond" w:hAnsi="Garamond" w:cstheme="minorHAnsi"/>
          <w:sz w:val="24"/>
          <w:szCs w:val="24"/>
        </w:rPr>
        <w:t xml:space="preserve"> </w:t>
      </w:r>
      <w:r w:rsidR="00016049" w:rsidRPr="00461D74">
        <w:rPr>
          <w:rStyle w:val="fontstyle01"/>
          <w:rFonts w:ascii="Garamond" w:hAnsi="Garamond" w:cstheme="minorHAnsi"/>
          <w:sz w:val="24"/>
          <w:szCs w:val="24"/>
        </w:rPr>
        <w:t xml:space="preserve">I’ve </w:t>
      </w:r>
      <w:r>
        <w:rPr>
          <w:rStyle w:val="fontstyle01"/>
          <w:rFonts w:ascii="Garamond" w:hAnsi="Garamond" w:cstheme="minorHAnsi"/>
          <w:sz w:val="24"/>
          <w:szCs w:val="24"/>
        </w:rPr>
        <w:t>previously</w:t>
      </w:r>
      <w:r w:rsidRPr="00461D74">
        <w:rPr>
          <w:rStyle w:val="fontstyle01"/>
          <w:rFonts w:ascii="Garamond" w:hAnsi="Garamond" w:cstheme="minorHAnsi"/>
          <w:sz w:val="24"/>
          <w:szCs w:val="24"/>
        </w:rPr>
        <w:t xml:space="preserve"> </w:t>
      </w:r>
      <w:r w:rsidR="00016049" w:rsidRPr="00461D74">
        <w:rPr>
          <w:rStyle w:val="fontstyle01"/>
          <w:rFonts w:ascii="Garamond" w:hAnsi="Garamond" w:cstheme="minorHAnsi"/>
          <w:sz w:val="24"/>
          <w:szCs w:val="24"/>
        </w:rPr>
        <w:t>considered Dewey’s ‘democracy as a way of life</w:t>
      </w:r>
      <w:r w:rsidR="003673CD">
        <w:rPr>
          <w:rStyle w:val="fontstyle01"/>
          <w:rFonts w:ascii="Garamond" w:hAnsi="Garamond" w:cstheme="minorHAnsi"/>
          <w:sz w:val="24"/>
          <w:szCs w:val="24"/>
        </w:rPr>
        <w:t>,</w:t>
      </w:r>
      <w:r w:rsidR="00016049" w:rsidRPr="00461D74">
        <w:rPr>
          <w:rStyle w:val="fontstyle01"/>
          <w:rFonts w:ascii="Garamond" w:hAnsi="Garamond" w:cstheme="minorHAnsi"/>
          <w:sz w:val="24"/>
          <w:szCs w:val="24"/>
        </w:rPr>
        <w:t>’ I won’t restate it again except to emphasize that in Deweyan democracy, we are committed to a particular way of life and a particular orientation towards life, being the right sort of life in terms of realising growth. And realising growth is something we ought to achieve – precisely because human beings are irreducibly social problem-solving animals</w:t>
      </w:r>
      <w:r>
        <w:rPr>
          <w:rStyle w:val="fontstyle01"/>
          <w:rFonts w:ascii="Garamond" w:hAnsi="Garamond" w:cstheme="minorHAnsi"/>
          <w:sz w:val="24"/>
          <w:szCs w:val="24"/>
        </w:rPr>
        <w:t>.</w:t>
      </w:r>
      <w:r w:rsidR="00016049" w:rsidRPr="00461D74">
        <w:rPr>
          <w:rStyle w:val="fontstyle01"/>
          <w:rFonts w:ascii="Garamond" w:hAnsi="Garamond" w:cstheme="minorHAnsi"/>
          <w:sz w:val="24"/>
          <w:szCs w:val="24"/>
        </w:rPr>
        <w:t xml:space="preserve"> </w:t>
      </w:r>
      <w:r>
        <w:rPr>
          <w:rStyle w:val="fontstyle01"/>
          <w:rFonts w:ascii="Garamond" w:hAnsi="Garamond" w:cstheme="minorHAnsi"/>
          <w:sz w:val="24"/>
          <w:szCs w:val="24"/>
        </w:rPr>
        <w:t xml:space="preserve">It is </w:t>
      </w:r>
      <w:r w:rsidR="00016049" w:rsidRPr="00461D74">
        <w:rPr>
          <w:rStyle w:val="fontstyle01"/>
          <w:rFonts w:ascii="Garamond" w:hAnsi="Garamond" w:cstheme="minorHAnsi"/>
          <w:sz w:val="24"/>
          <w:szCs w:val="24"/>
        </w:rPr>
        <w:t xml:space="preserve">in this sense </w:t>
      </w:r>
      <w:r>
        <w:rPr>
          <w:rStyle w:val="fontstyle01"/>
          <w:rFonts w:ascii="Garamond" w:hAnsi="Garamond" w:cstheme="minorHAnsi"/>
          <w:sz w:val="24"/>
          <w:szCs w:val="24"/>
        </w:rPr>
        <w:t>that Dewey’s account involve</w:t>
      </w:r>
      <w:r w:rsidR="00EE6789">
        <w:rPr>
          <w:rStyle w:val="fontstyle01"/>
          <w:rFonts w:ascii="Garamond" w:hAnsi="Garamond" w:cstheme="minorHAnsi"/>
          <w:sz w:val="24"/>
          <w:szCs w:val="24"/>
        </w:rPr>
        <w:t>s</w:t>
      </w:r>
      <w:r>
        <w:rPr>
          <w:rStyle w:val="fontstyle01"/>
          <w:rFonts w:ascii="Garamond" w:hAnsi="Garamond" w:cstheme="minorHAnsi"/>
          <w:sz w:val="24"/>
          <w:szCs w:val="24"/>
        </w:rPr>
        <w:t xml:space="preserve"> </w:t>
      </w:r>
      <w:r w:rsidR="00016049" w:rsidRPr="00461D74">
        <w:rPr>
          <w:rStyle w:val="fontstyle01"/>
          <w:rFonts w:ascii="Garamond" w:hAnsi="Garamond" w:cstheme="minorHAnsi"/>
          <w:sz w:val="24"/>
          <w:szCs w:val="24"/>
        </w:rPr>
        <w:t>a functional or normative ought.</w:t>
      </w:r>
    </w:p>
    <w:p w:rsidR="00665157"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lastRenderedPageBreak/>
        <w:t xml:space="preserve">What follows from the first and the third thesis is that Dewey’s politics endorses a particular moral order, a distinctive conception of flourishing, and that it treats ethical life and political life as continuous. </w:t>
      </w:r>
      <w:r w:rsidR="00BE0FC4">
        <w:rPr>
          <w:rStyle w:val="fontstyle01"/>
          <w:rFonts w:ascii="Garamond" w:hAnsi="Garamond" w:cstheme="minorHAnsi"/>
          <w:sz w:val="24"/>
          <w:szCs w:val="24"/>
        </w:rPr>
        <w:t>Now</w:t>
      </w:r>
      <w:r w:rsidRPr="00461D74">
        <w:rPr>
          <w:rStyle w:val="fontstyle01"/>
          <w:rFonts w:ascii="Garamond" w:hAnsi="Garamond" w:cstheme="minorHAnsi"/>
          <w:sz w:val="24"/>
          <w:szCs w:val="24"/>
        </w:rPr>
        <w:t xml:space="preserve">, </w:t>
      </w:r>
      <w:r w:rsidR="00616ED8">
        <w:rPr>
          <w:rStyle w:val="fontstyle01"/>
          <w:rFonts w:ascii="Garamond" w:hAnsi="Garamond" w:cstheme="minorHAnsi"/>
          <w:sz w:val="24"/>
          <w:szCs w:val="24"/>
        </w:rPr>
        <w:t xml:space="preserve">as Talisse argues, </w:t>
      </w:r>
      <w:r w:rsidR="00BE0FC4">
        <w:rPr>
          <w:rStyle w:val="fontstyle01"/>
          <w:rFonts w:ascii="Garamond" w:hAnsi="Garamond" w:cstheme="minorHAnsi"/>
          <w:sz w:val="24"/>
          <w:szCs w:val="24"/>
        </w:rPr>
        <w:t xml:space="preserve">a commitment to this thesis </w:t>
      </w:r>
      <w:r w:rsidRPr="00461D74">
        <w:rPr>
          <w:rStyle w:val="fontstyle01"/>
          <w:rFonts w:ascii="Garamond" w:hAnsi="Garamond" w:cstheme="minorHAnsi"/>
          <w:sz w:val="24"/>
          <w:szCs w:val="24"/>
        </w:rPr>
        <w:t>violates l</w:t>
      </w:r>
      <w:r w:rsidR="007A54E7" w:rsidRPr="00461D74">
        <w:rPr>
          <w:rStyle w:val="fontstyle01"/>
          <w:rFonts w:ascii="Garamond" w:hAnsi="Garamond" w:cstheme="minorHAnsi"/>
          <w:sz w:val="24"/>
          <w:szCs w:val="24"/>
        </w:rPr>
        <w:t>iberalism</w:t>
      </w:r>
      <w:r w:rsidR="00616ED8">
        <w:rPr>
          <w:rStyle w:val="fontstyle01"/>
          <w:rFonts w:ascii="Garamond" w:hAnsi="Garamond" w:cstheme="minorHAnsi"/>
          <w:sz w:val="24"/>
          <w:szCs w:val="24"/>
        </w:rPr>
        <w:t>’</w:t>
      </w:r>
      <w:r w:rsidR="007A54E7" w:rsidRPr="00461D74">
        <w:rPr>
          <w:rStyle w:val="fontstyle01"/>
          <w:rFonts w:ascii="Garamond" w:hAnsi="Garamond" w:cstheme="minorHAnsi"/>
          <w:sz w:val="24"/>
          <w:szCs w:val="24"/>
        </w:rPr>
        <w:t>s neutrality criterion</w:t>
      </w:r>
      <w:r w:rsidR="00913FB7" w:rsidRPr="00461D74">
        <w:rPr>
          <w:rStyle w:val="fontstyle01"/>
          <w:rFonts w:ascii="Garamond" w:hAnsi="Garamond" w:cstheme="minorHAnsi"/>
          <w:sz w:val="24"/>
          <w:szCs w:val="24"/>
        </w:rPr>
        <w:t xml:space="preserve"> </w:t>
      </w:r>
      <w:r w:rsidR="007A54E7" w:rsidRPr="00461D74">
        <w:rPr>
          <w:rStyle w:val="fontstyle01"/>
          <w:rFonts w:ascii="Garamond" w:hAnsi="Garamond" w:cstheme="minorHAnsi"/>
          <w:sz w:val="24"/>
          <w:szCs w:val="24"/>
        </w:rPr>
        <w:t>–</w:t>
      </w:r>
      <w:r w:rsidR="00913FB7"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a criterion generated by the </w:t>
      </w:r>
      <w:r w:rsidR="007A54E7" w:rsidRPr="00461D74">
        <w:rPr>
          <w:rStyle w:val="fontstyle01"/>
          <w:rFonts w:ascii="Garamond" w:hAnsi="Garamond" w:cstheme="minorHAnsi"/>
          <w:sz w:val="24"/>
          <w:szCs w:val="24"/>
        </w:rPr>
        <w:t>“</w:t>
      </w:r>
      <w:r w:rsidRPr="00461D74">
        <w:rPr>
          <w:rStyle w:val="fontstyle01"/>
          <w:rFonts w:ascii="Garamond" w:hAnsi="Garamond" w:cstheme="minorHAnsi"/>
          <w:sz w:val="24"/>
          <w:szCs w:val="24"/>
        </w:rPr>
        <w:t>fact of reasonable pluralism</w:t>
      </w:r>
      <w:r w:rsidR="007A54E7" w:rsidRPr="00461D74">
        <w:rPr>
          <w:rStyle w:val="fontstyle01"/>
          <w:rFonts w:ascii="Garamond" w:hAnsi="Garamond" w:cstheme="minorHAnsi"/>
          <w:sz w:val="24"/>
          <w:szCs w:val="24"/>
        </w:rPr>
        <w:t>”</w:t>
      </w:r>
      <w:r w:rsidR="007A54E7" w:rsidRPr="00461D74">
        <w:rPr>
          <w:rStyle w:val="FootnoteReference"/>
          <w:rFonts w:ascii="Garamond" w:hAnsi="Garamond" w:cstheme="minorHAnsi"/>
          <w:color w:val="000000"/>
          <w:sz w:val="24"/>
          <w:szCs w:val="24"/>
        </w:rPr>
        <w:footnoteReference w:id="246"/>
      </w:r>
      <w:r w:rsidR="00913FB7" w:rsidRPr="00461D74">
        <w:rPr>
          <w:rStyle w:val="fontstyle01"/>
          <w:rFonts w:ascii="Garamond" w:hAnsi="Garamond" w:cstheme="minorHAnsi"/>
          <w:sz w:val="24"/>
          <w:szCs w:val="24"/>
        </w:rPr>
        <w:t xml:space="preserve"> </w:t>
      </w:r>
      <w:r w:rsidR="007A54E7" w:rsidRPr="00461D74">
        <w:rPr>
          <w:rStyle w:val="fontstyle01"/>
          <w:rFonts w:ascii="Garamond" w:hAnsi="Garamond" w:cstheme="minorHAnsi"/>
          <w:sz w:val="24"/>
          <w:szCs w:val="24"/>
        </w:rPr>
        <w:t>–</w:t>
      </w:r>
      <w:r w:rsidR="00913FB7" w:rsidRPr="00461D74">
        <w:rPr>
          <w:rStyle w:val="fontstyle01"/>
          <w:rFonts w:ascii="Garamond" w:hAnsi="Garamond" w:cstheme="minorHAnsi"/>
          <w:sz w:val="24"/>
          <w:szCs w:val="24"/>
        </w:rPr>
        <w:t xml:space="preserve"> namely, </w:t>
      </w:r>
      <w:r w:rsidRPr="00461D74">
        <w:rPr>
          <w:rStyle w:val="fontstyle01"/>
          <w:rFonts w:ascii="Garamond" w:hAnsi="Garamond" w:cstheme="minorHAnsi"/>
          <w:sz w:val="24"/>
          <w:szCs w:val="24"/>
        </w:rPr>
        <w:t>the idea that “there is no single comprehensive philosophical, religious or moral doctrine upon which reason converges, and there are severally mutually incompatible doctrines that are nonetheless consistent with the core commitments of liberal democracy.”</w:t>
      </w:r>
      <w:r w:rsidR="00A248AC" w:rsidRPr="00461D74">
        <w:rPr>
          <w:rStyle w:val="FootnoteReference"/>
          <w:rFonts w:ascii="Garamond" w:hAnsi="Garamond" w:cstheme="minorHAnsi"/>
          <w:color w:val="000000"/>
          <w:sz w:val="24"/>
          <w:szCs w:val="24"/>
        </w:rPr>
        <w:footnoteReference w:id="247"/>
      </w:r>
    </w:p>
    <w:p w:rsidR="00665157"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With respect to the second thesis (</w:t>
      </w:r>
      <w:r w:rsidR="00913FB7" w:rsidRPr="00461D74">
        <w:rPr>
          <w:rStyle w:val="fontstyle01"/>
          <w:rFonts w:ascii="Garamond" w:hAnsi="Garamond" w:cstheme="minorHAnsi"/>
          <w:sz w:val="24"/>
          <w:szCs w:val="24"/>
        </w:rPr>
        <w:t xml:space="preserve">the </w:t>
      </w:r>
      <w:r w:rsidRPr="00461D74">
        <w:rPr>
          <w:rStyle w:val="fontstyle01"/>
          <w:rFonts w:ascii="Garamond" w:hAnsi="Garamond" w:cstheme="minorHAnsi"/>
          <w:sz w:val="24"/>
          <w:szCs w:val="24"/>
        </w:rPr>
        <w:t xml:space="preserve">transformative thesis), we learn that Dewey </w:t>
      </w:r>
      <w:r w:rsidR="00DC78B3">
        <w:rPr>
          <w:rStyle w:val="fontstyle01"/>
          <w:rFonts w:ascii="Garamond" w:hAnsi="Garamond" w:cstheme="minorHAnsi"/>
          <w:sz w:val="24"/>
          <w:szCs w:val="24"/>
        </w:rPr>
        <w:t>explicitly argues in favour of the public consideration of</w:t>
      </w:r>
      <w:r w:rsidRPr="00461D74">
        <w:rPr>
          <w:rStyle w:val="fontstyle01"/>
          <w:rFonts w:ascii="Garamond" w:hAnsi="Garamond" w:cstheme="minorHAnsi"/>
          <w:sz w:val="24"/>
          <w:szCs w:val="24"/>
        </w:rPr>
        <w:t xml:space="preserve"> at least some normative or ethical questions; and ultimately, this process involves converging publicly on at least some of those questions.</w:t>
      </w:r>
      <w:r w:rsidRPr="00461D74">
        <w:rPr>
          <w:rStyle w:val="FootnoteReference"/>
          <w:rFonts w:ascii="Garamond" w:hAnsi="Garamond" w:cstheme="minorHAnsi"/>
          <w:color w:val="231F20"/>
          <w:sz w:val="24"/>
          <w:szCs w:val="24"/>
        </w:rPr>
        <w:footnoteReference w:id="248"/>
      </w:r>
      <w:r w:rsidRPr="00461D74">
        <w:rPr>
          <w:rStyle w:val="fontstyle01"/>
          <w:rFonts w:ascii="Garamond" w:hAnsi="Garamond" w:cstheme="minorHAnsi"/>
          <w:sz w:val="24"/>
          <w:szCs w:val="24"/>
        </w:rPr>
        <w:t xml:space="preserve"> The problem that Dewey’s transformative democracy presents for Talisse is that the fact of reasonable pluralism </w:t>
      </w:r>
      <w:r w:rsidR="00DC78B3">
        <w:rPr>
          <w:rStyle w:val="fontstyle01"/>
          <w:rFonts w:ascii="Garamond" w:hAnsi="Garamond" w:cstheme="minorHAnsi"/>
          <w:sz w:val="24"/>
          <w:szCs w:val="24"/>
        </w:rPr>
        <w:t>prohibits</w:t>
      </w:r>
      <w:r w:rsidRPr="00461D74">
        <w:rPr>
          <w:rStyle w:val="fontstyle01"/>
          <w:rFonts w:ascii="Garamond" w:hAnsi="Garamond" w:cstheme="minorHAnsi"/>
          <w:sz w:val="24"/>
          <w:szCs w:val="24"/>
        </w:rPr>
        <w:t xml:space="preserve"> </w:t>
      </w:r>
      <w:r w:rsidRPr="00461D74">
        <w:rPr>
          <w:rStyle w:val="fontstyle01"/>
          <w:rFonts w:ascii="Garamond" w:hAnsi="Garamond" w:cstheme="minorHAnsi"/>
          <w:i/>
          <w:sz w:val="24"/>
          <w:szCs w:val="24"/>
        </w:rPr>
        <w:t>publicly</w:t>
      </w:r>
      <w:r w:rsidRPr="00461D74">
        <w:rPr>
          <w:rStyle w:val="fontstyle01"/>
          <w:rFonts w:ascii="Garamond" w:hAnsi="Garamond" w:cstheme="minorHAnsi"/>
          <w:sz w:val="24"/>
          <w:szCs w:val="24"/>
        </w:rPr>
        <w:t xml:space="preserve"> </w:t>
      </w:r>
      <w:r w:rsidR="00DC78B3" w:rsidRPr="00461D74">
        <w:rPr>
          <w:rStyle w:val="fontstyle01"/>
          <w:rFonts w:ascii="Garamond" w:hAnsi="Garamond" w:cstheme="minorHAnsi"/>
          <w:sz w:val="24"/>
          <w:szCs w:val="24"/>
        </w:rPr>
        <w:t>choos</w:t>
      </w:r>
      <w:r w:rsidR="00DC78B3">
        <w:rPr>
          <w:rStyle w:val="fontstyle01"/>
          <w:rFonts w:ascii="Garamond" w:hAnsi="Garamond" w:cstheme="minorHAnsi"/>
          <w:sz w:val="24"/>
          <w:szCs w:val="24"/>
        </w:rPr>
        <w:t>ing</w:t>
      </w:r>
      <w:r w:rsidR="00DC78B3"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between different conceptions of the good. Of course we are free to adopt in our private lives – that is, </w:t>
      </w:r>
      <w:r w:rsidRPr="00461D74">
        <w:rPr>
          <w:rStyle w:val="fontstyle01"/>
          <w:rFonts w:ascii="Garamond" w:hAnsi="Garamond" w:cstheme="minorHAnsi"/>
          <w:i/>
          <w:sz w:val="24"/>
          <w:szCs w:val="24"/>
        </w:rPr>
        <w:t>privately</w:t>
      </w:r>
      <w:r w:rsidRPr="00461D74">
        <w:rPr>
          <w:rStyle w:val="fontstyle01"/>
          <w:rFonts w:ascii="Garamond" w:hAnsi="Garamond" w:cstheme="minorHAnsi"/>
          <w:sz w:val="24"/>
          <w:szCs w:val="24"/>
        </w:rPr>
        <w:t xml:space="preserve"> – some particular conception of the good and particular mode of living</w:t>
      </w:r>
      <w:r w:rsidR="00DC78B3">
        <w:rPr>
          <w:rStyle w:val="fontstyle01"/>
          <w:rFonts w:ascii="Garamond" w:hAnsi="Garamond" w:cstheme="minorHAnsi"/>
          <w:sz w:val="24"/>
          <w:szCs w:val="24"/>
        </w:rPr>
        <w:t>; be that as it may,</w:t>
      </w:r>
      <w:r w:rsidR="00DC78B3"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we are disbarred from </w:t>
      </w:r>
      <w:r w:rsidR="00DC78B3">
        <w:rPr>
          <w:rStyle w:val="fontstyle01"/>
          <w:rFonts w:ascii="Garamond" w:hAnsi="Garamond" w:cstheme="minorHAnsi"/>
          <w:sz w:val="24"/>
          <w:szCs w:val="24"/>
        </w:rPr>
        <w:t>any</w:t>
      </w:r>
      <w:r w:rsidRPr="00461D74">
        <w:rPr>
          <w:rStyle w:val="fontstyle01"/>
          <w:rFonts w:ascii="Garamond" w:hAnsi="Garamond" w:cstheme="minorHAnsi"/>
          <w:sz w:val="24"/>
          <w:szCs w:val="24"/>
        </w:rPr>
        <w:t xml:space="preserve"> </w:t>
      </w:r>
      <w:r w:rsidR="00DC78B3">
        <w:rPr>
          <w:rStyle w:val="fontstyle01"/>
          <w:rFonts w:ascii="Garamond" w:hAnsi="Garamond" w:cstheme="minorHAnsi"/>
          <w:sz w:val="24"/>
          <w:szCs w:val="24"/>
        </w:rPr>
        <w:t xml:space="preserve">sort of </w:t>
      </w:r>
      <w:r w:rsidRPr="00461D74">
        <w:rPr>
          <w:rStyle w:val="fontstyle01"/>
          <w:rFonts w:ascii="Garamond" w:hAnsi="Garamond" w:cstheme="minorHAnsi"/>
          <w:sz w:val="24"/>
          <w:szCs w:val="24"/>
        </w:rPr>
        <w:t>public</w:t>
      </w:r>
      <w:r w:rsidR="00DC78B3">
        <w:rPr>
          <w:rStyle w:val="fontstyle01"/>
          <w:rFonts w:ascii="Garamond" w:hAnsi="Garamond" w:cstheme="minorHAnsi"/>
          <w:sz w:val="24"/>
          <w:szCs w:val="24"/>
        </w:rPr>
        <w:t xml:space="preserve"> consideration of such a choice</w:t>
      </w:r>
      <w:r w:rsidRPr="00461D74">
        <w:rPr>
          <w:rStyle w:val="fontstyle01"/>
          <w:rFonts w:ascii="Garamond" w:hAnsi="Garamond" w:cstheme="minorHAnsi"/>
          <w:sz w:val="24"/>
          <w:szCs w:val="24"/>
        </w:rPr>
        <w:t>.</w:t>
      </w:r>
    </w:p>
    <w:p w:rsidR="00665157" w:rsidRDefault="00016049">
      <w:pPr>
        <w:spacing w:line="360" w:lineRule="auto"/>
        <w:ind w:firstLine="720"/>
        <w:jc w:val="both"/>
        <w:rPr>
          <w:rStyle w:val="fontstyle01"/>
          <w:rFonts w:ascii="Garamond" w:hAnsi="Garamond" w:cstheme="minorHAnsi"/>
          <w:sz w:val="24"/>
          <w:szCs w:val="24"/>
        </w:rPr>
      </w:pPr>
      <w:r w:rsidRPr="00461D74">
        <w:rPr>
          <w:rFonts w:ascii="Garamond" w:hAnsi="Garamond" w:cstheme="minorHAnsi"/>
          <w:iCs/>
          <w:color w:val="2C221F"/>
          <w:sz w:val="24"/>
          <w:szCs w:val="24"/>
        </w:rPr>
        <w:t xml:space="preserve">The upshot of </w:t>
      </w:r>
      <w:proofErr w:type="spellStart"/>
      <w:r w:rsidRPr="00461D74">
        <w:rPr>
          <w:rFonts w:ascii="Garamond" w:hAnsi="Garamond" w:cstheme="minorHAnsi"/>
          <w:iCs/>
          <w:color w:val="2C221F"/>
          <w:sz w:val="24"/>
          <w:szCs w:val="24"/>
        </w:rPr>
        <w:t>Talisse’s</w:t>
      </w:r>
      <w:proofErr w:type="spellEnd"/>
      <w:r w:rsidRPr="00461D74">
        <w:rPr>
          <w:rFonts w:ascii="Garamond" w:hAnsi="Garamond" w:cstheme="minorHAnsi"/>
          <w:iCs/>
          <w:color w:val="2C221F"/>
          <w:sz w:val="24"/>
          <w:szCs w:val="24"/>
        </w:rPr>
        <w:t xml:space="preserve"> hypotheses is that because Dewey’s account endorses a </w:t>
      </w:r>
      <w:r w:rsidR="00207706">
        <w:rPr>
          <w:rFonts w:ascii="Garamond" w:hAnsi="Garamond" w:cstheme="minorHAnsi"/>
          <w:iCs/>
          <w:color w:val="2C221F"/>
          <w:sz w:val="24"/>
          <w:szCs w:val="24"/>
        </w:rPr>
        <w:t>distinctive</w:t>
      </w:r>
      <w:r w:rsidR="00207706"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substantive conception of the good, it violates the fact of reasonable pluralism and the principle of neutrality; therefore it is incompatible with </w:t>
      </w:r>
      <w:proofErr w:type="spellStart"/>
      <w:r w:rsidR="003B5107">
        <w:rPr>
          <w:rFonts w:ascii="Garamond" w:hAnsi="Garamond" w:cstheme="minorHAnsi"/>
          <w:iCs/>
          <w:color w:val="2C221F"/>
          <w:sz w:val="24"/>
          <w:szCs w:val="24"/>
        </w:rPr>
        <w:t>Rawlsian</w:t>
      </w:r>
      <w:proofErr w:type="spellEnd"/>
      <w:r w:rsidR="003B5107">
        <w:rPr>
          <w:rFonts w:ascii="Garamond" w:hAnsi="Garamond" w:cstheme="minorHAnsi"/>
          <w:iCs/>
          <w:color w:val="2C221F"/>
          <w:sz w:val="24"/>
          <w:szCs w:val="24"/>
        </w:rPr>
        <w:t xml:space="preserve"> </w:t>
      </w:r>
      <w:r w:rsidRPr="00461D74">
        <w:rPr>
          <w:rFonts w:ascii="Garamond" w:hAnsi="Garamond" w:cstheme="minorHAnsi"/>
          <w:iCs/>
          <w:color w:val="2C221F"/>
          <w:sz w:val="24"/>
          <w:szCs w:val="24"/>
        </w:rPr>
        <w:t>liberalism.</w:t>
      </w:r>
      <w:r w:rsidRPr="00461D74">
        <w:rPr>
          <w:rStyle w:val="FootnoteReference"/>
          <w:rFonts w:ascii="Garamond" w:hAnsi="Garamond" w:cstheme="minorHAnsi"/>
          <w:iCs/>
          <w:color w:val="2C221F"/>
          <w:sz w:val="24"/>
          <w:szCs w:val="24"/>
        </w:rPr>
        <w:footnoteReference w:id="249"/>
      </w:r>
      <w:r w:rsidRPr="00461D74">
        <w:rPr>
          <w:rStyle w:val="fontstyle01"/>
          <w:rFonts w:ascii="Garamond" w:hAnsi="Garamond" w:cstheme="minorHAnsi"/>
          <w:iCs/>
          <w:color w:val="2C221F"/>
          <w:sz w:val="24"/>
          <w:szCs w:val="24"/>
        </w:rPr>
        <w:t xml:space="preserve"> </w:t>
      </w:r>
      <w:r w:rsidRPr="00461D74">
        <w:rPr>
          <w:rStyle w:val="fontstyle01"/>
          <w:rFonts w:ascii="Garamond" w:hAnsi="Garamond" w:cstheme="minorHAnsi"/>
          <w:sz w:val="24"/>
          <w:szCs w:val="24"/>
        </w:rPr>
        <w:t xml:space="preserve">For Talisse, the third thesis follows from the first two. If we accept the first hypothesis – namely, that ethics and politics are continuous – </w:t>
      </w:r>
      <w:r w:rsidRPr="00461D74">
        <w:rPr>
          <w:rStyle w:val="fontstyle01"/>
          <w:rFonts w:ascii="Garamond" w:hAnsi="Garamond" w:cstheme="minorHAnsi"/>
          <w:sz w:val="24"/>
          <w:szCs w:val="24"/>
        </w:rPr>
        <w:lastRenderedPageBreak/>
        <w:t xml:space="preserve">and accept growth as a moral end, we </w:t>
      </w:r>
      <w:r w:rsidR="00207706">
        <w:rPr>
          <w:rStyle w:val="fontstyle01"/>
          <w:rFonts w:ascii="Garamond" w:hAnsi="Garamond" w:cstheme="minorHAnsi"/>
          <w:sz w:val="24"/>
          <w:szCs w:val="24"/>
        </w:rPr>
        <w:t>are committed to</w:t>
      </w:r>
      <w:r w:rsidR="00207706"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evaluat</w:t>
      </w:r>
      <w:r w:rsidR="00207706">
        <w:rPr>
          <w:rStyle w:val="fontstyle01"/>
          <w:rFonts w:ascii="Garamond" w:hAnsi="Garamond" w:cstheme="minorHAnsi"/>
          <w:sz w:val="24"/>
          <w:szCs w:val="24"/>
        </w:rPr>
        <w:t>ing</w:t>
      </w:r>
      <w:r w:rsidRPr="00461D74">
        <w:rPr>
          <w:rStyle w:val="fontstyle01"/>
          <w:rFonts w:ascii="Garamond" w:hAnsi="Garamond" w:cstheme="minorHAnsi"/>
          <w:sz w:val="24"/>
          <w:szCs w:val="24"/>
        </w:rPr>
        <w:t xml:space="preserve"> different ways of life according to their </w:t>
      </w:r>
      <w:r w:rsidR="00207706">
        <w:rPr>
          <w:rStyle w:val="fontstyle01"/>
          <w:rFonts w:ascii="Garamond" w:hAnsi="Garamond" w:cstheme="minorHAnsi"/>
          <w:sz w:val="24"/>
          <w:szCs w:val="24"/>
        </w:rPr>
        <w:t>capacity</w:t>
      </w:r>
      <w:r w:rsidR="00207706" w:rsidRPr="00461D74">
        <w:rPr>
          <w:rStyle w:val="fontstyle01"/>
          <w:rFonts w:ascii="Garamond" w:hAnsi="Garamond" w:cstheme="minorHAnsi"/>
          <w:sz w:val="24"/>
          <w:szCs w:val="24"/>
        </w:rPr>
        <w:t xml:space="preserve"> </w:t>
      </w:r>
      <w:r w:rsidR="00207706">
        <w:rPr>
          <w:rStyle w:val="fontstyle01"/>
          <w:rFonts w:ascii="Garamond" w:hAnsi="Garamond" w:cstheme="minorHAnsi"/>
          <w:sz w:val="24"/>
          <w:szCs w:val="24"/>
        </w:rPr>
        <w:t>for</w:t>
      </w:r>
      <w:r w:rsidR="00207706"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promot</w:t>
      </w:r>
      <w:r w:rsidR="00207706">
        <w:rPr>
          <w:rStyle w:val="fontstyle01"/>
          <w:rFonts w:ascii="Garamond" w:hAnsi="Garamond" w:cstheme="minorHAnsi"/>
          <w:sz w:val="24"/>
          <w:szCs w:val="24"/>
        </w:rPr>
        <w:t>ing</w:t>
      </w:r>
      <w:r w:rsidRPr="00461D74">
        <w:rPr>
          <w:rStyle w:val="fontstyle01"/>
          <w:rFonts w:ascii="Garamond" w:hAnsi="Garamond" w:cstheme="minorHAnsi"/>
          <w:sz w:val="24"/>
          <w:szCs w:val="24"/>
        </w:rPr>
        <w:t xml:space="preserve"> growth. And if by democracy as a way of life we refer to those practices and habits that promote growth, then this sort of democracy is both the private (personal) and </w:t>
      </w:r>
      <w:r w:rsidR="00913FB7" w:rsidRPr="00461D74">
        <w:rPr>
          <w:rStyle w:val="fontstyle01"/>
          <w:rFonts w:ascii="Garamond" w:hAnsi="Garamond" w:cstheme="minorHAnsi"/>
          <w:sz w:val="24"/>
          <w:szCs w:val="24"/>
        </w:rPr>
        <w:t xml:space="preserve">the </w:t>
      </w:r>
      <w:r w:rsidRPr="00461D74">
        <w:rPr>
          <w:rStyle w:val="fontstyle01"/>
          <w:rFonts w:ascii="Garamond" w:hAnsi="Garamond" w:cstheme="minorHAnsi"/>
          <w:sz w:val="24"/>
          <w:szCs w:val="24"/>
        </w:rPr>
        <w:t>public (political) realisation of growth of all members of society in harmony.</w:t>
      </w:r>
      <w:r w:rsidR="00AA2A48" w:rsidRPr="00461D74">
        <w:rPr>
          <w:rStyle w:val="fontstyle01"/>
          <w:rFonts w:ascii="Garamond" w:hAnsi="Garamond" w:cstheme="minorHAnsi"/>
          <w:sz w:val="24"/>
          <w:szCs w:val="24"/>
        </w:rPr>
        <w:fldChar w:fldCharType="begin"/>
      </w:r>
      <w:r w:rsidR="0083324E" w:rsidRPr="00461D74">
        <w:rPr>
          <w:rStyle w:val="fontstyle01"/>
          <w:rFonts w:ascii="Garamond" w:hAnsi="Garamond" w:cstheme="minorHAnsi"/>
          <w:sz w:val="24"/>
          <w:szCs w:val="24"/>
        </w:rPr>
        <w:instrText xml:space="preserve"> ADDIN EN.CITE &lt;EndNote&gt;&lt;Cite AuthorYear="1"&gt;&lt;Author&gt;Talisse&lt;/Author&gt;&lt;Year&gt;2011&lt;/Year&gt;&lt;RecNum&gt;126&lt;/RecNum&gt;&lt;record&gt;&lt;rec-number&gt;126&lt;/rec-number&gt;&lt;foreign-keys&gt;&lt;key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461D74">
        <w:rPr>
          <w:rStyle w:val="fontstyle01"/>
          <w:rFonts w:ascii="Garamond" w:hAnsi="Garamond" w:cstheme="minorHAnsi"/>
          <w:sz w:val="24"/>
          <w:szCs w:val="24"/>
        </w:rPr>
        <w:fldChar w:fldCharType="end"/>
      </w:r>
      <w:r w:rsidR="00A0719A" w:rsidRPr="00461D74">
        <w:rPr>
          <w:rStyle w:val="FootnoteReference"/>
          <w:rFonts w:ascii="Garamond" w:hAnsi="Garamond" w:cstheme="minorHAnsi"/>
          <w:color w:val="000000"/>
          <w:sz w:val="24"/>
          <w:szCs w:val="24"/>
        </w:rPr>
        <w:footnoteReference w:id="250"/>
      </w:r>
    </w:p>
    <w:p w:rsidR="00665157" w:rsidRDefault="00016049">
      <w:pPr>
        <w:spacing w:line="360" w:lineRule="auto"/>
        <w:ind w:firstLine="720"/>
        <w:jc w:val="both"/>
        <w:rPr>
          <w:rStyle w:val="fontstyle01"/>
          <w:rFonts w:ascii="Garamond" w:hAnsi="Garamond" w:cstheme="minorHAnsi"/>
          <w:sz w:val="24"/>
          <w:szCs w:val="24"/>
        </w:rPr>
      </w:pPr>
      <w:proofErr w:type="spellStart"/>
      <w:r w:rsidRPr="00461D74">
        <w:rPr>
          <w:rStyle w:val="fontstyle01"/>
          <w:rFonts w:ascii="Garamond" w:hAnsi="Garamond" w:cstheme="minorHAnsi"/>
          <w:sz w:val="24"/>
          <w:szCs w:val="24"/>
        </w:rPr>
        <w:t>Talisse’s</w:t>
      </w:r>
      <w:proofErr w:type="spellEnd"/>
      <w:r w:rsidRPr="00461D74">
        <w:rPr>
          <w:rStyle w:val="fontstyle01"/>
          <w:rFonts w:ascii="Garamond" w:hAnsi="Garamond" w:cstheme="minorHAnsi"/>
          <w:sz w:val="24"/>
          <w:szCs w:val="24"/>
        </w:rPr>
        <w:t xml:space="preserve"> concludes that Deweyan democracy is too substantive to be compatible with neutrality requirements in liberalism (and pluralism). On </w:t>
      </w:r>
      <w:proofErr w:type="spellStart"/>
      <w:r w:rsidRPr="00461D74">
        <w:rPr>
          <w:rStyle w:val="fontstyle01"/>
          <w:rFonts w:ascii="Garamond" w:hAnsi="Garamond" w:cstheme="minorHAnsi"/>
          <w:sz w:val="24"/>
          <w:szCs w:val="24"/>
        </w:rPr>
        <w:t>Talisse’s</w:t>
      </w:r>
      <w:proofErr w:type="spellEnd"/>
      <w:r w:rsidRPr="00461D74">
        <w:rPr>
          <w:rStyle w:val="fontstyle01"/>
          <w:rFonts w:ascii="Garamond" w:hAnsi="Garamond" w:cstheme="minorHAnsi"/>
          <w:sz w:val="24"/>
          <w:szCs w:val="24"/>
        </w:rPr>
        <w:t xml:space="preserve"> view, in order </w:t>
      </w:r>
      <w:r w:rsidR="009911AE">
        <w:rPr>
          <w:rStyle w:val="fontstyle01"/>
          <w:rFonts w:ascii="Garamond" w:hAnsi="Garamond" w:cstheme="minorHAnsi"/>
          <w:sz w:val="24"/>
          <w:szCs w:val="24"/>
        </w:rPr>
        <w:t>that</w:t>
      </w:r>
      <w:r w:rsidR="009911AE"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Deweyan democra</w:t>
      </w:r>
      <w:r w:rsidR="009911AE">
        <w:rPr>
          <w:rStyle w:val="fontstyle01"/>
          <w:rFonts w:ascii="Garamond" w:hAnsi="Garamond" w:cstheme="minorHAnsi"/>
          <w:sz w:val="24"/>
          <w:szCs w:val="24"/>
        </w:rPr>
        <w:t>ts maintain a meaningful degree of concordance</w:t>
      </w:r>
      <w:r w:rsidRPr="00461D74">
        <w:rPr>
          <w:rStyle w:val="fontstyle01"/>
          <w:rFonts w:ascii="Garamond" w:hAnsi="Garamond" w:cstheme="minorHAnsi"/>
          <w:sz w:val="24"/>
          <w:szCs w:val="24"/>
        </w:rPr>
        <w:t xml:space="preserve"> with the requirements </w:t>
      </w:r>
      <w:r w:rsidR="009911AE">
        <w:rPr>
          <w:rStyle w:val="fontstyle01"/>
          <w:rFonts w:ascii="Garamond" w:hAnsi="Garamond" w:cstheme="minorHAnsi"/>
          <w:sz w:val="24"/>
          <w:szCs w:val="24"/>
        </w:rPr>
        <w:t>outlined</w:t>
      </w:r>
      <w:r w:rsidR="009911AE" w:rsidRPr="00461D74">
        <w:rPr>
          <w:rStyle w:val="fontstyle01"/>
          <w:rFonts w:ascii="Garamond" w:hAnsi="Garamond" w:cstheme="minorHAnsi"/>
          <w:sz w:val="24"/>
          <w:szCs w:val="24"/>
        </w:rPr>
        <w:t xml:space="preserve"> </w:t>
      </w:r>
      <w:r w:rsidR="009911AE">
        <w:rPr>
          <w:rStyle w:val="fontstyle01"/>
          <w:rFonts w:ascii="Garamond" w:hAnsi="Garamond" w:cstheme="minorHAnsi"/>
          <w:sz w:val="24"/>
          <w:szCs w:val="24"/>
        </w:rPr>
        <w:t xml:space="preserve">by </w:t>
      </w:r>
      <w:r w:rsidRPr="00461D74">
        <w:rPr>
          <w:rStyle w:val="fontstyle01"/>
          <w:rFonts w:ascii="Garamond" w:hAnsi="Garamond" w:cstheme="minorHAnsi"/>
          <w:sz w:val="24"/>
          <w:szCs w:val="24"/>
        </w:rPr>
        <w:t xml:space="preserve">pluralism, </w:t>
      </w:r>
      <w:r w:rsidR="009911AE">
        <w:rPr>
          <w:rStyle w:val="fontstyle01"/>
          <w:rFonts w:ascii="Garamond" w:hAnsi="Garamond" w:cstheme="minorHAnsi"/>
          <w:sz w:val="24"/>
          <w:szCs w:val="24"/>
        </w:rPr>
        <w:t>they</w:t>
      </w:r>
      <w:r w:rsidR="009911AE"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need to think of </w:t>
      </w:r>
      <w:r w:rsidR="009911AE">
        <w:rPr>
          <w:rStyle w:val="fontstyle01"/>
          <w:rFonts w:ascii="Garamond" w:hAnsi="Garamond" w:cstheme="minorHAnsi"/>
          <w:sz w:val="24"/>
          <w:szCs w:val="24"/>
        </w:rPr>
        <w:t xml:space="preserve">‘democracy as a way of life’ </w:t>
      </w:r>
      <w:r w:rsidRPr="00461D74">
        <w:rPr>
          <w:rStyle w:val="fontstyle01"/>
          <w:rFonts w:ascii="Garamond" w:hAnsi="Garamond" w:cstheme="minorHAnsi"/>
          <w:sz w:val="24"/>
          <w:szCs w:val="24"/>
        </w:rPr>
        <w:t>as one more way of life and mode of living, among many other modes available in a liberal society, which we could reasonably choose from</w:t>
      </w:r>
      <w:r w:rsidR="009911AE">
        <w:rPr>
          <w:rStyle w:val="fontstyle01"/>
          <w:rFonts w:ascii="Garamond" w:hAnsi="Garamond" w:cstheme="minorHAnsi"/>
          <w:sz w:val="24"/>
          <w:szCs w:val="24"/>
        </w:rPr>
        <w:t>.</w:t>
      </w:r>
      <w:r w:rsidRPr="00461D74">
        <w:rPr>
          <w:rStyle w:val="fontstyle01"/>
          <w:rFonts w:ascii="Garamond" w:hAnsi="Garamond" w:cstheme="minorHAnsi"/>
          <w:sz w:val="24"/>
          <w:szCs w:val="24"/>
        </w:rPr>
        <w:t xml:space="preserve"> </w:t>
      </w:r>
      <w:r w:rsidR="009911AE">
        <w:rPr>
          <w:rStyle w:val="fontstyle01"/>
          <w:rFonts w:ascii="Garamond" w:hAnsi="Garamond" w:cstheme="minorHAnsi"/>
          <w:sz w:val="24"/>
          <w:szCs w:val="24"/>
        </w:rPr>
        <w:t>Of course</w:t>
      </w:r>
      <w:r w:rsidR="00616ED8">
        <w:rPr>
          <w:rStyle w:val="fontstyle01"/>
          <w:rFonts w:ascii="Garamond" w:hAnsi="Garamond" w:cstheme="minorHAnsi"/>
          <w:sz w:val="24"/>
          <w:szCs w:val="24"/>
        </w:rPr>
        <w:t>,</w:t>
      </w:r>
      <w:r w:rsidR="009911AE">
        <w:rPr>
          <w:rStyle w:val="fontstyle01"/>
          <w:rFonts w:ascii="Garamond" w:hAnsi="Garamond" w:cstheme="minorHAnsi"/>
          <w:sz w:val="24"/>
          <w:szCs w:val="24"/>
        </w:rPr>
        <w:t xml:space="preserve"> on </w:t>
      </w:r>
      <w:proofErr w:type="spellStart"/>
      <w:r w:rsidR="009911AE">
        <w:rPr>
          <w:rStyle w:val="fontstyle01"/>
          <w:rFonts w:ascii="Garamond" w:hAnsi="Garamond" w:cstheme="minorHAnsi"/>
          <w:sz w:val="24"/>
          <w:szCs w:val="24"/>
        </w:rPr>
        <w:t>Talisse’s</w:t>
      </w:r>
      <w:proofErr w:type="spellEnd"/>
      <w:r w:rsidR="009911AE">
        <w:rPr>
          <w:rStyle w:val="fontstyle01"/>
          <w:rFonts w:ascii="Garamond" w:hAnsi="Garamond" w:cstheme="minorHAnsi"/>
          <w:sz w:val="24"/>
          <w:szCs w:val="24"/>
        </w:rPr>
        <w:t xml:space="preserve"> view, what follows from this is that </w:t>
      </w:r>
      <w:r w:rsidRPr="00461D74">
        <w:rPr>
          <w:rStyle w:val="fontstyle01"/>
          <w:rFonts w:ascii="Garamond" w:hAnsi="Garamond" w:cstheme="minorHAnsi"/>
          <w:sz w:val="24"/>
          <w:szCs w:val="24"/>
        </w:rPr>
        <w:t>liberalism cannot endorse Deweyan democracy as being superior to other conceptions of flourishing available in liberal societies.  Yet Talisse also thinks that it is not possible for the Deweyan democrat to make such a move and still retain an account that could be meaningfully understood as Deweyan.</w:t>
      </w:r>
    </w:p>
    <w:p w:rsidR="009D670F" w:rsidRDefault="00F36EA1">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On my view, t</w:t>
      </w:r>
      <w:r w:rsidR="00016049" w:rsidRPr="00461D74">
        <w:rPr>
          <w:rStyle w:val="fontstyle01"/>
          <w:rFonts w:ascii="Garamond" w:hAnsi="Garamond" w:cstheme="minorHAnsi"/>
          <w:sz w:val="24"/>
          <w:szCs w:val="24"/>
        </w:rPr>
        <w:t>he reason Talisse rejects Dewey’s account i</w:t>
      </w:r>
      <w:r w:rsidRPr="00461D74">
        <w:rPr>
          <w:rStyle w:val="fontstyle01"/>
          <w:rFonts w:ascii="Garamond" w:hAnsi="Garamond" w:cstheme="minorHAnsi"/>
          <w:sz w:val="24"/>
          <w:szCs w:val="24"/>
        </w:rPr>
        <w:t>s because of the teleological implications</w:t>
      </w:r>
      <w:r w:rsidR="00016049" w:rsidRPr="00461D74">
        <w:rPr>
          <w:rStyle w:val="fontstyle01"/>
          <w:rFonts w:ascii="Garamond" w:hAnsi="Garamond" w:cstheme="minorHAnsi"/>
          <w:sz w:val="24"/>
          <w:szCs w:val="24"/>
        </w:rPr>
        <w:t xml:space="preserve"> that </w:t>
      </w:r>
      <w:r w:rsidRPr="00461D74">
        <w:rPr>
          <w:rStyle w:val="fontstyle01"/>
          <w:rFonts w:ascii="Garamond" w:hAnsi="Garamond" w:cstheme="minorHAnsi"/>
          <w:sz w:val="24"/>
          <w:szCs w:val="24"/>
        </w:rPr>
        <w:t>are</w:t>
      </w:r>
      <w:r w:rsidR="00016049" w:rsidRPr="00461D74">
        <w:rPr>
          <w:rStyle w:val="fontstyle01"/>
          <w:rFonts w:ascii="Garamond" w:hAnsi="Garamond" w:cstheme="minorHAnsi"/>
          <w:sz w:val="24"/>
          <w:szCs w:val="24"/>
        </w:rPr>
        <w:t xml:space="preserve"> inherent in Dewey’s view of democracy as a way of life</w:t>
      </w:r>
      <w:r w:rsidR="00913FB7" w:rsidRPr="00461D74">
        <w:rPr>
          <w:rStyle w:val="fontstyle01"/>
          <w:rFonts w:ascii="Garamond" w:hAnsi="Garamond" w:cstheme="minorHAnsi"/>
          <w:sz w:val="24"/>
          <w:szCs w:val="24"/>
        </w:rPr>
        <w:t xml:space="preserve"> that</w:t>
      </w:r>
      <w:r w:rsidRPr="00461D74">
        <w:rPr>
          <w:rStyle w:val="fontstyle01"/>
          <w:rFonts w:ascii="Garamond" w:hAnsi="Garamond" w:cstheme="minorHAnsi"/>
          <w:sz w:val="24"/>
          <w:szCs w:val="24"/>
        </w:rPr>
        <w:t xml:space="preserve"> is directed at</w:t>
      </w:r>
      <w:r w:rsidR="00016049"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the</w:t>
      </w:r>
      <w:r w:rsidR="00016049" w:rsidRPr="00461D74">
        <w:rPr>
          <w:rStyle w:val="fontstyle01"/>
          <w:rFonts w:ascii="Garamond" w:hAnsi="Garamond" w:cstheme="minorHAnsi"/>
          <w:sz w:val="24"/>
          <w:szCs w:val="24"/>
        </w:rPr>
        <w:t xml:space="preserve"> individual</w:t>
      </w:r>
      <w:r w:rsidRPr="00461D74">
        <w:rPr>
          <w:rStyle w:val="fontstyle01"/>
          <w:rFonts w:ascii="Garamond" w:hAnsi="Garamond" w:cstheme="minorHAnsi"/>
          <w:sz w:val="24"/>
          <w:szCs w:val="24"/>
        </w:rPr>
        <w:t>’s</w:t>
      </w:r>
      <w:r w:rsidR="00A2296B" w:rsidRPr="00461D74">
        <w:rPr>
          <w:rStyle w:val="fontstyle01"/>
          <w:rFonts w:ascii="Garamond" w:hAnsi="Garamond" w:cstheme="minorHAnsi"/>
          <w:sz w:val="24"/>
          <w:szCs w:val="24"/>
        </w:rPr>
        <w:t xml:space="preserve"> and the community’s</w:t>
      </w:r>
      <w:r w:rsidR="00F9624B">
        <w:rPr>
          <w:rStyle w:val="fontstyle01"/>
          <w:rFonts w:ascii="Garamond" w:hAnsi="Garamond" w:cstheme="minorHAnsi"/>
          <w:sz w:val="24"/>
          <w:szCs w:val="24"/>
        </w:rPr>
        <w:t xml:space="preserve"> realisation</w:t>
      </w:r>
      <w:r w:rsidR="00016049" w:rsidRPr="00461D74">
        <w:rPr>
          <w:rStyle w:val="fontstyle01"/>
          <w:rFonts w:ascii="Garamond" w:hAnsi="Garamond" w:cstheme="minorHAnsi"/>
          <w:sz w:val="24"/>
          <w:szCs w:val="24"/>
        </w:rPr>
        <w:t xml:space="preserve"> in the context of the common good.  </w:t>
      </w:r>
      <w:r w:rsidRPr="00461D74">
        <w:rPr>
          <w:rStyle w:val="fontstyle01"/>
          <w:rFonts w:ascii="Garamond" w:hAnsi="Garamond" w:cstheme="minorHAnsi"/>
          <w:sz w:val="24"/>
          <w:szCs w:val="24"/>
        </w:rPr>
        <w:t>And d</w:t>
      </w:r>
      <w:r w:rsidR="00016049" w:rsidRPr="00461D74">
        <w:rPr>
          <w:rStyle w:val="fontstyle01"/>
          <w:rFonts w:ascii="Garamond" w:hAnsi="Garamond" w:cstheme="minorHAnsi"/>
          <w:sz w:val="24"/>
          <w:szCs w:val="24"/>
        </w:rPr>
        <w:t xml:space="preserve">emocracy as a way of life </w:t>
      </w:r>
      <w:r w:rsidR="00A2296B" w:rsidRPr="00461D74">
        <w:rPr>
          <w:rStyle w:val="fontstyle01"/>
          <w:rFonts w:ascii="Garamond" w:hAnsi="Garamond" w:cstheme="minorHAnsi"/>
          <w:sz w:val="24"/>
          <w:szCs w:val="24"/>
        </w:rPr>
        <w:t xml:space="preserve">is grounded in </w:t>
      </w:r>
      <w:r w:rsidR="00016049" w:rsidRPr="00461D74">
        <w:rPr>
          <w:rStyle w:val="fontstyle01"/>
          <w:rFonts w:ascii="Garamond" w:hAnsi="Garamond" w:cstheme="minorHAnsi"/>
          <w:sz w:val="24"/>
          <w:szCs w:val="24"/>
        </w:rPr>
        <w:t>a non-instrumentalist</w:t>
      </w:r>
      <w:r w:rsidRPr="00461D74">
        <w:rPr>
          <w:rStyle w:val="fontstyle01"/>
          <w:rFonts w:ascii="Garamond" w:hAnsi="Garamond" w:cstheme="minorHAnsi"/>
          <w:sz w:val="24"/>
          <w:szCs w:val="24"/>
        </w:rPr>
        <w:t>,</w:t>
      </w:r>
      <w:r w:rsidR="00016049"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and essentially social, </w:t>
      </w:r>
      <w:r w:rsidR="00016049" w:rsidRPr="00461D74">
        <w:rPr>
          <w:rStyle w:val="fontstyle01"/>
          <w:rFonts w:ascii="Garamond" w:hAnsi="Garamond" w:cstheme="minorHAnsi"/>
          <w:sz w:val="24"/>
          <w:szCs w:val="24"/>
        </w:rPr>
        <w:t xml:space="preserve">conception of </w:t>
      </w:r>
      <w:r w:rsidRPr="00461D74">
        <w:rPr>
          <w:rStyle w:val="fontstyle01"/>
          <w:rFonts w:ascii="Garamond" w:hAnsi="Garamond" w:cstheme="minorHAnsi"/>
          <w:sz w:val="24"/>
          <w:szCs w:val="24"/>
        </w:rPr>
        <w:t>flourishing</w:t>
      </w:r>
      <w:r w:rsidR="00913FB7" w:rsidRPr="00461D74">
        <w:rPr>
          <w:rStyle w:val="fontstyle01"/>
          <w:rFonts w:ascii="Garamond" w:hAnsi="Garamond" w:cstheme="minorHAnsi"/>
          <w:sz w:val="24"/>
          <w:szCs w:val="24"/>
        </w:rPr>
        <w:t xml:space="preserve"> </w:t>
      </w:r>
      <w:r w:rsidR="00A2296B" w:rsidRPr="00461D74">
        <w:rPr>
          <w:rStyle w:val="fontstyle01"/>
          <w:rFonts w:ascii="Garamond" w:hAnsi="Garamond" w:cstheme="minorHAnsi"/>
          <w:sz w:val="24"/>
          <w:szCs w:val="24"/>
        </w:rPr>
        <w:t>–</w:t>
      </w:r>
      <w:r w:rsidR="00913FB7" w:rsidRPr="00461D74">
        <w:rPr>
          <w:rStyle w:val="fontstyle01"/>
          <w:rFonts w:ascii="Garamond" w:hAnsi="Garamond" w:cstheme="minorHAnsi"/>
          <w:sz w:val="24"/>
          <w:szCs w:val="24"/>
        </w:rPr>
        <w:t xml:space="preserve"> </w:t>
      </w:r>
      <w:r w:rsidR="00A2296B" w:rsidRPr="00461D74">
        <w:rPr>
          <w:rStyle w:val="fontstyle01"/>
          <w:rFonts w:ascii="Garamond" w:hAnsi="Garamond" w:cstheme="minorHAnsi"/>
          <w:sz w:val="24"/>
          <w:szCs w:val="24"/>
        </w:rPr>
        <w:t>‘</w:t>
      </w:r>
      <w:r w:rsidR="00616ED8">
        <w:rPr>
          <w:rStyle w:val="fontstyle01"/>
          <w:rFonts w:ascii="Garamond" w:hAnsi="Garamond" w:cstheme="minorHAnsi"/>
          <w:sz w:val="24"/>
          <w:szCs w:val="24"/>
        </w:rPr>
        <w:t>g</w:t>
      </w:r>
      <w:r w:rsidRPr="00461D74">
        <w:rPr>
          <w:rStyle w:val="fontstyle01"/>
          <w:rFonts w:ascii="Garamond" w:hAnsi="Garamond" w:cstheme="minorHAnsi"/>
          <w:sz w:val="24"/>
          <w:szCs w:val="24"/>
        </w:rPr>
        <w:t>rowth’</w:t>
      </w:r>
      <w:r w:rsidR="00913FB7" w:rsidRPr="00461D74">
        <w:rPr>
          <w:rStyle w:val="fontstyle01"/>
          <w:rFonts w:ascii="Garamond" w:hAnsi="Garamond" w:cstheme="minorHAnsi"/>
          <w:sz w:val="24"/>
          <w:szCs w:val="24"/>
        </w:rPr>
        <w:t xml:space="preserve"> </w:t>
      </w:r>
      <w:r w:rsidR="00A2296B" w:rsidRPr="00461D74">
        <w:rPr>
          <w:rStyle w:val="fontstyle01"/>
          <w:rFonts w:ascii="Garamond" w:hAnsi="Garamond" w:cstheme="minorHAnsi"/>
          <w:sz w:val="24"/>
          <w:szCs w:val="24"/>
        </w:rPr>
        <w:t>–</w:t>
      </w:r>
      <w:r w:rsidR="00913FB7"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where ‘</w:t>
      </w:r>
      <w:r w:rsidR="00616ED8">
        <w:rPr>
          <w:rStyle w:val="fontstyle01"/>
          <w:rFonts w:ascii="Garamond" w:hAnsi="Garamond" w:cstheme="minorHAnsi"/>
          <w:sz w:val="24"/>
          <w:szCs w:val="24"/>
        </w:rPr>
        <w:t>g</w:t>
      </w:r>
      <w:r w:rsidRPr="00461D74">
        <w:rPr>
          <w:rStyle w:val="fontstyle01"/>
          <w:rFonts w:ascii="Garamond" w:hAnsi="Garamond" w:cstheme="minorHAnsi"/>
          <w:sz w:val="24"/>
          <w:szCs w:val="24"/>
        </w:rPr>
        <w:t>rowth’</w:t>
      </w:r>
      <w:r w:rsidR="00016049" w:rsidRPr="00461D74">
        <w:rPr>
          <w:rStyle w:val="fontstyle01"/>
          <w:rFonts w:ascii="Garamond" w:hAnsi="Garamond" w:cstheme="minorHAnsi"/>
          <w:sz w:val="24"/>
          <w:szCs w:val="24"/>
        </w:rPr>
        <w:t xml:space="preserve"> is </w:t>
      </w:r>
      <w:r w:rsidR="00616ED8">
        <w:rPr>
          <w:rStyle w:val="fontstyle01"/>
          <w:rFonts w:ascii="Garamond" w:hAnsi="Garamond" w:cstheme="minorHAnsi"/>
          <w:sz w:val="24"/>
          <w:szCs w:val="24"/>
        </w:rPr>
        <w:t xml:space="preserve">indeed </w:t>
      </w:r>
      <w:r w:rsidR="00016049" w:rsidRPr="00461D74">
        <w:rPr>
          <w:rStyle w:val="fontstyle01"/>
          <w:rFonts w:ascii="Garamond" w:hAnsi="Garamond" w:cstheme="minorHAnsi"/>
          <w:sz w:val="24"/>
          <w:szCs w:val="24"/>
        </w:rPr>
        <w:t>non-neutral and normative.</w:t>
      </w:r>
      <w:r w:rsidR="00016049" w:rsidRPr="00461D74">
        <w:rPr>
          <w:rStyle w:val="FootnoteReference"/>
          <w:rFonts w:ascii="Garamond" w:hAnsi="Garamond" w:cstheme="minorHAnsi"/>
          <w:color w:val="231F20"/>
          <w:sz w:val="24"/>
          <w:szCs w:val="24"/>
        </w:rPr>
        <w:footnoteReference w:id="251"/>
      </w:r>
      <w:r w:rsidR="00016049" w:rsidRPr="00461D74">
        <w:rPr>
          <w:rStyle w:val="fontstyle01"/>
          <w:rFonts w:ascii="Garamond" w:hAnsi="Garamond" w:cstheme="minorHAnsi"/>
          <w:sz w:val="24"/>
          <w:szCs w:val="24"/>
        </w:rPr>
        <w:t xml:space="preserve"> </w:t>
      </w:r>
      <w:r w:rsidR="00016049" w:rsidRPr="00461D74">
        <w:rPr>
          <w:rFonts w:ascii="Garamond" w:hAnsi="Garamond" w:cstheme="minorHAnsi"/>
          <w:iCs/>
          <w:color w:val="2C221F"/>
          <w:sz w:val="24"/>
          <w:szCs w:val="24"/>
        </w:rPr>
        <w:t xml:space="preserve">Thus, </w:t>
      </w:r>
      <w:r w:rsidR="00016049" w:rsidRPr="00461D74">
        <w:rPr>
          <w:rStyle w:val="fontstyle01"/>
          <w:rFonts w:ascii="Garamond" w:hAnsi="Garamond" w:cstheme="minorHAnsi"/>
          <w:sz w:val="24"/>
          <w:szCs w:val="24"/>
        </w:rPr>
        <w:t xml:space="preserve">Dewey’s conception of growth is committed to a more substantive account than the </w:t>
      </w:r>
      <w:proofErr w:type="spellStart"/>
      <w:r w:rsidR="00016049" w:rsidRPr="00461D74">
        <w:rPr>
          <w:rStyle w:val="fontstyle01"/>
          <w:rFonts w:ascii="Garamond" w:hAnsi="Garamond" w:cstheme="minorHAnsi"/>
          <w:sz w:val="24"/>
          <w:szCs w:val="24"/>
        </w:rPr>
        <w:t>Rawlsian</w:t>
      </w:r>
      <w:proofErr w:type="spellEnd"/>
      <w:r w:rsidR="00016049" w:rsidRPr="00461D74">
        <w:rPr>
          <w:rStyle w:val="fontstyle01"/>
          <w:rFonts w:ascii="Garamond" w:hAnsi="Garamond" w:cstheme="minorHAnsi"/>
          <w:sz w:val="24"/>
          <w:szCs w:val="24"/>
        </w:rPr>
        <w:t xml:space="preserve"> liberal could allow, since growth itself necessitates the careful consideration and </w:t>
      </w:r>
      <w:r w:rsidR="00016049" w:rsidRPr="00461D74">
        <w:rPr>
          <w:rStyle w:val="fontstyle01"/>
          <w:rFonts w:ascii="Garamond" w:hAnsi="Garamond" w:cstheme="minorHAnsi"/>
          <w:sz w:val="24"/>
          <w:szCs w:val="24"/>
        </w:rPr>
        <w:lastRenderedPageBreak/>
        <w:t>evaluation of first-order goods, as part of a cooperative democratic inquiry aimed at the amelioration of social problems.</w:t>
      </w:r>
    </w:p>
    <w:p w:rsidR="00665157"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 xml:space="preserve">In contrast to the liberal account, Dewey’s account of growth is not primarily aimed at generating a stable and orderly social order where individuals pursue competing goods; rather, it aims at a kind of social order where goods are evaluated democratically through cooperative inquiry. Thus, it seems that Talisse has a reasonable case in concluding that Dewey’s conception of democracy has a substantive non-neutral character with respect to human flourishing, and thus it is in conflict with core liberal principle of neutrality and the fact of reasonable pluralism. On my view, </w:t>
      </w:r>
      <w:proofErr w:type="spellStart"/>
      <w:r w:rsidRPr="00461D74">
        <w:rPr>
          <w:rStyle w:val="fontstyle01"/>
          <w:rFonts w:ascii="Garamond" w:hAnsi="Garamond" w:cstheme="minorHAnsi"/>
          <w:sz w:val="24"/>
          <w:szCs w:val="24"/>
        </w:rPr>
        <w:t>Talisse’s</w:t>
      </w:r>
      <w:proofErr w:type="spellEnd"/>
      <w:r w:rsidRPr="00461D74">
        <w:rPr>
          <w:rStyle w:val="fontstyle01"/>
          <w:rFonts w:ascii="Garamond" w:hAnsi="Garamond" w:cstheme="minorHAnsi"/>
          <w:sz w:val="24"/>
          <w:szCs w:val="24"/>
        </w:rPr>
        <w:t xml:space="preserve"> argument </w:t>
      </w:r>
      <w:r w:rsidR="00EF5225">
        <w:rPr>
          <w:rStyle w:val="fontstyle01"/>
          <w:rFonts w:ascii="Garamond" w:hAnsi="Garamond" w:cstheme="minorHAnsi"/>
          <w:sz w:val="24"/>
          <w:szCs w:val="24"/>
        </w:rPr>
        <w:t>brings out</w:t>
      </w:r>
      <w:r w:rsidRPr="00461D74">
        <w:rPr>
          <w:rStyle w:val="fontstyle01"/>
          <w:rFonts w:ascii="Garamond" w:hAnsi="Garamond" w:cstheme="minorHAnsi"/>
          <w:sz w:val="24"/>
          <w:szCs w:val="24"/>
        </w:rPr>
        <w:t xml:space="preserve"> quite well that Dewey’s account indeed presupposes a form of teleology because it is grounded in a distinctive conception of flourishing. Of course, </w:t>
      </w:r>
      <w:r w:rsidR="009D670F">
        <w:rPr>
          <w:rStyle w:val="fontstyle01"/>
          <w:rFonts w:ascii="Garamond" w:hAnsi="Garamond" w:cstheme="minorHAnsi"/>
          <w:sz w:val="24"/>
          <w:szCs w:val="24"/>
        </w:rPr>
        <w:t>Deweyan democracy</w:t>
      </w:r>
      <w:r w:rsidR="009D670F" w:rsidRPr="00461D74">
        <w:rPr>
          <w:rStyle w:val="fontstyle01"/>
          <w:rFonts w:ascii="Garamond" w:hAnsi="Garamond" w:cstheme="minorHAnsi"/>
          <w:sz w:val="24"/>
          <w:szCs w:val="24"/>
        </w:rPr>
        <w:t xml:space="preserve"> </w:t>
      </w:r>
      <w:r w:rsidR="009D670F">
        <w:rPr>
          <w:rStyle w:val="fontstyle01"/>
          <w:rFonts w:ascii="Garamond" w:hAnsi="Garamond" w:cstheme="minorHAnsi"/>
          <w:sz w:val="24"/>
          <w:szCs w:val="24"/>
        </w:rPr>
        <w:t>isn’t committed to an</w:t>
      </w:r>
      <w:r w:rsidRPr="00461D74">
        <w:rPr>
          <w:rStyle w:val="fontstyle01"/>
          <w:rFonts w:ascii="Garamond" w:hAnsi="Garamond" w:cstheme="minorHAnsi"/>
          <w:sz w:val="24"/>
          <w:szCs w:val="24"/>
        </w:rPr>
        <w:t xml:space="preserve"> Aristotelian teleology</w:t>
      </w:r>
      <w:r w:rsidR="009D670F">
        <w:rPr>
          <w:rStyle w:val="fontstyle01"/>
          <w:rFonts w:ascii="Garamond" w:hAnsi="Garamond" w:cstheme="minorHAnsi"/>
          <w:sz w:val="24"/>
          <w:szCs w:val="24"/>
        </w:rPr>
        <w:t>;</w:t>
      </w:r>
      <w:r w:rsidRPr="00461D74">
        <w:rPr>
          <w:rStyle w:val="fontstyle01"/>
          <w:rFonts w:ascii="Garamond" w:hAnsi="Garamond" w:cstheme="minorHAnsi"/>
          <w:sz w:val="24"/>
          <w:szCs w:val="24"/>
        </w:rPr>
        <w:t xml:space="preserve"> </w:t>
      </w:r>
      <w:r w:rsidR="009D670F">
        <w:rPr>
          <w:rStyle w:val="fontstyle01"/>
          <w:rFonts w:ascii="Garamond" w:hAnsi="Garamond" w:cstheme="minorHAnsi"/>
          <w:sz w:val="24"/>
          <w:szCs w:val="24"/>
        </w:rPr>
        <w:t xml:space="preserve">but it is nonetheless committed to some form of </w:t>
      </w:r>
      <w:r w:rsidRPr="00461D74">
        <w:rPr>
          <w:rStyle w:val="fontstyle01"/>
          <w:rFonts w:ascii="Garamond" w:hAnsi="Garamond" w:cstheme="minorHAnsi"/>
          <w:sz w:val="24"/>
          <w:szCs w:val="24"/>
        </w:rPr>
        <w:t>teleology.</w:t>
      </w:r>
    </w:p>
    <w:p w:rsidR="00493D7D"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 xml:space="preserve">In our discussion thus far, we have seen the ways in which Dewey’s political philosophy isn’t fully compatible with </w:t>
      </w:r>
      <w:proofErr w:type="spellStart"/>
      <w:r w:rsidRPr="00461D74">
        <w:rPr>
          <w:rStyle w:val="fontstyle01"/>
          <w:rFonts w:ascii="Garamond" w:hAnsi="Garamond" w:cstheme="minorHAnsi"/>
          <w:sz w:val="24"/>
          <w:szCs w:val="24"/>
        </w:rPr>
        <w:t>Rawlsian</w:t>
      </w:r>
      <w:proofErr w:type="spellEnd"/>
      <w:r w:rsidRPr="00461D74">
        <w:rPr>
          <w:rStyle w:val="fontstyle01"/>
          <w:rFonts w:ascii="Garamond" w:hAnsi="Garamond" w:cstheme="minorHAnsi"/>
          <w:sz w:val="24"/>
          <w:szCs w:val="24"/>
        </w:rPr>
        <w:t xml:space="preserve"> liberalism.</w:t>
      </w:r>
      <w:r w:rsidR="00F079F1">
        <w:rPr>
          <w:rStyle w:val="FootnoteReference"/>
          <w:rFonts w:ascii="Garamond" w:hAnsi="Garamond" w:cstheme="minorHAnsi"/>
          <w:color w:val="000000"/>
          <w:sz w:val="24"/>
          <w:szCs w:val="24"/>
        </w:rPr>
        <w:footnoteReference w:id="252"/>
      </w:r>
      <w:r w:rsidRPr="00461D74">
        <w:rPr>
          <w:rStyle w:val="fontstyle01"/>
          <w:rFonts w:ascii="Garamond" w:hAnsi="Garamond" w:cstheme="minorHAnsi"/>
          <w:sz w:val="24"/>
          <w:szCs w:val="24"/>
        </w:rPr>
        <w:t xml:space="preserve"> I have argued that it isn’t, and it isn’t in part because it endorses a particular way of life, and </w:t>
      </w:r>
      <w:r w:rsidR="00493D7D">
        <w:rPr>
          <w:rStyle w:val="fontstyle01"/>
          <w:rFonts w:ascii="Garamond" w:hAnsi="Garamond" w:cstheme="minorHAnsi"/>
          <w:sz w:val="24"/>
          <w:szCs w:val="24"/>
        </w:rPr>
        <w:t xml:space="preserve">that it is committed to </w:t>
      </w:r>
      <w:r w:rsidR="00913FB7" w:rsidRPr="00461D74">
        <w:rPr>
          <w:rStyle w:val="fontstyle01"/>
          <w:rFonts w:ascii="Garamond" w:hAnsi="Garamond" w:cstheme="minorHAnsi"/>
          <w:sz w:val="24"/>
          <w:szCs w:val="24"/>
        </w:rPr>
        <w:t xml:space="preserve">a </w:t>
      </w:r>
      <w:r w:rsidR="00493D7D">
        <w:rPr>
          <w:rStyle w:val="fontstyle01"/>
          <w:rFonts w:ascii="Garamond" w:hAnsi="Garamond" w:cstheme="minorHAnsi"/>
          <w:sz w:val="24"/>
          <w:szCs w:val="24"/>
        </w:rPr>
        <w:t xml:space="preserve">version of </w:t>
      </w:r>
      <w:r w:rsidRPr="00461D74">
        <w:rPr>
          <w:rStyle w:val="fontstyle01"/>
          <w:rFonts w:ascii="Garamond" w:hAnsi="Garamond" w:cstheme="minorHAnsi"/>
          <w:sz w:val="24"/>
          <w:szCs w:val="24"/>
        </w:rPr>
        <w:t xml:space="preserve">teleology </w:t>
      </w:r>
      <w:r w:rsidR="00913FB7" w:rsidRPr="00461D74">
        <w:rPr>
          <w:rStyle w:val="fontstyle01"/>
          <w:rFonts w:ascii="Garamond" w:hAnsi="Garamond" w:cstheme="minorHAnsi"/>
          <w:sz w:val="24"/>
          <w:szCs w:val="24"/>
        </w:rPr>
        <w:t xml:space="preserve">with a </w:t>
      </w:r>
      <w:r w:rsidRPr="00461D74">
        <w:rPr>
          <w:rStyle w:val="fontstyle01"/>
          <w:rFonts w:ascii="Garamond" w:hAnsi="Garamond" w:cstheme="minorHAnsi"/>
          <w:sz w:val="24"/>
          <w:szCs w:val="24"/>
        </w:rPr>
        <w:t xml:space="preserve">distinctive conception of human flourishing. In any case I am not attempting to woo the liberal philosopher with Dewey’s argument here; my primary aim is to formulate an account that can ameliorate the problem in MacIntyre’s position. I would like to suggest that while MacIntyre has been searching for a teleology which can make sense of ethics in </w:t>
      </w:r>
      <w:r w:rsidR="00493D7D">
        <w:rPr>
          <w:rStyle w:val="fontstyle01"/>
          <w:rFonts w:ascii="Garamond" w:hAnsi="Garamond" w:cstheme="minorHAnsi"/>
          <w:sz w:val="24"/>
          <w:szCs w:val="24"/>
        </w:rPr>
        <w:t>the</w:t>
      </w:r>
      <w:r w:rsidR="00493D7D"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contemporary context, Dewey’s account of democracy offers a plausible </w:t>
      </w:r>
      <w:r w:rsidR="00493D7D">
        <w:rPr>
          <w:rStyle w:val="fontstyle01"/>
          <w:rFonts w:ascii="Garamond" w:hAnsi="Garamond" w:cstheme="minorHAnsi"/>
          <w:sz w:val="24"/>
          <w:szCs w:val="24"/>
        </w:rPr>
        <w:t>form of teleology (or conception of flourishing) that can to a large extent help put an end to the difficulties that MacIntyre faces here</w:t>
      </w:r>
      <w:r w:rsidRPr="00461D74">
        <w:rPr>
          <w:rStyle w:val="fontstyle01"/>
          <w:rFonts w:ascii="Garamond" w:hAnsi="Garamond" w:cstheme="minorHAnsi"/>
          <w:sz w:val="24"/>
          <w:szCs w:val="24"/>
        </w:rPr>
        <w:t xml:space="preserve">. </w:t>
      </w:r>
    </w:p>
    <w:p w:rsidR="00665157" w:rsidRDefault="00493D7D">
      <w:pPr>
        <w:spacing w:line="360" w:lineRule="auto"/>
        <w:ind w:firstLine="720"/>
        <w:jc w:val="both"/>
        <w:rPr>
          <w:rStyle w:val="fontstyle01"/>
          <w:rFonts w:ascii="Garamond" w:hAnsi="Garamond" w:cstheme="minorHAnsi"/>
          <w:sz w:val="24"/>
          <w:szCs w:val="24"/>
        </w:rPr>
      </w:pPr>
      <w:r>
        <w:rPr>
          <w:rStyle w:val="fontstyle01"/>
          <w:rFonts w:ascii="Garamond" w:hAnsi="Garamond" w:cstheme="minorHAnsi"/>
          <w:sz w:val="24"/>
          <w:szCs w:val="24"/>
        </w:rPr>
        <w:lastRenderedPageBreak/>
        <w:t>Furthermore</w:t>
      </w:r>
      <w:r w:rsidR="00016049" w:rsidRPr="00461D74">
        <w:rPr>
          <w:rStyle w:val="fontstyle01"/>
          <w:rFonts w:ascii="Garamond" w:hAnsi="Garamond" w:cstheme="minorHAnsi"/>
          <w:sz w:val="24"/>
          <w:szCs w:val="24"/>
        </w:rPr>
        <w:t>, precisely because Dewey’s account is different from the standard liberal view, it offers interesting possibilities for MacIntyre. After all</w:t>
      </w:r>
      <w:r w:rsidR="00EF5225">
        <w:rPr>
          <w:rStyle w:val="fontstyle01"/>
          <w:rFonts w:ascii="Garamond" w:hAnsi="Garamond" w:cstheme="minorHAnsi"/>
          <w:sz w:val="24"/>
          <w:szCs w:val="24"/>
        </w:rPr>
        <w:t>,</w:t>
      </w:r>
      <w:r w:rsidR="00016049" w:rsidRPr="00461D74">
        <w:rPr>
          <w:rStyle w:val="fontstyle01"/>
          <w:rFonts w:ascii="Garamond" w:hAnsi="Garamond" w:cstheme="minorHAnsi"/>
          <w:sz w:val="24"/>
          <w:szCs w:val="24"/>
        </w:rPr>
        <w:t xml:space="preserve"> MacIntyre has famously rejected liberalism. As far as MacIntyre is concerned, the fact that Dewey’s account doesn’t fit into the liberal view is a plus, rather than a negative. And the violation of </w:t>
      </w:r>
      <w:r>
        <w:rPr>
          <w:rStyle w:val="fontstyle01"/>
          <w:rFonts w:ascii="Garamond" w:hAnsi="Garamond" w:cstheme="minorHAnsi"/>
          <w:sz w:val="24"/>
          <w:szCs w:val="24"/>
        </w:rPr>
        <w:t xml:space="preserve">liberalism’s </w:t>
      </w:r>
      <w:r w:rsidR="00016049" w:rsidRPr="00461D74">
        <w:rPr>
          <w:rStyle w:val="fontstyle01"/>
          <w:rFonts w:ascii="Garamond" w:hAnsi="Garamond" w:cstheme="minorHAnsi"/>
          <w:sz w:val="24"/>
          <w:szCs w:val="24"/>
        </w:rPr>
        <w:t>neutrality principle</w:t>
      </w:r>
      <w:r>
        <w:rPr>
          <w:rStyle w:val="fontstyle01"/>
          <w:rFonts w:ascii="Garamond" w:hAnsi="Garamond" w:cstheme="minorHAnsi"/>
          <w:sz w:val="24"/>
          <w:szCs w:val="24"/>
        </w:rPr>
        <w:t xml:space="preserve"> </w:t>
      </w:r>
      <w:r w:rsidR="00016049" w:rsidRPr="00461D74">
        <w:rPr>
          <w:rStyle w:val="fontstyle01"/>
          <w:rFonts w:ascii="Garamond" w:hAnsi="Garamond" w:cstheme="minorHAnsi"/>
          <w:sz w:val="24"/>
          <w:szCs w:val="24"/>
        </w:rPr>
        <w:t>is not a problem for MacIntyre</w:t>
      </w:r>
      <w:r>
        <w:rPr>
          <w:rStyle w:val="fontstyle01"/>
          <w:rFonts w:ascii="Garamond" w:hAnsi="Garamond" w:cstheme="minorHAnsi"/>
          <w:sz w:val="24"/>
          <w:szCs w:val="24"/>
        </w:rPr>
        <w:t>,</w:t>
      </w:r>
      <w:r w:rsidR="00016049" w:rsidRPr="00461D74">
        <w:rPr>
          <w:rStyle w:val="fontstyle01"/>
          <w:rFonts w:ascii="Garamond" w:hAnsi="Garamond" w:cstheme="minorHAnsi"/>
          <w:sz w:val="24"/>
          <w:szCs w:val="24"/>
        </w:rPr>
        <w:t xml:space="preserve"> </w:t>
      </w:r>
      <w:r>
        <w:rPr>
          <w:rStyle w:val="fontstyle01"/>
          <w:rFonts w:ascii="Garamond" w:hAnsi="Garamond" w:cstheme="minorHAnsi"/>
          <w:sz w:val="24"/>
          <w:szCs w:val="24"/>
        </w:rPr>
        <w:t xml:space="preserve">since </w:t>
      </w:r>
      <w:r w:rsidR="00016049" w:rsidRPr="00461D74">
        <w:rPr>
          <w:rStyle w:val="fontstyle01"/>
          <w:rFonts w:ascii="Garamond" w:hAnsi="Garamond" w:cstheme="minorHAnsi"/>
          <w:sz w:val="24"/>
          <w:szCs w:val="24"/>
        </w:rPr>
        <w:t>he in fact argues that liberalism itself offers only a poor façade of neutrality.</w:t>
      </w:r>
      <w:r w:rsidR="00016049" w:rsidRPr="00461D74">
        <w:rPr>
          <w:rStyle w:val="FootnoteReference"/>
          <w:rFonts w:ascii="Garamond" w:hAnsi="Garamond" w:cstheme="minorHAnsi"/>
          <w:color w:val="231F20"/>
          <w:sz w:val="24"/>
          <w:szCs w:val="24"/>
        </w:rPr>
        <w:footnoteReference w:id="253"/>
      </w:r>
      <w:r w:rsidR="00016049" w:rsidRPr="00461D74">
        <w:rPr>
          <w:rStyle w:val="fontstyle01"/>
          <w:rFonts w:ascii="Garamond" w:hAnsi="Garamond" w:cstheme="minorHAnsi"/>
          <w:sz w:val="24"/>
          <w:szCs w:val="24"/>
        </w:rPr>
        <w:t xml:space="preserve"> MacIntyre argues that in reality, not only is liberalism not neutral, but it actively promotes a particular way of life – one that is highly individualistic, oriented towards consumption of material goods, and for the most part views flourishing in economic terms – </w:t>
      </w:r>
      <w:r>
        <w:rPr>
          <w:rStyle w:val="fontstyle01"/>
          <w:rFonts w:ascii="Garamond" w:hAnsi="Garamond" w:cstheme="minorHAnsi"/>
          <w:sz w:val="24"/>
          <w:szCs w:val="24"/>
        </w:rPr>
        <w:t xml:space="preserve">a conception that for the most part identifies and describes </w:t>
      </w:r>
      <w:r w:rsidR="00016049" w:rsidRPr="00461D74">
        <w:rPr>
          <w:rStyle w:val="fontstyle01"/>
          <w:rFonts w:ascii="Garamond" w:hAnsi="Garamond" w:cstheme="minorHAnsi"/>
          <w:sz w:val="24"/>
          <w:szCs w:val="24"/>
        </w:rPr>
        <w:t>human being</w:t>
      </w:r>
      <w:r>
        <w:rPr>
          <w:rStyle w:val="fontstyle01"/>
          <w:rFonts w:ascii="Garamond" w:hAnsi="Garamond" w:cstheme="minorHAnsi"/>
          <w:sz w:val="24"/>
          <w:szCs w:val="24"/>
        </w:rPr>
        <w:t>s through the lens of</w:t>
      </w:r>
      <w:r w:rsidR="00016049" w:rsidRPr="00461D74">
        <w:rPr>
          <w:rStyle w:val="fontstyle01"/>
          <w:rFonts w:ascii="Garamond" w:hAnsi="Garamond" w:cstheme="minorHAnsi"/>
          <w:sz w:val="24"/>
          <w:szCs w:val="24"/>
        </w:rPr>
        <w:t xml:space="preserve"> </w:t>
      </w:r>
      <w:r w:rsidR="00016049" w:rsidRPr="00461D74">
        <w:rPr>
          <w:rStyle w:val="fontstyle01"/>
          <w:rFonts w:ascii="Garamond" w:hAnsi="Garamond" w:cstheme="minorHAnsi"/>
          <w:i/>
          <w:sz w:val="24"/>
          <w:szCs w:val="24"/>
        </w:rPr>
        <w:t xml:space="preserve">Homo </w:t>
      </w:r>
      <w:proofErr w:type="spellStart"/>
      <w:r w:rsidR="00016049" w:rsidRPr="00461D74">
        <w:rPr>
          <w:rStyle w:val="fontstyle01"/>
          <w:rFonts w:ascii="Garamond" w:hAnsi="Garamond" w:cstheme="minorHAnsi"/>
          <w:i/>
          <w:sz w:val="24"/>
          <w:szCs w:val="24"/>
        </w:rPr>
        <w:t>Economicus</w:t>
      </w:r>
      <w:proofErr w:type="spellEnd"/>
      <w:r w:rsidR="00016049" w:rsidRPr="00461D74">
        <w:rPr>
          <w:rStyle w:val="fontstyle01"/>
          <w:rFonts w:ascii="Garamond" w:hAnsi="Garamond" w:cstheme="minorHAnsi"/>
          <w:sz w:val="24"/>
          <w:szCs w:val="24"/>
        </w:rPr>
        <w:t>.</w:t>
      </w:r>
    </w:p>
    <w:p w:rsidR="00665157" w:rsidRDefault="00665157">
      <w:pPr>
        <w:spacing w:line="360" w:lineRule="auto"/>
        <w:jc w:val="both"/>
        <w:rPr>
          <w:rStyle w:val="fontstyle01"/>
          <w:rFonts w:ascii="Garamond" w:hAnsi="Garamond" w:cstheme="minorHAnsi"/>
          <w:sz w:val="24"/>
          <w:szCs w:val="24"/>
        </w:rPr>
      </w:pPr>
    </w:p>
    <w:p w:rsidR="00665157" w:rsidRDefault="001C62D0">
      <w:pPr>
        <w:pStyle w:val="Heading3"/>
        <w:spacing w:line="360" w:lineRule="auto"/>
        <w:jc w:val="both"/>
        <w:rPr>
          <w:rStyle w:val="fontstyle01"/>
          <w:rFonts w:asciiTheme="majorHAnsi" w:eastAsiaTheme="minorEastAsia" w:hAnsiTheme="majorHAnsi" w:cstheme="majorHAnsi"/>
          <w:color w:val="4472C4" w:themeColor="accent1"/>
          <w:szCs w:val="24"/>
          <w:lang w:val="en-CA" w:eastAsia="zh-CN"/>
        </w:rPr>
      </w:pPr>
      <w:bookmarkStart w:id="27" w:name="_Toc528077809"/>
      <w:r>
        <w:rPr>
          <w:rFonts w:cstheme="majorHAnsi"/>
        </w:rPr>
        <w:t>4</w:t>
      </w:r>
      <w:r w:rsidR="00016049" w:rsidRPr="00331208">
        <w:rPr>
          <w:rFonts w:cstheme="majorHAnsi"/>
        </w:rPr>
        <w:t>.2 Second Objection:</w:t>
      </w:r>
      <w:bookmarkEnd w:id="27"/>
    </w:p>
    <w:p w:rsidR="00665157" w:rsidRDefault="00016049">
      <w:pPr>
        <w:spacing w:line="360" w:lineRule="auto"/>
        <w:jc w:val="both"/>
        <w:rPr>
          <w:rFonts w:ascii="Garamond" w:hAnsi="Garamond"/>
          <w:sz w:val="24"/>
          <w:szCs w:val="24"/>
        </w:rPr>
      </w:pPr>
      <w:r w:rsidRPr="00461D74">
        <w:rPr>
          <w:rStyle w:val="fontstyle01"/>
          <w:rFonts w:ascii="Garamond" w:hAnsi="Garamond"/>
          <w:sz w:val="24"/>
          <w:szCs w:val="24"/>
        </w:rPr>
        <w:t xml:space="preserve">Can Dewey’s teleology answer the criticisms advanced against MacIntyre’s three-fold social teleology in </w:t>
      </w:r>
      <w:r w:rsidRPr="00461D74">
        <w:rPr>
          <w:rStyle w:val="fontstyle01"/>
          <w:rFonts w:ascii="Garamond" w:hAnsi="Garamond"/>
          <w:i/>
          <w:sz w:val="24"/>
          <w:szCs w:val="24"/>
        </w:rPr>
        <w:t>After Virtue</w:t>
      </w:r>
      <w:r w:rsidRPr="00461D74">
        <w:rPr>
          <w:rStyle w:val="fontstyle01"/>
          <w:rFonts w:ascii="Garamond" w:hAnsi="Garamond"/>
          <w:sz w:val="24"/>
          <w:szCs w:val="24"/>
        </w:rPr>
        <w:t>?</w:t>
      </w:r>
    </w:p>
    <w:p w:rsidR="00BB599C"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 xml:space="preserve">Up until this point I have been using </w:t>
      </w:r>
      <w:proofErr w:type="spellStart"/>
      <w:r w:rsidRPr="00461D74">
        <w:rPr>
          <w:rStyle w:val="fontstyle01"/>
          <w:rFonts w:ascii="Garamond" w:hAnsi="Garamond" w:cstheme="minorHAnsi"/>
          <w:sz w:val="24"/>
          <w:szCs w:val="24"/>
        </w:rPr>
        <w:t>Talisse’s</w:t>
      </w:r>
      <w:proofErr w:type="spellEnd"/>
      <w:r w:rsidRPr="00461D74">
        <w:rPr>
          <w:rStyle w:val="fontstyle01"/>
          <w:rFonts w:ascii="Garamond" w:hAnsi="Garamond" w:cstheme="minorHAnsi"/>
          <w:sz w:val="24"/>
          <w:szCs w:val="24"/>
        </w:rPr>
        <w:t xml:space="preserve"> argument to </w:t>
      </w:r>
      <w:r w:rsidR="00EF5225">
        <w:rPr>
          <w:rStyle w:val="fontstyle01"/>
          <w:rFonts w:ascii="Garamond" w:hAnsi="Garamond" w:cstheme="minorHAnsi"/>
          <w:sz w:val="24"/>
          <w:szCs w:val="24"/>
        </w:rPr>
        <w:t>bring out</w:t>
      </w:r>
      <w:r w:rsidRPr="00461D74">
        <w:rPr>
          <w:rStyle w:val="fontstyle01"/>
          <w:rFonts w:ascii="Garamond" w:hAnsi="Garamond" w:cstheme="minorHAnsi"/>
          <w:sz w:val="24"/>
          <w:szCs w:val="24"/>
        </w:rPr>
        <w:t xml:space="preserve"> the </w:t>
      </w:r>
      <w:r w:rsidR="003C25E0">
        <w:rPr>
          <w:rStyle w:val="fontstyle01"/>
          <w:rFonts w:ascii="Garamond" w:hAnsi="Garamond" w:cstheme="minorHAnsi"/>
          <w:sz w:val="24"/>
          <w:szCs w:val="24"/>
        </w:rPr>
        <w:t xml:space="preserve">extent to which </w:t>
      </w:r>
      <w:r w:rsidRPr="00461D74">
        <w:rPr>
          <w:rStyle w:val="fontstyle01"/>
          <w:rFonts w:ascii="Garamond" w:hAnsi="Garamond" w:cstheme="minorHAnsi"/>
          <w:sz w:val="24"/>
          <w:szCs w:val="24"/>
        </w:rPr>
        <w:t>Dewey’s democracy as a way of life</w:t>
      </w:r>
      <w:r w:rsidR="003C25E0">
        <w:rPr>
          <w:rStyle w:val="fontstyle01"/>
          <w:rFonts w:ascii="Garamond" w:hAnsi="Garamond" w:cstheme="minorHAnsi"/>
          <w:sz w:val="24"/>
          <w:szCs w:val="24"/>
        </w:rPr>
        <w:t xml:space="preserve"> subscribes to a thesis that </w:t>
      </w:r>
      <w:r w:rsidR="00BB74F6">
        <w:rPr>
          <w:rStyle w:val="fontstyle01"/>
          <w:rFonts w:ascii="Garamond" w:hAnsi="Garamond" w:cstheme="minorHAnsi"/>
          <w:sz w:val="24"/>
          <w:szCs w:val="24"/>
        </w:rPr>
        <w:t xml:space="preserve">acknowledges </w:t>
      </w:r>
      <w:r w:rsidR="003C25E0">
        <w:rPr>
          <w:rStyle w:val="fontstyle01"/>
          <w:rFonts w:ascii="Garamond" w:hAnsi="Garamond" w:cstheme="minorHAnsi"/>
          <w:sz w:val="24"/>
          <w:szCs w:val="24"/>
        </w:rPr>
        <w:t>non-instrumentality (or substantivity), owing to</w:t>
      </w:r>
      <w:r w:rsidRPr="00461D74">
        <w:rPr>
          <w:rStyle w:val="fontstyle01"/>
          <w:rFonts w:ascii="Garamond" w:hAnsi="Garamond" w:cstheme="minorHAnsi"/>
          <w:sz w:val="24"/>
          <w:szCs w:val="24"/>
        </w:rPr>
        <w:t xml:space="preserve"> the various commitments it entails and </w:t>
      </w:r>
      <w:r w:rsidR="003C25E0">
        <w:rPr>
          <w:rStyle w:val="fontstyle01"/>
          <w:rFonts w:ascii="Garamond" w:hAnsi="Garamond" w:cstheme="minorHAnsi"/>
          <w:sz w:val="24"/>
          <w:szCs w:val="24"/>
        </w:rPr>
        <w:t xml:space="preserve">the degree </w:t>
      </w:r>
      <w:r w:rsidR="00EF5225">
        <w:rPr>
          <w:rStyle w:val="fontstyle01"/>
          <w:rFonts w:ascii="Garamond" w:hAnsi="Garamond" w:cstheme="minorHAnsi"/>
          <w:sz w:val="24"/>
          <w:szCs w:val="24"/>
        </w:rPr>
        <w:t>to</w:t>
      </w:r>
      <w:r w:rsidR="003C25E0">
        <w:rPr>
          <w:rStyle w:val="fontstyle01"/>
          <w:rFonts w:ascii="Garamond" w:hAnsi="Garamond" w:cstheme="minorHAnsi"/>
          <w:sz w:val="24"/>
          <w:szCs w:val="24"/>
        </w:rPr>
        <w:t xml:space="preserve"> which</w:t>
      </w:r>
      <w:r w:rsidR="003C25E0"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those commitments involve adopting a particular way of life that is incompatible with liberalism. However, a question that is left unanswered is whether democracy as a way of life offers a unified conception of life where we can order the various goods that emerge in human communities. Recall the criticism levelled by Bernstein and </w:t>
      </w:r>
      <w:proofErr w:type="spellStart"/>
      <w:r w:rsidRPr="00461D74">
        <w:rPr>
          <w:rStyle w:val="fontstyle01"/>
          <w:rFonts w:ascii="Garamond" w:hAnsi="Garamond" w:cstheme="minorHAnsi"/>
          <w:sz w:val="24"/>
          <w:szCs w:val="24"/>
        </w:rPr>
        <w:t>Schneewind</w:t>
      </w:r>
      <w:proofErr w:type="spellEnd"/>
      <w:r w:rsidRPr="00461D74">
        <w:rPr>
          <w:rStyle w:val="fontstyle01"/>
          <w:rFonts w:ascii="Garamond" w:hAnsi="Garamond" w:cstheme="minorHAnsi"/>
          <w:sz w:val="24"/>
          <w:szCs w:val="24"/>
        </w:rPr>
        <w:t xml:space="preserve"> – namely that MacIntyre’s three-fold account of the virtues is too open-ended</w:t>
      </w:r>
      <w:r w:rsidR="00EF5225">
        <w:rPr>
          <w:rStyle w:val="fontstyle01"/>
          <w:rFonts w:ascii="Garamond" w:hAnsi="Garamond" w:cstheme="minorHAnsi"/>
          <w:sz w:val="24"/>
          <w:szCs w:val="24"/>
        </w:rPr>
        <w:t>,</w:t>
      </w:r>
      <w:r w:rsidRPr="00461D74">
        <w:rPr>
          <w:rStyle w:val="fontstyle01"/>
          <w:rFonts w:ascii="Garamond" w:hAnsi="Garamond" w:cstheme="minorHAnsi"/>
          <w:sz w:val="24"/>
          <w:szCs w:val="24"/>
        </w:rPr>
        <w:t xml:space="preserve"> and generates a diverging set of goods that are not easily reconcilable</w:t>
      </w:r>
      <w:r w:rsidR="003C25E0">
        <w:rPr>
          <w:rStyle w:val="fontstyle01"/>
          <w:rFonts w:ascii="Garamond" w:hAnsi="Garamond" w:cstheme="minorHAnsi"/>
          <w:sz w:val="24"/>
          <w:szCs w:val="24"/>
        </w:rPr>
        <w:t xml:space="preserve">, </w:t>
      </w:r>
      <w:r w:rsidR="00BB599C">
        <w:rPr>
          <w:rStyle w:val="fontstyle01"/>
          <w:rFonts w:ascii="Garamond" w:hAnsi="Garamond" w:cstheme="minorHAnsi"/>
          <w:sz w:val="24"/>
          <w:szCs w:val="24"/>
        </w:rPr>
        <w:t xml:space="preserve">primarily </w:t>
      </w:r>
      <w:r w:rsidR="00BB599C">
        <w:rPr>
          <w:rStyle w:val="fontstyle01"/>
          <w:rFonts w:ascii="Garamond" w:hAnsi="Garamond" w:cstheme="minorHAnsi"/>
          <w:sz w:val="24"/>
          <w:szCs w:val="24"/>
        </w:rPr>
        <w:lastRenderedPageBreak/>
        <w:t>because</w:t>
      </w:r>
      <w:r w:rsidR="003C25E0">
        <w:rPr>
          <w:rStyle w:val="fontstyle01"/>
          <w:rFonts w:ascii="Garamond" w:hAnsi="Garamond" w:cstheme="minorHAnsi"/>
          <w:sz w:val="24"/>
          <w:szCs w:val="24"/>
        </w:rPr>
        <w:t xml:space="preserve"> his definition of </w:t>
      </w:r>
      <w:r w:rsidR="00BB599C">
        <w:rPr>
          <w:rStyle w:val="fontstyle01"/>
          <w:rFonts w:ascii="Garamond" w:hAnsi="Garamond" w:cstheme="minorHAnsi"/>
          <w:sz w:val="24"/>
          <w:szCs w:val="24"/>
        </w:rPr>
        <w:t xml:space="preserve">the good (or </w:t>
      </w:r>
      <w:r w:rsidR="003C25E0">
        <w:rPr>
          <w:rStyle w:val="fontstyle01"/>
          <w:rFonts w:ascii="Garamond" w:hAnsi="Garamond" w:cstheme="minorHAnsi"/>
          <w:sz w:val="24"/>
          <w:szCs w:val="24"/>
        </w:rPr>
        <w:t>flourishing</w:t>
      </w:r>
      <w:r w:rsidR="00BB599C">
        <w:rPr>
          <w:rStyle w:val="fontstyle01"/>
          <w:rFonts w:ascii="Garamond" w:hAnsi="Garamond" w:cstheme="minorHAnsi"/>
          <w:sz w:val="24"/>
          <w:szCs w:val="24"/>
        </w:rPr>
        <w:t>)</w:t>
      </w:r>
      <w:r w:rsidR="003C25E0">
        <w:rPr>
          <w:rStyle w:val="fontstyle01"/>
          <w:rFonts w:ascii="Garamond" w:hAnsi="Garamond" w:cstheme="minorHAnsi"/>
          <w:sz w:val="24"/>
          <w:szCs w:val="24"/>
        </w:rPr>
        <w:t xml:space="preserve"> is </w:t>
      </w:r>
      <w:r w:rsidR="00BB599C">
        <w:rPr>
          <w:rStyle w:val="fontstyle01"/>
          <w:rFonts w:ascii="Garamond" w:hAnsi="Garamond" w:cstheme="minorHAnsi"/>
          <w:sz w:val="24"/>
          <w:szCs w:val="24"/>
        </w:rPr>
        <w:t>opaque and abstract</w:t>
      </w:r>
      <w:r w:rsidRPr="00461D74">
        <w:rPr>
          <w:rStyle w:val="fontstyle01"/>
          <w:rFonts w:ascii="Garamond" w:hAnsi="Garamond" w:cstheme="minorHAnsi"/>
          <w:sz w:val="24"/>
          <w:szCs w:val="24"/>
        </w:rPr>
        <w:t>. Therefore, it is not clear how we can resolve conflicts, or order goods, in our lives in a way that endorses a distinct co</w:t>
      </w:r>
      <w:r w:rsidR="0063269F" w:rsidRPr="00461D74">
        <w:rPr>
          <w:rStyle w:val="fontstyle01"/>
          <w:rFonts w:ascii="Garamond" w:hAnsi="Garamond" w:cstheme="minorHAnsi"/>
          <w:sz w:val="24"/>
          <w:szCs w:val="24"/>
        </w:rPr>
        <w:t xml:space="preserve">nception of human flourishing. </w:t>
      </w:r>
    </w:p>
    <w:p w:rsidR="00665157" w:rsidRDefault="00016049">
      <w:pPr>
        <w:spacing w:line="360" w:lineRule="auto"/>
        <w:ind w:firstLine="720"/>
        <w:jc w:val="both"/>
        <w:rPr>
          <w:rFonts w:ascii="Garamond" w:hAnsi="Garamond"/>
          <w:sz w:val="24"/>
          <w:szCs w:val="24"/>
        </w:rPr>
      </w:pPr>
      <w:r w:rsidRPr="00461D74">
        <w:rPr>
          <w:rStyle w:val="fontstyle01"/>
          <w:rFonts w:ascii="Garamond" w:hAnsi="Garamond" w:cstheme="minorHAnsi"/>
          <w:sz w:val="24"/>
          <w:szCs w:val="24"/>
        </w:rPr>
        <w:t xml:space="preserve">They both argued that </w:t>
      </w:r>
      <w:r w:rsidR="00BB599C">
        <w:rPr>
          <w:rStyle w:val="fontstyle01"/>
          <w:rFonts w:ascii="Garamond" w:hAnsi="Garamond" w:cstheme="minorHAnsi"/>
          <w:sz w:val="24"/>
          <w:szCs w:val="24"/>
        </w:rPr>
        <w:t xml:space="preserve">the basis for </w:t>
      </w:r>
      <w:r w:rsidRPr="00461D74">
        <w:rPr>
          <w:rStyle w:val="fontstyle01"/>
          <w:rFonts w:ascii="Garamond" w:hAnsi="Garamond" w:cstheme="minorHAnsi"/>
          <w:sz w:val="24"/>
          <w:szCs w:val="24"/>
        </w:rPr>
        <w:t xml:space="preserve">MacIntyre’s three-fold teleology isn’t </w:t>
      </w:r>
      <w:r w:rsidR="00BB599C">
        <w:rPr>
          <w:rStyle w:val="fontstyle01"/>
          <w:rFonts w:ascii="Garamond" w:hAnsi="Garamond" w:cstheme="minorHAnsi"/>
          <w:sz w:val="24"/>
          <w:szCs w:val="24"/>
        </w:rPr>
        <w:t xml:space="preserve">substantive enough </w:t>
      </w:r>
      <w:r w:rsidRPr="00461D74">
        <w:rPr>
          <w:rStyle w:val="fontstyle01"/>
          <w:rFonts w:ascii="Garamond" w:hAnsi="Garamond" w:cstheme="minorHAnsi"/>
          <w:sz w:val="24"/>
          <w:szCs w:val="24"/>
        </w:rPr>
        <w:t xml:space="preserve">to make sense of the conflicting heterogeneous set of goods that </w:t>
      </w:r>
      <w:r w:rsidR="00BB599C">
        <w:rPr>
          <w:rStyle w:val="fontstyle01"/>
          <w:rFonts w:ascii="Garamond" w:hAnsi="Garamond" w:cstheme="minorHAnsi"/>
          <w:sz w:val="24"/>
          <w:szCs w:val="24"/>
        </w:rPr>
        <w:t>his account</w:t>
      </w:r>
      <w:r w:rsidR="00BB599C"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ultimately generates; </w:t>
      </w:r>
      <w:r w:rsidR="00BB599C">
        <w:rPr>
          <w:rStyle w:val="fontstyle01"/>
          <w:rFonts w:ascii="Garamond" w:hAnsi="Garamond" w:cstheme="minorHAnsi"/>
          <w:sz w:val="24"/>
          <w:szCs w:val="24"/>
        </w:rPr>
        <w:t>and they concluded that</w:t>
      </w:r>
      <w:r w:rsidRPr="00461D74">
        <w:rPr>
          <w:rStyle w:val="fontstyle01"/>
          <w:rFonts w:ascii="Garamond" w:hAnsi="Garamond" w:cstheme="minorHAnsi"/>
          <w:sz w:val="24"/>
          <w:szCs w:val="24"/>
        </w:rPr>
        <w:t xml:space="preserve"> MacIntyre’s three-fold teleology ends up inadvertently reinforcing</w:t>
      </w:r>
      <w:r w:rsidR="00BB599C">
        <w:rPr>
          <w:rStyle w:val="fontstyle01"/>
          <w:rFonts w:ascii="Garamond" w:hAnsi="Garamond" w:cstheme="minorHAnsi"/>
          <w:sz w:val="24"/>
          <w:szCs w:val="24"/>
        </w:rPr>
        <w:t>,</w:t>
      </w:r>
      <w:r w:rsidRPr="00461D74">
        <w:rPr>
          <w:rStyle w:val="fontstyle01"/>
          <w:rFonts w:ascii="Garamond" w:hAnsi="Garamond" w:cstheme="minorHAnsi"/>
          <w:sz w:val="24"/>
          <w:szCs w:val="24"/>
        </w:rPr>
        <w:t xml:space="preserve"> rather than undermining</w:t>
      </w:r>
      <w:r w:rsidR="00BB599C">
        <w:rPr>
          <w:rStyle w:val="fontstyle01"/>
          <w:rFonts w:ascii="Garamond" w:hAnsi="Garamond" w:cstheme="minorHAnsi"/>
          <w:sz w:val="24"/>
          <w:szCs w:val="24"/>
        </w:rPr>
        <w:t>,</w:t>
      </w:r>
      <w:r w:rsidRPr="00461D74">
        <w:rPr>
          <w:rStyle w:val="fontstyle01"/>
          <w:rFonts w:ascii="Garamond" w:hAnsi="Garamond" w:cstheme="minorHAnsi"/>
          <w:sz w:val="24"/>
          <w:szCs w:val="24"/>
        </w:rPr>
        <w:t xml:space="preserve"> emotivism. The relevant question is whether Dewey’s account is better </w:t>
      </w:r>
      <w:r w:rsidR="00BB599C">
        <w:rPr>
          <w:rStyle w:val="fontstyle01"/>
          <w:rFonts w:ascii="Garamond" w:hAnsi="Garamond" w:cstheme="minorHAnsi"/>
          <w:sz w:val="24"/>
          <w:szCs w:val="24"/>
        </w:rPr>
        <w:t>placed</w:t>
      </w:r>
      <w:r w:rsidR="00BB599C" w:rsidRPr="00461D74">
        <w:rPr>
          <w:rStyle w:val="fontstyle01"/>
          <w:rFonts w:ascii="Garamond" w:hAnsi="Garamond" w:cstheme="minorHAnsi"/>
          <w:sz w:val="24"/>
          <w:szCs w:val="24"/>
        </w:rPr>
        <w:t xml:space="preserve"> </w:t>
      </w:r>
      <w:r w:rsidRPr="00461D74">
        <w:rPr>
          <w:rStyle w:val="fontstyle01"/>
          <w:rFonts w:ascii="Garamond" w:hAnsi="Garamond" w:cstheme="minorHAnsi"/>
          <w:sz w:val="24"/>
          <w:szCs w:val="24"/>
        </w:rPr>
        <w:t xml:space="preserve">to defend itself against the sort of criticism levelled by Bernstein and </w:t>
      </w:r>
      <w:proofErr w:type="spellStart"/>
      <w:r w:rsidRPr="00461D74">
        <w:rPr>
          <w:rStyle w:val="fontstyle01"/>
          <w:rFonts w:ascii="Garamond" w:hAnsi="Garamond" w:cstheme="minorHAnsi"/>
          <w:sz w:val="24"/>
          <w:szCs w:val="24"/>
        </w:rPr>
        <w:t>Schneewind</w:t>
      </w:r>
      <w:proofErr w:type="spellEnd"/>
      <w:r w:rsidRPr="00461D74">
        <w:rPr>
          <w:rStyle w:val="fontstyle01"/>
          <w:rFonts w:ascii="Garamond" w:hAnsi="Garamond" w:cstheme="minorHAnsi"/>
          <w:sz w:val="24"/>
          <w:szCs w:val="24"/>
        </w:rPr>
        <w:t xml:space="preserve"> at MacIntyre in </w:t>
      </w:r>
      <w:r w:rsidRPr="00461D74">
        <w:rPr>
          <w:rStyle w:val="fontstyle01"/>
          <w:rFonts w:ascii="Garamond" w:hAnsi="Garamond" w:cstheme="minorHAnsi"/>
          <w:i/>
          <w:sz w:val="24"/>
          <w:szCs w:val="24"/>
        </w:rPr>
        <w:t>After Virtue</w:t>
      </w:r>
      <w:r w:rsidRPr="00461D74">
        <w:rPr>
          <w:rStyle w:val="fontstyle01"/>
          <w:rFonts w:ascii="Garamond" w:hAnsi="Garamond" w:cstheme="minorHAnsi"/>
          <w:sz w:val="24"/>
          <w:szCs w:val="24"/>
        </w:rPr>
        <w:t xml:space="preserve">? </w:t>
      </w:r>
      <w:r w:rsidRPr="00461D74">
        <w:rPr>
          <w:rFonts w:ascii="Garamond" w:hAnsi="Garamond" w:cstheme="minorHAnsi"/>
          <w:iCs/>
          <w:color w:val="2C221F"/>
          <w:sz w:val="24"/>
          <w:szCs w:val="24"/>
        </w:rPr>
        <w:t>I will argue that Dewey</w:t>
      </w:r>
      <w:r w:rsidR="00BB599C">
        <w:rPr>
          <w:rFonts w:ascii="Garamond" w:hAnsi="Garamond" w:cstheme="minorHAnsi"/>
          <w:iCs/>
          <w:color w:val="2C221F"/>
          <w:sz w:val="24"/>
          <w:szCs w:val="24"/>
        </w:rPr>
        <w:t>an democracy</w:t>
      </w:r>
      <w:r w:rsidRPr="00461D74">
        <w:rPr>
          <w:rFonts w:ascii="Garamond" w:hAnsi="Garamond" w:cstheme="minorHAnsi"/>
          <w:iCs/>
          <w:color w:val="2C221F"/>
          <w:sz w:val="24"/>
          <w:szCs w:val="24"/>
        </w:rPr>
        <w:t xml:space="preserve"> is in fact better </w:t>
      </w:r>
      <w:r w:rsidR="00BB599C">
        <w:rPr>
          <w:rFonts w:ascii="Garamond" w:hAnsi="Garamond" w:cstheme="minorHAnsi"/>
          <w:iCs/>
          <w:color w:val="2C221F"/>
          <w:sz w:val="24"/>
          <w:szCs w:val="24"/>
        </w:rPr>
        <w:t>positioned</w:t>
      </w:r>
      <w:r w:rsidR="00BB599C"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to defend his teleology against those sorts of criticisms, because while Deweyan democracy is open-ended, it is substantive in the sense</w:t>
      </w:r>
      <w:r w:rsidR="00BB599C">
        <w:rPr>
          <w:rFonts w:ascii="Garamond" w:hAnsi="Garamond" w:cstheme="minorHAnsi"/>
          <w:iCs/>
          <w:color w:val="2C221F"/>
          <w:sz w:val="24"/>
          <w:szCs w:val="24"/>
        </w:rPr>
        <w:t xml:space="preserve"> I argued earlier, and</w:t>
      </w:r>
      <w:r w:rsidRPr="00461D74">
        <w:rPr>
          <w:rFonts w:ascii="Garamond" w:hAnsi="Garamond" w:cstheme="minorHAnsi"/>
          <w:iCs/>
          <w:color w:val="2C221F"/>
          <w:sz w:val="24"/>
          <w:szCs w:val="24"/>
        </w:rPr>
        <w:t xml:space="preserve"> that it </w:t>
      </w:r>
      <w:r w:rsidR="00ED31B0">
        <w:rPr>
          <w:rFonts w:ascii="Garamond" w:hAnsi="Garamond" w:cstheme="minorHAnsi"/>
          <w:iCs/>
          <w:color w:val="2C221F"/>
          <w:sz w:val="24"/>
          <w:szCs w:val="24"/>
        </w:rPr>
        <w:t>subscribes to</w:t>
      </w:r>
      <w:r w:rsidR="00ED31B0"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a method</w:t>
      </w:r>
      <w:r w:rsidR="00ED31B0">
        <w:rPr>
          <w:rFonts w:ascii="Garamond" w:hAnsi="Garamond" w:cstheme="minorHAnsi"/>
          <w:iCs/>
          <w:color w:val="2C221F"/>
          <w:sz w:val="24"/>
          <w:szCs w:val="24"/>
        </w:rPr>
        <w:t>ology</w:t>
      </w:r>
      <w:r w:rsidRPr="00461D74">
        <w:rPr>
          <w:rFonts w:ascii="Garamond" w:hAnsi="Garamond" w:cstheme="minorHAnsi"/>
          <w:iCs/>
          <w:color w:val="2C221F"/>
          <w:sz w:val="24"/>
          <w:szCs w:val="24"/>
        </w:rPr>
        <w:t xml:space="preserve"> which </w:t>
      </w:r>
      <w:r w:rsidR="00CE71C1">
        <w:rPr>
          <w:rFonts w:ascii="Garamond" w:hAnsi="Garamond" w:cstheme="minorHAnsi"/>
          <w:iCs/>
          <w:color w:val="2C221F"/>
          <w:sz w:val="24"/>
          <w:szCs w:val="24"/>
        </w:rPr>
        <w:t>seems</w:t>
      </w:r>
      <w:r w:rsidR="00CE71C1" w:rsidRPr="00461D74">
        <w:rPr>
          <w:rFonts w:ascii="Garamond" w:hAnsi="Garamond" w:cstheme="minorHAnsi"/>
          <w:iCs/>
          <w:color w:val="2C221F"/>
          <w:sz w:val="24"/>
          <w:szCs w:val="24"/>
        </w:rPr>
        <w:t xml:space="preserve"> </w:t>
      </w:r>
      <w:r w:rsidR="00BB599C">
        <w:rPr>
          <w:rFonts w:ascii="Garamond" w:hAnsi="Garamond" w:cstheme="minorHAnsi"/>
          <w:iCs/>
          <w:color w:val="2C221F"/>
          <w:sz w:val="24"/>
          <w:szCs w:val="24"/>
        </w:rPr>
        <w:t>capable of</w:t>
      </w:r>
      <w:r w:rsidR="00BB599C"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rational</w:t>
      </w:r>
      <w:r w:rsidR="00CE71C1">
        <w:rPr>
          <w:rFonts w:ascii="Garamond" w:hAnsi="Garamond" w:cstheme="minorHAnsi"/>
          <w:iCs/>
          <w:color w:val="2C221F"/>
          <w:sz w:val="24"/>
          <w:szCs w:val="24"/>
        </w:rPr>
        <w:t>ly</w:t>
      </w:r>
      <w:r w:rsidRPr="00461D74">
        <w:rPr>
          <w:rFonts w:ascii="Garamond" w:hAnsi="Garamond" w:cstheme="minorHAnsi"/>
          <w:iCs/>
          <w:color w:val="2C221F"/>
          <w:sz w:val="24"/>
          <w:szCs w:val="24"/>
        </w:rPr>
        <w:t xml:space="preserve"> evaluat</w:t>
      </w:r>
      <w:r w:rsidR="00CE71C1">
        <w:rPr>
          <w:rFonts w:ascii="Garamond" w:hAnsi="Garamond" w:cstheme="minorHAnsi"/>
          <w:iCs/>
          <w:color w:val="2C221F"/>
          <w:sz w:val="24"/>
          <w:szCs w:val="24"/>
        </w:rPr>
        <w:t>ing</w:t>
      </w:r>
      <w:r w:rsidRPr="00461D74">
        <w:rPr>
          <w:rFonts w:ascii="Garamond" w:hAnsi="Garamond" w:cstheme="minorHAnsi"/>
          <w:iCs/>
          <w:color w:val="2C221F"/>
          <w:sz w:val="24"/>
          <w:szCs w:val="24"/>
        </w:rPr>
        <w:t xml:space="preserve"> </w:t>
      </w:r>
      <w:r w:rsidR="00CE71C1">
        <w:rPr>
          <w:rFonts w:ascii="Garamond" w:hAnsi="Garamond" w:cstheme="minorHAnsi"/>
          <w:iCs/>
          <w:color w:val="2C221F"/>
          <w:sz w:val="24"/>
          <w:szCs w:val="24"/>
        </w:rPr>
        <w:t>a range of</w:t>
      </w:r>
      <w:r w:rsidRPr="00461D74">
        <w:rPr>
          <w:rFonts w:ascii="Garamond" w:hAnsi="Garamond" w:cstheme="minorHAnsi"/>
          <w:iCs/>
          <w:color w:val="2C221F"/>
          <w:sz w:val="24"/>
          <w:szCs w:val="24"/>
        </w:rPr>
        <w:t xml:space="preserve"> </w:t>
      </w:r>
      <w:r w:rsidR="00CE71C1">
        <w:rPr>
          <w:rFonts w:ascii="Garamond" w:hAnsi="Garamond" w:cstheme="minorHAnsi"/>
          <w:iCs/>
          <w:color w:val="2C221F"/>
          <w:sz w:val="24"/>
          <w:szCs w:val="24"/>
        </w:rPr>
        <w:t xml:space="preserve">different </w:t>
      </w:r>
      <w:r w:rsidRPr="00461D74">
        <w:rPr>
          <w:rFonts w:ascii="Garamond" w:hAnsi="Garamond" w:cstheme="minorHAnsi"/>
          <w:iCs/>
          <w:color w:val="2C221F"/>
          <w:sz w:val="24"/>
          <w:szCs w:val="24"/>
        </w:rPr>
        <w:t>goods.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From what we have considered thus far in our discussion of Dewey, it would appear that Dewey’s</w:t>
      </w:r>
      <w:r w:rsidR="0063269F" w:rsidRPr="00461D74">
        <w:rPr>
          <w:rFonts w:ascii="Garamond" w:hAnsi="Garamond"/>
          <w:sz w:val="24"/>
          <w:szCs w:val="24"/>
        </w:rPr>
        <w:t xml:space="preserve"> teleology</w:t>
      </w:r>
      <w:r w:rsidR="00913FB7" w:rsidRPr="00461D74">
        <w:rPr>
          <w:rFonts w:ascii="Garamond" w:hAnsi="Garamond"/>
          <w:sz w:val="24"/>
          <w:szCs w:val="24"/>
        </w:rPr>
        <w:t xml:space="preserve"> </w:t>
      </w:r>
      <w:r w:rsidR="0063269F" w:rsidRPr="00461D74">
        <w:rPr>
          <w:rFonts w:ascii="Garamond" w:hAnsi="Garamond"/>
          <w:sz w:val="24"/>
          <w:szCs w:val="24"/>
        </w:rPr>
        <w:t>–</w:t>
      </w:r>
      <w:r w:rsidR="00913FB7" w:rsidRPr="00461D74">
        <w:rPr>
          <w:rFonts w:ascii="Garamond" w:hAnsi="Garamond"/>
          <w:sz w:val="24"/>
          <w:szCs w:val="24"/>
        </w:rPr>
        <w:t xml:space="preserve"> </w:t>
      </w:r>
      <w:r w:rsidRPr="00461D74">
        <w:rPr>
          <w:rFonts w:ascii="Garamond" w:hAnsi="Garamond"/>
          <w:sz w:val="24"/>
          <w:szCs w:val="24"/>
        </w:rPr>
        <w:t xml:space="preserve">the idea of </w:t>
      </w:r>
      <w:r w:rsidR="00EF5225">
        <w:rPr>
          <w:rFonts w:ascii="Garamond" w:hAnsi="Garamond"/>
          <w:sz w:val="24"/>
          <w:szCs w:val="24"/>
        </w:rPr>
        <w:t>g</w:t>
      </w:r>
      <w:r w:rsidRPr="00461D74">
        <w:rPr>
          <w:rFonts w:ascii="Garamond" w:hAnsi="Garamond"/>
          <w:sz w:val="24"/>
          <w:szCs w:val="24"/>
        </w:rPr>
        <w:t>ro</w:t>
      </w:r>
      <w:r w:rsidR="0063269F" w:rsidRPr="00461D74">
        <w:rPr>
          <w:rFonts w:ascii="Garamond" w:hAnsi="Garamond"/>
          <w:sz w:val="24"/>
          <w:szCs w:val="24"/>
        </w:rPr>
        <w:t>wth</w:t>
      </w:r>
      <w:r w:rsidR="00913FB7" w:rsidRPr="00461D74">
        <w:rPr>
          <w:rFonts w:ascii="Garamond" w:hAnsi="Garamond"/>
          <w:sz w:val="24"/>
          <w:szCs w:val="24"/>
        </w:rPr>
        <w:t xml:space="preserve"> </w:t>
      </w:r>
      <w:r w:rsidR="0063269F" w:rsidRPr="00461D74">
        <w:rPr>
          <w:rFonts w:ascii="Garamond" w:hAnsi="Garamond"/>
          <w:sz w:val="24"/>
          <w:szCs w:val="24"/>
        </w:rPr>
        <w:t>–</w:t>
      </w:r>
      <w:r w:rsidR="00913FB7" w:rsidRPr="00461D74">
        <w:rPr>
          <w:rFonts w:ascii="Garamond" w:hAnsi="Garamond"/>
          <w:sz w:val="24"/>
          <w:szCs w:val="24"/>
        </w:rPr>
        <w:t xml:space="preserve"> </w:t>
      </w:r>
      <w:r w:rsidRPr="00461D74">
        <w:rPr>
          <w:rFonts w:ascii="Garamond" w:hAnsi="Garamond"/>
          <w:sz w:val="24"/>
          <w:szCs w:val="24"/>
        </w:rPr>
        <w:t xml:space="preserve">allows for a multiplicity of ways in which growth can be realised. Indeed for Dewey, human nature isn’t static, nor is it entirely known to us. Hence, Dewey would grant that his account of growth allows for a rich diversity of lives that generate a heterogeneous set of goods; and some of those goods are potentially incompatible with each other, especially given the nature of large contemporary societies. Dewey therefore would concede that in realising growth we do in fact generate goods that </w:t>
      </w:r>
      <w:r w:rsidR="00175B2E">
        <w:rPr>
          <w:rFonts w:ascii="Garamond" w:hAnsi="Garamond"/>
          <w:sz w:val="24"/>
          <w:szCs w:val="24"/>
        </w:rPr>
        <w:t>certainly</w:t>
      </w:r>
      <w:r w:rsidRPr="00461D74">
        <w:rPr>
          <w:rFonts w:ascii="Garamond" w:hAnsi="Garamond"/>
          <w:sz w:val="24"/>
          <w:szCs w:val="24"/>
        </w:rPr>
        <w:t xml:space="preserve"> appear to be in conflict with each other. Might then Dewey’s teleology be susceptible to the sort of criticisms advanced by Bernstein and </w:t>
      </w:r>
      <w:proofErr w:type="spellStart"/>
      <w:r w:rsidRPr="00461D74">
        <w:rPr>
          <w:rFonts w:ascii="Garamond" w:hAnsi="Garamond"/>
          <w:sz w:val="24"/>
          <w:szCs w:val="24"/>
        </w:rPr>
        <w:t>Schneewind</w:t>
      </w:r>
      <w:proofErr w:type="spellEnd"/>
      <w:r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 </w:t>
      </w:r>
      <w:r w:rsidR="00175B2E">
        <w:rPr>
          <w:rFonts w:ascii="Garamond" w:hAnsi="Garamond"/>
          <w:sz w:val="24"/>
          <w:szCs w:val="24"/>
        </w:rPr>
        <w:t>propose a negative response to this question</w:t>
      </w:r>
      <w:r w:rsidR="00C25534">
        <w:rPr>
          <w:rFonts w:ascii="Garamond" w:hAnsi="Garamond"/>
          <w:sz w:val="24"/>
          <w:szCs w:val="24"/>
        </w:rPr>
        <w:t>, and on my view,</w:t>
      </w:r>
      <w:r w:rsidRPr="00461D74">
        <w:rPr>
          <w:rFonts w:ascii="Garamond" w:hAnsi="Garamond"/>
          <w:sz w:val="24"/>
          <w:szCs w:val="24"/>
        </w:rPr>
        <w:t xml:space="preserve"> Dewey’s teleology doesn’t </w:t>
      </w:r>
      <w:r w:rsidR="00C25534">
        <w:rPr>
          <w:rFonts w:ascii="Garamond" w:hAnsi="Garamond"/>
          <w:sz w:val="24"/>
          <w:szCs w:val="24"/>
        </w:rPr>
        <w:t xml:space="preserve">ultimately </w:t>
      </w:r>
      <w:r w:rsidRPr="00461D74">
        <w:rPr>
          <w:rFonts w:ascii="Garamond" w:hAnsi="Garamond"/>
          <w:sz w:val="24"/>
          <w:szCs w:val="24"/>
        </w:rPr>
        <w:t xml:space="preserve">succumb to this type of criticism. Bernstein in fact </w:t>
      </w:r>
      <w:r w:rsidRPr="00461D74">
        <w:rPr>
          <w:rFonts w:ascii="Garamond" w:hAnsi="Garamond"/>
          <w:sz w:val="24"/>
          <w:szCs w:val="24"/>
        </w:rPr>
        <w:lastRenderedPageBreak/>
        <w:t xml:space="preserve">argues in </w:t>
      </w:r>
      <w:r w:rsidR="00913FB7" w:rsidRPr="00461D74">
        <w:rPr>
          <w:rFonts w:ascii="Garamond" w:hAnsi="Garamond"/>
          <w:sz w:val="24"/>
          <w:szCs w:val="24"/>
        </w:rPr>
        <w:t>“</w:t>
      </w:r>
      <w:r w:rsidRPr="00461D74">
        <w:rPr>
          <w:rFonts w:ascii="Garamond" w:hAnsi="Garamond"/>
          <w:sz w:val="24"/>
          <w:szCs w:val="24"/>
        </w:rPr>
        <w:t>Creative Democracy</w:t>
      </w:r>
      <w:r w:rsidR="00913FB7" w:rsidRPr="00461D74">
        <w:rPr>
          <w:rFonts w:ascii="Garamond" w:hAnsi="Garamond"/>
          <w:sz w:val="24"/>
          <w:szCs w:val="24"/>
        </w:rPr>
        <w:t>”</w:t>
      </w:r>
      <w:r w:rsidR="00BF42FF" w:rsidRPr="00461D74">
        <w:rPr>
          <w:rStyle w:val="FootnoteReference"/>
          <w:rFonts w:ascii="Garamond" w:hAnsi="Garamond"/>
          <w:sz w:val="24"/>
          <w:szCs w:val="24"/>
        </w:rPr>
        <w:footnoteReference w:id="254"/>
      </w:r>
      <w:r w:rsidRPr="00461D74">
        <w:rPr>
          <w:rFonts w:ascii="Garamond" w:hAnsi="Garamond"/>
          <w:sz w:val="24"/>
          <w:szCs w:val="24"/>
        </w:rPr>
        <w:t xml:space="preserve"> that Dewey’s conception of democracy as a way of life offers an especially promising substantive non-instrumentalist conception of human flourishing. What Dewey’s account does is that it sets the parameter for </w:t>
      </w:r>
      <w:r w:rsidR="00EF5225">
        <w:rPr>
          <w:rFonts w:ascii="Garamond" w:hAnsi="Garamond"/>
          <w:sz w:val="24"/>
          <w:szCs w:val="24"/>
        </w:rPr>
        <w:t>g</w:t>
      </w:r>
      <w:r w:rsidRPr="00461D74">
        <w:rPr>
          <w:rFonts w:ascii="Garamond" w:hAnsi="Garamond"/>
          <w:sz w:val="24"/>
          <w:szCs w:val="24"/>
        </w:rPr>
        <w:t xml:space="preserve">rowth – </w:t>
      </w:r>
      <w:r w:rsidR="00EF5225">
        <w:rPr>
          <w:rFonts w:ascii="Garamond" w:hAnsi="Garamond"/>
          <w:sz w:val="24"/>
          <w:szCs w:val="24"/>
        </w:rPr>
        <w:t>g</w:t>
      </w:r>
      <w:r w:rsidRPr="00461D74">
        <w:rPr>
          <w:rFonts w:ascii="Garamond" w:hAnsi="Garamond"/>
          <w:sz w:val="24"/>
          <w:szCs w:val="24"/>
        </w:rPr>
        <w:t xml:space="preserve">rowth defined as the intelligent realisation of human potential through association and cooperative inquiry for the amelioration of social problems. While </w:t>
      </w:r>
      <w:r w:rsidR="00EF5225">
        <w:rPr>
          <w:rFonts w:ascii="Garamond" w:hAnsi="Garamond"/>
          <w:sz w:val="24"/>
          <w:szCs w:val="24"/>
        </w:rPr>
        <w:t>g</w:t>
      </w:r>
      <w:r w:rsidRPr="00461D74">
        <w:rPr>
          <w:rFonts w:ascii="Garamond" w:hAnsi="Garamond"/>
          <w:sz w:val="24"/>
          <w:szCs w:val="24"/>
        </w:rPr>
        <w:t xml:space="preserve">rowth is multiply-realisable, </w:t>
      </w:r>
      <w:r w:rsidR="00EF5225">
        <w:rPr>
          <w:rFonts w:ascii="Garamond" w:hAnsi="Garamond"/>
          <w:sz w:val="24"/>
          <w:szCs w:val="24"/>
        </w:rPr>
        <w:t>g</w:t>
      </w:r>
      <w:r w:rsidRPr="00461D74">
        <w:rPr>
          <w:rFonts w:ascii="Garamond" w:hAnsi="Garamond"/>
          <w:sz w:val="24"/>
          <w:szCs w:val="24"/>
        </w:rPr>
        <w:t xml:space="preserve">rowth is committed to the values of intelligent inquiry, experimentalism, and fallibilism, all directed towards the amelioration of social problems. These values </w:t>
      </w:r>
      <w:r w:rsidR="00C25534">
        <w:rPr>
          <w:rFonts w:ascii="Garamond" w:hAnsi="Garamond"/>
          <w:sz w:val="24"/>
          <w:szCs w:val="24"/>
        </w:rPr>
        <w:t xml:space="preserve">will </w:t>
      </w:r>
      <w:r w:rsidRPr="00461D74">
        <w:rPr>
          <w:rFonts w:ascii="Garamond" w:hAnsi="Garamond"/>
          <w:sz w:val="24"/>
          <w:szCs w:val="24"/>
        </w:rPr>
        <w:t xml:space="preserve">ensure that whatever </w:t>
      </w:r>
      <w:r w:rsidR="008C1FC0" w:rsidRPr="00461D74">
        <w:rPr>
          <w:rFonts w:ascii="Garamond" w:hAnsi="Garamond"/>
          <w:sz w:val="24"/>
          <w:szCs w:val="24"/>
        </w:rPr>
        <w:t>the</w:t>
      </w:r>
      <w:r w:rsidR="00C25534">
        <w:rPr>
          <w:rFonts w:ascii="Garamond" w:hAnsi="Garamond"/>
          <w:sz w:val="24"/>
          <w:szCs w:val="24"/>
        </w:rPr>
        <w:t xml:space="preserve"> peculiar character of</w:t>
      </w:r>
      <w:r w:rsidR="008C1FC0" w:rsidRPr="00461D74">
        <w:rPr>
          <w:rFonts w:ascii="Garamond" w:hAnsi="Garamond"/>
          <w:sz w:val="24"/>
          <w:szCs w:val="24"/>
        </w:rPr>
        <w:t xml:space="preserve"> </w:t>
      </w:r>
      <w:r w:rsidRPr="00461D74">
        <w:rPr>
          <w:rFonts w:ascii="Garamond" w:hAnsi="Garamond"/>
          <w:sz w:val="24"/>
          <w:szCs w:val="24"/>
        </w:rPr>
        <w:t xml:space="preserve">contingent social problems </w:t>
      </w:r>
      <w:r w:rsidR="00C25534">
        <w:rPr>
          <w:rFonts w:ascii="Garamond" w:hAnsi="Garamond"/>
          <w:sz w:val="24"/>
          <w:szCs w:val="24"/>
        </w:rPr>
        <w:t>may be</w:t>
      </w:r>
      <w:r w:rsidRPr="00461D74">
        <w:rPr>
          <w:rFonts w:ascii="Garamond" w:hAnsi="Garamond"/>
          <w:sz w:val="24"/>
          <w:szCs w:val="24"/>
        </w:rPr>
        <w:t xml:space="preserve"> in some </w:t>
      </w:r>
      <w:r w:rsidR="00BF42FF" w:rsidRPr="00461D74">
        <w:rPr>
          <w:rFonts w:ascii="Garamond" w:hAnsi="Garamond"/>
          <w:sz w:val="24"/>
          <w:szCs w:val="24"/>
        </w:rPr>
        <w:t xml:space="preserve">particular </w:t>
      </w:r>
      <w:r w:rsidRPr="00461D74">
        <w:rPr>
          <w:rFonts w:ascii="Garamond" w:hAnsi="Garamond"/>
          <w:sz w:val="24"/>
          <w:szCs w:val="24"/>
        </w:rPr>
        <w:t>social context</w:t>
      </w:r>
      <w:r w:rsidR="00C25534">
        <w:rPr>
          <w:rFonts w:ascii="Garamond" w:hAnsi="Garamond"/>
          <w:sz w:val="24"/>
          <w:szCs w:val="24"/>
        </w:rPr>
        <w:t>,</w:t>
      </w:r>
      <w:r w:rsidR="00913FB7" w:rsidRPr="00461D74">
        <w:rPr>
          <w:rFonts w:ascii="Garamond" w:hAnsi="Garamond"/>
          <w:sz w:val="24"/>
          <w:szCs w:val="24"/>
        </w:rPr>
        <w:t xml:space="preserve"> </w:t>
      </w:r>
      <w:r w:rsidR="00C25534">
        <w:rPr>
          <w:rFonts w:ascii="Garamond" w:hAnsi="Garamond"/>
          <w:sz w:val="24"/>
          <w:szCs w:val="24"/>
        </w:rPr>
        <w:t>these problems</w:t>
      </w:r>
      <w:r w:rsidR="008C1FC0" w:rsidRPr="00461D74">
        <w:rPr>
          <w:rFonts w:ascii="Garamond" w:hAnsi="Garamond"/>
          <w:sz w:val="24"/>
          <w:szCs w:val="24"/>
        </w:rPr>
        <w:t xml:space="preserve"> are </w:t>
      </w:r>
      <w:r w:rsidRPr="00461D74">
        <w:rPr>
          <w:rFonts w:ascii="Garamond" w:hAnsi="Garamond"/>
          <w:sz w:val="24"/>
          <w:szCs w:val="24"/>
        </w:rPr>
        <w:t xml:space="preserve">evaluated democratically </w:t>
      </w:r>
      <w:r w:rsidR="00C25534">
        <w:rPr>
          <w:rFonts w:ascii="Garamond" w:hAnsi="Garamond"/>
          <w:sz w:val="24"/>
          <w:szCs w:val="24"/>
        </w:rPr>
        <w:t>by the way of</w:t>
      </w:r>
      <w:r w:rsidR="00C25534" w:rsidRPr="00461D74">
        <w:rPr>
          <w:rFonts w:ascii="Garamond" w:hAnsi="Garamond"/>
          <w:sz w:val="24"/>
          <w:szCs w:val="24"/>
        </w:rPr>
        <w:t xml:space="preserve"> </w:t>
      </w:r>
      <w:r w:rsidRPr="00461D74">
        <w:rPr>
          <w:rFonts w:ascii="Garamond" w:hAnsi="Garamond"/>
          <w:sz w:val="24"/>
          <w:szCs w:val="24"/>
        </w:rPr>
        <w:t>intelligent cooperative inquiry.</w:t>
      </w:r>
      <w:r w:rsidR="005B0407" w:rsidRPr="00461D74">
        <w:rPr>
          <w:rFonts w:ascii="Garamond" w:hAnsi="Garamond"/>
          <w:sz w:val="24"/>
          <w:szCs w:val="24"/>
        </w:rPr>
        <w:t xml:space="preserve"> Therefore, </w:t>
      </w:r>
      <w:r w:rsidR="00EF5225">
        <w:rPr>
          <w:rFonts w:ascii="Garamond" w:hAnsi="Garamond"/>
          <w:sz w:val="24"/>
          <w:szCs w:val="24"/>
        </w:rPr>
        <w:t>g</w:t>
      </w:r>
      <w:r w:rsidR="005B0407" w:rsidRPr="00461D74">
        <w:rPr>
          <w:rFonts w:ascii="Garamond" w:hAnsi="Garamond"/>
          <w:sz w:val="24"/>
          <w:szCs w:val="24"/>
        </w:rPr>
        <w:t>rowth essentially accepts that human beings are fundamentally social cooperative problem solving animals.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Now, in Dewey’s democracy as a way of life, our life is oriented towards resolving </w:t>
      </w:r>
      <w:r w:rsidR="008056A0" w:rsidRPr="00461D74">
        <w:rPr>
          <w:rFonts w:ascii="Garamond" w:hAnsi="Garamond"/>
          <w:sz w:val="24"/>
          <w:szCs w:val="24"/>
        </w:rPr>
        <w:t xml:space="preserve">problems </w:t>
      </w:r>
      <w:r w:rsidR="008056A0">
        <w:rPr>
          <w:rFonts w:ascii="Garamond" w:hAnsi="Garamond"/>
          <w:sz w:val="24"/>
          <w:szCs w:val="24"/>
        </w:rPr>
        <w:t xml:space="preserve">in the </w:t>
      </w:r>
      <w:r w:rsidRPr="00461D74">
        <w:rPr>
          <w:rFonts w:ascii="Garamond" w:hAnsi="Garamond"/>
          <w:sz w:val="24"/>
          <w:szCs w:val="24"/>
        </w:rPr>
        <w:t xml:space="preserve">social </w:t>
      </w:r>
      <w:r w:rsidR="008056A0">
        <w:rPr>
          <w:rFonts w:ascii="Garamond" w:hAnsi="Garamond"/>
          <w:sz w:val="24"/>
          <w:szCs w:val="24"/>
        </w:rPr>
        <w:t>context</w:t>
      </w:r>
      <w:r w:rsidR="008056A0" w:rsidRPr="00461D74">
        <w:rPr>
          <w:rFonts w:ascii="Garamond" w:hAnsi="Garamond"/>
          <w:sz w:val="24"/>
          <w:szCs w:val="24"/>
        </w:rPr>
        <w:t xml:space="preserve"> </w:t>
      </w:r>
      <w:r w:rsidRPr="00461D74">
        <w:rPr>
          <w:rFonts w:ascii="Garamond" w:hAnsi="Garamond"/>
          <w:sz w:val="24"/>
          <w:szCs w:val="24"/>
        </w:rPr>
        <w:t xml:space="preserve">intelligently through cooperative deliberation. While conflicts inevitably emerge between various goods that are generated in </w:t>
      </w:r>
      <w:r w:rsidR="008056A0">
        <w:rPr>
          <w:rFonts w:ascii="Garamond" w:hAnsi="Garamond"/>
          <w:sz w:val="24"/>
          <w:szCs w:val="24"/>
        </w:rPr>
        <w:t xml:space="preserve">various </w:t>
      </w:r>
      <w:r w:rsidRPr="00461D74">
        <w:rPr>
          <w:rFonts w:ascii="Garamond" w:hAnsi="Garamond"/>
          <w:sz w:val="24"/>
          <w:szCs w:val="24"/>
        </w:rPr>
        <w:t>social context</w:t>
      </w:r>
      <w:r w:rsidR="008056A0">
        <w:rPr>
          <w:rFonts w:ascii="Garamond" w:hAnsi="Garamond"/>
          <w:sz w:val="24"/>
          <w:szCs w:val="24"/>
        </w:rPr>
        <w:t>s</w:t>
      </w:r>
      <w:r w:rsidRPr="00461D74">
        <w:rPr>
          <w:rFonts w:ascii="Garamond" w:hAnsi="Garamond"/>
          <w:sz w:val="24"/>
          <w:szCs w:val="24"/>
        </w:rPr>
        <w:t>, the life of the individual remains democratically oriented towards ameliorating problematic social/normative situations through method of inquiry and experiment. The process in which social problems are tackled and resolved will sometimes involve adjudicating rationally between competing goods. Here, we are at times successful in our efforts to</w:t>
      </w:r>
      <w:r w:rsidR="008056A0">
        <w:rPr>
          <w:rFonts w:ascii="Garamond" w:hAnsi="Garamond"/>
          <w:sz w:val="24"/>
          <w:szCs w:val="24"/>
        </w:rPr>
        <w:t>wards a resolution of these</w:t>
      </w:r>
      <w:r w:rsidRPr="00461D74">
        <w:rPr>
          <w:rFonts w:ascii="Garamond" w:hAnsi="Garamond"/>
          <w:sz w:val="24"/>
          <w:szCs w:val="24"/>
        </w:rPr>
        <w:t xml:space="preserve"> problems, while at other times we come up short.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On Dewey’s view, what we need is not a way to antecedently rank-order all the possible goods that are generated by society. </w:t>
      </w:r>
      <w:r w:rsidR="008B2989">
        <w:rPr>
          <w:rFonts w:ascii="Garamond" w:hAnsi="Garamond"/>
          <w:sz w:val="24"/>
          <w:szCs w:val="24"/>
        </w:rPr>
        <w:t>Instead</w:t>
      </w:r>
      <w:r w:rsidRPr="00461D74">
        <w:rPr>
          <w:rFonts w:ascii="Garamond" w:hAnsi="Garamond"/>
          <w:sz w:val="24"/>
          <w:szCs w:val="24"/>
        </w:rPr>
        <w:t xml:space="preserve">, what is </w:t>
      </w:r>
      <w:r w:rsidR="008B2989">
        <w:rPr>
          <w:rFonts w:ascii="Garamond" w:hAnsi="Garamond"/>
          <w:sz w:val="24"/>
          <w:szCs w:val="24"/>
        </w:rPr>
        <w:t>essential</w:t>
      </w:r>
      <w:r w:rsidR="008B2989" w:rsidRPr="00461D74">
        <w:rPr>
          <w:rFonts w:ascii="Garamond" w:hAnsi="Garamond"/>
          <w:sz w:val="24"/>
          <w:szCs w:val="24"/>
        </w:rPr>
        <w:t xml:space="preserve"> </w:t>
      </w:r>
      <w:r w:rsidRPr="00461D74">
        <w:rPr>
          <w:rFonts w:ascii="Garamond" w:hAnsi="Garamond"/>
          <w:sz w:val="24"/>
          <w:szCs w:val="24"/>
        </w:rPr>
        <w:t>is that we remain committed to considering the various goods generated in our communities</w:t>
      </w:r>
      <w:r w:rsidR="00DF323E">
        <w:rPr>
          <w:rFonts w:ascii="Garamond" w:hAnsi="Garamond"/>
          <w:sz w:val="24"/>
          <w:szCs w:val="24"/>
        </w:rPr>
        <w:t>,</w:t>
      </w:r>
      <w:r w:rsidRPr="00461D74">
        <w:rPr>
          <w:rFonts w:ascii="Garamond" w:hAnsi="Garamond"/>
          <w:sz w:val="24"/>
          <w:szCs w:val="24"/>
        </w:rPr>
        <w:t xml:space="preserve"> and </w:t>
      </w:r>
      <w:r w:rsidR="00DF323E" w:rsidRPr="00461D74">
        <w:rPr>
          <w:rFonts w:ascii="Garamond" w:hAnsi="Garamond"/>
          <w:sz w:val="24"/>
          <w:szCs w:val="24"/>
        </w:rPr>
        <w:t>evaluat</w:t>
      </w:r>
      <w:r w:rsidR="00DF323E">
        <w:rPr>
          <w:rFonts w:ascii="Garamond" w:hAnsi="Garamond"/>
          <w:sz w:val="24"/>
          <w:szCs w:val="24"/>
        </w:rPr>
        <w:t>e</w:t>
      </w:r>
      <w:r w:rsidR="00DF323E" w:rsidRPr="00461D74">
        <w:rPr>
          <w:rFonts w:ascii="Garamond" w:hAnsi="Garamond"/>
          <w:sz w:val="24"/>
          <w:szCs w:val="24"/>
        </w:rPr>
        <w:t xml:space="preserve"> </w:t>
      </w:r>
      <w:r w:rsidRPr="00461D74">
        <w:rPr>
          <w:rFonts w:ascii="Garamond" w:hAnsi="Garamond"/>
          <w:sz w:val="24"/>
          <w:szCs w:val="24"/>
        </w:rPr>
        <w:t>them</w:t>
      </w:r>
      <w:r w:rsidR="008C1FC0" w:rsidRPr="00461D74">
        <w:rPr>
          <w:rFonts w:ascii="Garamond" w:hAnsi="Garamond"/>
          <w:sz w:val="24"/>
          <w:szCs w:val="24"/>
        </w:rPr>
        <w:t xml:space="preserve"> </w:t>
      </w:r>
      <w:r w:rsidRPr="00461D74">
        <w:rPr>
          <w:rFonts w:ascii="Garamond" w:hAnsi="Garamond"/>
          <w:sz w:val="24"/>
          <w:szCs w:val="24"/>
        </w:rPr>
        <w:t>using the method of inquiry</w:t>
      </w:r>
      <w:r w:rsidR="008C1FC0" w:rsidRPr="00461D74">
        <w:rPr>
          <w:rFonts w:ascii="Garamond" w:hAnsi="Garamond"/>
          <w:sz w:val="24"/>
          <w:szCs w:val="24"/>
        </w:rPr>
        <w:t xml:space="preserve"> </w:t>
      </w:r>
      <w:r w:rsidRPr="00461D74">
        <w:rPr>
          <w:rFonts w:ascii="Garamond" w:hAnsi="Garamond"/>
          <w:sz w:val="24"/>
          <w:szCs w:val="24"/>
        </w:rPr>
        <w:t xml:space="preserve">to see whether they contribute to, or undermine, </w:t>
      </w:r>
      <w:r w:rsidR="00EF5225">
        <w:rPr>
          <w:rFonts w:ascii="Garamond" w:hAnsi="Garamond"/>
          <w:sz w:val="24"/>
          <w:szCs w:val="24"/>
        </w:rPr>
        <w:t>g</w:t>
      </w:r>
      <w:r w:rsidRPr="00461D74">
        <w:rPr>
          <w:rFonts w:ascii="Garamond" w:hAnsi="Garamond"/>
          <w:sz w:val="24"/>
          <w:szCs w:val="24"/>
        </w:rPr>
        <w:t xml:space="preserve">rowth. In this sense, Deweyan democracy </w:t>
      </w:r>
      <w:r w:rsidRPr="00461D74">
        <w:rPr>
          <w:rStyle w:val="fontstyle01"/>
          <w:rFonts w:ascii="Garamond" w:hAnsi="Garamond"/>
          <w:sz w:val="24"/>
          <w:szCs w:val="24"/>
        </w:rPr>
        <w:t xml:space="preserve">has a way </w:t>
      </w:r>
      <w:r w:rsidRPr="00461D74">
        <w:rPr>
          <w:rStyle w:val="fontstyle01"/>
          <w:rFonts w:ascii="Garamond" w:hAnsi="Garamond"/>
          <w:sz w:val="24"/>
          <w:szCs w:val="24"/>
        </w:rPr>
        <w:lastRenderedPageBreak/>
        <w:t xml:space="preserve">of rationally evaluating and </w:t>
      </w:r>
      <w:r w:rsidR="006E1A4E">
        <w:rPr>
          <w:rStyle w:val="fontstyle01"/>
          <w:rFonts w:ascii="Garamond" w:hAnsi="Garamond"/>
          <w:sz w:val="24"/>
          <w:szCs w:val="24"/>
        </w:rPr>
        <w:t>adjudicating between conflicting</w:t>
      </w:r>
      <w:r w:rsidR="006E1A4E" w:rsidRPr="00461D74">
        <w:rPr>
          <w:rStyle w:val="fontstyle01"/>
          <w:rFonts w:ascii="Garamond" w:hAnsi="Garamond"/>
          <w:sz w:val="24"/>
          <w:szCs w:val="24"/>
        </w:rPr>
        <w:t xml:space="preserve"> </w:t>
      </w:r>
      <w:r w:rsidRPr="00461D74">
        <w:rPr>
          <w:rStyle w:val="fontstyle01"/>
          <w:rFonts w:ascii="Garamond" w:hAnsi="Garamond"/>
          <w:sz w:val="24"/>
          <w:szCs w:val="24"/>
        </w:rPr>
        <w:t xml:space="preserve">priorities </w:t>
      </w:r>
      <w:r w:rsidR="006E1A4E">
        <w:rPr>
          <w:rStyle w:val="fontstyle01"/>
          <w:rFonts w:ascii="Garamond" w:hAnsi="Garamond"/>
          <w:sz w:val="24"/>
          <w:szCs w:val="24"/>
        </w:rPr>
        <w:t>(or goods) to see which of those priorities are more apt to advance growth</w:t>
      </w:r>
      <w:r w:rsidRPr="00461D74">
        <w:rPr>
          <w:rStyle w:val="fontstyle01"/>
          <w:rFonts w:ascii="Garamond" w:hAnsi="Garamond"/>
          <w:sz w:val="24"/>
          <w:szCs w:val="24"/>
        </w:rPr>
        <w:t>. This good is not then defined in any final sense; rather, it is defined in terms of realising concrete incremental improvements in material, social, and political conditions.</w:t>
      </w:r>
      <w:r w:rsidRPr="00461D74">
        <w:rPr>
          <w:rFonts w:ascii="Garamond" w:hAnsi="Garamond"/>
          <w:sz w:val="24"/>
          <w:szCs w:val="24"/>
        </w:rPr>
        <w:t xml:space="preserve"> </w:t>
      </w:r>
    </w:p>
    <w:p w:rsidR="00665157" w:rsidRDefault="00EE62AC">
      <w:pPr>
        <w:spacing w:line="360" w:lineRule="auto"/>
        <w:ind w:firstLine="720"/>
        <w:jc w:val="both"/>
        <w:rPr>
          <w:rStyle w:val="fontstyle01"/>
          <w:rFonts w:ascii="Garamond" w:hAnsi="Garamond" w:cstheme="minorHAnsi"/>
          <w:sz w:val="24"/>
          <w:szCs w:val="24"/>
        </w:rPr>
      </w:pPr>
      <w:r>
        <w:rPr>
          <w:rFonts w:ascii="Garamond" w:hAnsi="Garamond"/>
          <w:sz w:val="24"/>
          <w:szCs w:val="24"/>
        </w:rPr>
        <w:t>Now, w</w:t>
      </w:r>
      <w:r w:rsidR="00016049" w:rsidRPr="00461D74">
        <w:rPr>
          <w:rFonts w:ascii="Garamond" w:hAnsi="Garamond"/>
          <w:sz w:val="24"/>
          <w:szCs w:val="24"/>
        </w:rPr>
        <w:t xml:space="preserve">hile it is </w:t>
      </w:r>
      <w:r w:rsidR="00B81C99">
        <w:rPr>
          <w:rFonts w:ascii="Garamond" w:hAnsi="Garamond"/>
          <w:sz w:val="24"/>
          <w:szCs w:val="24"/>
        </w:rPr>
        <w:t xml:space="preserve">certainly </w:t>
      </w:r>
      <w:r w:rsidR="00016049" w:rsidRPr="00461D74">
        <w:rPr>
          <w:rFonts w:ascii="Garamond" w:hAnsi="Garamond"/>
          <w:sz w:val="24"/>
          <w:szCs w:val="24"/>
        </w:rPr>
        <w:t xml:space="preserve">true that we cannot converge on all goods beforehand in a readymade fashion, the reality of social life is itself only possible because human beings often come together in order to cooperate; and </w:t>
      </w:r>
      <w:r w:rsidR="00B81C99">
        <w:rPr>
          <w:rFonts w:ascii="Garamond" w:hAnsi="Garamond"/>
          <w:sz w:val="24"/>
          <w:szCs w:val="24"/>
        </w:rPr>
        <w:t xml:space="preserve">that is partly made possible because </w:t>
      </w:r>
      <w:r w:rsidR="00016049" w:rsidRPr="00461D74">
        <w:rPr>
          <w:rFonts w:ascii="Garamond" w:hAnsi="Garamond"/>
          <w:sz w:val="24"/>
          <w:szCs w:val="24"/>
        </w:rPr>
        <w:t xml:space="preserve">they do in fact converge on some important goods. The success of </w:t>
      </w:r>
      <w:r w:rsidR="00EF5225">
        <w:rPr>
          <w:rFonts w:ascii="Garamond" w:hAnsi="Garamond"/>
          <w:sz w:val="24"/>
          <w:szCs w:val="24"/>
        </w:rPr>
        <w:t>g</w:t>
      </w:r>
      <w:r w:rsidR="00016049" w:rsidRPr="00461D74">
        <w:rPr>
          <w:rFonts w:ascii="Garamond" w:hAnsi="Garamond"/>
          <w:sz w:val="24"/>
          <w:szCs w:val="24"/>
        </w:rPr>
        <w:t xml:space="preserve">rowth is then not measured by offering a ready-made list of all goods ordered into a single life. Rather </w:t>
      </w:r>
      <w:r w:rsidR="00EF5225">
        <w:rPr>
          <w:rFonts w:ascii="Garamond" w:hAnsi="Garamond"/>
          <w:sz w:val="24"/>
          <w:szCs w:val="24"/>
        </w:rPr>
        <w:t>g</w:t>
      </w:r>
      <w:r w:rsidR="00016049" w:rsidRPr="00461D74">
        <w:rPr>
          <w:rFonts w:ascii="Garamond" w:hAnsi="Garamond"/>
          <w:sz w:val="24"/>
          <w:szCs w:val="24"/>
        </w:rPr>
        <w:t>rowth is measured by (</w:t>
      </w:r>
      <w:proofErr w:type="spellStart"/>
      <w:r w:rsidR="00016049" w:rsidRPr="00461D74">
        <w:rPr>
          <w:rFonts w:ascii="Garamond" w:hAnsi="Garamond"/>
          <w:sz w:val="24"/>
          <w:szCs w:val="24"/>
        </w:rPr>
        <w:t>i</w:t>
      </w:r>
      <w:proofErr w:type="spellEnd"/>
      <w:r w:rsidR="00016049" w:rsidRPr="00461D74">
        <w:rPr>
          <w:rFonts w:ascii="Garamond" w:hAnsi="Garamond"/>
          <w:sz w:val="24"/>
          <w:szCs w:val="24"/>
        </w:rPr>
        <w:t xml:space="preserve">) how well a society, steeped in democracy as a way of life, deals with the various social problems through </w:t>
      </w:r>
      <w:r w:rsidR="00016049" w:rsidRPr="00461D74">
        <w:rPr>
          <w:rFonts w:ascii="Garamond" w:hAnsi="Garamond"/>
          <w:i/>
          <w:sz w:val="24"/>
          <w:szCs w:val="24"/>
        </w:rPr>
        <w:t>the method of cooperative inquiry and deliberation</w:t>
      </w:r>
      <w:r w:rsidR="008C1FC0" w:rsidRPr="00461D74">
        <w:rPr>
          <w:rFonts w:ascii="Garamond" w:hAnsi="Garamond"/>
          <w:i/>
          <w:sz w:val="24"/>
          <w:szCs w:val="24"/>
        </w:rPr>
        <w:t xml:space="preserve"> </w:t>
      </w:r>
      <w:r w:rsidR="00016049" w:rsidRPr="00461D74">
        <w:rPr>
          <w:rFonts w:ascii="Garamond" w:hAnsi="Garamond"/>
          <w:sz w:val="24"/>
          <w:szCs w:val="24"/>
        </w:rPr>
        <w:t>–</w:t>
      </w:r>
      <w:r w:rsidR="008C1FC0" w:rsidRPr="00461D74">
        <w:rPr>
          <w:rFonts w:ascii="Garamond" w:hAnsi="Garamond"/>
          <w:sz w:val="24"/>
          <w:szCs w:val="24"/>
        </w:rPr>
        <w:t xml:space="preserve"> </w:t>
      </w:r>
      <w:r w:rsidR="00016049" w:rsidRPr="00461D74">
        <w:rPr>
          <w:rFonts w:ascii="Garamond" w:hAnsi="Garamond"/>
          <w:sz w:val="24"/>
          <w:szCs w:val="24"/>
        </w:rPr>
        <w:t xml:space="preserve">deliberation that would have to be, as much as possible, democratic; and by (ii) how widely members of that society </w:t>
      </w:r>
      <w:r w:rsidR="00016049" w:rsidRPr="00461D74">
        <w:rPr>
          <w:rFonts w:ascii="Garamond" w:hAnsi="Garamond"/>
          <w:i/>
          <w:sz w:val="24"/>
          <w:szCs w:val="24"/>
        </w:rPr>
        <w:t xml:space="preserve">participate in the conditions for </w:t>
      </w:r>
      <w:r w:rsidR="00EF5225">
        <w:rPr>
          <w:rFonts w:ascii="Garamond" w:hAnsi="Garamond"/>
          <w:i/>
          <w:sz w:val="24"/>
          <w:szCs w:val="24"/>
        </w:rPr>
        <w:t>g</w:t>
      </w:r>
      <w:r w:rsidR="00016049" w:rsidRPr="00461D74">
        <w:rPr>
          <w:rFonts w:ascii="Garamond" w:hAnsi="Garamond"/>
          <w:i/>
          <w:sz w:val="24"/>
          <w:szCs w:val="24"/>
        </w:rPr>
        <w:t>rowth and self-realisation</w:t>
      </w:r>
      <w:r w:rsidR="00016049" w:rsidRPr="00461D74">
        <w:rPr>
          <w:rFonts w:ascii="Garamond" w:hAnsi="Garamond"/>
          <w:sz w:val="24"/>
          <w:szCs w:val="24"/>
        </w:rPr>
        <w:t xml:space="preserve">. </w:t>
      </w:r>
      <w:r w:rsidR="00016049" w:rsidRPr="00461D74">
        <w:rPr>
          <w:rStyle w:val="fontstyle01"/>
          <w:rFonts w:ascii="Garamond" w:hAnsi="Garamond" w:cstheme="minorHAnsi"/>
          <w:sz w:val="24"/>
          <w:szCs w:val="24"/>
        </w:rPr>
        <w:t xml:space="preserve">Thus, Dewey’s teleology – democracy as a way of life – </w:t>
      </w:r>
      <w:r w:rsidR="00B81C99">
        <w:rPr>
          <w:rStyle w:val="fontstyle01"/>
          <w:rFonts w:ascii="Garamond" w:hAnsi="Garamond" w:cstheme="minorHAnsi"/>
          <w:sz w:val="24"/>
          <w:szCs w:val="24"/>
        </w:rPr>
        <w:t xml:space="preserve">subscribes to the right sort of non-instrumentality (or </w:t>
      </w:r>
      <w:r w:rsidR="00016049" w:rsidRPr="00461D74">
        <w:rPr>
          <w:rStyle w:val="fontstyle01"/>
          <w:rFonts w:ascii="Garamond" w:hAnsi="Garamond" w:cstheme="minorHAnsi"/>
          <w:sz w:val="24"/>
          <w:szCs w:val="24"/>
        </w:rPr>
        <w:t>substantiv</w:t>
      </w:r>
      <w:r w:rsidR="00B81C99">
        <w:rPr>
          <w:rStyle w:val="fontstyle01"/>
          <w:rFonts w:ascii="Garamond" w:hAnsi="Garamond" w:cstheme="minorHAnsi"/>
          <w:sz w:val="24"/>
          <w:szCs w:val="24"/>
        </w:rPr>
        <w:t xml:space="preserve">ity) </w:t>
      </w:r>
      <w:r w:rsidR="00D00781">
        <w:rPr>
          <w:rStyle w:val="fontstyle01"/>
          <w:rFonts w:ascii="Garamond" w:hAnsi="Garamond" w:cstheme="minorHAnsi"/>
          <w:sz w:val="24"/>
          <w:szCs w:val="24"/>
        </w:rPr>
        <w:t xml:space="preserve">– one </w:t>
      </w:r>
      <w:r w:rsidR="00B81C99">
        <w:rPr>
          <w:rStyle w:val="fontstyle01"/>
          <w:rFonts w:ascii="Garamond" w:hAnsi="Garamond" w:cstheme="minorHAnsi"/>
          <w:sz w:val="24"/>
          <w:szCs w:val="24"/>
        </w:rPr>
        <w:t>that in fact endorses</w:t>
      </w:r>
      <w:r w:rsidR="00016049" w:rsidRPr="00461D74">
        <w:rPr>
          <w:rStyle w:val="fontstyle01"/>
          <w:rFonts w:ascii="Garamond" w:hAnsi="Garamond" w:cstheme="minorHAnsi"/>
          <w:sz w:val="24"/>
          <w:szCs w:val="24"/>
        </w:rPr>
        <w:t xml:space="preserve"> a particular way of life with its own distinctive conception of flourishing. This conception of flourishing isn’t grounded in a complete philosophical system that assigns rank and order to a varied set of human goods. </w:t>
      </w:r>
      <w:r w:rsidR="00AC7E71">
        <w:rPr>
          <w:rStyle w:val="fontstyle01"/>
          <w:rFonts w:ascii="Garamond" w:hAnsi="Garamond" w:cstheme="minorHAnsi"/>
          <w:sz w:val="24"/>
          <w:szCs w:val="24"/>
        </w:rPr>
        <w:t>For Dewey then to</w:t>
      </w:r>
      <w:r w:rsidR="00AC7E71" w:rsidRPr="00461D74">
        <w:rPr>
          <w:rStyle w:val="fontstyle01"/>
          <w:rFonts w:ascii="Garamond" w:hAnsi="Garamond" w:cstheme="minorHAnsi"/>
          <w:sz w:val="24"/>
          <w:szCs w:val="24"/>
        </w:rPr>
        <w:t xml:space="preserve"> </w:t>
      </w:r>
      <w:r w:rsidR="00016049" w:rsidRPr="00461D74">
        <w:rPr>
          <w:rStyle w:val="fontstyle01"/>
          <w:rFonts w:ascii="Garamond" w:hAnsi="Garamond" w:cstheme="minorHAnsi"/>
          <w:sz w:val="24"/>
          <w:szCs w:val="24"/>
        </w:rPr>
        <w:t>adopt democracy as a way of life is to have faith in the cooperative capacity of human beings to come together,</w:t>
      </w:r>
      <w:r w:rsidR="00AC7E71" w:rsidRPr="00461D74">
        <w:rPr>
          <w:rStyle w:val="FootnoteReference"/>
          <w:rFonts w:ascii="Garamond" w:hAnsi="Garamond" w:cstheme="minorHAnsi"/>
          <w:color w:val="231F20"/>
          <w:sz w:val="24"/>
          <w:szCs w:val="24"/>
        </w:rPr>
        <w:footnoteReference w:id="255"/>
      </w:r>
      <w:r w:rsidR="00016049" w:rsidRPr="00461D74">
        <w:rPr>
          <w:rStyle w:val="fontstyle01"/>
          <w:rFonts w:ascii="Garamond" w:hAnsi="Garamond" w:cstheme="minorHAnsi"/>
          <w:sz w:val="24"/>
          <w:szCs w:val="24"/>
        </w:rPr>
        <w:t xml:space="preserve"> as equal participants in the social and political order, and help foster an environment where social problems are resolved through cooperative dialogue and the method of intelligent inquiry.</w:t>
      </w:r>
    </w:p>
    <w:p w:rsidR="007C5DC3" w:rsidRPr="007C5DC3" w:rsidRDefault="007C5DC3" w:rsidP="007C5DC3">
      <w:pPr>
        <w:spacing w:line="360" w:lineRule="auto"/>
        <w:ind w:left="1440"/>
        <w:jc w:val="both"/>
        <w:rPr>
          <w:rStyle w:val="fontstyle01"/>
          <w:rFonts w:ascii="Garamond" w:hAnsi="Garamond" w:cstheme="minorHAnsi"/>
        </w:rPr>
      </w:pPr>
      <w:r w:rsidRPr="007C5DC3">
        <w:rPr>
          <w:rStyle w:val="fontstyle01"/>
          <w:rFonts w:ascii="Garamond" w:hAnsi="Garamond" w:cstheme="minorHAnsi"/>
        </w:rPr>
        <w:t>“</w:t>
      </w:r>
      <w:r w:rsidR="00661F5E">
        <w:rPr>
          <w:rStyle w:val="fontstyle01"/>
          <w:rFonts w:ascii="Garamond" w:hAnsi="Garamond" w:cstheme="minorHAnsi"/>
        </w:rPr>
        <w:t>‘</w:t>
      </w:r>
      <w:r w:rsidRPr="007C5DC3">
        <w:rPr>
          <w:rStyle w:val="fontstyle01"/>
          <w:rFonts w:ascii="Garamond" w:hAnsi="Garamond" w:cstheme="minorHAnsi"/>
        </w:rPr>
        <w:t>A</w:t>
      </w:r>
      <w:r w:rsidR="00661F5E">
        <w:rPr>
          <w:rStyle w:val="fontstyle01"/>
          <w:rFonts w:ascii="Garamond" w:hAnsi="Garamond" w:cstheme="minorHAnsi"/>
        </w:rPr>
        <w:t>gnosticism’</w:t>
      </w:r>
      <w:r w:rsidRPr="007C5DC3">
        <w:rPr>
          <w:rStyle w:val="fontstyle01"/>
          <w:rFonts w:ascii="Garamond" w:hAnsi="Garamond" w:cstheme="minorHAnsi"/>
        </w:rPr>
        <w:t xml:space="preserve"> is a shadow cast by the eclipse of the supernatural. Of course, acknowledgment that we do not know what we do not know is a necessity of all intellectual integrity. But generalized agnosticism is only a </w:t>
      </w:r>
      <w:r w:rsidRPr="007C5DC3">
        <w:rPr>
          <w:rStyle w:val="fontstyle01"/>
          <w:rFonts w:ascii="Garamond" w:hAnsi="Garamond" w:cstheme="minorHAnsi"/>
        </w:rPr>
        <w:lastRenderedPageBreak/>
        <w:t>halfway elimination of the supernatural. Its meaning departs when the intellectual outlook is directed wholly to the natural world. When it is so directed, there are plenty of particular matters regarding which we must say we do not know; we only inquire and form hypotheses which future inquiry will confirm or reject. But such doubts are an incident of faith in the method of intelligence. They are signs of faith, not of a pale and impotent skepticism. We doubt in order that we may find out, not because some inaccessible supernatural lurks behind whatever we can know. The substantial background of practical faith in ideal ends is positive and outreaching…We who now live are parts of a humanity that extends into the remote past, a humanity that has interacted with nature. The things in civilization we most prize are not of ourselves. They exist by grace of the doings and sufferings of the continuous human community in which we are a link. Ours is the responsibility of conserving, transmitting, rectifying and expanding the heritage of values we have received that those who come after us may receive it more solid and secure, more widely accessible and more generously shared than we have received it.”</w:t>
      </w:r>
      <w:r w:rsidR="00661F5E">
        <w:rPr>
          <w:rStyle w:val="FootnoteReference"/>
          <w:rFonts w:ascii="Garamond" w:hAnsi="Garamond" w:cstheme="minorHAnsi"/>
          <w:color w:val="000000"/>
        </w:rPr>
        <w:footnoteReference w:id="256"/>
      </w:r>
    </w:p>
    <w:p w:rsidR="00665157" w:rsidRDefault="00016049">
      <w:pPr>
        <w:spacing w:line="360" w:lineRule="auto"/>
        <w:ind w:firstLine="720"/>
        <w:jc w:val="both"/>
        <w:rPr>
          <w:rStyle w:val="fontstyle01"/>
          <w:rFonts w:ascii="Garamond" w:hAnsi="Garamond" w:cstheme="minorHAnsi"/>
          <w:sz w:val="24"/>
          <w:szCs w:val="24"/>
        </w:rPr>
      </w:pPr>
      <w:r w:rsidRPr="00461D74">
        <w:rPr>
          <w:rStyle w:val="fontstyle01"/>
          <w:rFonts w:ascii="Garamond" w:hAnsi="Garamond" w:cstheme="minorHAnsi"/>
          <w:sz w:val="24"/>
          <w:szCs w:val="24"/>
        </w:rPr>
        <w:t xml:space="preserve"> </w:t>
      </w:r>
      <w:r w:rsidR="008C1FC0" w:rsidRPr="00461D74">
        <w:rPr>
          <w:rStyle w:val="fontstyle01"/>
          <w:rFonts w:ascii="Garamond" w:hAnsi="Garamond" w:cstheme="minorHAnsi"/>
          <w:sz w:val="24"/>
          <w:szCs w:val="24"/>
        </w:rPr>
        <w:t xml:space="preserve">Thus, </w:t>
      </w:r>
      <w:r w:rsidR="00661F5E">
        <w:rPr>
          <w:rStyle w:val="fontstyle01"/>
          <w:rFonts w:ascii="Garamond" w:hAnsi="Garamond" w:cstheme="minorHAnsi"/>
          <w:sz w:val="24"/>
          <w:szCs w:val="24"/>
        </w:rPr>
        <w:t xml:space="preserve">Dewey’s faith is a social faith in humanity’s capacity for inquiry and social cooperation, and his teleology </w:t>
      </w:r>
      <w:r w:rsidRPr="00461D74">
        <w:rPr>
          <w:rStyle w:val="fontstyle01"/>
          <w:rFonts w:ascii="Garamond" w:hAnsi="Garamond" w:cstheme="minorHAnsi"/>
          <w:sz w:val="24"/>
          <w:szCs w:val="24"/>
        </w:rPr>
        <w:t xml:space="preserve">isn’t </w:t>
      </w:r>
      <w:r w:rsidR="00661F5E">
        <w:rPr>
          <w:rStyle w:val="fontstyle01"/>
          <w:rFonts w:ascii="Garamond" w:hAnsi="Garamond" w:cstheme="minorHAnsi"/>
          <w:sz w:val="24"/>
          <w:szCs w:val="24"/>
        </w:rPr>
        <w:t xml:space="preserve">an attempt </w:t>
      </w:r>
      <w:r w:rsidRPr="00461D74">
        <w:rPr>
          <w:rStyle w:val="fontstyle01"/>
          <w:rFonts w:ascii="Garamond" w:hAnsi="Garamond" w:cstheme="minorHAnsi"/>
          <w:sz w:val="24"/>
          <w:szCs w:val="24"/>
        </w:rPr>
        <w:t>to offer us a unified life that answer</w:t>
      </w:r>
      <w:r w:rsidR="000866E5">
        <w:rPr>
          <w:rStyle w:val="fontstyle01"/>
          <w:rFonts w:ascii="Garamond" w:hAnsi="Garamond" w:cstheme="minorHAnsi"/>
          <w:sz w:val="24"/>
          <w:szCs w:val="24"/>
        </w:rPr>
        <w:t>s</w:t>
      </w:r>
      <w:r w:rsidRPr="00461D74">
        <w:rPr>
          <w:rStyle w:val="fontstyle01"/>
          <w:rFonts w:ascii="Garamond" w:hAnsi="Garamond" w:cstheme="minorHAnsi"/>
          <w:sz w:val="24"/>
          <w:szCs w:val="24"/>
        </w:rPr>
        <w:t xml:space="preserve"> all ethical situations once and for all. Dewey’s </w:t>
      </w:r>
      <w:r w:rsidR="002747B3">
        <w:rPr>
          <w:rStyle w:val="fontstyle01"/>
          <w:rFonts w:ascii="Garamond" w:hAnsi="Garamond" w:cstheme="minorHAnsi"/>
          <w:sz w:val="24"/>
          <w:szCs w:val="24"/>
        </w:rPr>
        <w:t>account, if my reading is in fact correct,</w:t>
      </w:r>
      <w:r w:rsidR="002747B3" w:rsidRPr="00461D74">
        <w:rPr>
          <w:rStyle w:val="fontstyle01"/>
          <w:rFonts w:ascii="Garamond" w:hAnsi="Garamond" w:cstheme="minorHAnsi"/>
          <w:sz w:val="24"/>
          <w:szCs w:val="24"/>
        </w:rPr>
        <w:t xml:space="preserve"> </w:t>
      </w:r>
      <w:r w:rsidR="002747B3">
        <w:rPr>
          <w:rStyle w:val="fontstyle01"/>
          <w:rFonts w:ascii="Garamond" w:hAnsi="Garamond" w:cstheme="minorHAnsi"/>
          <w:sz w:val="24"/>
          <w:szCs w:val="24"/>
        </w:rPr>
        <w:t>endorses</w:t>
      </w:r>
      <w:r w:rsidRPr="00461D74">
        <w:rPr>
          <w:rStyle w:val="fontstyle01"/>
          <w:rFonts w:ascii="Garamond" w:hAnsi="Garamond" w:cstheme="minorHAnsi"/>
          <w:sz w:val="24"/>
          <w:szCs w:val="24"/>
        </w:rPr>
        <w:t xml:space="preserve"> a particular way of life that can best rationally deal with various normative and social contingencies that emerge for all human beings, and all human communities, at one time or another.</w:t>
      </w:r>
    </w:p>
    <w:p w:rsidR="00665157" w:rsidRDefault="00665157">
      <w:pPr>
        <w:spacing w:line="360" w:lineRule="auto"/>
        <w:jc w:val="both"/>
        <w:rPr>
          <w:rStyle w:val="fontstyle01"/>
          <w:rFonts w:ascii="Garamond" w:hAnsi="Garamond" w:cstheme="minorHAnsi"/>
          <w:sz w:val="24"/>
          <w:szCs w:val="24"/>
        </w:rPr>
      </w:pPr>
    </w:p>
    <w:p w:rsidR="00665157" w:rsidRDefault="001C62D0">
      <w:pPr>
        <w:pStyle w:val="Heading3"/>
        <w:spacing w:line="360" w:lineRule="auto"/>
        <w:jc w:val="both"/>
        <w:rPr>
          <w:rFonts w:cstheme="majorHAnsi"/>
          <w:iCs/>
          <w:color w:val="2C221F"/>
        </w:rPr>
      </w:pPr>
      <w:bookmarkStart w:id="28" w:name="_Toc528077810"/>
      <w:r>
        <w:rPr>
          <w:rFonts w:cstheme="majorHAnsi"/>
        </w:rPr>
        <w:lastRenderedPageBreak/>
        <w:t>4</w:t>
      </w:r>
      <w:r w:rsidR="00016049" w:rsidRPr="00331208">
        <w:rPr>
          <w:rFonts w:cstheme="majorHAnsi"/>
        </w:rPr>
        <w:t>.3 Third Objection:</w:t>
      </w:r>
      <w:bookmarkEnd w:id="28"/>
      <w:r w:rsidR="00016049" w:rsidRPr="00331208">
        <w:rPr>
          <w:rFonts w:cstheme="majorHAnsi"/>
          <w:iCs/>
          <w:color w:val="2C221F"/>
        </w:rPr>
        <w:t xml:space="preserve"> </w:t>
      </w:r>
    </w:p>
    <w:p w:rsidR="0059114C" w:rsidRDefault="00016049">
      <w:pPr>
        <w:spacing w:line="360" w:lineRule="auto"/>
        <w:jc w:val="both"/>
        <w:rPr>
          <w:rFonts w:ascii="Garamond" w:hAnsi="Garamond" w:cs="Arial"/>
          <w:iCs/>
          <w:color w:val="2C221F"/>
          <w:sz w:val="24"/>
          <w:szCs w:val="24"/>
        </w:rPr>
      </w:pPr>
      <w:r w:rsidRPr="00461D74">
        <w:rPr>
          <w:rFonts w:ascii="Garamond" w:hAnsi="Garamond" w:cstheme="minorHAnsi"/>
          <w:iCs/>
          <w:color w:val="2C221F"/>
          <w:sz w:val="24"/>
          <w:szCs w:val="24"/>
        </w:rPr>
        <w:t xml:space="preserve">The third line of criticism against my appropriation of Dewey’s democracy for supplementing MacIntyre’s account is that Dewey’s eschews metaphysics and his philosophy is generally considered to be instrumentalist. And on the face of it, his instrumentalism would put him at odds with MacIntyre’s Aristotelian-Thomism. For example, on Dewey’s view </w:t>
      </w:r>
      <w:r w:rsidRPr="00461D74">
        <w:rPr>
          <w:rFonts w:ascii="Garamond" w:hAnsi="Garamond" w:cs="Arial"/>
          <w:iCs/>
          <w:color w:val="2C221F"/>
          <w:sz w:val="24"/>
          <w:szCs w:val="24"/>
        </w:rPr>
        <w:t>(</w:t>
      </w:r>
      <w:proofErr w:type="spellStart"/>
      <w:r w:rsidRPr="00461D74">
        <w:rPr>
          <w:rFonts w:ascii="Garamond" w:hAnsi="Garamond" w:cs="Arial"/>
          <w:iCs/>
          <w:color w:val="2C221F"/>
          <w:sz w:val="24"/>
          <w:szCs w:val="24"/>
        </w:rPr>
        <w:t>i</w:t>
      </w:r>
      <w:proofErr w:type="spellEnd"/>
      <w:r w:rsidRPr="00461D74">
        <w:rPr>
          <w:rFonts w:ascii="Garamond" w:hAnsi="Garamond" w:cs="Arial"/>
          <w:iCs/>
          <w:color w:val="2C221F"/>
          <w:sz w:val="24"/>
          <w:szCs w:val="24"/>
        </w:rPr>
        <w:t>) political concepts have no absolute/final meaning; (ii) political terms are historically bound and thus are only fully intelligible within the particular historical context which furnished them their meaning; (iii) and many of these inherited concepts no longer advance the common good.</w:t>
      </w:r>
      <w:r w:rsidRPr="00461D74">
        <w:rPr>
          <w:rStyle w:val="FootnoteReference"/>
          <w:rFonts w:ascii="Garamond" w:hAnsi="Garamond" w:cs="Arial"/>
          <w:iCs/>
          <w:color w:val="2C221F"/>
          <w:sz w:val="24"/>
          <w:szCs w:val="24"/>
        </w:rPr>
        <w:footnoteReference w:id="257"/>
      </w:r>
    </w:p>
    <w:p w:rsidR="004D3A89" w:rsidRDefault="0059114C">
      <w:pPr>
        <w:spacing w:line="360" w:lineRule="auto"/>
        <w:jc w:val="both"/>
        <w:rPr>
          <w:rFonts w:ascii="Garamond" w:hAnsi="Garamond" w:cs="Arial"/>
          <w:iCs/>
          <w:color w:val="2C221F"/>
          <w:sz w:val="24"/>
          <w:szCs w:val="24"/>
        </w:rPr>
      </w:pPr>
      <w:r>
        <w:rPr>
          <w:rFonts w:ascii="Garamond" w:hAnsi="Garamond" w:cs="Arial"/>
          <w:iCs/>
          <w:color w:val="2C221F"/>
          <w:sz w:val="24"/>
          <w:szCs w:val="24"/>
        </w:rPr>
        <w:tab/>
        <w:t xml:space="preserve">Nevertheless, I think that I have already shown that the kind of instrumentalism that Dewey espouses is a weak or moderate form of instrumentalism and certainly not instrumentalism </w:t>
      </w:r>
      <w:r w:rsidR="00DB00EA" w:rsidRPr="00DB00EA">
        <w:rPr>
          <w:rFonts w:ascii="Garamond" w:hAnsi="Garamond" w:cs="Arial"/>
          <w:i/>
          <w:iCs/>
          <w:color w:val="2C221F"/>
          <w:sz w:val="24"/>
          <w:szCs w:val="24"/>
        </w:rPr>
        <w:t>tout court</w:t>
      </w:r>
      <w:r>
        <w:rPr>
          <w:rFonts w:ascii="Garamond" w:hAnsi="Garamond" w:cs="Arial"/>
          <w:iCs/>
          <w:color w:val="2C221F"/>
          <w:sz w:val="24"/>
          <w:szCs w:val="24"/>
        </w:rPr>
        <w:t xml:space="preserve">; </w:t>
      </w:r>
      <w:r w:rsidR="002F5DFB">
        <w:rPr>
          <w:rFonts w:ascii="Garamond" w:hAnsi="Garamond" w:cs="Arial"/>
          <w:iCs/>
          <w:color w:val="2C221F"/>
          <w:sz w:val="24"/>
          <w:szCs w:val="24"/>
        </w:rPr>
        <w:t xml:space="preserve">it </w:t>
      </w:r>
      <w:r>
        <w:rPr>
          <w:rFonts w:ascii="Garamond" w:hAnsi="Garamond" w:cs="Arial"/>
          <w:iCs/>
          <w:color w:val="2C221F"/>
          <w:sz w:val="24"/>
          <w:szCs w:val="24"/>
        </w:rPr>
        <w:t xml:space="preserve">could then reasonably be characterised or viewed as (moderately) non-instrumentalist. Notwithstanding my suggestion that Dewey should be read within a framework that endorses </w:t>
      </w:r>
      <w:r w:rsidR="008C62EE">
        <w:rPr>
          <w:rFonts w:ascii="Garamond" w:hAnsi="Garamond" w:cs="Arial"/>
          <w:iCs/>
          <w:color w:val="2C221F"/>
          <w:sz w:val="24"/>
          <w:szCs w:val="24"/>
        </w:rPr>
        <w:t xml:space="preserve">some form of </w:t>
      </w:r>
      <w:r>
        <w:rPr>
          <w:rFonts w:ascii="Garamond" w:hAnsi="Garamond" w:cs="Arial"/>
          <w:iCs/>
          <w:color w:val="2C221F"/>
          <w:sz w:val="24"/>
          <w:szCs w:val="24"/>
        </w:rPr>
        <w:t xml:space="preserve">(moderate) non-instrumentality, </w:t>
      </w:r>
      <w:r w:rsidR="008C62EE">
        <w:rPr>
          <w:rFonts w:ascii="Garamond" w:hAnsi="Garamond" w:cs="Arial"/>
          <w:iCs/>
          <w:color w:val="2C221F"/>
          <w:sz w:val="24"/>
          <w:szCs w:val="24"/>
        </w:rPr>
        <w:t>and therefore,</w:t>
      </w:r>
      <w:r>
        <w:rPr>
          <w:rFonts w:ascii="Garamond" w:hAnsi="Garamond" w:cs="Arial"/>
          <w:iCs/>
          <w:color w:val="2C221F"/>
          <w:sz w:val="24"/>
          <w:szCs w:val="24"/>
        </w:rPr>
        <w:t xml:space="preserve"> granting that Dewey is committed to some version of instrumentalism, I would argue </w:t>
      </w:r>
      <w:r w:rsidR="00016049" w:rsidRPr="00461D74">
        <w:rPr>
          <w:rFonts w:ascii="Garamond" w:hAnsi="Garamond" w:cs="Arial"/>
          <w:iCs/>
          <w:color w:val="2C221F"/>
          <w:sz w:val="24"/>
          <w:szCs w:val="24"/>
        </w:rPr>
        <w:t xml:space="preserve">that MacIntyre could accept </w:t>
      </w:r>
      <w:r w:rsidR="008C62EE">
        <w:rPr>
          <w:rFonts w:ascii="Garamond" w:hAnsi="Garamond" w:cs="Arial"/>
          <w:iCs/>
          <w:color w:val="2C221F"/>
          <w:sz w:val="24"/>
          <w:szCs w:val="24"/>
        </w:rPr>
        <w:t xml:space="preserve">the kind of </w:t>
      </w:r>
      <w:r w:rsidR="00016049" w:rsidRPr="00461D74">
        <w:rPr>
          <w:rFonts w:ascii="Garamond" w:hAnsi="Garamond" w:cs="Arial"/>
          <w:iCs/>
          <w:color w:val="2C221F"/>
          <w:sz w:val="24"/>
          <w:szCs w:val="24"/>
        </w:rPr>
        <w:t xml:space="preserve">instrumentalism </w:t>
      </w:r>
      <w:r w:rsidR="008C62EE">
        <w:rPr>
          <w:rFonts w:ascii="Garamond" w:hAnsi="Garamond" w:cs="Arial"/>
          <w:iCs/>
          <w:color w:val="2C221F"/>
          <w:sz w:val="24"/>
          <w:szCs w:val="24"/>
        </w:rPr>
        <w:t>I have identified in</w:t>
      </w:r>
      <w:r w:rsidR="00016049" w:rsidRPr="00461D74">
        <w:rPr>
          <w:rFonts w:ascii="Garamond" w:hAnsi="Garamond" w:cs="Arial"/>
          <w:iCs/>
          <w:color w:val="2C221F"/>
          <w:sz w:val="24"/>
          <w:szCs w:val="24"/>
        </w:rPr>
        <w:t xml:space="preserve"> (ii) and (iii). </w:t>
      </w:r>
      <w:r w:rsidR="00016049" w:rsidRPr="00461D74">
        <w:rPr>
          <w:rFonts w:ascii="Garamond" w:hAnsi="Garamond" w:cstheme="minorHAnsi"/>
          <w:iCs/>
          <w:color w:val="2C221F"/>
          <w:sz w:val="24"/>
          <w:szCs w:val="24"/>
        </w:rPr>
        <w:t xml:space="preserve">In fact much of MacIntyre’s effort in </w:t>
      </w:r>
      <w:r w:rsidR="00016049" w:rsidRPr="00461D74">
        <w:rPr>
          <w:rFonts w:ascii="Garamond" w:hAnsi="Garamond" w:cstheme="minorHAnsi"/>
          <w:i/>
          <w:iCs/>
          <w:color w:val="2C221F"/>
          <w:sz w:val="24"/>
          <w:szCs w:val="24"/>
        </w:rPr>
        <w:t>After Virtue</w:t>
      </w:r>
      <w:r w:rsidR="00016049" w:rsidRPr="00461D74">
        <w:rPr>
          <w:rFonts w:ascii="Garamond" w:hAnsi="Garamond" w:cstheme="minorHAnsi"/>
          <w:iCs/>
          <w:color w:val="2C221F"/>
          <w:sz w:val="24"/>
          <w:szCs w:val="24"/>
        </w:rPr>
        <w:t xml:space="preserve"> is spent arguing for (ii) and (iii). </w:t>
      </w:r>
      <w:r w:rsidR="008C62EE">
        <w:rPr>
          <w:rFonts w:ascii="Garamond" w:hAnsi="Garamond" w:cstheme="minorHAnsi"/>
          <w:iCs/>
          <w:color w:val="2C221F"/>
          <w:sz w:val="24"/>
          <w:szCs w:val="24"/>
        </w:rPr>
        <w:t>Thus, t</w:t>
      </w:r>
      <w:r w:rsidR="00016049" w:rsidRPr="00461D74">
        <w:rPr>
          <w:rFonts w:ascii="Garamond" w:hAnsi="Garamond" w:cstheme="minorHAnsi"/>
          <w:iCs/>
          <w:color w:val="2C221F"/>
          <w:sz w:val="24"/>
          <w:szCs w:val="24"/>
        </w:rPr>
        <w:t xml:space="preserve">he </w:t>
      </w:r>
      <w:r w:rsidR="008C62EE">
        <w:rPr>
          <w:rFonts w:ascii="Garamond" w:hAnsi="Garamond" w:cstheme="minorHAnsi"/>
          <w:iCs/>
          <w:color w:val="2C221F"/>
          <w:sz w:val="24"/>
          <w:szCs w:val="24"/>
        </w:rPr>
        <w:t>more pertinent</w:t>
      </w:r>
      <w:r w:rsidR="008C62EE" w:rsidRPr="00461D74">
        <w:rPr>
          <w:rFonts w:ascii="Garamond" w:hAnsi="Garamond" w:cstheme="minorHAnsi"/>
          <w:iCs/>
          <w:color w:val="2C221F"/>
          <w:sz w:val="24"/>
          <w:szCs w:val="24"/>
        </w:rPr>
        <w:t xml:space="preserve"> </w:t>
      </w:r>
      <w:r w:rsidR="00016049" w:rsidRPr="00461D74">
        <w:rPr>
          <w:rFonts w:ascii="Garamond" w:hAnsi="Garamond" w:cstheme="minorHAnsi"/>
          <w:iCs/>
          <w:color w:val="2C221F"/>
          <w:sz w:val="24"/>
          <w:szCs w:val="24"/>
        </w:rPr>
        <w:t xml:space="preserve">question </w:t>
      </w:r>
      <w:r w:rsidR="008C62EE">
        <w:rPr>
          <w:rFonts w:ascii="Garamond" w:hAnsi="Garamond" w:cstheme="minorHAnsi"/>
          <w:iCs/>
          <w:color w:val="2C221F"/>
          <w:sz w:val="24"/>
          <w:szCs w:val="24"/>
        </w:rPr>
        <w:t>seems to be</w:t>
      </w:r>
      <w:r w:rsidR="00016049" w:rsidRPr="00461D74">
        <w:rPr>
          <w:rFonts w:ascii="Garamond" w:hAnsi="Garamond" w:cstheme="minorHAnsi"/>
          <w:iCs/>
          <w:color w:val="2C221F"/>
          <w:sz w:val="24"/>
          <w:szCs w:val="24"/>
        </w:rPr>
        <w:t xml:space="preserve"> whether MacIntyre could agree with (</w:t>
      </w:r>
      <w:proofErr w:type="spellStart"/>
      <w:r w:rsidR="00016049" w:rsidRPr="00461D74">
        <w:rPr>
          <w:rFonts w:ascii="Garamond" w:hAnsi="Garamond" w:cstheme="minorHAnsi"/>
          <w:iCs/>
          <w:color w:val="2C221F"/>
          <w:sz w:val="24"/>
          <w:szCs w:val="24"/>
        </w:rPr>
        <w:t>i</w:t>
      </w:r>
      <w:proofErr w:type="spellEnd"/>
      <w:r w:rsidR="00016049" w:rsidRPr="00461D74">
        <w:rPr>
          <w:rFonts w:ascii="Garamond" w:hAnsi="Garamond" w:cstheme="minorHAnsi"/>
          <w:iCs/>
          <w:color w:val="2C221F"/>
          <w:sz w:val="24"/>
          <w:szCs w:val="24"/>
        </w:rPr>
        <w:t xml:space="preserve">). </w:t>
      </w:r>
      <w:r w:rsidR="008C62EE">
        <w:rPr>
          <w:rFonts w:ascii="Garamond" w:hAnsi="Garamond" w:cs="Arial"/>
          <w:iCs/>
          <w:color w:val="2C221F"/>
          <w:sz w:val="24"/>
          <w:szCs w:val="24"/>
        </w:rPr>
        <w:t>Now, my contention is</w:t>
      </w:r>
      <w:r w:rsidR="00016049" w:rsidRPr="00461D74">
        <w:rPr>
          <w:rFonts w:ascii="Garamond" w:hAnsi="Garamond" w:cs="Arial"/>
          <w:iCs/>
          <w:color w:val="2C221F"/>
          <w:sz w:val="24"/>
          <w:szCs w:val="24"/>
        </w:rPr>
        <w:t xml:space="preserve"> that Dewey’s account offers a possible way out with respect to (</w:t>
      </w:r>
      <w:proofErr w:type="spellStart"/>
      <w:r w:rsidR="00016049" w:rsidRPr="00461D74">
        <w:rPr>
          <w:rFonts w:ascii="Garamond" w:hAnsi="Garamond" w:cs="Arial"/>
          <w:iCs/>
          <w:color w:val="2C221F"/>
          <w:sz w:val="24"/>
          <w:szCs w:val="24"/>
        </w:rPr>
        <w:t>i</w:t>
      </w:r>
      <w:proofErr w:type="spellEnd"/>
      <w:r w:rsidR="00016049" w:rsidRPr="00461D74">
        <w:rPr>
          <w:rFonts w:ascii="Garamond" w:hAnsi="Garamond" w:cs="Arial"/>
          <w:iCs/>
          <w:color w:val="2C221F"/>
          <w:sz w:val="24"/>
          <w:szCs w:val="24"/>
        </w:rPr>
        <w:t>).</w:t>
      </w:r>
    </w:p>
    <w:p w:rsidR="00665157" w:rsidRDefault="00016049" w:rsidP="008C62EE">
      <w:pPr>
        <w:spacing w:line="360" w:lineRule="auto"/>
        <w:ind w:firstLine="720"/>
        <w:jc w:val="both"/>
        <w:rPr>
          <w:rFonts w:ascii="Garamond" w:hAnsi="Garamond" w:cstheme="minorHAnsi"/>
          <w:iCs/>
          <w:color w:val="2C221F"/>
          <w:sz w:val="24"/>
          <w:szCs w:val="24"/>
        </w:rPr>
      </w:pPr>
      <w:r w:rsidRPr="00461D74">
        <w:rPr>
          <w:rFonts w:ascii="Garamond" w:hAnsi="Garamond" w:cs="Arial"/>
          <w:iCs/>
          <w:color w:val="2C221F"/>
          <w:sz w:val="24"/>
          <w:szCs w:val="24"/>
        </w:rPr>
        <w:t xml:space="preserve">Dewey argued that even though we can’t inquire into absolute and final meanings, we can conduct inquiry into </w:t>
      </w:r>
      <w:r w:rsidR="00383857">
        <w:rPr>
          <w:rFonts w:ascii="Garamond" w:hAnsi="Garamond" w:cs="Arial"/>
          <w:iCs/>
          <w:color w:val="2C221F"/>
          <w:sz w:val="24"/>
          <w:szCs w:val="24"/>
        </w:rPr>
        <w:t xml:space="preserve">the workings of </w:t>
      </w:r>
      <w:r w:rsidRPr="00461D74">
        <w:rPr>
          <w:rFonts w:ascii="Garamond" w:hAnsi="Garamond" w:cs="Arial"/>
          <w:iCs/>
          <w:color w:val="2C221F"/>
          <w:sz w:val="24"/>
          <w:szCs w:val="24"/>
        </w:rPr>
        <w:t>concrete social and political phenomen</w:t>
      </w:r>
      <w:r w:rsidR="00383857">
        <w:rPr>
          <w:rFonts w:ascii="Garamond" w:hAnsi="Garamond" w:cs="Arial"/>
          <w:iCs/>
          <w:color w:val="2C221F"/>
          <w:sz w:val="24"/>
          <w:szCs w:val="24"/>
        </w:rPr>
        <w:t>on</w:t>
      </w:r>
      <w:r w:rsidRPr="00461D74">
        <w:rPr>
          <w:rFonts w:ascii="Garamond" w:hAnsi="Garamond" w:cs="Arial"/>
          <w:iCs/>
          <w:color w:val="2C221F"/>
          <w:sz w:val="24"/>
          <w:szCs w:val="24"/>
        </w:rPr>
        <w:t xml:space="preserve">, identify the conditions under which they are generated, and evaluate the practical normative consequences that follow from them. The process </w:t>
      </w:r>
      <w:r w:rsidRPr="00461D74">
        <w:rPr>
          <w:rFonts w:ascii="Garamond" w:hAnsi="Garamond" w:cs="Arial"/>
          <w:iCs/>
          <w:color w:val="2C221F"/>
          <w:sz w:val="24"/>
          <w:szCs w:val="24"/>
        </w:rPr>
        <w:lastRenderedPageBreak/>
        <w:t xml:space="preserve">of discussion and communication in democratic inquiry is central to generating both individual and social growth; and the more we discuss social problems, the better the odds are that we develop resolutions to those problems and thereby realise </w:t>
      </w:r>
      <w:r w:rsidR="002F5DFB">
        <w:rPr>
          <w:rFonts w:ascii="Garamond" w:hAnsi="Garamond" w:cs="Arial"/>
          <w:iCs/>
          <w:color w:val="2C221F"/>
          <w:sz w:val="24"/>
          <w:szCs w:val="24"/>
        </w:rPr>
        <w:t>g</w:t>
      </w:r>
      <w:r w:rsidRPr="00461D74">
        <w:rPr>
          <w:rFonts w:ascii="Garamond" w:hAnsi="Garamond" w:cs="Arial"/>
          <w:iCs/>
          <w:color w:val="2C221F"/>
          <w:sz w:val="24"/>
          <w:szCs w:val="24"/>
        </w:rPr>
        <w:t>rowth.</w:t>
      </w:r>
      <w:r w:rsidRPr="00461D74">
        <w:rPr>
          <w:rStyle w:val="FootnoteReference"/>
          <w:rFonts w:ascii="Garamond" w:hAnsi="Garamond" w:cs="Arial"/>
          <w:iCs/>
          <w:color w:val="2C221F"/>
          <w:sz w:val="24"/>
          <w:szCs w:val="24"/>
        </w:rPr>
        <w:footnoteReference w:id="258"/>
      </w:r>
      <w:r w:rsidRPr="00461D74">
        <w:rPr>
          <w:rFonts w:ascii="Garamond" w:hAnsi="Garamond" w:cs="Arial"/>
          <w:iCs/>
          <w:color w:val="2C221F"/>
          <w:sz w:val="24"/>
          <w:szCs w:val="24"/>
        </w:rPr>
        <w:t xml:space="preserve"> On this view, just as we use the method of inquiry to posit hypotheses in the domain of science and rely on our past stock of experiences within that domain to test various hypotheses, we can similarly </w:t>
      </w:r>
      <w:r w:rsidR="00707865">
        <w:rPr>
          <w:rFonts w:ascii="Garamond" w:hAnsi="Garamond" w:cs="Arial"/>
          <w:iCs/>
          <w:color w:val="2C221F"/>
          <w:sz w:val="24"/>
          <w:szCs w:val="24"/>
        </w:rPr>
        <w:t>direct</w:t>
      </w:r>
      <w:r w:rsidR="00707865"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inquiry </w:t>
      </w:r>
      <w:r w:rsidR="00707865">
        <w:rPr>
          <w:rFonts w:ascii="Garamond" w:hAnsi="Garamond" w:cs="Arial"/>
          <w:iCs/>
          <w:color w:val="2C221F"/>
          <w:sz w:val="24"/>
          <w:szCs w:val="24"/>
        </w:rPr>
        <w:t xml:space="preserve">at efforts that can help </w:t>
      </w:r>
      <w:r w:rsidRPr="00461D74">
        <w:rPr>
          <w:rFonts w:ascii="Garamond" w:hAnsi="Garamond" w:cs="Arial"/>
          <w:iCs/>
          <w:color w:val="2C221F"/>
          <w:sz w:val="24"/>
          <w:szCs w:val="24"/>
        </w:rPr>
        <w:t>identify better or worse resolutions to various social problems.</w:t>
      </w:r>
      <w:r w:rsidR="00193A81" w:rsidRPr="00461D74">
        <w:rPr>
          <w:rStyle w:val="FootnoteReference"/>
          <w:rFonts w:ascii="Garamond" w:hAnsi="Garamond" w:cs="Arial"/>
          <w:iCs/>
          <w:color w:val="2C221F"/>
          <w:sz w:val="24"/>
          <w:szCs w:val="24"/>
        </w:rPr>
        <w:footnoteReference w:id="259"/>
      </w:r>
      <w:r w:rsidR="00833082" w:rsidRPr="00461D74">
        <w:rPr>
          <w:rFonts w:ascii="Garamond" w:hAnsi="Garamond" w:cs="Arial"/>
          <w:iCs/>
          <w:color w:val="2C221F"/>
          <w:sz w:val="24"/>
          <w:szCs w:val="24"/>
        </w:rPr>
        <w:t xml:space="preserve"> H</w:t>
      </w:r>
      <w:r w:rsidRPr="00461D74">
        <w:rPr>
          <w:rFonts w:ascii="Garamond" w:hAnsi="Garamond" w:cs="Arial"/>
          <w:iCs/>
          <w:color w:val="2C221F"/>
          <w:sz w:val="24"/>
          <w:szCs w:val="24"/>
        </w:rPr>
        <w:t>ere, we rely on our accumulated historical experience in dealing with social problems, and we learn from those earlier lessons, both in cases of clear successes, as well as failed cases. Thus, in a methodological sense</w:t>
      </w:r>
      <w:r w:rsidR="000C344F" w:rsidRPr="00461D74">
        <w:rPr>
          <w:rFonts w:ascii="Garamond" w:hAnsi="Garamond" w:cs="Arial"/>
          <w:iCs/>
          <w:color w:val="2C221F"/>
          <w:sz w:val="24"/>
          <w:szCs w:val="24"/>
        </w:rPr>
        <w:t xml:space="preserve"> </w:t>
      </w:r>
      <w:r w:rsidRPr="00461D74">
        <w:rPr>
          <w:rFonts w:ascii="Garamond" w:hAnsi="Garamond" w:cs="Arial"/>
          <w:iCs/>
          <w:color w:val="2C221F"/>
          <w:sz w:val="24"/>
          <w:szCs w:val="24"/>
        </w:rPr>
        <w:t xml:space="preserve">Dewey’s account </w:t>
      </w:r>
      <w:r w:rsidR="000C344F" w:rsidRPr="00461D74">
        <w:rPr>
          <w:rFonts w:ascii="Garamond" w:hAnsi="Garamond" w:cs="Arial"/>
          <w:iCs/>
          <w:color w:val="2C221F"/>
          <w:sz w:val="24"/>
          <w:szCs w:val="24"/>
        </w:rPr>
        <w:t>can be viewed as instrumentalist</w:t>
      </w:r>
      <w:r w:rsidR="009C4225">
        <w:rPr>
          <w:rFonts w:ascii="Garamond" w:hAnsi="Garamond" w:cs="Arial"/>
          <w:iCs/>
          <w:color w:val="2C221F"/>
          <w:sz w:val="24"/>
          <w:szCs w:val="24"/>
        </w:rPr>
        <w:t xml:space="preserve">, and therefore </w:t>
      </w:r>
      <w:r w:rsidR="00BE54E8">
        <w:rPr>
          <w:rFonts w:ascii="Garamond" w:hAnsi="Garamond" w:cs="Arial"/>
          <w:iCs/>
          <w:color w:val="2C221F"/>
          <w:sz w:val="24"/>
          <w:szCs w:val="24"/>
        </w:rPr>
        <w:t>can be read as</w:t>
      </w:r>
      <w:r w:rsidR="009C4225">
        <w:rPr>
          <w:rFonts w:ascii="Garamond" w:hAnsi="Garamond" w:cs="Arial"/>
          <w:iCs/>
          <w:color w:val="2C221F"/>
          <w:sz w:val="24"/>
          <w:szCs w:val="24"/>
        </w:rPr>
        <w:t xml:space="preserve"> supporting (</w:t>
      </w:r>
      <w:proofErr w:type="spellStart"/>
      <w:r w:rsidR="009C4225">
        <w:rPr>
          <w:rFonts w:ascii="Garamond" w:hAnsi="Garamond" w:cs="Arial"/>
          <w:iCs/>
          <w:color w:val="2C221F"/>
          <w:sz w:val="24"/>
          <w:szCs w:val="24"/>
        </w:rPr>
        <w:t>i</w:t>
      </w:r>
      <w:proofErr w:type="spellEnd"/>
      <w:r w:rsidR="009C4225">
        <w:rPr>
          <w:rFonts w:ascii="Garamond" w:hAnsi="Garamond" w:cs="Arial"/>
          <w:iCs/>
          <w:color w:val="2C221F"/>
          <w:sz w:val="24"/>
          <w:szCs w:val="24"/>
        </w:rPr>
        <w:t>)</w:t>
      </w:r>
      <w:r w:rsidR="000C344F" w:rsidRPr="00461D74">
        <w:rPr>
          <w:rFonts w:ascii="Garamond" w:hAnsi="Garamond" w:cs="Arial"/>
          <w:iCs/>
          <w:color w:val="2C221F"/>
          <w:sz w:val="24"/>
          <w:szCs w:val="24"/>
        </w:rPr>
        <w:t>.</w:t>
      </w:r>
    </w:p>
    <w:p w:rsidR="00665157" w:rsidRDefault="00016049" w:rsidP="006E3718">
      <w:pPr>
        <w:spacing w:line="360" w:lineRule="auto"/>
        <w:ind w:firstLine="720"/>
        <w:jc w:val="both"/>
        <w:rPr>
          <w:rFonts w:ascii="Garamond" w:hAnsi="Garamond" w:cstheme="minorHAnsi"/>
          <w:iCs/>
          <w:color w:val="2C221F"/>
          <w:sz w:val="24"/>
          <w:szCs w:val="24"/>
        </w:rPr>
      </w:pPr>
      <w:r w:rsidRPr="00461D74">
        <w:rPr>
          <w:rFonts w:ascii="Garamond" w:hAnsi="Garamond" w:cs="Arial"/>
          <w:iCs/>
          <w:color w:val="2C221F"/>
          <w:sz w:val="24"/>
          <w:szCs w:val="24"/>
        </w:rPr>
        <w:t xml:space="preserve">However, there is a normative sense in which his account isn’t </w:t>
      </w:r>
      <w:r w:rsidR="00BE54E8">
        <w:rPr>
          <w:rFonts w:ascii="Garamond" w:hAnsi="Garamond" w:cs="Arial"/>
          <w:iCs/>
          <w:color w:val="2C221F"/>
          <w:sz w:val="24"/>
          <w:szCs w:val="24"/>
        </w:rPr>
        <w:t xml:space="preserve">as </w:t>
      </w:r>
      <w:r w:rsidRPr="00461D74">
        <w:rPr>
          <w:rFonts w:ascii="Garamond" w:hAnsi="Garamond" w:cs="Arial"/>
          <w:iCs/>
          <w:color w:val="2C221F"/>
          <w:sz w:val="24"/>
          <w:szCs w:val="24"/>
        </w:rPr>
        <w:t>susceptible to the charge of instrumentalism. First, while</w:t>
      </w:r>
      <w:r w:rsidRPr="00461D74">
        <w:rPr>
          <w:rFonts w:ascii="Garamond" w:hAnsi="Garamond" w:cstheme="minorHAnsi"/>
          <w:iCs/>
          <w:color w:val="2C221F"/>
          <w:sz w:val="24"/>
          <w:szCs w:val="24"/>
        </w:rPr>
        <w:t xml:space="preserve"> for Dewey human nature isn’t static</w:t>
      </w:r>
      <w:r w:rsidR="00F033C6" w:rsidRPr="00461D74">
        <w:rPr>
          <w:rFonts w:ascii="Garamond" w:hAnsi="Garamond" w:cstheme="minorHAnsi"/>
          <w:iCs/>
          <w:color w:val="2C221F"/>
          <w:sz w:val="24"/>
          <w:szCs w:val="24"/>
        </w:rPr>
        <w:t>,</w:t>
      </w:r>
      <w:r w:rsidRPr="00461D74">
        <w:rPr>
          <w:rFonts w:ascii="Garamond" w:hAnsi="Garamond" w:cstheme="minorHAnsi"/>
          <w:iCs/>
          <w:color w:val="2C221F"/>
          <w:sz w:val="24"/>
          <w:szCs w:val="24"/>
        </w:rPr>
        <w:t xml:space="preserve"> there are aspects of that nature that Deweyan democracy confidently accepts. On this view, human beings to a large degree realise themselves in social settings, and as problem solving animals. Second, Dewey’s definition of growth is non-instrumental, not only because he begins with these premises, but </w:t>
      </w:r>
      <w:r w:rsidR="007D1B69">
        <w:rPr>
          <w:rFonts w:ascii="Garamond" w:hAnsi="Garamond" w:cstheme="minorHAnsi"/>
          <w:iCs/>
          <w:color w:val="2C221F"/>
          <w:sz w:val="24"/>
          <w:szCs w:val="24"/>
        </w:rPr>
        <w:t xml:space="preserve">perhaps much more </w:t>
      </w:r>
      <w:r w:rsidR="007D1B69" w:rsidRPr="007D1B69">
        <w:rPr>
          <w:rFonts w:ascii="Garamond" w:hAnsi="Garamond" w:cstheme="minorHAnsi"/>
          <w:iCs/>
          <w:color w:val="2C221F"/>
          <w:sz w:val="24"/>
          <w:szCs w:val="24"/>
        </w:rPr>
        <w:t>decisively</w:t>
      </w:r>
      <w:r w:rsidR="007D1B69">
        <w:rPr>
          <w:rFonts w:ascii="Garamond" w:hAnsi="Garamond" w:cstheme="minorHAnsi"/>
          <w:iCs/>
          <w:color w:val="2C221F"/>
          <w:sz w:val="24"/>
          <w:szCs w:val="24"/>
        </w:rPr>
        <w:t xml:space="preserve"> on the account that</w:t>
      </w:r>
      <w:r w:rsidRPr="00461D74">
        <w:rPr>
          <w:rFonts w:ascii="Garamond" w:hAnsi="Garamond" w:cstheme="minorHAnsi"/>
          <w:iCs/>
          <w:color w:val="2C221F"/>
          <w:sz w:val="24"/>
          <w:szCs w:val="24"/>
        </w:rPr>
        <w:t xml:space="preserve"> he views</w:t>
      </w:r>
      <w:r w:rsidR="00411133">
        <w:rPr>
          <w:rFonts w:ascii="Garamond" w:hAnsi="Garamond" w:cstheme="minorHAnsi"/>
          <w:iCs/>
          <w:color w:val="2C221F"/>
          <w:sz w:val="24"/>
          <w:szCs w:val="24"/>
        </w:rPr>
        <w:t>,</w:t>
      </w:r>
      <w:r w:rsidRPr="00461D74">
        <w:rPr>
          <w:rFonts w:ascii="Garamond" w:hAnsi="Garamond" w:cstheme="minorHAnsi"/>
          <w:iCs/>
          <w:color w:val="2C221F"/>
          <w:sz w:val="24"/>
          <w:szCs w:val="24"/>
        </w:rPr>
        <w:t xml:space="preserve"> </w:t>
      </w:r>
      <w:r w:rsidR="00411133">
        <w:rPr>
          <w:rFonts w:ascii="Garamond" w:hAnsi="Garamond" w:cstheme="minorHAnsi"/>
          <w:iCs/>
          <w:color w:val="2C221F"/>
          <w:sz w:val="24"/>
          <w:szCs w:val="24"/>
        </w:rPr>
        <w:t>g</w:t>
      </w:r>
      <w:r w:rsidRPr="00461D74">
        <w:rPr>
          <w:rFonts w:ascii="Garamond" w:hAnsi="Garamond" w:cstheme="minorHAnsi"/>
          <w:iCs/>
          <w:color w:val="2C221F"/>
          <w:sz w:val="24"/>
          <w:szCs w:val="24"/>
        </w:rPr>
        <w:t xml:space="preserve">rowth and freedom as continuous. Growth is </w:t>
      </w:r>
      <w:r w:rsidR="007D1B69">
        <w:rPr>
          <w:rFonts w:ascii="Garamond" w:hAnsi="Garamond" w:cstheme="minorHAnsi"/>
          <w:iCs/>
          <w:color w:val="2C221F"/>
          <w:sz w:val="24"/>
          <w:szCs w:val="24"/>
        </w:rPr>
        <w:t xml:space="preserve">then </w:t>
      </w:r>
      <w:r w:rsidRPr="00461D74">
        <w:rPr>
          <w:rFonts w:ascii="Garamond" w:hAnsi="Garamond" w:cstheme="minorHAnsi"/>
          <w:iCs/>
          <w:color w:val="2C221F"/>
          <w:sz w:val="24"/>
          <w:szCs w:val="24"/>
        </w:rPr>
        <w:t xml:space="preserve">the wide-spread proliferation of diverse human capacities (or freedom) </w:t>
      </w:r>
      <w:r w:rsidR="007D1B69">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capacities that </w:t>
      </w:r>
      <w:r w:rsidR="007D1B69">
        <w:rPr>
          <w:rFonts w:ascii="Garamond" w:hAnsi="Garamond" w:cstheme="minorHAnsi"/>
          <w:iCs/>
          <w:color w:val="2C221F"/>
          <w:sz w:val="24"/>
          <w:szCs w:val="24"/>
        </w:rPr>
        <w:t>at least in part should be</w:t>
      </w:r>
      <w:r w:rsidR="007D1B69"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directed </w:t>
      </w:r>
      <w:r w:rsidR="007D1B69">
        <w:rPr>
          <w:rFonts w:ascii="Garamond" w:hAnsi="Garamond" w:cstheme="minorHAnsi"/>
          <w:iCs/>
          <w:color w:val="2C221F"/>
          <w:sz w:val="24"/>
          <w:szCs w:val="24"/>
        </w:rPr>
        <w:t>at developing and articulating resolutions to</w:t>
      </w:r>
      <w:r w:rsidRPr="00461D74">
        <w:rPr>
          <w:rFonts w:ascii="Garamond" w:hAnsi="Garamond" w:cstheme="minorHAnsi"/>
          <w:iCs/>
          <w:color w:val="2C221F"/>
          <w:sz w:val="24"/>
          <w:szCs w:val="24"/>
        </w:rPr>
        <w:t xml:space="preserve"> </w:t>
      </w:r>
      <w:r w:rsidR="007D1B69">
        <w:rPr>
          <w:rFonts w:ascii="Garamond" w:hAnsi="Garamond" w:cstheme="minorHAnsi"/>
          <w:iCs/>
          <w:color w:val="2C221F"/>
          <w:sz w:val="24"/>
          <w:szCs w:val="24"/>
        </w:rPr>
        <w:t xml:space="preserve">various </w:t>
      </w:r>
      <w:r w:rsidRPr="00461D74">
        <w:rPr>
          <w:rFonts w:ascii="Garamond" w:hAnsi="Garamond" w:cstheme="minorHAnsi"/>
          <w:iCs/>
          <w:color w:val="2C221F"/>
          <w:sz w:val="24"/>
          <w:szCs w:val="24"/>
        </w:rPr>
        <w:t xml:space="preserve">social </w:t>
      </w:r>
      <w:r w:rsidR="007D1B69">
        <w:rPr>
          <w:rFonts w:ascii="Garamond" w:hAnsi="Garamond" w:cstheme="minorHAnsi"/>
          <w:iCs/>
          <w:color w:val="2C221F"/>
          <w:sz w:val="24"/>
          <w:szCs w:val="24"/>
        </w:rPr>
        <w:t>or</w:t>
      </w:r>
      <w:r w:rsidR="007D1B69" w:rsidRPr="00461D74">
        <w:rPr>
          <w:rFonts w:ascii="Garamond" w:hAnsi="Garamond" w:cstheme="minorHAnsi"/>
          <w:iCs/>
          <w:color w:val="2C221F"/>
          <w:sz w:val="24"/>
          <w:szCs w:val="24"/>
        </w:rPr>
        <w:t xml:space="preserve"> </w:t>
      </w:r>
      <w:r w:rsidR="007D1B69">
        <w:rPr>
          <w:rFonts w:ascii="Garamond" w:hAnsi="Garamond" w:cstheme="minorHAnsi"/>
          <w:iCs/>
          <w:color w:val="2C221F"/>
          <w:sz w:val="24"/>
          <w:szCs w:val="24"/>
        </w:rPr>
        <w:t xml:space="preserve">otherwise </w:t>
      </w:r>
      <w:r w:rsidRPr="00461D74">
        <w:rPr>
          <w:rFonts w:ascii="Garamond" w:hAnsi="Garamond" w:cstheme="minorHAnsi"/>
          <w:iCs/>
          <w:color w:val="2C221F"/>
          <w:sz w:val="24"/>
          <w:szCs w:val="24"/>
        </w:rPr>
        <w:t xml:space="preserve">normative problems. </w:t>
      </w:r>
      <w:r w:rsidR="00DB7775">
        <w:rPr>
          <w:rFonts w:ascii="Garamond" w:hAnsi="Garamond" w:cstheme="minorHAnsi"/>
          <w:iCs/>
          <w:color w:val="2C221F"/>
          <w:sz w:val="24"/>
          <w:szCs w:val="24"/>
        </w:rPr>
        <w:t xml:space="preserve">However, resolutions </w:t>
      </w:r>
      <w:r w:rsidR="001D7B8C">
        <w:rPr>
          <w:rFonts w:ascii="Garamond" w:hAnsi="Garamond" w:cstheme="minorHAnsi"/>
          <w:iCs/>
          <w:color w:val="2C221F"/>
          <w:sz w:val="24"/>
          <w:szCs w:val="24"/>
        </w:rPr>
        <w:t xml:space="preserve">of a </w:t>
      </w:r>
      <w:r w:rsidR="00940968">
        <w:rPr>
          <w:rFonts w:ascii="Garamond" w:hAnsi="Garamond" w:cstheme="minorHAnsi"/>
          <w:iCs/>
          <w:color w:val="2C221F"/>
          <w:sz w:val="24"/>
          <w:szCs w:val="24"/>
        </w:rPr>
        <w:t xml:space="preserve">set of </w:t>
      </w:r>
      <w:r w:rsidR="00DB7775">
        <w:rPr>
          <w:rFonts w:ascii="Garamond" w:hAnsi="Garamond" w:cstheme="minorHAnsi"/>
          <w:iCs/>
          <w:color w:val="2C221F"/>
          <w:sz w:val="24"/>
          <w:szCs w:val="24"/>
        </w:rPr>
        <w:t xml:space="preserve">social problems </w:t>
      </w:r>
      <w:r w:rsidR="00940968">
        <w:rPr>
          <w:rFonts w:ascii="Garamond" w:hAnsi="Garamond" w:cstheme="minorHAnsi"/>
          <w:iCs/>
          <w:color w:val="2C221F"/>
          <w:sz w:val="24"/>
          <w:szCs w:val="24"/>
        </w:rPr>
        <w:t xml:space="preserve">is </w:t>
      </w:r>
      <w:r w:rsidR="00DB7775">
        <w:rPr>
          <w:rFonts w:ascii="Garamond" w:hAnsi="Garamond" w:cstheme="minorHAnsi"/>
          <w:iCs/>
          <w:color w:val="2C221F"/>
          <w:sz w:val="24"/>
          <w:szCs w:val="24"/>
        </w:rPr>
        <w:t xml:space="preserve">not the only reason </w:t>
      </w:r>
      <w:r w:rsidR="001D7B8C">
        <w:rPr>
          <w:rFonts w:ascii="Garamond" w:hAnsi="Garamond" w:cstheme="minorHAnsi"/>
          <w:iCs/>
          <w:color w:val="2C221F"/>
          <w:sz w:val="24"/>
          <w:szCs w:val="24"/>
        </w:rPr>
        <w:t xml:space="preserve">why </w:t>
      </w:r>
      <w:r w:rsidR="00DB7775">
        <w:rPr>
          <w:rFonts w:ascii="Garamond" w:hAnsi="Garamond" w:cstheme="minorHAnsi"/>
          <w:iCs/>
          <w:color w:val="2C221F"/>
          <w:sz w:val="24"/>
          <w:szCs w:val="24"/>
        </w:rPr>
        <w:t xml:space="preserve">we should aim at increasing the proliferation of freedom on the largest possible scale, and increasing the degree to which emancipation is realised on that same scale. </w:t>
      </w:r>
      <w:r w:rsidR="006E3718" w:rsidRPr="00461D74">
        <w:rPr>
          <w:rFonts w:ascii="Garamond" w:hAnsi="Garamond" w:cstheme="minorHAnsi"/>
          <w:iCs/>
          <w:color w:val="2C221F"/>
          <w:sz w:val="24"/>
          <w:szCs w:val="24"/>
        </w:rPr>
        <w:t xml:space="preserve">It is </w:t>
      </w:r>
      <w:r w:rsidR="001D7B8C">
        <w:rPr>
          <w:rFonts w:ascii="Garamond" w:hAnsi="Garamond" w:cstheme="minorHAnsi"/>
          <w:iCs/>
          <w:color w:val="2C221F"/>
          <w:sz w:val="24"/>
          <w:szCs w:val="24"/>
        </w:rPr>
        <w:t xml:space="preserve">also in part because </w:t>
      </w:r>
      <w:r w:rsidR="006E3718" w:rsidRPr="00461D74">
        <w:rPr>
          <w:rFonts w:ascii="Garamond" w:hAnsi="Garamond" w:cstheme="minorHAnsi"/>
          <w:iCs/>
          <w:color w:val="2C221F"/>
          <w:sz w:val="24"/>
          <w:szCs w:val="24"/>
        </w:rPr>
        <w:t xml:space="preserve">through this same process of </w:t>
      </w:r>
      <w:r w:rsidR="00411133">
        <w:rPr>
          <w:rFonts w:ascii="Garamond" w:hAnsi="Garamond" w:cstheme="minorHAnsi"/>
          <w:iCs/>
          <w:color w:val="2C221F"/>
          <w:sz w:val="24"/>
          <w:szCs w:val="24"/>
        </w:rPr>
        <w:t>g</w:t>
      </w:r>
      <w:r w:rsidR="006E3718" w:rsidRPr="00461D74">
        <w:rPr>
          <w:rFonts w:ascii="Garamond" w:hAnsi="Garamond" w:cstheme="minorHAnsi"/>
          <w:iCs/>
          <w:color w:val="2C221F"/>
          <w:sz w:val="24"/>
          <w:szCs w:val="24"/>
        </w:rPr>
        <w:t>rowth</w:t>
      </w:r>
      <w:r w:rsidR="001D7B8C">
        <w:rPr>
          <w:rFonts w:ascii="Garamond" w:hAnsi="Garamond" w:cstheme="minorHAnsi"/>
          <w:iCs/>
          <w:color w:val="2C221F"/>
          <w:sz w:val="24"/>
          <w:szCs w:val="24"/>
        </w:rPr>
        <w:t>,</w:t>
      </w:r>
      <w:r w:rsidR="001D7B8C" w:rsidRPr="00461D74">
        <w:rPr>
          <w:rFonts w:ascii="Garamond" w:hAnsi="Garamond" w:cstheme="minorHAnsi"/>
          <w:iCs/>
          <w:color w:val="2C221F"/>
          <w:sz w:val="24"/>
          <w:szCs w:val="24"/>
        </w:rPr>
        <w:t xml:space="preserve"> </w:t>
      </w:r>
      <w:r w:rsidR="006E3718" w:rsidRPr="00461D74">
        <w:rPr>
          <w:rFonts w:ascii="Garamond" w:hAnsi="Garamond" w:cstheme="minorHAnsi"/>
          <w:iCs/>
          <w:color w:val="2C221F"/>
          <w:sz w:val="24"/>
          <w:szCs w:val="24"/>
        </w:rPr>
        <w:t>we</w:t>
      </w:r>
      <w:r w:rsidR="001D7B8C">
        <w:rPr>
          <w:rFonts w:ascii="Garamond" w:hAnsi="Garamond" w:cstheme="minorHAnsi"/>
          <w:iCs/>
          <w:color w:val="2C221F"/>
          <w:sz w:val="24"/>
          <w:szCs w:val="24"/>
        </w:rPr>
        <w:t xml:space="preserve"> are able to</w:t>
      </w:r>
      <w:r w:rsidR="006E3718" w:rsidRPr="00461D74">
        <w:rPr>
          <w:rFonts w:ascii="Garamond" w:hAnsi="Garamond" w:cstheme="minorHAnsi"/>
          <w:iCs/>
          <w:color w:val="2C221F"/>
          <w:sz w:val="24"/>
          <w:szCs w:val="24"/>
        </w:rPr>
        <w:t xml:space="preserve"> achieve our own good as individual human beings, and we realise that this </w:t>
      </w:r>
      <w:r w:rsidR="006E3718" w:rsidRPr="00461D74">
        <w:rPr>
          <w:rFonts w:ascii="Garamond" w:hAnsi="Garamond" w:cstheme="minorHAnsi"/>
          <w:iCs/>
          <w:color w:val="2C221F"/>
          <w:sz w:val="24"/>
          <w:szCs w:val="24"/>
        </w:rPr>
        <w:lastRenderedPageBreak/>
        <w:t>good is irreducibly social, for it is generated through a set of social processes in concrete social settings.</w:t>
      </w:r>
      <w:r w:rsidR="006E3718">
        <w:rPr>
          <w:rFonts w:ascii="Garamond" w:hAnsi="Garamond" w:cstheme="minorHAnsi"/>
          <w:iCs/>
          <w:color w:val="2C221F"/>
          <w:sz w:val="24"/>
          <w:szCs w:val="24"/>
        </w:rPr>
        <w:t xml:space="preserve"> Therefore, to the extent that we follow Dewey, we bind</w:t>
      </w:r>
      <w:r w:rsidR="00DB7775">
        <w:rPr>
          <w:rFonts w:ascii="Garamond" w:hAnsi="Garamond" w:cstheme="minorHAnsi"/>
          <w:iCs/>
          <w:color w:val="2C221F"/>
          <w:sz w:val="24"/>
          <w:szCs w:val="24"/>
        </w:rPr>
        <w:t xml:space="preserve"> freedom and growth of human capacities to our sense of self</w:t>
      </w:r>
      <w:r w:rsidR="006E3718">
        <w:rPr>
          <w:rFonts w:ascii="Garamond" w:hAnsi="Garamond" w:cstheme="minorHAnsi"/>
          <w:iCs/>
          <w:color w:val="2C221F"/>
          <w:sz w:val="24"/>
          <w:szCs w:val="24"/>
        </w:rPr>
        <w:t xml:space="preserve"> and</w:t>
      </w:r>
      <w:r w:rsidR="00DB7775">
        <w:rPr>
          <w:rFonts w:ascii="Garamond" w:hAnsi="Garamond" w:cstheme="minorHAnsi"/>
          <w:iCs/>
          <w:color w:val="2C221F"/>
          <w:sz w:val="24"/>
          <w:szCs w:val="24"/>
        </w:rPr>
        <w:t xml:space="preserve"> our individuality, and </w:t>
      </w:r>
      <w:r w:rsidR="006E3718">
        <w:rPr>
          <w:rFonts w:ascii="Garamond" w:hAnsi="Garamond" w:cstheme="minorHAnsi"/>
          <w:iCs/>
          <w:color w:val="2C221F"/>
          <w:sz w:val="24"/>
          <w:szCs w:val="24"/>
        </w:rPr>
        <w:t>thus recognise through the</w:t>
      </w:r>
      <w:r w:rsidR="00DB7775">
        <w:rPr>
          <w:rFonts w:ascii="Garamond" w:hAnsi="Garamond" w:cstheme="minorHAnsi"/>
          <w:iCs/>
          <w:color w:val="2C221F"/>
          <w:sz w:val="24"/>
          <w:szCs w:val="24"/>
        </w:rPr>
        <w:t xml:space="preserve"> </w:t>
      </w:r>
      <w:r w:rsidR="006E3718">
        <w:rPr>
          <w:rFonts w:ascii="Garamond" w:hAnsi="Garamond" w:cstheme="minorHAnsi"/>
          <w:iCs/>
          <w:color w:val="2C221F"/>
          <w:sz w:val="24"/>
          <w:szCs w:val="24"/>
        </w:rPr>
        <w:t>irreducibly</w:t>
      </w:r>
      <w:r w:rsidR="00DB7775">
        <w:rPr>
          <w:rFonts w:ascii="Garamond" w:hAnsi="Garamond" w:cstheme="minorHAnsi"/>
          <w:iCs/>
          <w:color w:val="2C221F"/>
          <w:sz w:val="24"/>
          <w:szCs w:val="24"/>
        </w:rPr>
        <w:t xml:space="preserve"> social character of our good</w:t>
      </w:r>
      <w:r w:rsidR="006E3718">
        <w:rPr>
          <w:rFonts w:ascii="Garamond" w:hAnsi="Garamond" w:cstheme="minorHAnsi"/>
          <w:iCs/>
          <w:color w:val="2C221F"/>
          <w:sz w:val="24"/>
          <w:szCs w:val="24"/>
        </w:rPr>
        <w:t>,</w:t>
      </w:r>
      <w:r w:rsidR="00DB7775">
        <w:rPr>
          <w:rFonts w:ascii="Garamond" w:hAnsi="Garamond" w:cstheme="minorHAnsi"/>
          <w:iCs/>
          <w:color w:val="2C221F"/>
          <w:sz w:val="24"/>
          <w:szCs w:val="24"/>
        </w:rPr>
        <w:t xml:space="preserve"> that growth and freedom are not only continuous, but </w:t>
      </w:r>
      <w:r w:rsidR="006E3718">
        <w:rPr>
          <w:rFonts w:ascii="Garamond" w:hAnsi="Garamond" w:cstheme="minorHAnsi"/>
          <w:iCs/>
          <w:color w:val="2C221F"/>
          <w:sz w:val="24"/>
          <w:szCs w:val="24"/>
        </w:rPr>
        <w:t xml:space="preserve">could </w:t>
      </w:r>
      <w:r w:rsidR="00DB7775">
        <w:rPr>
          <w:rFonts w:ascii="Garamond" w:hAnsi="Garamond" w:cstheme="minorHAnsi"/>
          <w:iCs/>
          <w:color w:val="2C221F"/>
          <w:sz w:val="24"/>
          <w:szCs w:val="24"/>
        </w:rPr>
        <w:t xml:space="preserve">be </w:t>
      </w:r>
      <w:r w:rsidR="006E3718">
        <w:rPr>
          <w:rFonts w:ascii="Garamond" w:hAnsi="Garamond" w:cstheme="minorHAnsi"/>
          <w:iCs/>
          <w:color w:val="2C221F"/>
          <w:sz w:val="24"/>
          <w:szCs w:val="24"/>
        </w:rPr>
        <w:t>suitably defined in</w:t>
      </w:r>
      <w:r w:rsidR="00DB7775">
        <w:rPr>
          <w:rFonts w:ascii="Garamond" w:hAnsi="Garamond" w:cstheme="minorHAnsi"/>
          <w:iCs/>
          <w:color w:val="2C221F"/>
          <w:sz w:val="24"/>
          <w:szCs w:val="24"/>
        </w:rPr>
        <w:t xml:space="preserve"> non-instrumentalist terms.</w:t>
      </w:r>
    </w:p>
    <w:p w:rsidR="00665157" w:rsidRDefault="00016049">
      <w:pPr>
        <w:spacing w:line="360" w:lineRule="auto"/>
        <w:ind w:firstLine="720"/>
        <w:jc w:val="both"/>
        <w:rPr>
          <w:rFonts w:ascii="Garamond" w:hAnsi="Garamond" w:cstheme="minorHAnsi"/>
          <w:iCs/>
          <w:color w:val="2C221F"/>
          <w:sz w:val="24"/>
          <w:szCs w:val="24"/>
        </w:rPr>
      </w:pPr>
      <w:r w:rsidRPr="00461D74">
        <w:rPr>
          <w:rFonts w:ascii="Garamond" w:hAnsi="Garamond" w:cstheme="minorHAnsi"/>
          <w:iCs/>
          <w:color w:val="2C221F"/>
          <w:sz w:val="24"/>
          <w:szCs w:val="24"/>
        </w:rPr>
        <w:t xml:space="preserve">Still, one might object that the substantive non-instrumentalist sense in which we described Dewey’s </w:t>
      </w:r>
      <w:r w:rsidR="00411133">
        <w:rPr>
          <w:rFonts w:ascii="Garamond" w:hAnsi="Garamond" w:cstheme="minorHAnsi"/>
          <w:iCs/>
          <w:color w:val="2C221F"/>
          <w:sz w:val="24"/>
          <w:szCs w:val="24"/>
        </w:rPr>
        <w:t>g</w:t>
      </w:r>
      <w:r w:rsidRPr="00461D74">
        <w:rPr>
          <w:rFonts w:ascii="Garamond" w:hAnsi="Garamond" w:cstheme="minorHAnsi"/>
          <w:iCs/>
          <w:color w:val="2C221F"/>
          <w:sz w:val="24"/>
          <w:szCs w:val="24"/>
        </w:rPr>
        <w:t xml:space="preserve">rowth isn’t going to necessarily sway the Thomist MacIntyre. Why? Because for the Thomist, in order that our </w:t>
      </w:r>
      <w:proofErr w:type="spellStart"/>
      <w:r w:rsidRPr="00461D74">
        <w:rPr>
          <w:rFonts w:ascii="Garamond" w:hAnsi="Garamond" w:cstheme="minorHAnsi"/>
          <w:iCs/>
          <w:color w:val="2C221F"/>
          <w:sz w:val="24"/>
          <w:szCs w:val="24"/>
        </w:rPr>
        <w:t>telos</w:t>
      </w:r>
      <w:proofErr w:type="spellEnd"/>
      <w:r w:rsidRPr="00461D74">
        <w:rPr>
          <w:rFonts w:ascii="Garamond" w:hAnsi="Garamond" w:cstheme="minorHAnsi"/>
          <w:iCs/>
          <w:color w:val="2C221F"/>
          <w:sz w:val="24"/>
          <w:szCs w:val="24"/>
        </w:rPr>
        <w:t xml:space="preserve"> remains meaningful it must be directed at a transcendent source – namely, God; yet, the teleology in Deweyan democracy is </w:t>
      </w:r>
      <w:r w:rsidR="006E3718">
        <w:rPr>
          <w:rFonts w:ascii="Garamond" w:hAnsi="Garamond" w:cstheme="minorHAnsi"/>
          <w:iCs/>
          <w:color w:val="2C221F"/>
          <w:sz w:val="24"/>
          <w:szCs w:val="24"/>
        </w:rPr>
        <w:t xml:space="preserve">indeed </w:t>
      </w:r>
      <w:r w:rsidRPr="00461D74">
        <w:rPr>
          <w:rFonts w:ascii="Garamond" w:hAnsi="Garamond" w:cstheme="minorHAnsi"/>
          <w:iCs/>
          <w:color w:val="2C221F"/>
          <w:sz w:val="24"/>
          <w:szCs w:val="24"/>
        </w:rPr>
        <w:t>worldly, directed towards the incremental resolution of practical problems through democratic cooperative inquiry</w:t>
      </w:r>
      <w:r w:rsidR="00F033C6" w:rsidRPr="00461D74">
        <w:rPr>
          <w:rFonts w:ascii="Garamond" w:hAnsi="Garamond" w:cstheme="minorHAnsi"/>
          <w:iCs/>
          <w:color w:val="2C221F"/>
          <w:sz w:val="24"/>
          <w:szCs w:val="24"/>
        </w:rPr>
        <w:t>.</w:t>
      </w:r>
      <w:r w:rsidRPr="00461D74">
        <w:rPr>
          <w:rStyle w:val="FootnoteReference"/>
          <w:rFonts w:ascii="Garamond" w:hAnsi="Garamond" w:cstheme="minorHAnsi"/>
          <w:iCs/>
          <w:color w:val="2C221F"/>
          <w:sz w:val="24"/>
          <w:szCs w:val="24"/>
        </w:rPr>
        <w:footnoteReference w:id="260"/>
      </w:r>
      <w:r w:rsidRPr="00461D74">
        <w:rPr>
          <w:rFonts w:ascii="Garamond" w:hAnsi="Garamond" w:cstheme="minorHAnsi"/>
          <w:iCs/>
          <w:color w:val="2C221F"/>
          <w:sz w:val="24"/>
          <w:szCs w:val="24"/>
        </w:rPr>
        <w:t xml:space="preserve"> However, my aim is not primarily to sway the later Thomist MacIntyre, although admittedly, it </w:t>
      </w:r>
      <w:r w:rsidR="006E3718">
        <w:rPr>
          <w:rFonts w:ascii="Garamond" w:hAnsi="Garamond" w:cstheme="minorHAnsi"/>
          <w:iCs/>
          <w:color w:val="2C221F"/>
          <w:sz w:val="24"/>
          <w:szCs w:val="24"/>
        </w:rPr>
        <w:t>remains</w:t>
      </w:r>
      <w:r w:rsidR="006E3718"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a secondary goal. </w:t>
      </w:r>
      <w:r w:rsidR="006E3718">
        <w:rPr>
          <w:rFonts w:ascii="Garamond" w:hAnsi="Garamond" w:cstheme="minorHAnsi"/>
          <w:iCs/>
          <w:color w:val="2C221F"/>
          <w:sz w:val="24"/>
          <w:szCs w:val="24"/>
        </w:rPr>
        <w:t>Instead</w:t>
      </w:r>
      <w:r w:rsidRPr="00461D74">
        <w:rPr>
          <w:rFonts w:ascii="Garamond" w:hAnsi="Garamond" w:cstheme="minorHAnsi"/>
          <w:iCs/>
          <w:color w:val="2C221F"/>
          <w:sz w:val="24"/>
          <w:szCs w:val="24"/>
        </w:rPr>
        <w:t xml:space="preserve">, </w:t>
      </w:r>
      <w:r w:rsidR="006E3718">
        <w:rPr>
          <w:rFonts w:ascii="Garamond" w:hAnsi="Garamond" w:cstheme="minorHAnsi"/>
          <w:iCs/>
          <w:color w:val="2C221F"/>
          <w:sz w:val="24"/>
          <w:szCs w:val="24"/>
        </w:rPr>
        <w:t xml:space="preserve">as I indicated earlier in the introduction to this thesis, </w:t>
      </w:r>
      <w:r w:rsidRPr="00461D74">
        <w:rPr>
          <w:rFonts w:ascii="Garamond" w:hAnsi="Garamond" w:cstheme="minorHAnsi"/>
          <w:iCs/>
          <w:color w:val="2C221F"/>
          <w:sz w:val="24"/>
          <w:szCs w:val="24"/>
        </w:rPr>
        <w:t xml:space="preserve">I am for the most part directing my argument to the MacIntyre we find at the end of </w:t>
      </w:r>
      <w:r w:rsidRPr="00461D74">
        <w:rPr>
          <w:rFonts w:ascii="Garamond" w:hAnsi="Garamond" w:cstheme="minorHAnsi"/>
          <w:i/>
          <w:iCs/>
          <w:color w:val="2C221F"/>
          <w:sz w:val="24"/>
          <w:szCs w:val="24"/>
        </w:rPr>
        <w:t>After Virtue</w:t>
      </w:r>
      <w:r w:rsidRPr="00461D74">
        <w:rPr>
          <w:rFonts w:ascii="Garamond" w:hAnsi="Garamond" w:cstheme="minorHAnsi"/>
          <w:iCs/>
          <w:color w:val="2C221F"/>
          <w:sz w:val="24"/>
          <w:szCs w:val="24"/>
        </w:rPr>
        <w:t xml:space="preserve">. I should emphasize that the MacIntyre at the end of </w:t>
      </w:r>
      <w:r w:rsidRPr="00461D74">
        <w:rPr>
          <w:rFonts w:ascii="Garamond" w:hAnsi="Garamond" w:cstheme="minorHAnsi"/>
          <w:i/>
          <w:iCs/>
          <w:color w:val="2C221F"/>
          <w:sz w:val="24"/>
          <w:szCs w:val="24"/>
        </w:rPr>
        <w:t>After Virtue</w:t>
      </w:r>
      <w:r w:rsidRPr="00461D74">
        <w:rPr>
          <w:rFonts w:ascii="Garamond" w:hAnsi="Garamond" w:cstheme="minorHAnsi"/>
          <w:iCs/>
          <w:color w:val="2C221F"/>
          <w:sz w:val="24"/>
          <w:szCs w:val="24"/>
        </w:rPr>
        <w:t xml:space="preserve"> </w:t>
      </w:r>
      <w:r w:rsidRPr="00461D74">
        <w:rPr>
          <w:rFonts w:ascii="Garamond" w:hAnsi="Garamond" w:cstheme="minorHAnsi"/>
          <w:i/>
          <w:iCs/>
          <w:color w:val="2C221F"/>
          <w:sz w:val="24"/>
          <w:szCs w:val="24"/>
        </w:rPr>
        <w:t>is</w:t>
      </w:r>
      <w:r w:rsidRPr="00461D74">
        <w:rPr>
          <w:rFonts w:ascii="Garamond" w:hAnsi="Garamond" w:cstheme="minorHAnsi"/>
          <w:iCs/>
          <w:color w:val="2C221F"/>
          <w:sz w:val="24"/>
          <w:szCs w:val="24"/>
        </w:rPr>
        <w:t xml:space="preserve"> </w:t>
      </w:r>
      <w:r w:rsidRPr="00461D74">
        <w:rPr>
          <w:rFonts w:ascii="Garamond" w:hAnsi="Garamond" w:cstheme="minorHAnsi"/>
          <w:i/>
          <w:iCs/>
          <w:color w:val="2C221F"/>
          <w:sz w:val="24"/>
          <w:szCs w:val="24"/>
        </w:rPr>
        <w:t>not</w:t>
      </w:r>
      <w:r w:rsidRPr="00461D74">
        <w:rPr>
          <w:rFonts w:ascii="Garamond" w:hAnsi="Garamond" w:cstheme="minorHAnsi"/>
          <w:iCs/>
          <w:color w:val="2C221F"/>
          <w:sz w:val="24"/>
          <w:szCs w:val="24"/>
        </w:rPr>
        <w:t xml:space="preserve"> committed to a substantive metaphysics;</w:t>
      </w:r>
      <w:r w:rsidR="000B1FD4" w:rsidRPr="000B1FD4">
        <w:rPr>
          <w:rStyle w:val="FootnoteReference"/>
          <w:rFonts w:ascii="Garamond" w:hAnsi="Garamond" w:cstheme="minorHAnsi"/>
          <w:iCs/>
          <w:color w:val="2C221F"/>
          <w:sz w:val="24"/>
          <w:szCs w:val="24"/>
        </w:rPr>
        <w:t xml:space="preserve"> </w:t>
      </w:r>
      <w:r w:rsidR="000B1FD4" w:rsidRPr="00461D74">
        <w:rPr>
          <w:rStyle w:val="FootnoteReference"/>
          <w:rFonts w:ascii="Garamond" w:hAnsi="Garamond" w:cstheme="minorHAnsi"/>
          <w:iCs/>
          <w:color w:val="2C221F"/>
          <w:sz w:val="24"/>
          <w:szCs w:val="24"/>
        </w:rPr>
        <w:footnoteReference w:id="261"/>
      </w:r>
      <w:r w:rsidRPr="00461D74">
        <w:rPr>
          <w:rFonts w:ascii="Garamond" w:hAnsi="Garamond" w:cstheme="minorHAnsi"/>
          <w:iCs/>
          <w:color w:val="2C221F"/>
          <w:sz w:val="24"/>
          <w:szCs w:val="24"/>
        </w:rPr>
        <w:t xml:space="preserve"> in fact he rejects Aristotle in part because he thinks that given </w:t>
      </w:r>
      <w:r w:rsidR="00392AD2">
        <w:rPr>
          <w:rFonts w:ascii="Garamond" w:hAnsi="Garamond" w:cstheme="minorHAnsi"/>
          <w:iCs/>
          <w:color w:val="2C221F"/>
          <w:sz w:val="24"/>
          <w:szCs w:val="24"/>
        </w:rPr>
        <w:t xml:space="preserve">the conditions that define </w:t>
      </w:r>
      <w:r w:rsidRPr="00461D74">
        <w:rPr>
          <w:rFonts w:ascii="Garamond" w:hAnsi="Garamond" w:cstheme="minorHAnsi"/>
          <w:iCs/>
          <w:color w:val="2C221F"/>
          <w:sz w:val="24"/>
          <w:szCs w:val="24"/>
        </w:rPr>
        <w:t>contemporary social life, we can’t make sense of a</w:t>
      </w:r>
      <w:r w:rsidR="000B1FD4">
        <w:rPr>
          <w:rFonts w:ascii="Garamond" w:hAnsi="Garamond" w:cstheme="minorHAnsi"/>
          <w:iCs/>
          <w:color w:val="2C221F"/>
          <w:sz w:val="24"/>
          <w:szCs w:val="24"/>
        </w:rPr>
        <w:t>n Aristotelian</w:t>
      </w:r>
      <w:r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lastRenderedPageBreak/>
        <w:t>metaphysical biology</w:t>
      </w:r>
      <w:r w:rsidR="000B1FD4">
        <w:rPr>
          <w:rFonts w:ascii="Garamond" w:hAnsi="Garamond" w:cstheme="minorHAnsi"/>
          <w:iCs/>
          <w:color w:val="2C221F"/>
          <w:sz w:val="24"/>
          <w:szCs w:val="24"/>
        </w:rPr>
        <w:t>,</w:t>
      </w:r>
      <w:r w:rsidR="00C233AB">
        <w:rPr>
          <w:rStyle w:val="FootnoteReference"/>
          <w:rFonts w:ascii="Garamond" w:hAnsi="Garamond" w:cstheme="minorHAnsi"/>
          <w:iCs/>
          <w:color w:val="2C221F"/>
          <w:sz w:val="24"/>
          <w:szCs w:val="24"/>
        </w:rPr>
        <w:footnoteReference w:id="262"/>
      </w:r>
      <w:r w:rsidRPr="00461D74">
        <w:rPr>
          <w:rFonts w:ascii="Garamond" w:hAnsi="Garamond" w:cstheme="minorHAnsi"/>
          <w:iCs/>
          <w:color w:val="2C221F"/>
          <w:sz w:val="24"/>
          <w:szCs w:val="24"/>
        </w:rPr>
        <w:t xml:space="preserve"> </w:t>
      </w:r>
      <w:r w:rsidR="000B1FD4">
        <w:rPr>
          <w:rFonts w:ascii="Garamond" w:hAnsi="Garamond" w:cstheme="minorHAnsi"/>
          <w:iCs/>
          <w:color w:val="2C221F"/>
          <w:sz w:val="24"/>
          <w:szCs w:val="24"/>
        </w:rPr>
        <w:t>which</w:t>
      </w:r>
      <w:r w:rsidR="000B1FD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could </w:t>
      </w:r>
      <w:r w:rsidR="000B1FD4">
        <w:rPr>
          <w:rFonts w:ascii="Garamond" w:hAnsi="Garamond" w:cstheme="minorHAnsi"/>
          <w:iCs/>
          <w:color w:val="2C221F"/>
          <w:sz w:val="24"/>
          <w:szCs w:val="24"/>
        </w:rPr>
        <w:t>underwrite</w:t>
      </w:r>
      <w:r w:rsidR="000B1FD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a viable conception of human flourishing.</w:t>
      </w:r>
    </w:p>
    <w:p w:rsidR="00665157" w:rsidRDefault="006F2B9D">
      <w:pPr>
        <w:spacing w:line="360" w:lineRule="auto"/>
        <w:ind w:firstLine="720"/>
        <w:jc w:val="both"/>
        <w:rPr>
          <w:rFonts w:ascii="Garamond" w:hAnsi="Garamond" w:cstheme="minorHAnsi"/>
          <w:iCs/>
          <w:color w:val="2C221F"/>
          <w:sz w:val="24"/>
          <w:szCs w:val="24"/>
        </w:rPr>
      </w:pPr>
      <w:r w:rsidRPr="00461D74">
        <w:rPr>
          <w:rFonts w:ascii="Garamond" w:hAnsi="Garamond" w:cstheme="minorHAnsi"/>
          <w:iCs/>
          <w:color w:val="2C221F"/>
          <w:sz w:val="24"/>
          <w:szCs w:val="24"/>
        </w:rPr>
        <w:t>Th</w:t>
      </w:r>
      <w:r>
        <w:rPr>
          <w:rFonts w:ascii="Garamond" w:hAnsi="Garamond" w:cstheme="minorHAnsi"/>
          <w:iCs/>
          <w:color w:val="2C221F"/>
          <w:sz w:val="24"/>
          <w:szCs w:val="24"/>
        </w:rPr>
        <w:t>erefore</w:t>
      </w:r>
      <w:r w:rsidR="00016049" w:rsidRPr="00461D74">
        <w:rPr>
          <w:rFonts w:ascii="Garamond" w:hAnsi="Garamond" w:cstheme="minorHAnsi"/>
          <w:iCs/>
          <w:color w:val="2C221F"/>
          <w:sz w:val="24"/>
          <w:szCs w:val="24"/>
        </w:rPr>
        <w:t xml:space="preserve">, </w:t>
      </w:r>
      <w:r>
        <w:rPr>
          <w:rFonts w:ascii="Garamond" w:hAnsi="Garamond" w:cstheme="minorHAnsi"/>
          <w:iCs/>
          <w:color w:val="2C221F"/>
          <w:sz w:val="24"/>
          <w:szCs w:val="24"/>
        </w:rPr>
        <w:t>my account ought to be viewed as an attempt to articulate</w:t>
      </w:r>
      <w:r w:rsidR="00016049" w:rsidRPr="00461D74">
        <w:rPr>
          <w:rFonts w:ascii="Garamond" w:hAnsi="Garamond" w:cstheme="minorHAnsi"/>
          <w:iCs/>
          <w:color w:val="2C221F"/>
          <w:sz w:val="24"/>
          <w:szCs w:val="24"/>
        </w:rPr>
        <w:t xml:space="preserve"> Dewey</w:t>
      </w:r>
      <w:r>
        <w:rPr>
          <w:rFonts w:ascii="Garamond" w:hAnsi="Garamond" w:cstheme="minorHAnsi"/>
          <w:iCs/>
          <w:color w:val="2C221F"/>
          <w:sz w:val="24"/>
          <w:szCs w:val="24"/>
        </w:rPr>
        <w:t xml:space="preserve">an democracy </w:t>
      </w:r>
      <w:r w:rsidR="00016049" w:rsidRPr="00461D74">
        <w:rPr>
          <w:rFonts w:ascii="Garamond" w:hAnsi="Garamond" w:cstheme="minorHAnsi"/>
          <w:iCs/>
          <w:color w:val="2C221F"/>
          <w:sz w:val="24"/>
          <w:szCs w:val="24"/>
        </w:rPr>
        <w:t xml:space="preserve">as a </w:t>
      </w:r>
      <w:r>
        <w:rPr>
          <w:rFonts w:ascii="Garamond" w:hAnsi="Garamond" w:cstheme="minorHAnsi"/>
          <w:iCs/>
          <w:color w:val="2C221F"/>
          <w:sz w:val="24"/>
          <w:szCs w:val="24"/>
        </w:rPr>
        <w:t xml:space="preserve">way of resolving </w:t>
      </w:r>
      <w:r w:rsidR="00016049" w:rsidRPr="00461D74">
        <w:rPr>
          <w:rFonts w:ascii="Garamond" w:hAnsi="Garamond" w:cstheme="minorHAnsi"/>
          <w:iCs/>
          <w:color w:val="2C221F"/>
          <w:sz w:val="24"/>
          <w:szCs w:val="24"/>
        </w:rPr>
        <w:t xml:space="preserve">the kinds of difficulty that MacIntyre faces at the end of </w:t>
      </w:r>
      <w:r w:rsidR="00016049" w:rsidRPr="00461D74">
        <w:rPr>
          <w:rFonts w:ascii="Garamond" w:hAnsi="Garamond" w:cstheme="minorHAnsi"/>
          <w:i/>
          <w:iCs/>
          <w:color w:val="2C221F"/>
          <w:sz w:val="24"/>
          <w:szCs w:val="24"/>
        </w:rPr>
        <w:t>After Virtue</w:t>
      </w:r>
      <w:r w:rsidR="00016049" w:rsidRPr="00461D74">
        <w:rPr>
          <w:rFonts w:ascii="Garamond" w:hAnsi="Garamond" w:cstheme="minorHAnsi"/>
          <w:iCs/>
          <w:color w:val="2C221F"/>
          <w:sz w:val="24"/>
          <w:szCs w:val="24"/>
        </w:rPr>
        <w:t xml:space="preserve">, and </w:t>
      </w:r>
      <w:r>
        <w:rPr>
          <w:rFonts w:ascii="Garamond" w:hAnsi="Garamond" w:cstheme="minorHAnsi"/>
          <w:iCs/>
          <w:color w:val="2C221F"/>
          <w:sz w:val="24"/>
          <w:szCs w:val="24"/>
        </w:rPr>
        <w:t xml:space="preserve">certainly </w:t>
      </w:r>
      <w:r w:rsidR="00016049" w:rsidRPr="00461D74">
        <w:rPr>
          <w:rFonts w:ascii="Garamond" w:hAnsi="Garamond" w:cstheme="minorHAnsi"/>
          <w:iCs/>
          <w:color w:val="2C221F"/>
          <w:sz w:val="24"/>
          <w:szCs w:val="24"/>
        </w:rPr>
        <w:t xml:space="preserve">after the criticisms levelled against MacIntyre’s three-fold account of the virtues, by Bernstein and </w:t>
      </w:r>
      <w:proofErr w:type="spellStart"/>
      <w:r w:rsidR="00016049" w:rsidRPr="00461D74">
        <w:rPr>
          <w:rFonts w:ascii="Garamond" w:hAnsi="Garamond" w:cstheme="minorHAnsi"/>
          <w:iCs/>
          <w:color w:val="2C221F"/>
          <w:sz w:val="24"/>
          <w:szCs w:val="24"/>
        </w:rPr>
        <w:t>Schneewind</w:t>
      </w:r>
      <w:proofErr w:type="spellEnd"/>
      <w:r w:rsidR="00016049" w:rsidRPr="00461D74">
        <w:rPr>
          <w:rFonts w:ascii="Garamond" w:hAnsi="Garamond" w:cstheme="minorHAnsi"/>
          <w:iCs/>
          <w:color w:val="2C221F"/>
          <w:sz w:val="24"/>
          <w:szCs w:val="24"/>
        </w:rPr>
        <w:t>. Recall that the whole crisis of morality</w:t>
      </w:r>
      <w:r>
        <w:rPr>
          <w:rFonts w:ascii="Garamond" w:hAnsi="Garamond" w:cstheme="minorHAnsi"/>
          <w:iCs/>
          <w:color w:val="2C221F"/>
          <w:sz w:val="24"/>
          <w:szCs w:val="24"/>
        </w:rPr>
        <w:t>, on MacIntyre’s view,</w:t>
      </w:r>
      <w:r w:rsidR="00016049" w:rsidRPr="00461D74">
        <w:rPr>
          <w:rFonts w:ascii="Garamond" w:hAnsi="Garamond" w:cstheme="minorHAnsi"/>
          <w:iCs/>
          <w:color w:val="2C221F"/>
          <w:sz w:val="24"/>
          <w:szCs w:val="24"/>
        </w:rPr>
        <w:t xml:space="preserve"> is </w:t>
      </w:r>
      <w:r w:rsidR="00411133">
        <w:rPr>
          <w:rFonts w:ascii="Garamond" w:hAnsi="Garamond" w:cstheme="minorHAnsi"/>
          <w:iCs/>
          <w:color w:val="2C221F"/>
          <w:sz w:val="24"/>
          <w:szCs w:val="24"/>
        </w:rPr>
        <w:t>primarily</w:t>
      </w:r>
      <w:r>
        <w:rPr>
          <w:rFonts w:ascii="Garamond" w:hAnsi="Garamond" w:cstheme="minorHAnsi"/>
          <w:iCs/>
          <w:color w:val="2C221F"/>
          <w:sz w:val="24"/>
          <w:szCs w:val="24"/>
        </w:rPr>
        <w:t xml:space="preserve"> blamed on</w:t>
      </w:r>
      <w:r w:rsidR="00016049" w:rsidRPr="00461D74">
        <w:rPr>
          <w:rFonts w:ascii="Garamond" w:hAnsi="Garamond" w:cstheme="minorHAnsi"/>
          <w:iCs/>
          <w:color w:val="2C221F"/>
          <w:sz w:val="24"/>
          <w:szCs w:val="24"/>
        </w:rPr>
        <w:t xml:space="preserve"> the </w:t>
      </w:r>
      <w:r>
        <w:rPr>
          <w:rFonts w:ascii="Garamond" w:hAnsi="Garamond" w:cstheme="minorHAnsi"/>
          <w:iCs/>
          <w:color w:val="2C221F"/>
          <w:sz w:val="24"/>
          <w:szCs w:val="24"/>
        </w:rPr>
        <w:t xml:space="preserve">loss of the </w:t>
      </w:r>
      <w:r w:rsidR="00016049" w:rsidRPr="00461D74">
        <w:rPr>
          <w:rFonts w:ascii="Garamond" w:hAnsi="Garamond" w:cstheme="minorHAnsi"/>
          <w:iCs/>
          <w:color w:val="2C221F"/>
          <w:sz w:val="24"/>
          <w:szCs w:val="24"/>
        </w:rPr>
        <w:t xml:space="preserve">functional/teleological </w:t>
      </w:r>
      <w:r>
        <w:rPr>
          <w:rFonts w:ascii="Garamond" w:hAnsi="Garamond" w:cstheme="minorHAnsi"/>
          <w:iCs/>
          <w:color w:val="2C221F"/>
          <w:sz w:val="24"/>
          <w:szCs w:val="24"/>
        </w:rPr>
        <w:t>forms of explanation</w:t>
      </w:r>
      <w:r w:rsidRPr="00461D74">
        <w:rPr>
          <w:rFonts w:ascii="Garamond" w:hAnsi="Garamond" w:cstheme="minorHAnsi"/>
          <w:iCs/>
          <w:color w:val="2C221F"/>
          <w:sz w:val="24"/>
          <w:szCs w:val="24"/>
        </w:rPr>
        <w:t xml:space="preserve"> </w:t>
      </w:r>
      <w:r w:rsidR="00016049" w:rsidRPr="00461D74">
        <w:rPr>
          <w:rFonts w:ascii="Garamond" w:hAnsi="Garamond" w:cstheme="minorHAnsi"/>
          <w:iCs/>
          <w:color w:val="2C221F"/>
          <w:sz w:val="24"/>
          <w:szCs w:val="24"/>
        </w:rPr>
        <w:t xml:space="preserve">in ethics. MacIntyre argued in </w:t>
      </w:r>
      <w:r w:rsidR="00016049" w:rsidRPr="00461D74">
        <w:rPr>
          <w:rFonts w:ascii="Garamond" w:hAnsi="Garamond" w:cstheme="minorHAnsi"/>
          <w:i/>
          <w:iCs/>
          <w:color w:val="2C221F"/>
          <w:sz w:val="24"/>
          <w:szCs w:val="24"/>
        </w:rPr>
        <w:t>After Virtue</w:t>
      </w:r>
      <w:r w:rsidR="00016049" w:rsidRPr="00461D74">
        <w:rPr>
          <w:rFonts w:ascii="Garamond" w:hAnsi="Garamond" w:cstheme="minorHAnsi"/>
          <w:iCs/>
          <w:color w:val="2C221F"/>
          <w:sz w:val="24"/>
          <w:szCs w:val="24"/>
        </w:rPr>
        <w:t xml:space="preserve"> that all of the various enlightenment efforts to independently justify morality failed, precisely because they could no longer rely on the teleological resources in Aristotle. </w:t>
      </w:r>
      <w:r w:rsidR="00626B15">
        <w:rPr>
          <w:rFonts w:ascii="Garamond" w:hAnsi="Garamond" w:cstheme="minorHAnsi"/>
          <w:iCs/>
          <w:color w:val="2C221F"/>
          <w:sz w:val="24"/>
          <w:szCs w:val="24"/>
        </w:rPr>
        <w:t xml:space="preserve">And </w:t>
      </w:r>
      <w:r w:rsidR="00016049" w:rsidRPr="00461D74">
        <w:rPr>
          <w:rFonts w:ascii="Garamond" w:hAnsi="Garamond" w:cstheme="minorHAnsi"/>
          <w:iCs/>
          <w:color w:val="2C221F"/>
          <w:sz w:val="24"/>
          <w:szCs w:val="24"/>
        </w:rPr>
        <w:t xml:space="preserve">MacIntyre’s three-fold account of the virtues in </w:t>
      </w:r>
      <w:r w:rsidR="00016049" w:rsidRPr="00461D74">
        <w:rPr>
          <w:rFonts w:ascii="Garamond" w:hAnsi="Garamond" w:cstheme="minorHAnsi"/>
          <w:i/>
          <w:iCs/>
          <w:color w:val="2C221F"/>
          <w:sz w:val="24"/>
          <w:szCs w:val="24"/>
        </w:rPr>
        <w:t>After Virtue</w:t>
      </w:r>
      <w:r w:rsidR="00016049" w:rsidRPr="00461D74">
        <w:rPr>
          <w:rFonts w:ascii="Garamond" w:hAnsi="Garamond" w:cstheme="minorHAnsi"/>
          <w:iCs/>
          <w:color w:val="2C221F"/>
          <w:sz w:val="24"/>
          <w:szCs w:val="24"/>
        </w:rPr>
        <w:t xml:space="preserve"> is a kind of </w:t>
      </w:r>
      <w:r w:rsidR="00626B15">
        <w:rPr>
          <w:rFonts w:ascii="Garamond" w:hAnsi="Garamond" w:cstheme="minorHAnsi"/>
          <w:iCs/>
          <w:color w:val="2C221F"/>
          <w:sz w:val="24"/>
          <w:szCs w:val="24"/>
        </w:rPr>
        <w:t xml:space="preserve">social </w:t>
      </w:r>
      <w:r w:rsidR="00016049" w:rsidRPr="00461D74">
        <w:rPr>
          <w:rFonts w:ascii="Garamond" w:hAnsi="Garamond" w:cstheme="minorHAnsi"/>
          <w:iCs/>
          <w:color w:val="2C221F"/>
          <w:sz w:val="24"/>
          <w:szCs w:val="24"/>
        </w:rPr>
        <w:t xml:space="preserve">teleology. Nonetheless, both Bernstein and </w:t>
      </w:r>
      <w:proofErr w:type="spellStart"/>
      <w:r w:rsidR="00016049" w:rsidRPr="00461D74">
        <w:rPr>
          <w:rFonts w:ascii="Garamond" w:hAnsi="Garamond" w:cstheme="minorHAnsi"/>
          <w:iCs/>
          <w:color w:val="2C221F"/>
          <w:sz w:val="24"/>
          <w:szCs w:val="24"/>
        </w:rPr>
        <w:t>Schneewind</w:t>
      </w:r>
      <w:proofErr w:type="spellEnd"/>
      <w:r w:rsidR="00016049" w:rsidRPr="00461D74">
        <w:rPr>
          <w:rFonts w:ascii="Garamond" w:hAnsi="Garamond" w:cstheme="minorHAnsi"/>
          <w:iCs/>
          <w:color w:val="2C221F"/>
          <w:sz w:val="24"/>
          <w:szCs w:val="24"/>
        </w:rPr>
        <w:t xml:space="preserve"> separately argued that MacIntyre’s three-fold concept of the virtues doesn’t furnish him with an adequate conception of flourishing, </w:t>
      </w:r>
      <w:r w:rsidR="00626B15">
        <w:rPr>
          <w:rFonts w:ascii="Garamond" w:hAnsi="Garamond" w:cstheme="minorHAnsi"/>
          <w:iCs/>
          <w:color w:val="2C221F"/>
          <w:sz w:val="24"/>
          <w:szCs w:val="24"/>
        </w:rPr>
        <w:t>primarily</w:t>
      </w:r>
      <w:r w:rsidR="00016049" w:rsidRPr="00461D74">
        <w:rPr>
          <w:rFonts w:ascii="Garamond" w:hAnsi="Garamond" w:cstheme="minorHAnsi"/>
          <w:iCs/>
          <w:color w:val="2C221F"/>
          <w:sz w:val="24"/>
          <w:szCs w:val="24"/>
        </w:rPr>
        <w:t xml:space="preserve"> because it</w:t>
      </w:r>
      <w:r w:rsidR="00626B15">
        <w:rPr>
          <w:rFonts w:ascii="Garamond" w:hAnsi="Garamond" w:cstheme="minorHAnsi"/>
          <w:iCs/>
          <w:color w:val="2C221F"/>
          <w:sz w:val="24"/>
          <w:szCs w:val="24"/>
        </w:rPr>
        <w:t xml:space="preserve"> lacks a distinct conception of flourishing, and thus</w:t>
      </w:r>
      <w:r w:rsidR="00016049" w:rsidRPr="00461D74">
        <w:rPr>
          <w:rFonts w:ascii="Garamond" w:hAnsi="Garamond" w:cstheme="minorHAnsi"/>
          <w:iCs/>
          <w:color w:val="2C221F"/>
          <w:sz w:val="24"/>
          <w:szCs w:val="24"/>
        </w:rPr>
        <w:t xml:space="preserve"> generates a heterogeneous set of goods that are not easily reconcilable</w:t>
      </w:r>
      <w:r w:rsidR="00626B15">
        <w:rPr>
          <w:rFonts w:ascii="Garamond" w:hAnsi="Garamond" w:cstheme="minorHAnsi"/>
          <w:iCs/>
          <w:color w:val="2C221F"/>
          <w:sz w:val="24"/>
          <w:szCs w:val="24"/>
        </w:rPr>
        <w:t>. Therefore, under MacIntyre’s account, we do not have compelling reason to order the goods in one way as opposed to another, and consequently, we cannot definitively endorse a distinctive way of life in terms of its characteristic opposition to other ways of life</w:t>
      </w:r>
      <w:r w:rsidR="00BB340D">
        <w:rPr>
          <w:rFonts w:ascii="Garamond" w:hAnsi="Garamond" w:cstheme="minorHAnsi"/>
          <w:iCs/>
          <w:color w:val="2C221F"/>
          <w:sz w:val="24"/>
          <w:szCs w:val="24"/>
        </w:rPr>
        <w:t>, owing to the fact that</w:t>
      </w:r>
      <w:r w:rsidR="00016049" w:rsidRPr="00461D74">
        <w:rPr>
          <w:rFonts w:ascii="Garamond" w:hAnsi="Garamond" w:cstheme="minorHAnsi"/>
          <w:iCs/>
          <w:color w:val="2C221F"/>
          <w:sz w:val="24"/>
          <w:szCs w:val="24"/>
        </w:rPr>
        <w:t xml:space="preserve"> MacIntyre’s definition of the good</w:t>
      </w:r>
      <w:r w:rsidR="00BB340D">
        <w:rPr>
          <w:rFonts w:ascii="Garamond" w:hAnsi="Garamond" w:cstheme="minorHAnsi"/>
          <w:iCs/>
          <w:color w:val="2C221F"/>
          <w:sz w:val="24"/>
          <w:szCs w:val="24"/>
        </w:rPr>
        <w:t>,</w:t>
      </w:r>
      <w:r w:rsidR="00016049" w:rsidRPr="00461D74">
        <w:rPr>
          <w:rFonts w:ascii="Garamond" w:hAnsi="Garamond" w:cstheme="minorHAnsi"/>
          <w:iCs/>
          <w:color w:val="2C221F"/>
          <w:sz w:val="24"/>
          <w:szCs w:val="24"/>
        </w:rPr>
        <w:t xml:space="preserve"> </w:t>
      </w:r>
      <w:r w:rsidR="00BB340D">
        <w:rPr>
          <w:rFonts w:ascii="Garamond" w:hAnsi="Garamond" w:cstheme="minorHAnsi"/>
          <w:iCs/>
          <w:color w:val="2C221F"/>
          <w:sz w:val="24"/>
          <w:szCs w:val="24"/>
        </w:rPr>
        <w:t>which</w:t>
      </w:r>
      <w:r w:rsidR="00BB340D" w:rsidRPr="00461D74">
        <w:rPr>
          <w:rFonts w:ascii="Garamond" w:hAnsi="Garamond" w:cstheme="minorHAnsi"/>
          <w:iCs/>
          <w:color w:val="2C221F"/>
          <w:sz w:val="24"/>
          <w:szCs w:val="24"/>
        </w:rPr>
        <w:t xml:space="preserve"> </w:t>
      </w:r>
      <w:r w:rsidR="00016049" w:rsidRPr="00461D74">
        <w:rPr>
          <w:rFonts w:ascii="Garamond" w:hAnsi="Garamond" w:cstheme="minorHAnsi"/>
          <w:iCs/>
          <w:color w:val="2C221F"/>
          <w:sz w:val="24"/>
          <w:szCs w:val="24"/>
        </w:rPr>
        <w:t xml:space="preserve">underpins his three-fold concept of the virtue is </w:t>
      </w:r>
      <w:r w:rsidR="00BB340D">
        <w:rPr>
          <w:rFonts w:ascii="Garamond" w:hAnsi="Garamond" w:cstheme="minorHAnsi"/>
          <w:iCs/>
          <w:color w:val="2C221F"/>
          <w:sz w:val="24"/>
          <w:szCs w:val="24"/>
        </w:rPr>
        <w:t xml:space="preserve">much </w:t>
      </w:r>
      <w:r w:rsidR="00016049" w:rsidRPr="00461D74">
        <w:rPr>
          <w:rFonts w:ascii="Garamond" w:hAnsi="Garamond" w:cstheme="minorHAnsi"/>
          <w:iCs/>
          <w:color w:val="2C221F"/>
          <w:sz w:val="24"/>
          <w:szCs w:val="24"/>
        </w:rPr>
        <w:t>too open-ended</w:t>
      </w:r>
      <w:r w:rsidR="00BB340D">
        <w:rPr>
          <w:rFonts w:ascii="Garamond" w:hAnsi="Garamond" w:cstheme="minorHAnsi"/>
          <w:iCs/>
          <w:color w:val="2C221F"/>
          <w:sz w:val="24"/>
          <w:szCs w:val="24"/>
        </w:rPr>
        <w:t>,</w:t>
      </w:r>
      <w:r w:rsidR="00016049" w:rsidRPr="00461D74">
        <w:rPr>
          <w:rFonts w:ascii="Garamond" w:hAnsi="Garamond" w:cstheme="minorHAnsi"/>
          <w:iCs/>
          <w:color w:val="2C221F"/>
          <w:sz w:val="24"/>
          <w:szCs w:val="24"/>
        </w:rPr>
        <w:t xml:space="preserve"> and </w:t>
      </w:r>
      <w:r w:rsidR="00BB340D">
        <w:rPr>
          <w:rFonts w:ascii="Garamond" w:hAnsi="Garamond" w:cstheme="minorHAnsi"/>
          <w:iCs/>
          <w:color w:val="2C221F"/>
          <w:sz w:val="24"/>
          <w:szCs w:val="24"/>
        </w:rPr>
        <w:t>as a consequence</w:t>
      </w:r>
      <w:r w:rsidR="00BB340D" w:rsidRPr="00461D74">
        <w:rPr>
          <w:rFonts w:ascii="Garamond" w:hAnsi="Garamond" w:cstheme="minorHAnsi"/>
          <w:iCs/>
          <w:color w:val="2C221F"/>
          <w:sz w:val="24"/>
          <w:szCs w:val="24"/>
        </w:rPr>
        <w:t xml:space="preserve"> </w:t>
      </w:r>
      <w:r w:rsidR="00016049" w:rsidRPr="00461D74">
        <w:rPr>
          <w:rFonts w:ascii="Garamond" w:hAnsi="Garamond" w:cstheme="minorHAnsi"/>
          <w:iCs/>
          <w:color w:val="2C221F"/>
          <w:sz w:val="24"/>
          <w:szCs w:val="24"/>
        </w:rPr>
        <w:t>generates varied conceptions of the good life.</w:t>
      </w:r>
      <w:r w:rsidR="00016049" w:rsidRPr="00461D74">
        <w:rPr>
          <w:rStyle w:val="FootnoteReference"/>
          <w:rFonts w:ascii="Garamond" w:hAnsi="Garamond" w:cstheme="minorHAnsi"/>
          <w:iCs/>
          <w:color w:val="2C221F"/>
          <w:sz w:val="24"/>
          <w:szCs w:val="24"/>
        </w:rPr>
        <w:footnoteReference w:id="263"/>
      </w:r>
    </w:p>
    <w:p w:rsidR="00665157" w:rsidRDefault="00016049">
      <w:pPr>
        <w:spacing w:line="360" w:lineRule="auto"/>
        <w:ind w:firstLine="720"/>
        <w:jc w:val="both"/>
        <w:rPr>
          <w:rFonts w:ascii="Garamond" w:hAnsi="Garamond" w:cstheme="minorHAnsi"/>
          <w:iCs/>
          <w:color w:val="2C221F"/>
          <w:sz w:val="24"/>
          <w:szCs w:val="24"/>
        </w:rPr>
      </w:pPr>
      <w:r w:rsidRPr="00461D74">
        <w:rPr>
          <w:rFonts w:ascii="Garamond" w:hAnsi="Garamond" w:cstheme="minorHAnsi"/>
          <w:iCs/>
          <w:color w:val="2C221F"/>
          <w:sz w:val="24"/>
          <w:szCs w:val="24"/>
        </w:rPr>
        <w:lastRenderedPageBreak/>
        <w:t>However, I would like to suggest that Dewey’s teleology in his democracy as a way of life thesis offers MacIntyre the type of resources that could support a more empirical Neo</w:t>
      </w:r>
      <w:r w:rsidR="00B5575A" w:rsidRPr="00461D74">
        <w:rPr>
          <w:rFonts w:ascii="Garamond" w:hAnsi="Garamond" w:cstheme="minorHAnsi"/>
          <w:iCs/>
          <w:color w:val="2C221F"/>
          <w:sz w:val="24"/>
          <w:szCs w:val="24"/>
        </w:rPr>
        <w:t>-</w:t>
      </w:r>
      <w:proofErr w:type="spellStart"/>
      <w:r w:rsidRPr="00461D74">
        <w:rPr>
          <w:rFonts w:ascii="Garamond" w:hAnsi="Garamond" w:cstheme="minorHAnsi"/>
          <w:iCs/>
          <w:color w:val="2C221F"/>
          <w:sz w:val="24"/>
          <w:szCs w:val="24"/>
        </w:rPr>
        <w:t>Aristotelianism</w:t>
      </w:r>
      <w:proofErr w:type="spellEnd"/>
      <w:r w:rsidRPr="00461D74">
        <w:rPr>
          <w:rFonts w:ascii="Garamond" w:hAnsi="Garamond" w:cstheme="minorHAnsi"/>
          <w:iCs/>
          <w:color w:val="2C221F"/>
          <w:sz w:val="24"/>
          <w:szCs w:val="24"/>
        </w:rPr>
        <w:t xml:space="preserve">. Dewey’s teleology, namely, democracy as a way of life, allows us to fully explore and realise our human potential, in harmony with the common good of the community as a whole. This of course means that Dewey’s teleology </w:t>
      </w:r>
      <w:r w:rsidR="005C2574">
        <w:rPr>
          <w:rFonts w:ascii="Garamond" w:hAnsi="Garamond" w:cstheme="minorHAnsi"/>
          <w:iCs/>
          <w:color w:val="2C221F"/>
          <w:sz w:val="24"/>
          <w:szCs w:val="24"/>
        </w:rPr>
        <w:t>or</w:t>
      </w:r>
      <w:r w:rsidR="005C257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democracy as a way of life and his conception of flourishing </w:t>
      </w:r>
      <w:r w:rsidR="005C2574">
        <w:rPr>
          <w:rFonts w:ascii="Garamond" w:hAnsi="Garamond" w:cstheme="minorHAnsi"/>
          <w:iCs/>
          <w:color w:val="2C221F"/>
          <w:sz w:val="24"/>
          <w:szCs w:val="24"/>
        </w:rPr>
        <w:t>are</w:t>
      </w:r>
      <w:r w:rsidR="005C257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irreducibly social and political. Human beings flourish within the context of a community, </w:t>
      </w:r>
      <w:r w:rsidR="005C2574">
        <w:rPr>
          <w:rFonts w:ascii="Garamond" w:hAnsi="Garamond" w:cstheme="minorHAnsi"/>
          <w:iCs/>
          <w:color w:val="2C221F"/>
          <w:sz w:val="24"/>
          <w:szCs w:val="24"/>
        </w:rPr>
        <w:t xml:space="preserve">and </w:t>
      </w:r>
      <w:r w:rsidRPr="00461D74">
        <w:rPr>
          <w:rFonts w:ascii="Garamond" w:hAnsi="Garamond" w:cstheme="minorHAnsi"/>
          <w:iCs/>
          <w:color w:val="2C221F"/>
          <w:sz w:val="24"/>
          <w:szCs w:val="24"/>
        </w:rPr>
        <w:t xml:space="preserve">as a member of </w:t>
      </w:r>
      <w:r w:rsidR="005C2574">
        <w:rPr>
          <w:rFonts w:ascii="Garamond" w:hAnsi="Garamond" w:cstheme="minorHAnsi"/>
          <w:iCs/>
          <w:color w:val="2C221F"/>
          <w:sz w:val="24"/>
          <w:szCs w:val="24"/>
        </w:rPr>
        <w:t>some</w:t>
      </w:r>
      <w:r w:rsidR="005C257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community. That is, human beings realise their potential in their interactions with the larger community, and through their interdependencies with other members of that community. Hence, Dewey’s </w:t>
      </w:r>
      <w:r w:rsidR="005C2574">
        <w:rPr>
          <w:rFonts w:ascii="Garamond" w:hAnsi="Garamond" w:cstheme="minorHAnsi"/>
          <w:iCs/>
          <w:color w:val="2C221F"/>
          <w:sz w:val="24"/>
          <w:szCs w:val="24"/>
        </w:rPr>
        <w:t>account</w:t>
      </w:r>
      <w:r w:rsidR="005C2574" w:rsidRPr="00461D74">
        <w:rPr>
          <w:rFonts w:ascii="Garamond" w:hAnsi="Garamond" w:cstheme="minorHAnsi"/>
          <w:iCs/>
          <w:color w:val="2C221F"/>
          <w:sz w:val="24"/>
          <w:szCs w:val="24"/>
        </w:rPr>
        <w:t xml:space="preserve"> </w:t>
      </w:r>
      <w:r w:rsidR="005C2574">
        <w:rPr>
          <w:rFonts w:ascii="Garamond" w:hAnsi="Garamond" w:cstheme="minorHAnsi"/>
          <w:iCs/>
          <w:color w:val="2C221F"/>
          <w:sz w:val="24"/>
          <w:szCs w:val="24"/>
        </w:rPr>
        <w:t>remains</w:t>
      </w:r>
      <w:r w:rsidR="005C2574" w:rsidRPr="00461D74">
        <w:rPr>
          <w:rFonts w:ascii="Garamond" w:hAnsi="Garamond" w:cstheme="minorHAnsi"/>
          <w:iCs/>
          <w:color w:val="2C221F"/>
          <w:sz w:val="24"/>
          <w:szCs w:val="24"/>
        </w:rPr>
        <w:t xml:space="preserve"> </w:t>
      </w:r>
      <w:r w:rsidRPr="00461D74">
        <w:rPr>
          <w:rFonts w:ascii="Garamond" w:hAnsi="Garamond" w:cstheme="minorHAnsi"/>
          <w:iCs/>
          <w:color w:val="2C221F"/>
          <w:sz w:val="24"/>
          <w:szCs w:val="24"/>
        </w:rPr>
        <w:t xml:space="preserve">social and political, because for Dewey ethics and politics are continuous – namely, that human beings ultimately </w:t>
      </w:r>
      <w:r w:rsidR="005C2574" w:rsidRPr="00461D74">
        <w:rPr>
          <w:rFonts w:ascii="Garamond" w:hAnsi="Garamond" w:cstheme="minorHAnsi"/>
          <w:iCs/>
          <w:color w:val="2C221F"/>
          <w:sz w:val="24"/>
          <w:szCs w:val="24"/>
        </w:rPr>
        <w:t xml:space="preserve">flourish </w:t>
      </w:r>
      <w:r w:rsidRPr="00461D74">
        <w:rPr>
          <w:rFonts w:ascii="Garamond" w:hAnsi="Garamond" w:cstheme="minorHAnsi"/>
          <w:iCs/>
          <w:color w:val="2C221F"/>
          <w:sz w:val="24"/>
          <w:szCs w:val="24"/>
        </w:rPr>
        <w:t>as social and political organisms.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Nonetheless, a new problem </w:t>
      </w:r>
      <w:r w:rsidR="00043ECF">
        <w:rPr>
          <w:rFonts w:ascii="Garamond" w:hAnsi="Garamond"/>
          <w:sz w:val="24"/>
          <w:szCs w:val="24"/>
        </w:rPr>
        <w:t>appears</w:t>
      </w:r>
      <w:r w:rsidRPr="00461D74">
        <w:rPr>
          <w:rFonts w:ascii="Garamond" w:hAnsi="Garamond"/>
          <w:sz w:val="24"/>
          <w:szCs w:val="24"/>
        </w:rPr>
        <w:t xml:space="preserve"> to emerge at this point, which could make Dewey’s approach as problematic as MacIntyre’s. The problem </w:t>
      </w:r>
      <w:r w:rsidR="00043ECF">
        <w:rPr>
          <w:rFonts w:ascii="Garamond" w:hAnsi="Garamond"/>
          <w:sz w:val="24"/>
          <w:szCs w:val="24"/>
        </w:rPr>
        <w:t>surfaces owing to the fact that</w:t>
      </w:r>
      <w:r w:rsidRPr="00461D74">
        <w:rPr>
          <w:rFonts w:ascii="Garamond" w:hAnsi="Garamond"/>
          <w:sz w:val="24"/>
          <w:szCs w:val="24"/>
        </w:rPr>
        <w:t xml:space="preserve"> Dewey’s conception of </w:t>
      </w:r>
      <w:r w:rsidR="00411133">
        <w:rPr>
          <w:rFonts w:ascii="Garamond" w:hAnsi="Garamond"/>
          <w:sz w:val="24"/>
          <w:szCs w:val="24"/>
        </w:rPr>
        <w:t>g</w:t>
      </w:r>
      <w:r w:rsidRPr="00461D74">
        <w:rPr>
          <w:rFonts w:ascii="Garamond" w:hAnsi="Garamond"/>
          <w:sz w:val="24"/>
          <w:szCs w:val="24"/>
        </w:rPr>
        <w:t>rowth and flourishing only makes sense if we assume that the method of inquiry can apply equally to ethics, as it does in science. Dewey argues that</w:t>
      </w:r>
      <w:r w:rsidR="0090221A">
        <w:rPr>
          <w:rFonts w:ascii="Garamond" w:hAnsi="Garamond"/>
          <w:sz w:val="24"/>
          <w:szCs w:val="24"/>
        </w:rPr>
        <w:t>,</w:t>
      </w:r>
      <w:r w:rsidRPr="00461D74">
        <w:rPr>
          <w:rFonts w:ascii="Garamond" w:hAnsi="Garamond"/>
          <w:sz w:val="24"/>
          <w:szCs w:val="24"/>
        </w:rPr>
        <w:t xml:space="preserve"> more or less</w:t>
      </w:r>
      <w:r w:rsidR="0090221A">
        <w:rPr>
          <w:rFonts w:ascii="Garamond" w:hAnsi="Garamond"/>
          <w:sz w:val="24"/>
          <w:szCs w:val="24"/>
        </w:rPr>
        <w:t>,</w:t>
      </w:r>
      <w:r w:rsidRPr="00461D74">
        <w:rPr>
          <w:rFonts w:ascii="Garamond" w:hAnsi="Garamond"/>
          <w:sz w:val="24"/>
          <w:szCs w:val="24"/>
        </w:rPr>
        <w:t xml:space="preserve"> similar methods of inquiry – experimentalism, fallibilism, amelioration (or problem solving) – </w:t>
      </w:r>
      <w:r w:rsidR="0090221A">
        <w:rPr>
          <w:rFonts w:ascii="Garamond" w:hAnsi="Garamond"/>
          <w:sz w:val="24"/>
          <w:szCs w:val="24"/>
        </w:rPr>
        <w:t>employed</w:t>
      </w:r>
      <w:r w:rsidRPr="00461D74">
        <w:rPr>
          <w:rFonts w:ascii="Garamond" w:hAnsi="Garamond"/>
          <w:sz w:val="24"/>
          <w:szCs w:val="24"/>
        </w:rPr>
        <w:t xml:space="preserve"> in the sciences can be utilised in ethical and normative inquiry. Now, the immediate objection that one could raise is that drawing this sort of parallel between science and ethics is a dubious move; and that moral inquiry just isn’t the same sort of activity as scientific inquiry into </w:t>
      </w:r>
      <w:r w:rsidR="0090221A">
        <w:rPr>
          <w:rFonts w:ascii="Garamond" w:hAnsi="Garamond"/>
          <w:sz w:val="24"/>
          <w:szCs w:val="24"/>
        </w:rPr>
        <w:t xml:space="preserve">the workings of </w:t>
      </w:r>
      <w:r w:rsidRPr="00461D74">
        <w:rPr>
          <w:rFonts w:ascii="Garamond" w:hAnsi="Garamond"/>
          <w:sz w:val="24"/>
          <w:szCs w:val="24"/>
        </w:rPr>
        <w:t>the physical world.</w:t>
      </w:r>
    </w:p>
    <w:p w:rsidR="00E66D70"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When it comes to scientific inquiry into the physical world, theory proposes a model that makes a certain number of predictions with which we can test observation sentences. If the theory works – namely, that those observations sentences are not rejected – it is able to describe </w:t>
      </w:r>
      <w:r w:rsidR="005940F2">
        <w:rPr>
          <w:rFonts w:ascii="Garamond" w:hAnsi="Garamond"/>
          <w:sz w:val="24"/>
          <w:szCs w:val="24"/>
        </w:rPr>
        <w:t>some physical</w:t>
      </w:r>
      <w:r w:rsidR="005940F2" w:rsidRPr="00461D74">
        <w:rPr>
          <w:rFonts w:ascii="Garamond" w:hAnsi="Garamond"/>
          <w:sz w:val="24"/>
          <w:szCs w:val="24"/>
        </w:rPr>
        <w:t xml:space="preserve"> </w:t>
      </w:r>
      <w:r w:rsidRPr="00461D74">
        <w:rPr>
          <w:rFonts w:ascii="Garamond" w:hAnsi="Garamond"/>
          <w:sz w:val="24"/>
          <w:szCs w:val="24"/>
        </w:rPr>
        <w:t xml:space="preserve">phenomenon and predict it more or less regularly. Now, the theory’s observation sentences track </w:t>
      </w:r>
      <w:r w:rsidRPr="00461D74">
        <w:rPr>
          <w:rFonts w:ascii="Garamond" w:hAnsi="Garamond"/>
          <w:sz w:val="24"/>
          <w:szCs w:val="24"/>
        </w:rPr>
        <w:lastRenderedPageBreak/>
        <w:t xml:space="preserve">physical objects in the world. On the other hand, in ethical inquiry we don’t really track physical phenomena in the world in the way science does, because for one, normative phenomena are much too complex to be described using methods of science. But, much more importantly, scientific models offer observation sentences that track some physical phenomena in the world. However, normative inquiry doesn’t track any physical facts </w:t>
      </w:r>
      <w:r w:rsidR="001D7B8C">
        <w:rPr>
          <w:rFonts w:ascii="Garamond" w:hAnsi="Garamond"/>
          <w:sz w:val="24"/>
          <w:szCs w:val="24"/>
        </w:rPr>
        <w:t>which</w:t>
      </w:r>
      <w:r w:rsidR="004A6092">
        <w:rPr>
          <w:rFonts w:ascii="Garamond" w:hAnsi="Garamond"/>
          <w:sz w:val="24"/>
          <w:szCs w:val="24"/>
        </w:rPr>
        <w:t xml:space="preserve"> correspond to</w:t>
      </w:r>
      <w:r w:rsidR="004A6092" w:rsidRPr="00461D74">
        <w:rPr>
          <w:rFonts w:ascii="Garamond" w:hAnsi="Garamond"/>
          <w:sz w:val="24"/>
          <w:szCs w:val="24"/>
        </w:rPr>
        <w:t xml:space="preserve"> </w:t>
      </w:r>
      <w:r w:rsidRPr="00461D74">
        <w:rPr>
          <w:rFonts w:ascii="Garamond" w:hAnsi="Garamond"/>
          <w:sz w:val="24"/>
          <w:szCs w:val="24"/>
        </w:rPr>
        <w:t>the world</w:t>
      </w:r>
      <w:r w:rsidR="00E66D70">
        <w:rPr>
          <w:rFonts w:ascii="Garamond" w:hAnsi="Garamond"/>
          <w:sz w:val="24"/>
          <w:szCs w:val="24"/>
        </w:rPr>
        <w:t xml:space="preserve">. Namely, normative phenomena do not map onto nor refer to objects in the world, they are not object placing, and that whatever objects they may refer to – as part of an </w:t>
      </w:r>
      <w:proofErr w:type="spellStart"/>
      <w:r w:rsidR="00E66D70">
        <w:rPr>
          <w:rFonts w:ascii="Garamond" w:hAnsi="Garamond"/>
          <w:sz w:val="24"/>
          <w:szCs w:val="24"/>
        </w:rPr>
        <w:t>objectual</w:t>
      </w:r>
      <w:proofErr w:type="spellEnd"/>
      <w:r w:rsidR="00E66D70">
        <w:rPr>
          <w:rFonts w:ascii="Garamond" w:hAnsi="Garamond"/>
          <w:sz w:val="24"/>
          <w:szCs w:val="24"/>
        </w:rPr>
        <w:t xml:space="preserve"> array – do not obtain.</w:t>
      </w:r>
    </w:p>
    <w:p w:rsidR="00665157" w:rsidRDefault="00E66D70">
      <w:pPr>
        <w:spacing w:line="360" w:lineRule="auto"/>
        <w:ind w:firstLine="720"/>
        <w:jc w:val="both"/>
        <w:rPr>
          <w:rFonts w:ascii="Garamond" w:hAnsi="Garamond"/>
          <w:sz w:val="24"/>
          <w:szCs w:val="24"/>
        </w:rPr>
      </w:pPr>
      <w:r>
        <w:rPr>
          <w:rFonts w:ascii="Garamond" w:hAnsi="Garamond"/>
          <w:sz w:val="24"/>
          <w:szCs w:val="24"/>
        </w:rPr>
        <w:t xml:space="preserve">Instead, so the objection goes, </w:t>
      </w:r>
      <w:r w:rsidR="00016049" w:rsidRPr="00461D74">
        <w:rPr>
          <w:rFonts w:ascii="Garamond" w:hAnsi="Garamond"/>
          <w:sz w:val="24"/>
          <w:szCs w:val="24"/>
        </w:rPr>
        <w:t xml:space="preserve">what normative inquiry </w:t>
      </w:r>
      <w:r>
        <w:rPr>
          <w:rFonts w:ascii="Garamond" w:hAnsi="Garamond"/>
          <w:sz w:val="24"/>
          <w:szCs w:val="24"/>
        </w:rPr>
        <w:t xml:space="preserve">really </w:t>
      </w:r>
      <w:r w:rsidR="00016049" w:rsidRPr="00461D74">
        <w:rPr>
          <w:rFonts w:ascii="Garamond" w:hAnsi="Garamond"/>
          <w:sz w:val="24"/>
          <w:szCs w:val="24"/>
        </w:rPr>
        <w:t xml:space="preserve">maps onto are individual preferences, desires, and attitudes, all grounded in values, as opposed to any </w:t>
      </w:r>
      <w:r w:rsidR="00E7042D">
        <w:rPr>
          <w:rFonts w:ascii="Garamond" w:hAnsi="Garamond"/>
          <w:sz w:val="24"/>
          <w:szCs w:val="24"/>
        </w:rPr>
        <w:t xml:space="preserve">sort of </w:t>
      </w:r>
      <w:r w:rsidR="00016049" w:rsidRPr="00461D74">
        <w:rPr>
          <w:rFonts w:ascii="Garamond" w:hAnsi="Garamond"/>
          <w:sz w:val="24"/>
          <w:szCs w:val="24"/>
        </w:rPr>
        <w:t xml:space="preserve">physical fact </w:t>
      </w:r>
      <w:r w:rsidR="00E7042D">
        <w:rPr>
          <w:rFonts w:ascii="Garamond" w:hAnsi="Garamond"/>
          <w:sz w:val="24"/>
          <w:szCs w:val="24"/>
        </w:rPr>
        <w:t>that could reliably describe</w:t>
      </w:r>
      <w:r w:rsidR="00E7042D" w:rsidRPr="00461D74">
        <w:rPr>
          <w:rFonts w:ascii="Garamond" w:hAnsi="Garamond"/>
          <w:sz w:val="24"/>
          <w:szCs w:val="24"/>
        </w:rPr>
        <w:t xml:space="preserve"> </w:t>
      </w:r>
      <w:r w:rsidR="00016049" w:rsidRPr="00461D74">
        <w:rPr>
          <w:rFonts w:ascii="Garamond" w:hAnsi="Garamond"/>
          <w:sz w:val="24"/>
          <w:szCs w:val="24"/>
        </w:rPr>
        <w:t xml:space="preserve">the world. Thus, if facts about the physical world are fundamentally different than values, the </w:t>
      </w:r>
      <w:r w:rsidR="00456918" w:rsidRPr="00461D74">
        <w:rPr>
          <w:rFonts w:ascii="Garamond" w:hAnsi="Garamond"/>
          <w:sz w:val="24"/>
          <w:szCs w:val="24"/>
        </w:rPr>
        <w:t>‘fact/value’</w:t>
      </w:r>
      <w:r w:rsidR="00016049" w:rsidRPr="00461D74">
        <w:rPr>
          <w:rFonts w:ascii="Garamond" w:hAnsi="Garamond"/>
          <w:sz w:val="24"/>
          <w:szCs w:val="24"/>
        </w:rPr>
        <w:t xml:space="preserve"> and the </w:t>
      </w:r>
      <w:r w:rsidR="00E7042D">
        <w:rPr>
          <w:rFonts w:ascii="Garamond" w:hAnsi="Garamond"/>
          <w:sz w:val="24"/>
          <w:szCs w:val="24"/>
        </w:rPr>
        <w:t>‘</w:t>
      </w:r>
      <w:r w:rsidR="00016049" w:rsidRPr="00461D74">
        <w:rPr>
          <w:rFonts w:ascii="Garamond" w:hAnsi="Garamond"/>
          <w:sz w:val="24"/>
          <w:szCs w:val="24"/>
        </w:rPr>
        <w:t>science/ethics</w:t>
      </w:r>
      <w:r w:rsidR="00E7042D">
        <w:rPr>
          <w:rFonts w:ascii="Garamond" w:hAnsi="Garamond"/>
          <w:sz w:val="24"/>
          <w:szCs w:val="24"/>
        </w:rPr>
        <w:t>’</w:t>
      </w:r>
      <w:r w:rsidR="00016049" w:rsidRPr="00461D74">
        <w:rPr>
          <w:rFonts w:ascii="Garamond" w:hAnsi="Garamond"/>
          <w:sz w:val="24"/>
          <w:szCs w:val="24"/>
        </w:rPr>
        <w:t xml:space="preserve"> distinction</w:t>
      </w:r>
      <w:r w:rsidR="00E7042D">
        <w:rPr>
          <w:rFonts w:ascii="Garamond" w:hAnsi="Garamond"/>
          <w:sz w:val="24"/>
          <w:szCs w:val="24"/>
        </w:rPr>
        <w:t>s</w:t>
      </w:r>
      <w:r w:rsidR="00016049" w:rsidRPr="00461D74">
        <w:rPr>
          <w:rFonts w:ascii="Garamond" w:hAnsi="Garamond"/>
          <w:sz w:val="24"/>
          <w:szCs w:val="24"/>
        </w:rPr>
        <w:t xml:space="preserve"> potentially undermine the</w:t>
      </w:r>
      <w:r w:rsidR="00E7042D">
        <w:rPr>
          <w:rFonts w:ascii="Garamond" w:hAnsi="Garamond"/>
          <w:sz w:val="24"/>
          <w:szCs w:val="24"/>
        </w:rPr>
        <w:t xml:space="preserve"> possibility </w:t>
      </w:r>
      <w:r w:rsidR="00411133">
        <w:rPr>
          <w:rFonts w:ascii="Garamond" w:hAnsi="Garamond"/>
          <w:sz w:val="24"/>
          <w:szCs w:val="24"/>
        </w:rPr>
        <w:t>of</w:t>
      </w:r>
      <w:r w:rsidR="00E7042D">
        <w:rPr>
          <w:rFonts w:ascii="Garamond" w:hAnsi="Garamond"/>
          <w:sz w:val="24"/>
          <w:szCs w:val="24"/>
        </w:rPr>
        <w:t xml:space="preserve"> the</w:t>
      </w:r>
      <w:r w:rsidR="00016049" w:rsidRPr="00461D74">
        <w:rPr>
          <w:rFonts w:ascii="Garamond" w:hAnsi="Garamond"/>
          <w:sz w:val="24"/>
          <w:szCs w:val="24"/>
        </w:rPr>
        <w:t xml:space="preserve"> Deweyan account</w:t>
      </w:r>
      <w:r w:rsidR="00E7042D">
        <w:rPr>
          <w:rFonts w:ascii="Garamond" w:hAnsi="Garamond"/>
          <w:sz w:val="24"/>
          <w:szCs w:val="24"/>
        </w:rPr>
        <w:t xml:space="preserve"> getting off the ground</w:t>
      </w:r>
      <w:r w:rsidR="00016049"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It is in no small part that the distinction between facts and values renders emotivism, or its more modern </w:t>
      </w:r>
      <w:r w:rsidR="003417C2">
        <w:rPr>
          <w:rFonts w:ascii="Garamond" w:hAnsi="Garamond"/>
          <w:sz w:val="24"/>
          <w:szCs w:val="24"/>
        </w:rPr>
        <w:t>iteration,</w:t>
      </w:r>
      <w:r w:rsidR="003417C2" w:rsidRPr="00461D74">
        <w:rPr>
          <w:rFonts w:ascii="Garamond" w:hAnsi="Garamond"/>
          <w:sz w:val="24"/>
          <w:szCs w:val="24"/>
        </w:rPr>
        <w:t xml:space="preserve"> </w:t>
      </w:r>
      <w:r w:rsidRPr="00461D74">
        <w:rPr>
          <w:rFonts w:ascii="Garamond" w:hAnsi="Garamond"/>
          <w:sz w:val="24"/>
          <w:szCs w:val="24"/>
        </w:rPr>
        <w:t>expressivism, as one of the more</w:t>
      </w:r>
      <w:r w:rsidR="003417C2">
        <w:rPr>
          <w:rFonts w:ascii="Garamond" w:hAnsi="Garamond"/>
          <w:sz w:val="24"/>
          <w:szCs w:val="24"/>
        </w:rPr>
        <w:t>,</w:t>
      </w:r>
      <w:r w:rsidRPr="00461D74">
        <w:rPr>
          <w:rFonts w:ascii="Garamond" w:hAnsi="Garamond"/>
          <w:sz w:val="24"/>
          <w:szCs w:val="24"/>
        </w:rPr>
        <w:t xml:space="preserve"> </w:t>
      </w:r>
      <w:r w:rsidR="003417C2">
        <w:rPr>
          <w:rFonts w:ascii="Garamond" w:hAnsi="Garamond"/>
          <w:sz w:val="24"/>
          <w:szCs w:val="24"/>
        </w:rPr>
        <w:t>if not the most, compelling,</w:t>
      </w:r>
      <w:r w:rsidRPr="00461D74">
        <w:rPr>
          <w:rFonts w:ascii="Garamond" w:hAnsi="Garamond"/>
          <w:sz w:val="24"/>
          <w:szCs w:val="24"/>
        </w:rPr>
        <w:t xml:space="preserve"> and widely discussed</w:t>
      </w:r>
      <w:r w:rsidR="003417C2">
        <w:rPr>
          <w:rFonts w:ascii="Garamond" w:hAnsi="Garamond"/>
          <w:sz w:val="24"/>
          <w:szCs w:val="24"/>
        </w:rPr>
        <w:t>,</w:t>
      </w:r>
      <w:r w:rsidRPr="00461D74">
        <w:rPr>
          <w:rFonts w:ascii="Garamond" w:hAnsi="Garamond"/>
          <w:sz w:val="24"/>
          <w:szCs w:val="24"/>
        </w:rPr>
        <w:t xml:space="preserve"> account</w:t>
      </w:r>
      <w:r w:rsidR="003417C2">
        <w:rPr>
          <w:rFonts w:ascii="Garamond" w:hAnsi="Garamond"/>
          <w:sz w:val="24"/>
          <w:szCs w:val="24"/>
        </w:rPr>
        <w:t>s</w:t>
      </w:r>
      <w:r w:rsidRPr="00461D74">
        <w:rPr>
          <w:rFonts w:ascii="Garamond" w:hAnsi="Garamond"/>
          <w:sz w:val="24"/>
          <w:szCs w:val="24"/>
        </w:rPr>
        <w:t xml:space="preserve"> in </w:t>
      </w:r>
      <w:proofErr w:type="spellStart"/>
      <w:r w:rsidRPr="00461D74">
        <w:rPr>
          <w:rFonts w:ascii="Garamond" w:hAnsi="Garamond"/>
          <w:sz w:val="24"/>
          <w:szCs w:val="24"/>
        </w:rPr>
        <w:t>metaethics</w:t>
      </w:r>
      <w:proofErr w:type="spellEnd"/>
      <w:r w:rsidRPr="00461D74">
        <w:rPr>
          <w:rFonts w:ascii="Garamond" w:hAnsi="Garamond"/>
          <w:sz w:val="24"/>
          <w:szCs w:val="24"/>
        </w:rPr>
        <w:t xml:space="preserve">. It would appear that MacIntyre, even with Dewey’s help, still has an emotivism problem. What do I mean by this? If we can’t draw a parallel between science and ethics, we can’t conduct the kind of inquiry in ethics that Dewey encourages, and so we can’t make sense of his account of </w:t>
      </w:r>
      <w:r w:rsidR="00411133">
        <w:rPr>
          <w:rFonts w:ascii="Garamond" w:hAnsi="Garamond"/>
          <w:sz w:val="24"/>
          <w:szCs w:val="24"/>
        </w:rPr>
        <w:t>g</w:t>
      </w:r>
      <w:r w:rsidRPr="00461D74">
        <w:rPr>
          <w:rFonts w:ascii="Garamond" w:hAnsi="Garamond"/>
          <w:sz w:val="24"/>
          <w:szCs w:val="24"/>
        </w:rPr>
        <w:t>rowth and flourishing</w:t>
      </w:r>
      <w:r w:rsidR="003417C2">
        <w:rPr>
          <w:rFonts w:ascii="Garamond" w:hAnsi="Garamond"/>
          <w:sz w:val="24"/>
          <w:szCs w:val="24"/>
        </w:rPr>
        <w:t xml:space="preserve">, </w:t>
      </w:r>
      <w:r w:rsidR="00411133">
        <w:rPr>
          <w:rFonts w:ascii="Garamond" w:hAnsi="Garamond"/>
          <w:sz w:val="24"/>
          <w:szCs w:val="24"/>
        </w:rPr>
        <w:t xml:space="preserve">precisely </w:t>
      </w:r>
      <w:r w:rsidR="003417C2">
        <w:rPr>
          <w:rFonts w:ascii="Garamond" w:hAnsi="Garamond"/>
          <w:sz w:val="24"/>
          <w:szCs w:val="24"/>
        </w:rPr>
        <w:t xml:space="preserve">for the reason that Dewey’s account is framed in terms of </w:t>
      </w:r>
      <w:r w:rsidR="00DE5B33" w:rsidRPr="00DE5B33">
        <w:rPr>
          <w:rFonts w:ascii="Garamond" w:hAnsi="Garamond"/>
          <w:i/>
          <w:sz w:val="24"/>
          <w:szCs w:val="24"/>
        </w:rPr>
        <w:t>an inquiry</w:t>
      </w:r>
      <w:r w:rsidR="003417C2">
        <w:rPr>
          <w:rFonts w:ascii="Garamond" w:hAnsi="Garamond"/>
          <w:sz w:val="24"/>
          <w:szCs w:val="24"/>
        </w:rPr>
        <w:t xml:space="preserve"> into </w:t>
      </w:r>
      <w:r w:rsidR="00411133">
        <w:rPr>
          <w:rFonts w:ascii="Garamond" w:hAnsi="Garamond"/>
          <w:sz w:val="24"/>
          <w:szCs w:val="24"/>
        </w:rPr>
        <w:t>g</w:t>
      </w:r>
      <w:r w:rsidR="003417C2">
        <w:rPr>
          <w:rFonts w:ascii="Garamond" w:hAnsi="Garamond"/>
          <w:sz w:val="24"/>
          <w:szCs w:val="24"/>
        </w:rPr>
        <w:t>rowth and flourishing</w:t>
      </w:r>
      <w:r w:rsidRPr="00461D74">
        <w:rPr>
          <w:rFonts w:ascii="Garamond" w:hAnsi="Garamond"/>
          <w:sz w:val="24"/>
          <w:szCs w:val="24"/>
        </w:rPr>
        <w:t xml:space="preserve">. </w:t>
      </w:r>
      <w:r w:rsidR="003417C2">
        <w:rPr>
          <w:rFonts w:ascii="Garamond" w:hAnsi="Garamond"/>
          <w:sz w:val="24"/>
          <w:szCs w:val="24"/>
        </w:rPr>
        <w:t>Now, s</w:t>
      </w:r>
      <w:r w:rsidRPr="00461D74">
        <w:rPr>
          <w:rFonts w:ascii="Garamond" w:hAnsi="Garamond"/>
          <w:sz w:val="24"/>
          <w:szCs w:val="24"/>
        </w:rPr>
        <w:t xml:space="preserve">hould this </w:t>
      </w:r>
      <w:r w:rsidR="003417C2">
        <w:rPr>
          <w:rFonts w:ascii="Garamond" w:hAnsi="Garamond"/>
          <w:sz w:val="24"/>
          <w:szCs w:val="24"/>
        </w:rPr>
        <w:t xml:space="preserve">transpire and we fail to devise an escape from </w:t>
      </w:r>
      <w:r w:rsidR="00511DA0">
        <w:rPr>
          <w:rFonts w:ascii="Garamond" w:hAnsi="Garamond"/>
          <w:sz w:val="24"/>
          <w:szCs w:val="24"/>
        </w:rPr>
        <w:t>this</w:t>
      </w:r>
      <w:r w:rsidR="003417C2">
        <w:rPr>
          <w:rFonts w:ascii="Garamond" w:hAnsi="Garamond"/>
          <w:sz w:val="24"/>
          <w:szCs w:val="24"/>
        </w:rPr>
        <w:t xml:space="preserve"> impending </w:t>
      </w:r>
      <w:r w:rsidR="00511DA0">
        <w:rPr>
          <w:rFonts w:ascii="Garamond" w:hAnsi="Garamond"/>
          <w:sz w:val="24"/>
          <w:szCs w:val="24"/>
        </w:rPr>
        <w:t>conclusion</w:t>
      </w:r>
      <w:r w:rsidR="003417C2">
        <w:rPr>
          <w:rFonts w:ascii="Garamond" w:hAnsi="Garamond"/>
          <w:sz w:val="24"/>
          <w:szCs w:val="24"/>
        </w:rPr>
        <w:t xml:space="preserve">, </w:t>
      </w:r>
      <w:r w:rsidRPr="00461D74">
        <w:rPr>
          <w:rFonts w:ascii="Garamond" w:hAnsi="Garamond"/>
          <w:sz w:val="24"/>
          <w:szCs w:val="24"/>
        </w:rPr>
        <w:t xml:space="preserve">we are not able to then </w:t>
      </w:r>
      <w:r w:rsidR="00511DA0">
        <w:rPr>
          <w:rFonts w:ascii="Garamond" w:hAnsi="Garamond"/>
          <w:sz w:val="24"/>
          <w:szCs w:val="24"/>
        </w:rPr>
        <w:t>propose Deweyan democracy as a potential</w:t>
      </w:r>
      <w:r w:rsidR="00511DA0" w:rsidRPr="00461D74">
        <w:rPr>
          <w:rFonts w:ascii="Garamond" w:hAnsi="Garamond"/>
          <w:sz w:val="24"/>
          <w:szCs w:val="24"/>
        </w:rPr>
        <w:t xml:space="preserve"> </w:t>
      </w:r>
      <w:r w:rsidRPr="00461D74">
        <w:rPr>
          <w:rFonts w:ascii="Garamond" w:hAnsi="Garamond"/>
          <w:sz w:val="24"/>
          <w:szCs w:val="24"/>
        </w:rPr>
        <w:t xml:space="preserve">remedy </w:t>
      </w:r>
      <w:r w:rsidR="00511DA0">
        <w:rPr>
          <w:rFonts w:ascii="Garamond" w:hAnsi="Garamond"/>
          <w:sz w:val="24"/>
          <w:szCs w:val="24"/>
        </w:rPr>
        <w:t xml:space="preserve">for </w:t>
      </w:r>
      <w:r w:rsidRPr="00461D74">
        <w:rPr>
          <w:rFonts w:ascii="Garamond" w:hAnsi="Garamond"/>
          <w:sz w:val="24"/>
          <w:szCs w:val="24"/>
        </w:rPr>
        <w:t>the lack of a suitable teleology in MacIntyre’s account. Emotivism (or more likely expressivism) would then be rendered the mo</w:t>
      </w:r>
      <w:r w:rsidR="00511DA0">
        <w:rPr>
          <w:rFonts w:ascii="Garamond" w:hAnsi="Garamond"/>
          <w:sz w:val="24"/>
          <w:szCs w:val="24"/>
        </w:rPr>
        <w:t>st</w:t>
      </w:r>
      <w:r w:rsidRPr="00461D74">
        <w:rPr>
          <w:rFonts w:ascii="Garamond" w:hAnsi="Garamond"/>
          <w:sz w:val="24"/>
          <w:szCs w:val="24"/>
        </w:rPr>
        <w:t xml:space="preserve"> plausible </w:t>
      </w:r>
      <w:r w:rsidR="00511DA0">
        <w:rPr>
          <w:rFonts w:ascii="Garamond" w:hAnsi="Garamond"/>
          <w:sz w:val="24"/>
          <w:szCs w:val="24"/>
        </w:rPr>
        <w:t xml:space="preserve">and compelling </w:t>
      </w:r>
      <w:r w:rsidRPr="00461D74">
        <w:rPr>
          <w:rFonts w:ascii="Garamond" w:hAnsi="Garamond"/>
          <w:sz w:val="24"/>
          <w:szCs w:val="24"/>
        </w:rPr>
        <w:t xml:space="preserve">account </w:t>
      </w:r>
      <w:r w:rsidR="00511DA0">
        <w:rPr>
          <w:rFonts w:ascii="Garamond" w:hAnsi="Garamond"/>
          <w:sz w:val="24"/>
          <w:szCs w:val="24"/>
        </w:rPr>
        <w:t>in</w:t>
      </w:r>
      <w:r w:rsidR="00511DA0" w:rsidRPr="00461D74">
        <w:rPr>
          <w:rFonts w:ascii="Garamond" w:hAnsi="Garamond"/>
          <w:sz w:val="24"/>
          <w:szCs w:val="24"/>
        </w:rPr>
        <w:t xml:space="preserve"> </w:t>
      </w:r>
      <w:proofErr w:type="spellStart"/>
      <w:r w:rsidR="00511DA0">
        <w:rPr>
          <w:rFonts w:ascii="Garamond" w:hAnsi="Garamond"/>
          <w:sz w:val="24"/>
          <w:szCs w:val="24"/>
        </w:rPr>
        <w:t>meta</w:t>
      </w:r>
      <w:r w:rsidRPr="00461D74">
        <w:rPr>
          <w:rFonts w:ascii="Garamond" w:hAnsi="Garamond"/>
          <w:sz w:val="24"/>
          <w:szCs w:val="24"/>
        </w:rPr>
        <w:t>ethics</w:t>
      </w:r>
      <w:proofErr w:type="spellEnd"/>
      <w:r w:rsidRPr="00461D74">
        <w:rPr>
          <w:rFonts w:ascii="Garamond" w:hAnsi="Garamond"/>
          <w:sz w:val="24"/>
          <w:szCs w:val="24"/>
        </w:rPr>
        <w:t xml:space="preserve">, and MacIntyre’s historical account in </w:t>
      </w:r>
      <w:r w:rsidRPr="00461D74">
        <w:rPr>
          <w:rFonts w:ascii="Garamond" w:hAnsi="Garamond"/>
          <w:i/>
          <w:sz w:val="24"/>
          <w:szCs w:val="24"/>
        </w:rPr>
        <w:t xml:space="preserve">After </w:t>
      </w:r>
      <w:r w:rsidRPr="00461D74">
        <w:rPr>
          <w:rFonts w:ascii="Garamond" w:hAnsi="Garamond"/>
          <w:i/>
          <w:sz w:val="24"/>
          <w:szCs w:val="24"/>
        </w:rPr>
        <w:lastRenderedPageBreak/>
        <w:t>Virtue</w:t>
      </w:r>
      <w:r w:rsidRPr="00461D74">
        <w:rPr>
          <w:rFonts w:ascii="Garamond" w:hAnsi="Garamond"/>
          <w:sz w:val="24"/>
          <w:szCs w:val="24"/>
        </w:rPr>
        <w:t xml:space="preserve"> would serve to reinforce it</w:t>
      </w:r>
      <w:r w:rsidR="00511DA0">
        <w:rPr>
          <w:rFonts w:ascii="Garamond" w:hAnsi="Garamond"/>
          <w:sz w:val="24"/>
          <w:szCs w:val="24"/>
        </w:rPr>
        <w:t xml:space="preserve">, and ought to be viewed as a rational historical reconstruction of the contemporary </w:t>
      </w:r>
      <w:proofErr w:type="spellStart"/>
      <w:r w:rsidR="00511DA0">
        <w:rPr>
          <w:rFonts w:ascii="Garamond" w:hAnsi="Garamond"/>
          <w:sz w:val="24"/>
          <w:szCs w:val="24"/>
        </w:rPr>
        <w:t>metaethical</w:t>
      </w:r>
      <w:proofErr w:type="spellEnd"/>
      <w:r w:rsidR="00511DA0">
        <w:rPr>
          <w:rFonts w:ascii="Garamond" w:hAnsi="Garamond"/>
          <w:sz w:val="24"/>
          <w:szCs w:val="24"/>
        </w:rPr>
        <w:t xml:space="preserve"> stance</w:t>
      </w:r>
      <w:r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In the next section, I will consider a way out of our dilemma. I will argue that there may be a way of undermining the </w:t>
      </w:r>
      <w:r w:rsidR="00511DA0">
        <w:rPr>
          <w:rFonts w:ascii="Garamond" w:hAnsi="Garamond"/>
          <w:sz w:val="24"/>
          <w:szCs w:val="24"/>
        </w:rPr>
        <w:t>‘</w:t>
      </w:r>
      <w:r w:rsidRPr="00461D74">
        <w:rPr>
          <w:rFonts w:ascii="Garamond" w:hAnsi="Garamond"/>
          <w:sz w:val="24"/>
          <w:szCs w:val="24"/>
        </w:rPr>
        <w:t>science</w:t>
      </w:r>
      <w:r w:rsidR="00456918" w:rsidRPr="00461D74">
        <w:rPr>
          <w:rFonts w:ascii="Garamond" w:hAnsi="Garamond"/>
          <w:sz w:val="24"/>
          <w:szCs w:val="24"/>
        </w:rPr>
        <w:t>/</w:t>
      </w:r>
      <w:r w:rsidRPr="00461D74">
        <w:rPr>
          <w:rFonts w:ascii="Garamond" w:hAnsi="Garamond"/>
          <w:sz w:val="24"/>
          <w:szCs w:val="24"/>
        </w:rPr>
        <w:t>ethics</w:t>
      </w:r>
      <w:r w:rsidR="00511DA0">
        <w:rPr>
          <w:rFonts w:ascii="Garamond" w:hAnsi="Garamond"/>
          <w:sz w:val="24"/>
          <w:szCs w:val="24"/>
        </w:rPr>
        <w:t>’</w:t>
      </w:r>
      <w:r w:rsidRPr="00461D74">
        <w:rPr>
          <w:rFonts w:ascii="Garamond" w:hAnsi="Garamond"/>
          <w:sz w:val="24"/>
          <w:szCs w:val="24"/>
        </w:rPr>
        <w:t xml:space="preserve"> and </w:t>
      </w:r>
      <w:r w:rsidR="00456918" w:rsidRPr="00461D74">
        <w:rPr>
          <w:rFonts w:ascii="Garamond" w:hAnsi="Garamond"/>
          <w:sz w:val="24"/>
          <w:szCs w:val="24"/>
        </w:rPr>
        <w:t>‘fact/value’</w:t>
      </w:r>
      <w:r w:rsidRPr="00461D74">
        <w:rPr>
          <w:rFonts w:ascii="Garamond" w:hAnsi="Garamond"/>
          <w:sz w:val="24"/>
          <w:szCs w:val="24"/>
        </w:rPr>
        <w:t xml:space="preserve"> distinction</w:t>
      </w:r>
      <w:r w:rsidR="00511DA0">
        <w:rPr>
          <w:rFonts w:ascii="Garamond" w:hAnsi="Garamond"/>
          <w:sz w:val="24"/>
          <w:szCs w:val="24"/>
        </w:rPr>
        <w:t xml:space="preserve">, </w:t>
      </w:r>
      <w:r w:rsidR="00411133">
        <w:rPr>
          <w:rFonts w:ascii="Garamond" w:hAnsi="Garamond"/>
          <w:sz w:val="24"/>
          <w:szCs w:val="24"/>
        </w:rPr>
        <w:t xml:space="preserve">in a way that can </w:t>
      </w:r>
      <w:r w:rsidR="00511DA0">
        <w:rPr>
          <w:rFonts w:ascii="Garamond" w:hAnsi="Garamond"/>
          <w:sz w:val="24"/>
          <w:szCs w:val="24"/>
        </w:rPr>
        <w:t xml:space="preserve">revive the possibility for applying </w:t>
      </w:r>
      <w:r w:rsidR="00511DA0" w:rsidRPr="00461D74">
        <w:rPr>
          <w:rFonts w:ascii="Garamond" w:hAnsi="Garamond"/>
          <w:sz w:val="24"/>
          <w:szCs w:val="24"/>
        </w:rPr>
        <w:t>Dewey’s method of inquiry in ethical debates</w:t>
      </w:r>
      <w:r w:rsidR="00511DA0">
        <w:rPr>
          <w:rFonts w:ascii="Garamond" w:hAnsi="Garamond"/>
          <w:sz w:val="24"/>
          <w:szCs w:val="24"/>
        </w:rPr>
        <w:t xml:space="preserve">, </w:t>
      </w:r>
      <w:r w:rsidR="00411133">
        <w:rPr>
          <w:rFonts w:ascii="Garamond" w:hAnsi="Garamond"/>
          <w:sz w:val="24"/>
          <w:szCs w:val="24"/>
        </w:rPr>
        <w:t>which</w:t>
      </w:r>
      <w:r w:rsidR="00272A8A">
        <w:rPr>
          <w:rFonts w:ascii="Garamond" w:hAnsi="Garamond"/>
          <w:sz w:val="24"/>
          <w:szCs w:val="24"/>
        </w:rPr>
        <w:t xml:space="preserve"> could then </w:t>
      </w:r>
      <w:r w:rsidR="00411133">
        <w:rPr>
          <w:rFonts w:ascii="Garamond" w:hAnsi="Garamond"/>
          <w:sz w:val="24"/>
          <w:szCs w:val="24"/>
        </w:rPr>
        <w:t>be used to support</w:t>
      </w:r>
      <w:r w:rsidR="00511DA0">
        <w:rPr>
          <w:rFonts w:ascii="Garamond" w:hAnsi="Garamond"/>
          <w:sz w:val="24"/>
          <w:szCs w:val="24"/>
        </w:rPr>
        <w:t xml:space="preserve"> the Deweyan </w:t>
      </w:r>
      <w:r w:rsidR="00272A8A">
        <w:rPr>
          <w:rFonts w:ascii="Garamond" w:hAnsi="Garamond"/>
          <w:sz w:val="24"/>
          <w:szCs w:val="24"/>
        </w:rPr>
        <w:t>resolution</w:t>
      </w:r>
      <w:r w:rsidR="00511DA0">
        <w:rPr>
          <w:rFonts w:ascii="Garamond" w:hAnsi="Garamond"/>
          <w:sz w:val="24"/>
          <w:szCs w:val="24"/>
        </w:rPr>
        <w:t xml:space="preserve"> we have considered in this chapter</w:t>
      </w:r>
      <w:r w:rsidRPr="00461D74">
        <w:rPr>
          <w:rFonts w:ascii="Garamond" w:hAnsi="Garamond"/>
          <w:sz w:val="24"/>
          <w:szCs w:val="24"/>
        </w:rPr>
        <w:t xml:space="preserve">. </w:t>
      </w:r>
      <w:r w:rsidR="00272A8A">
        <w:rPr>
          <w:rFonts w:ascii="Garamond" w:hAnsi="Garamond"/>
          <w:sz w:val="24"/>
          <w:szCs w:val="24"/>
        </w:rPr>
        <w:t>Now, i</w:t>
      </w:r>
      <w:r w:rsidRPr="00461D74">
        <w:rPr>
          <w:rFonts w:ascii="Garamond" w:hAnsi="Garamond"/>
          <w:sz w:val="24"/>
          <w:szCs w:val="24"/>
        </w:rPr>
        <w:t xml:space="preserve">n order to </w:t>
      </w:r>
      <w:r w:rsidR="00411133">
        <w:rPr>
          <w:rFonts w:ascii="Garamond" w:hAnsi="Garamond"/>
          <w:sz w:val="24"/>
          <w:szCs w:val="24"/>
        </w:rPr>
        <w:t>defend</w:t>
      </w:r>
      <w:r w:rsidR="00272A8A" w:rsidRPr="00461D74">
        <w:rPr>
          <w:rFonts w:ascii="Garamond" w:hAnsi="Garamond"/>
          <w:sz w:val="24"/>
          <w:szCs w:val="24"/>
        </w:rPr>
        <w:t xml:space="preserve"> </w:t>
      </w:r>
      <w:r w:rsidR="00272A8A">
        <w:rPr>
          <w:rFonts w:ascii="Garamond" w:hAnsi="Garamond"/>
          <w:sz w:val="24"/>
          <w:szCs w:val="24"/>
        </w:rPr>
        <w:t>this sort of claim, as part of my overall argument in support of Dewey</w:t>
      </w:r>
      <w:r w:rsidRPr="00461D74">
        <w:rPr>
          <w:rFonts w:ascii="Garamond" w:hAnsi="Garamond"/>
          <w:sz w:val="24"/>
          <w:szCs w:val="24"/>
        </w:rPr>
        <w:t xml:space="preserve">, I will use </w:t>
      </w:r>
      <w:r w:rsidR="000E2896">
        <w:rPr>
          <w:rFonts w:ascii="Garamond" w:hAnsi="Garamond"/>
          <w:sz w:val="24"/>
          <w:szCs w:val="24"/>
        </w:rPr>
        <w:t xml:space="preserve">Hilary </w:t>
      </w:r>
      <w:r w:rsidRPr="00461D74">
        <w:rPr>
          <w:rFonts w:ascii="Garamond" w:hAnsi="Garamond"/>
          <w:sz w:val="24"/>
          <w:szCs w:val="24"/>
        </w:rPr>
        <w:t xml:space="preserve">Putnam’s paper the ‘The Science-Ethics Distinction’ and his book </w:t>
      </w:r>
      <w:r w:rsidRPr="00461D74">
        <w:rPr>
          <w:rFonts w:ascii="Garamond" w:hAnsi="Garamond"/>
          <w:i/>
          <w:sz w:val="24"/>
          <w:szCs w:val="24"/>
        </w:rPr>
        <w:t>The Collapse of Fact-Value Dichotomy</w:t>
      </w:r>
      <w:r w:rsidRPr="00461D74">
        <w:rPr>
          <w:rFonts w:ascii="Garamond" w:hAnsi="Garamond"/>
          <w:sz w:val="24"/>
          <w:szCs w:val="24"/>
        </w:rPr>
        <w:t>.</w:t>
      </w:r>
    </w:p>
    <w:p w:rsidR="00665157" w:rsidRDefault="00665157">
      <w:pPr>
        <w:spacing w:line="360" w:lineRule="auto"/>
        <w:jc w:val="both"/>
        <w:rPr>
          <w:rFonts w:ascii="Garamond" w:hAnsi="Garamond"/>
        </w:rPr>
      </w:pPr>
    </w:p>
    <w:p w:rsidR="00665157" w:rsidRDefault="001C62D0">
      <w:pPr>
        <w:pStyle w:val="Heading2"/>
        <w:spacing w:line="360" w:lineRule="auto"/>
        <w:jc w:val="both"/>
        <w:rPr>
          <w:rFonts w:cstheme="majorHAnsi"/>
        </w:rPr>
      </w:pPr>
      <w:bookmarkStart w:id="29" w:name="_Toc528077811"/>
      <w:r>
        <w:rPr>
          <w:rFonts w:cstheme="majorHAnsi"/>
        </w:rPr>
        <w:t>5</w:t>
      </w:r>
      <w:r w:rsidR="00016049" w:rsidRPr="00331208">
        <w:rPr>
          <w:rFonts w:cstheme="majorHAnsi"/>
        </w:rPr>
        <w:t>. The Analytic/Synthetic and the Fact/Value distinction</w:t>
      </w:r>
      <w:bookmarkEnd w:id="29"/>
    </w:p>
    <w:p w:rsidR="00665157" w:rsidRDefault="00665157">
      <w:pPr>
        <w:spacing w:line="360" w:lineRule="auto"/>
        <w:jc w:val="both"/>
        <w:rPr>
          <w:rFonts w:ascii="Garamond" w:hAnsi="Garamond"/>
          <w:sz w:val="24"/>
          <w:szCs w:val="24"/>
        </w:rPr>
      </w:pPr>
    </w:p>
    <w:p w:rsidR="00665157" w:rsidRDefault="00016049">
      <w:pPr>
        <w:spacing w:line="360" w:lineRule="auto"/>
        <w:jc w:val="both"/>
        <w:rPr>
          <w:rFonts w:ascii="Garamond" w:hAnsi="Garamond"/>
          <w:sz w:val="24"/>
          <w:szCs w:val="24"/>
        </w:rPr>
      </w:pPr>
      <w:r w:rsidRPr="00461D74">
        <w:rPr>
          <w:rFonts w:ascii="Garamond" w:hAnsi="Garamond"/>
          <w:sz w:val="24"/>
          <w:szCs w:val="24"/>
        </w:rPr>
        <w:t>Th</w:t>
      </w:r>
      <w:r w:rsidR="003430D8">
        <w:rPr>
          <w:rFonts w:ascii="Garamond" w:hAnsi="Garamond"/>
          <w:sz w:val="24"/>
          <w:szCs w:val="24"/>
        </w:rPr>
        <w:t>is</w:t>
      </w:r>
      <w:r w:rsidRPr="00461D74">
        <w:rPr>
          <w:rFonts w:ascii="Garamond" w:hAnsi="Garamond"/>
          <w:sz w:val="24"/>
          <w:szCs w:val="24"/>
        </w:rPr>
        <w:t xml:space="preserve"> objection stated simply is that Dewey </w:t>
      </w:r>
      <w:r w:rsidR="003430D8">
        <w:rPr>
          <w:rFonts w:ascii="Garamond" w:hAnsi="Garamond"/>
          <w:sz w:val="24"/>
          <w:szCs w:val="24"/>
        </w:rPr>
        <w:t>seeks</w:t>
      </w:r>
      <w:r w:rsidR="003430D8" w:rsidRPr="00461D74">
        <w:rPr>
          <w:rFonts w:ascii="Garamond" w:hAnsi="Garamond"/>
          <w:sz w:val="24"/>
          <w:szCs w:val="24"/>
        </w:rPr>
        <w:t xml:space="preserve"> </w:t>
      </w:r>
      <w:r w:rsidRPr="00461D74">
        <w:rPr>
          <w:rFonts w:ascii="Garamond" w:hAnsi="Garamond"/>
          <w:sz w:val="24"/>
          <w:szCs w:val="24"/>
        </w:rPr>
        <w:t xml:space="preserve">to model </w:t>
      </w:r>
      <w:r w:rsidR="003430D8">
        <w:rPr>
          <w:rFonts w:ascii="Garamond" w:hAnsi="Garamond"/>
          <w:sz w:val="24"/>
          <w:szCs w:val="24"/>
        </w:rPr>
        <w:t xml:space="preserve">(ethical) </w:t>
      </w:r>
      <w:r w:rsidRPr="00461D74">
        <w:rPr>
          <w:rFonts w:ascii="Garamond" w:hAnsi="Garamond"/>
          <w:sz w:val="24"/>
          <w:szCs w:val="24"/>
        </w:rPr>
        <w:t xml:space="preserve">inquiry </w:t>
      </w:r>
      <w:r w:rsidR="00411133">
        <w:rPr>
          <w:rFonts w:ascii="Garamond" w:hAnsi="Garamond"/>
          <w:sz w:val="24"/>
          <w:szCs w:val="24"/>
        </w:rPr>
        <w:t xml:space="preserve">on </w:t>
      </w:r>
      <w:r w:rsidRPr="00461D74">
        <w:rPr>
          <w:rFonts w:ascii="Garamond" w:hAnsi="Garamond"/>
          <w:sz w:val="24"/>
          <w:szCs w:val="24"/>
        </w:rPr>
        <w:t xml:space="preserve">scientific inquiry; but critics argue firstly that those two are very different activities, and secondly, they are different in part because factual claims are fundamentally different from evaluative claims (the </w:t>
      </w:r>
      <w:r w:rsidR="00456918" w:rsidRPr="00461D74">
        <w:rPr>
          <w:rFonts w:ascii="Garamond" w:hAnsi="Garamond"/>
          <w:sz w:val="24"/>
          <w:szCs w:val="24"/>
        </w:rPr>
        <w:t>‘fact/value’</w:t>
      </w:r>
      <w:r w:rsidRPr="00461D74">
        <w:rPr>
          <w:rFonts w:ascii="Garamond" w:hAnsi="Garamond"/>
          <w:sz w:val="24"/>
          <w:szCs w:val="24"/>
        </w:rPr>
        <w:t xml:space="preserve"> distinction). On Dewey’s pragmatist conception of inquiry, moral inquiry just like scientific inquiry</w:t>
      </w:r>
      <w:r w:rsidR="000F1A8E" w:rsidRPr="00461D74">
        <w:rPr>
          <w:rFonts w:ascii="Garamond" w:hAnsi="Garamond"/>
          <w:sz w:val="24"/>
          <w:szCs w:val="24"/>
        </w:rPr>
        <w:t xml:space="preserve"> </w:t>
      </w:r>
      <w:r w:rsidRPr="00461D74">
        <w:rPr>
          <w:rFonts w:ascii="Garamond" w:hAnsi="Garamond"/>
          <w:sz w:val="24"/>
          <w:szCs w:val="24"/>
        </w:rPr>
        <w:t>is subject to evidence, and it is subject to good</w:t>
      </w:r>
      <w:r w:rsidR="0083102F">
        <w:rPr>
          <w:rFonts w:ascii="Garamond" w:hAnsi="Garamond"/>
          <w:sz w:val="24"/>
          <w:szCs w:val="24"/>
        </w:rPr>
        <w:t>,</w:t>
      </w:r>
      <w:r w:rsidRPr="00461D74">
        <w:rPr>
          <w:rFonts w:ascii="Garamond" w:hAnsi="Garamond"/>
          <w:sz w:val="24"/>
          <w:szCs w:val="24"/>
        </w:rPr>
        <w:t xml:space="preserve"> as well as bad</w:t>
      </w:r>
      <w:r w:rsidR="0083102F">
        <w:rPr>
          <w:rFonts w:ascii="Garamond" w:hAnsi="Garamond"/>
          <w:sz w:val="24"/>
          <w:szCs w:val="24"/>
        </w:rPr>
        <w:t>,</w:t>
      </w:r>
      <w:r w:rsidRPr="00461D74">
        <w:rPr>
          <w:rFonts w:ascii="Garamond" w:hAnsi="Garamond"/>
          <w:sz w:val="24"/>
          <w:szCs w:val="24"/>
        </w:rPr>
        <w:t xml:space="preserve"> forms of reasoning. Thus, moral inquiry as an activity isn’t necessarily very different from inquiry in the sciences. Nonetheless, the </w:t>
      </w:r>
      <w:r w:rsidR="00456918" w:rsidRPr="00461D74">
        <w:rPr>
          <w:rFonts w:ascii="Garamond" w:hAnsi="Garamond"/>
          <w:sz w:val="24"/>
          <w:szCs w:val="24"/>
        </w:rPr>
        <w:t>‘fact/value’</w:t>
      </w:r>
      <w:r w:rsidRPr="00461D74">
        <w:rPr>
          <w:rFonts w:ascii="Garamond" w:hAnsi="Garamond"/>
          <w:sz w:val="24"/>
          <w:szCs w:val="24"/>
        </w:rPr>
        <w:t xml:space="preserve"> distinction </w:t>
      </w:r>
      <w:r w:rsidR="0083102F">
        <w:rPr>
          <w:rFonts w:ascii="Garamond" w:hAnsi="Garamond"/>
          <w:sz w:val="24"/>
          <w:szCs w:val="24"/>
        </w:rPr>
        <w:t>appears to pose</w:t>
      </w:r>
      <w:r w:rsidRPr="00461D74">
        <w:rPr>
          <w:rFonts w:ascii="Garamond" w:hAnsi="Garamond"/>
          <w:sz w:val="24"/>
          <w:szCs w:val="24"/>
        </w:rPr>
        <w:t xml:space="preserve"> a clear obstacle to this approach. I</w:t>
      </w:r>
      <w:r w:rsidR="0083102F">
        <w:rPr>
          <w:rFonts w:ascii="Garamond" w:hAnsi="Garamond"/>
          <w:sz w:val="24"/>
          <w:szCs w:val="24"/>
        </w:rPr>
        <w:t>n the f</w:t>
      </w:r>
      <w:r w:rsidR="00411133">
        <w:rPr>
          <w:rFonts w:ascii="Garamond" w:hAnsi="Garamond"/>
          <w:sz w:val="24"/>
          <w:szCs w:val="24"/>
        </w:rPr>
        <w:t>ollowing</w:t>
      </w:r>
      <w:r w:rsidR="0083102F">
        <w:rPr>
          <w:rFonts w:ascii="Garamond" w:hAnsi="Garamond"/>
          <w:sz w:val="24"/>
          <w:szCs w:val="24"/>
        </w:rPr>
        <w:t>,</w:t>
      </w:r>
      <w:r w:rsidRPr="00461D74">
        <w:rPr>
          <w:rFonts w:ascii="Garamond" w:hAnsi="Garamond"/>
          <w:sz w:val="24"/>
          <w:szCs w:val="24"/>
        </w:rPr>
        <w:t xml:space="preserve"> </w:t>
      </w:r>
      <w:r w:rsidR="00411133">
        <w:rPr>
          <w:rFonts w:ascii="Garamond" w:hAnsi="Garamond"/>
          <w:sz w:val="24"/>
          <w:szCs w:val="24"/>
        </w:rPr>
        <w:t xml:space="preserve">I </w:t>
      </w:r>
      <w:r w:rsidRPr="00461D74">
        <w:rPr>
          <w:rFonts w:ascii="Garamond" w:hAnsi="Garamond"/>
          <w:sz w:val="24"/>
          <w:szCs w:val="24"/>
        </w:rPr>
        <w:t xml:space="preserve">consider Hilary Putnam’s pragmatic response to this problem. It will turn out that factual claims are entangled with evaluative components; and that we reason badly if we reject the possibility of Deweyan ethical inquiry on account of a strict </w:t>
      </w:r>
      <w:r w:rsidR="00456918" w:rsidRPr="00461D74">
        <w:rPr>
          <w:rFonts w:ascii="Garamond" w:hAnsi="Garamond"/>
          <w:sz w:val="24"/>
          <w:szCs w:val="24"/>
        </w:rPr>
        <w:t>‘fact/value’</w:t>
      </w:r>
      <w:r w:rsidRPr="00461D74">
        <w:rPr>
          <w:rFonts w:ascii="Garamond" w:hAnsi="Garamond"/>
          <w:sz w:val="24"/>
          <w:szCs w:val="24"/>
        </w:rPr>
        <w:t xml:space="preserve"> distinction.</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In Chapter One of </w:t>
      </w:r>
      <w:r w:rsidRPr="00461D74">
        <w:rPr>
          <w:rFonts w:ascii="Garamond" w:hAnsi="Garamond"/>
          <w:i/>
          <w:sz w:val="24"/>
          <w:szCs w:val="24"/>
        </w:rPr>
        <w:t>The Collapse of Fact/Value Dichotomy</w:t>
      </w:r>
      <w:r w:rsidRPr="00461D74">
        <w:rPr>
          <w:rFonts w:ascii="Garamond" w:hAnsi="Garamond"/>
          <w:sz w:val="24"/>
          <w:szCs w:val="24"/>
        </w:rPr>
        <w:t xml:space="preserve">, Putnam looks to provide an historical reconstruction of the origins and the emergence of what he identifies as the </w:t>
      </w:r>
      <w:r w:rsidR="00456918" w:rsidRPr="00461D74">
        <w:rPr>
          <w:rFonts w:ascii="Garamond" w:hAnsi="Garamond"/>
          <w:sz w:val="24"/>
          <w:szCs w:val="24"/>
        </w:rPr>
        <w:t>‘fact/value’</w:t>
      </w:r>
      <w:r w:rsidRPr="00461D74">
        <w:rPr>
          <w:rFonts w:ascii="Garamond" w:hAnsi="Garamond"/>
          <w:sz w:val="24"/>
          <w:szCs w:val="24"/>
        </w:rPr>
        <w:t xml:space="preserve"> dichotomy. His overall aim in this book is to undermine a strong (or metaphysical) form of the </w:t>
      </w:r>
      <w:r w:rsidR="00456918" w:rsidRPr="00461D74">
        <w:rPr>
          <w:rFonts w:ascii="Garamond" w:hAnsi="Garamond"/>
          <w:sz w:val="24"/>
          <w:szCs w:val="24"/>
        </w:rPr>
        <w:t>‘fact/value’</w:t>
      </w:r>
      <w:r w:rsidRPr="00461D74">
        <w:rPr>
          <w:rFonts w:ascii="Garamond" w:hAnsi="Garamond"/>
          <w:sz w:val="24"/>
          <w:szCs w:val="24"/>
        </w:rPr>
        <w:t xml:space="preserve"> distinction. His initial argument against a strong version of the </w:t>
      </w:r>
      <w:r w:rsidR="00456918" w:rsidRPr="00461D74">
        <w:rPr>
          <w:rFonts w:ascii="Garamond" w:hAnsi="Garamond"/>
          <w:sz w:val="24"/>
          <w:szCs w:val="24"/>
        </w:rPr>
        <w:t>‘fact/value’</w:t>
      </w:r>
      <w:r w:rsidRPr="00461D74">
        <w:rPr>
          <w:rFonts w:ascii="Garamond" w:hAnsi="Garamond"/>
          <w:sz w:val="24"/>
          <w:szCs w:val="24"/>
        </w:rPr>
        <w:t xml:space="preserve"> distinction appears to be that the strong form of this distinction was based on a now largely </w:t>
      </w:r>
      <w:r w:rsidR="00411133">
        <w:rPr>
          <w:rFonts w:ascii="Garamond" w:hAnsi="Garamond"/>
          <w:sz w:val="24"/>
          <w:szCs w:val="24"/>
        </w:rPr>
        <w:t>discredited</w:t>
      </w:r>
      <w:r w:rsidRPr="00461D74">
        <w:rPr>
          <w:rFonts w:ascii="Garamond" w:hAnsi="Garamond"/>
          <w:sz w:val="24"/>
          <w:szCs w:val="24"/>
        </w:rPr>
        <w:t xml:space="preserve"> distinction between analytic and synthetic statements; hence, we have good reason to be sceptical about a strong </w:t>
      </w:r>
      <w:r w:rsidR="00456918" w:rsidRPr="00461D74">
        <w:rPr>
          <w:rFonts w:ascii="Garamond" w:hAnsi="Garamond"/>
          <w:sz w:val="24"/>
          <w:szCs w:val="24"/>
        </w:rPr>
        <w:t>‘fact/value’</w:t>
      </w:r>
      <w:r w:rsidRPr="00461D74">
        <w:rPr>
          <w:rFonts w:ascii="Garamond" w:hAnsi="Garamond"/>
          <w:sz w:val="24"/>
          <w:szCs w:val="24"/>
        </w:rPr>
        <w:t xml:space="preserve"> distinction. Let me consider this in a little more detail.</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On Putnam’s view, the </w:t>
      </w:r>
      <w:r w:rsidR="00456918" w:rsidRPr="00461D74">
        <w:rPr>
          <w:rFonts w:ascii="Garamond" w:hAnsi="Garamond"/>
          <w:sz w:val="24"/>
          <w:szCs w:val="24"/>
        </w:rPr>
        <w:t>‘fact/value’</w:t>
      </w:r>
      <w:r w:rsidRPr="00461D74">
        <w:rPr>
          <w:rFonts w:ascii="Garamond" w:hAnsi="Garamond"/>
          <w:sz w:val="24"/>
          <w:szCs w:val="24"/>
        </w:rPr>
        <w:t xml:space="preserve"> dichotomy presupposes another distinction – namely, the analytic vs. synthetic class of statements.</w:t>
      </w:r>
      <w:r w:rsidRPr="00461D74">
        <w:rPr>
          <w:rStyle w:val="FootnoteReference"/>
          <w:rFonts w:ascii="Garamond" w:hAnsi="Garamond"/>
          <w:sz w:val="24"/>
          <w:szCs w:val="24"/>
        </w:rPr>
        <w:footnoteReference w:id="264"/>
      </w:r>
      <w:r w:rsidRPr="00461D74">
        <w:rPr>
          <w:rFonts w:ascii="Garamond" w:hAnsi="Garamond"/>
          <w:sz w:val="24"/>
          <w:szCs w:val="24"/>
        </w:rPr>
        <w:t xml:space="preserve"> Now the discussion of this distinction is important because the </w:t>
      </w:r>
      <w:r w:rsidR="00A23AD7" w:rsidRPr="00461D74">
        <w:rPr>
          <w:rFonts w:ascii="Garamond" w:hAnsi="Garamond"/>
          <w:sz w:val="24"/>
          <w:szCs w:val="24"/>
        </w:rPr>
        <w:t>‘</w:t>
      </w:r>
      <w:r w:rsidRPr="00461D74">
        <w:rPr>
          <w:rFonts w:ascii="Garamond" w:hAnsi="Garamond"/>
          <w:sz w:val="24"/>
          <w:szCs w:val="24"/>
        </w:rPr>
        <w:t>analytic</w:t>
      </w:r>
      <w:r w:rsidR="00A23AD7" w:rsidRPr="00461D74">
        <w:rPr>
          <w:rFonts w:ascii="Garamond" w:hAnsi="Garamond"/>
          <w:sz w:val="24"/>
          <w:szCs w:val="24"/>
        </w:rPr>
        <w:t>/</w:t>
      </w:r>
      <w:r w:rsidRPr="00461D74">
        <w:rPr>
          <w:rFonts w:ascii="Garamond" w:hAnsi="Garamond"/>
          <w:sz w:val="24"/>
          <w:szCs w:val="24"/>
        </w:rPr>
        <w:t>synthetic</w:t>
      </w:r>
      <w:r w:rsidR="00A23AD7" w:rsidRPr="00461D74">
        <w:rPr>
          <w:rFonts w:ascii="Garamond" w:hAnsi="Garamond"/>
          <w:sz w:val="24"/>
          <w:szCs w:val="24"/>
        </w:rPr>
        <w:t>’</w:t>
      </w:r>
      <w:r w:rsidRPr="00461D74">
        <w:rPr>
          <w:rFonts w:ascii="Garamond" w:hAnsi="Garamond"/>
          <w:sz w:val="24"/>
          <w:szCs w:val="24"/>
        </w:rPr>
        <w:t xml:space="preserve"> distinction </w:t>
      </w:r>
      <w:r w:rsidR="002453CB">
        <w:rPr>
          <w:rFonts w:ascii="Garamond" w:hAnsi="Garamond"/>
          <w:sz w:val="24"/>
          <w:szCs w:val="24"/>
        </w:rPr>
        <w:t>rested</w:t>
      </w:r>
      <w:r w:rsidRPr="00461D74">
        <w:rPr>
          <w:rFonts w:ascii="Garamond" w:hAnsi="Garamond"/>
          <w:sz w:val="24"/>
          <w:szCs w:val="24"/>
        </w:rPr>
        <w:t xml:space="preserve"> on a specific </w:t>
      </w:r>
      <w:proofErr w:type="spellStart"/>
      <w:r w:rsidRPr="00461D74">
        <w:rPr>
          <w:rFonts w:ascii="Garamond" w:hAnsi="Garamond"/>
          <w:sz w:val="24"/>
          <w:szCs w:val="24"/>
        </w:rPr>
        <w:t>Humean</w:t>
      </w:r>
      <w:proofErr w:type="spellEnd"/>
      <w:r w:rsidRPr="00461D74">
        <w:rPr>
          <w:rFonts w:ascii="Garamond" w:hAnsi="Garamond"/>
          <w:sz w:val="24"/>
          <w:szCs w:val="24"/>
        </w:rPr>
        <w:t xml:space="preserve"> conception of facts</w:t>
      </w:r>
      <w:r w:rsidR="002453CB">
        <w:rPr>
          <w:rFonts w:ascii="Garamond" w:hAnsi="Garamond"/>
          <w:sz w:val="24"/>
          <w:szCs w:val="24"/>
        </w:rPr>
        <w:t xml:space="preserve"> rooted in late 17</w:t>
      </w:r>
      <w:r w:rsidR="002453CB" w:rsidRPr="002453CB">
        <w:rPr>
          <w:rFonts w:ascii="Garamond" w:hAnsi="Garamond"/>
          <w:sz w:val="24"/>
          <w:szCs w:val="24"/>
          <w:vertAlign w:val="superscript"/>
        </w:rPr>
        <w:t>th</w:t>
      </w:r>
      <w:r w:rsidR="002453CB">
        <w:rPr>
          <w:rFonts w:ascii="Garamond" w:hAnsi="Garamond"/>
          <w:sz w:val="24"/>
          <w:szCs w:val="24"/>
        </w:rPr>
        <w:t xml:space="preserve"> early 18</w:t>
      </w:r>
      <w:r w:rsidR="002453CB" w:rsidRPr="002453CB">
        <w:rPr>
          <w:rFonts w:ascii="Garamond" w:hAnsi="Garamond"/>
          <w:sz w:val="24"/>
          <w:szCs w:val="24"/>
          <w:vertAlign w:val="superscript"/>
        </w:rPr>
        <w:t>th</w:t>
      </w:r>
      <w:r w:rsidR="002453CB">
        <w:rPr>
          <w:rFonts w:ascii="Garamond" w:hAnsi="Garamond"/>
          <w:sz w:val="24"/>
          <w:szCs w:val="24"/>
        </w:rPr>
        <w:t xml:space="preserve"> century account of psychology; and </w:t>
      </w:r>
      <w:r w:rsidRPr="00461D74">
        <w:rPr>
          <w:rFonts w:ascii="Garamond" w:hAnsi="Garamond"/>
          <w:sz w:val="24"/>
          <w:szCs w:val="24"/>
        </w:rPr>
        <w:t>th</w:t>
      </w:r>
      <w:r w:rsidR="002453CB">
        <w:rPr>
          <w:rFonts w:ascii="Garamond" w:hAnsi="Garamond"/>
          <w:sz w:val="24"/>
          <w:szCs w:val="24"/>
        </w:rPr>
        <w:t>is same</w:t>
      </w:r>
      <w:r w:rsidRPr="00461D74">
        <w:rPr>
          <w:rFonts w:ascii="Garamond" w:hAnsi="Garamond"/>
          <w:sz w:val="24"/>
          <w:szCs w:val="24"/>
        </w:rPr>
        <w:t xml:space="preserve"> conception of fact</w:t>
      </w:r>
      <w:r w:rsidR="00411133">
        <w:rPr>
          <w:rFonts w:ascii="Garamond" w:hAnsi="Garamond"/>
          <w:sz w:val="24"/>
          <w:szCs w:val="24"/>
        </w:rPr>
        <w:t>s</w:t>
      </w:r>
      <w:r w:rsidRPr="00461D74">
        <w:rPr>
          <w:rFonts w:ascii="Garamond" w:hAnsi="Garamond"/>
          <w:sz w:val="24"/>
          <w:szCs w:val="24"/>
        </w:rPr>
        <w:t xml:space="preserve"> </w:t>
      </w:r>
      <w:r w:rsidR="002453CB">
        <w:rPr>
          <w:rFonts w:ascii="Garamond" w:hAnsi="Garamond"/>
          <w:sz w:val="24"/>
          <w:szCs w:val="24"/>
        </w:rPr>
        <w:t>formed</w:t>
      </w:r>
      <w:r w:rsidR="002453CB" w:rsidRPr="00461D74">
        <w:rPr>
          <w:rFonts w:ascii="Garamond" w:hAnsi="Garamond"/>
          <w:sz w:val="24"/>
          <w:szCs w:val="24"/>
        </w:rPr>
        <w:t xml:space="preserve"> </w:t>
      </w:r>
      <w:r w:rsidRPr="00461D74">
        <w:rPr>
          <w:rFonts w:ascii="Garamond" w:hAnsi="Garamond"/>
          <w:sz w:val="24"/>
          <w:szCs w:val="24"/>
        </w:rPr>
        <w:t xml:space="preserve">the basis for the original </w:t>
      </w:r>
      <w:r w:rsidR="00456918" w:rsidRPr="00461D74">
        <w:rPr>
          <w:rFonts w:ascii="Garamond" w:hAnsi="Garamond"/>
          <w:sz w:val="24"/>
          <w:szCs w:val="24"/>
        </w:rPr>
        <w:t>‘fact/value’</w:t>
      </w:r>
      <w:r w:rsidRPr="00461D74">
        <w:rPr>
          <w:rFonts w:ascii="Garamond" w:hAnsi="Garamond"/>
          <w:sz w:val="24"/>
          <w:szCs w:val="24"/>
        </w:rPr>
        <w:t xml:space="preserve"> distinction. Thus</w:t>
      </w:r>
      <w:r w:rsidR="002453CB">
        <w:rPr>
          <w:rFonts w:ascii="Garamond" w:hAnsi="Garamond"/>
          <w:sz w:val="24"/>
          <w:szCs w:val="24"/>
        </w:rPr>
        <w:t>,</w:t>
      </w:r>
      <w:r w:rsidRPr="00461D74">
        <w:rPr>
          <w:rFonts w:ascii="Garamond" w:hAnsi="Garamond"/>
          <w:sz w:val="24"/>
          <w:szCs w:val="24"/>
        </w:rPr>
        <w:t xml:space="preserve"> if it turns out that this conception of facts is indeed wrong, </w:t>
      </w:r>
      <w:r w:rsidR="002453CB">
        <w:rPr>
          <w:rFonts w:ascii="Garamond" w:hAnsi="Garamond"/>
          <w:sz w:val="24"/>
          <w:szCs w:val="24"/>
        </w:rPr>
        <w:t>in part due to the limitations of that psychology</w:t>
      </w:r>
      <w:r w:rsidR="00F050D7">
        <w:rPr>
          <w:rFonts w:ascii="Garamond" w:hAnsi="Garamond"/>
          <w:sz w:val="24"/>
          <w:szCs w:val="24"/>
        </w:rPr>
        <w:t>,</w:t>
      </w:r>
      <w:r w:rsidR="002453CB">
        <w:rPr>
          <w:rFonts w:ascii="Garamond" w:hAnsi="Garamond"/>
          <w:sz w:val="24"/>
          <w:szCs w:val="24"/>
        </w:rPr>
        <w:t xml:space="preserve"> </w:t>
      </w:r>
      <w:r w:rsidRPr="00461D74">
        <w:rPr>
          <w:rFonts w:ascii="Garamond" w:hAnsi="Garamond"/>
          <w:sz w:val="24"/>
          <w:szCs w:val="24"/>
        </w:rPr>
        <w:t xml:space="preserve">and </w:t>
      </w:r>
      <w:r w:rsidR="002453CB">
        <w:rPr>
          <w:rFonts w:ascii="Garamond" w:hAnsi="Garamond"/>
          <w:sz w:val="24"/>
          <w:szCs w:val="24"/>
        </w:rPr>
        <w:t xml:space="preserve">partly owing to later scientific discoveries </w:t>
      </w:r>
      <w:r w:rsidR="00B03110">
        <w:rPr>
          <w:rFonts w:ascii="Garamond" w:hAnsi="Garamond"/>
          <w:sz w:val="24"/>
          <w:szCs w:val="24"/>
        </w:rPr>
        <w:t>demonstrating</w:t>
      </w:r>
      <w:r w:rsidR="002453CB">
        <w:rPr>
          <w:rFonts w:ascii="Garamond" w:hAnsi="Garamond"/>
          <w:sz w:val="24"/>
          <w:szCs w:val="24"/>
        </w:rPr>
        <w:t xml:space="preserve"> </w:t>
      </w:r>
      <w:r w:rsidRPr="00461D74">
        <w:rPr>
          <w:rFonts w:ascii="Garamond" w:hAnsi="Garamond"/>
          <w:sz w:val="24"/>
          <w:szCs w:val="24"/>
        </w:rPr>
        <w:t xml:space="preserve">that facts are </w:t>
      </w:r>
      <w:r w:rsidR="002453CB">
        <w:rPr>
          <w:rFonts w:ascii="Garamond" w:hAnsi="Garamond"/>
          <w:sz w:val="24"/>
          <w:szCs w:val="24"/>
        </w:rPr>
        <w:t xml:space="preserve">indeed </w:t>
      </w:r>
      <w:r w:rsidRPr="00461D74">
        <w:rPr>
          <w:rFonts w:ascii="Garamond" w:hAnsi="Garamond"/>
          <w:sz w:val="24"/>
          <w:szCs w:val="24"/>
        </w:rPr>
        <w:t xml:space="preserve">more complex than </w:t>
      </w:r>
      <w:r w:rsidR="002453CB">
        <w:rPr>
          <w:rFonts w:ascii="Garamond" w:hAnsi="Garamond"/>
          <w:sz w:val="24"/>
          <w:szCs w:val="24"/>
        </w:rPr>
        <w:t xml:space="preserve">the </w:t>
      </w:r>
      <w:proofErr w:type="spellStart"/>
      <w:r w:rsidR="002453CB">
        <w:rPr>
          <w:rFonts w:ascii="Garamond" w:hAnsi="Garamond"/>
          <w:sz w:val="24"/>
          <w:szCs w:val="24"/>
        </w:rPr>
        <w:t>Humean</w:t>
      </w:r>
      <w:proofErr w:type="spellEnd"/>
      <w:r w:rsidR="002453CB">
        <w:rPr>
          <w:rFonts w:ascii="Garamond" w:hAnsi="Garamond"/>
          <w:sz w:val="24"/>
          <w:szCs w:val="24"/>
        </w:rPr>
        <w:t xml:space="preserve"> view</w:t>
      </w:r>
      <w:r w:rsidR="002453CB" w:rsidRPr="00461D74">
        <w:rPr>
          <w:rFonts w:ascii="Garamond" w:hAnsi="Garamond"/>
          <w:sz w:val="24"/>
          <w:szCs w:val="24"/>
        </w:rPr>
        <w:t xml:space="preserve"> </w:t>
      </w:r>
      <w:r w:rsidRPr="00461D74">
        <w:rPr>
          <w:rFonts w:ascii="Garamond" w:hAnsi="Garamond"/>
          <w:sz w:val="24"/>
          <w:szCs w:val="24"/>
        </w:rPr>
        <w:t>allow</w:t>
      </w:r>
      <w:r w:rsidR="002453CB">
        <w:rPr>
          <w:rFonts w:ascii="Garamond" w:hAnsi="Garamond"/>
          <w:sz w:val="24"/>
          <w:szCs w:val="24"/>
        </w:rPr>
        <w:t>s</w:t>
      </w:r>
      <w:r w:rsidRPr="00461D74">
        <w:rPr>
          <w:rFonts w:ascii="Garamond" w:hAnsi="Garamond"/>
          <w:sz w:val="24"/>
          <w:szCs w:val="24"/>
        </w:rPr>
        <w:t xml:space="preserve"> for, we have reason</w:t>
      </w:r>
      <w:r w:rsidR="002453CB">
        <w:rPr>
          <w:rFonts w:ascii="Garamond" w:hAnsi="Garamond"/>
          <w:sz w:val="24"/>
          <w:szCs w:val="24"/>
        </w:rPr>
        <w:t>s</w:t>
      </w:r>
      <w:r w:rsidRPr="00461D74">
        <w:rPr>
          <w:rFonts w:ascii="Garamond" w:hAnsi="Garamond"/>
          <w:sz w:val="24"/>
          <w:szCs w:val="24"/>
        </w:rPr>
        <w:t xml:space="preserve"> to worry about drawing a sharp distinction between facts and values.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Putnam </w:t>
      </w:r>
      <w:r w:rsidR="00F050D7">
        <w:rPr>
          <w:rFonts w:ascii="Garamond" w:hAnsi="Garamond"/>
          <w:sz w:val="24"/>
          <w:szCs w:val="24"/>
        </w:rPr>
        <w:t xml:space="preserve">begins by </w:t>
      </w:r>
      <w:r w:rsidRPr="00461D74">
        <w:rPr>
          <w:rFonts w:ascii="Garamond" w:hAnsi="Garamond"/>
          <w:sz w:val="24"/>
          <w:szCs w:val="24"/>
        </w:rPr>
        <w:t>argu</w:t>
      </w:r>
      <w:r w:rsidR="00F050D7">
        <w:rPr>
          <w:rFonts w:ascii="Garamond" w:hAnsi="Garamond"/>
          <w:sz w:val="24"/>
          <w:szCs w:val="24"/>
        </w:rPr>
        <w:t>ing</w:t>
      </w:r>
      <w:r w:rsidRPr="00461D74">
        <w:rPr>
          <w:rFonts w:ascii="Garamond" w:hAnsi="Garamond"/>
          <w:sz w:val="24"/>
          <w:szCs w:val="24"/>
        </w:rPr>
        <w:t xml:space="preserve"> that the </w:t>
      </w:r>
      <w:r w:rsidR="00A23AD7" w:rsidRPr="00461D74">
        <w:rPr>
          <w:rFonts w:ascii="Garamond" w:hAnsi="Garamond"/>
          <w:sz w:val="24"/>
          <w:szCs w:val="24"/>
        </w:rPr>
        <w:t>‘analytic/synthetic’</w:t>
      </w:r>
      <w:r w:rsidRPr="00461D74">
        <w:rPr>
          <w:rFonts w:ascii="Garamond" w:hAnsi="Garamond"/>
          <w:sz w:val="24"/>
          <w:szCs w:val="24"/>
        </w:rPr>
        <w:t xml:space="preserve"> distinction was undermined by </w:t>
      </w:r>
      <w:proofErr w:type="spellStart"/>
      <w:r w:rsidRPr="00461D74">
        <w:rPr>
          <w:rFonts w:ascii="Garamond" w:hAnsi="Garamond"/>
          <w:sz w:val="24"/>
          <w:szCs w:val="24"/>
        </w:rPr>
        <w:t>Quine’s</w:t>
      </w:r>
      <w:proofErr w:type="spellEnd"/>
      <w:r w:rsidRPr="00461D74">
        <w:rPr>
          <w:rFonts w:ascii="Garamond" w:hAnsi="Garamond"/>
          <w:sz w:val="24"/>
          <w:szCs w:val="24"/>
        </w:rPr>
        <w:t xml:space="preserve"> work, and more specifically </w:t>
      </w:r>
      <w:proofErr w:type="spellStart"/>
      <w:r w:rsidRPr="00461D74">
        <w:rPr>
          <w:rFonts w:ascii="Garamond" w:hAnsi="Garamond"/>
          <w:sz w:val="24"/>
          <w:szCs w:val="24"/>
        </w:rPr>
        <w:t>Quine’s</w:t>
      </w:r>
      <w:proofErr w:type="spellEnd"/>
      <w:r w:rsidRPr="00461D74">
        <w:rPr>
          <w:rFonts w:ascii="Garamond" w:hAnsi="Garamond"/>
          <w:sz w:val="24"/>
          <w:szCs w:val="24"/>
        </w:rPr>
        <w:t xml:space="preserve"> famous paper the ‘The Two Dogmas of Empiricism</w:t>
      </w:r>
      <w:r w:rsidR="00F050D7">
        <w:rPr>
          <w:rFonts w:ascii="Garamond" w:hAnsi="Garamond"/>
          <w:sz w:val="24"/>
          <w:szCs w:val="24"/>
        </w:rPr>
        <w:t>.</w:t>
      </w:r>
      <w:r w:rsidRPr="00461D74">
        <w:rPr>
          <w:rFonts w:ascii="Garamond" w:hAnsi="Garamond"/>
          <w:sz w:val="24"/>
          <w:szCs w:val="24"/>
        </w:rPr>
        <w:t xml:space="preserve">’ </w:t>
      </w:r>
      <w:proofErr w:type="spellStart"/>
      <w:r w:rsidRPr="00461D74">
        <w:rPr>
          <w:rFonts w:ascii="Garamond" w:hAnsi="Garamond"/>
          <w:sz w:val="24"/>
          <w:szCs w:val="24"/>
        </w:rPr>
        <w:t>Quine’s</w:t>
      </w:r>
      <w:proofErr w:type="spellEnd"/>
      <w:r w:rsidRPr="00461D74">
        <w:rPr>
          <w:rFonts w:ascii="Garamond" w:hAnsi="Garamond"/>
          <w:sz w:val="24"/>
          <w:szCs w:val="24"/>
        </w:rPr>
        <w:t xml:space="preserve"> insight was that there is a large range of statements that do not fall neatly into the analytic or synthetic classification. </w:t>
      </w:r>
      <w:proofErr w:type="spellStart"/>
      <w:r w:rsidRPr="00461D74">
        <w:rPr>
          <w:rFonts w:ascii="Garamond" w:hAnsi="Garamond"/>
          <w:sz w:val="24"/>
          <w:szCs w:val="24"/>
        </w:rPr>
        <w:t>Quine</w:t>
      </w:r>
      <w:proofErr w:type="spellEnd"/>
      <w:r w:rsidR="000B617A">
        <w:rPr>
          <w:rFonts w:ascii="Garamond" w:hAnsi="Garamond"/>
          <w:sz w:val="24"/>
          <w:szCs w:val="24"/>
        </w:rPr>
        <w:t>,</w:t>
      </w:r>
      <w:r w:rsidRPr="00461D74">
        <w:rPr>
          <w:rFonts w:ascii="Garamond" w:hAnsi="Garamond"/>
          <w:sz w:val="24"/>
          <w:szCs w:val="24"/>
        </w:rPr>
        <w:t xml:space="preserve"> by </w:t>
      </w:r>
      <w:r w:rsidR="000B617A">
        <w:rPr>
          <w:rFonts w:ascii="Garamond" w:hAnsi="Garamond"/>
          <w:sz w:val="24"/>
          <w:szCs w:val="24"/>
        </w:rPr>
        <w:t>revealing the</w:t>
      </w:r>
      <w:r w:rsidR="000B617A" w:rsidRPr="00461D74">
        <w:rPr>
          <w:rFonts w:ascii="Garamond" w:hAnsi="Garamond"/>
          <w:sz w:val="24"/>
          <w:szCs w:val="24"/>
        </w:rPr>
        <w:t xml:space="preserve"> factual </w:t>
      </w:r>
      <w:r w:rsidR="000B617A">
        <w:rPr>
          <w:rFonts w:ascii="Garamond" w:hAnsi="Garamond"/>
          <w:sz w:val="24"/>
          <w:szCs w:val="24"/>
        </w:rPr>
        <w:t xml:space="preserve">(or synthetic) </w:t>
      </w:r>
      <w:r w:rsidR="000B617A" w:rsidRPr="00461D74">
        <w:rPr>
          <w:rFonts w:ascii="Garamond" w:hAnsi="Garamond"/>
          <w:sz w:val="24"/>
          <w:szCs w:val="24"/>
        </w:rPr>
        <w:t xml:space="preserve">components </w:t>
      </w:r>
      <w:r w:rsidR="000B617A">
        <w:rPr>
          <w:rFonts w:ascii="Garamond" w:hAnsi="Garamond"/>
          <w:sz w:val="24"/>
          <w:szCs w:val="24"/>
        </w:rPr>
        <w:t xml:space="preserve">of </w:t>
      </w:r>
      <w:r w:rsidR="000B617A" w:rsidRPr="00461D74">
        <w:rPr>
          <w:rFonts w:ascii="Garamond" w:hAnsi="Garamond"/>
          <w:sz w:val="24"/>
          <w:szCs w:val="24"/>
        </w:rPr>
        <w:t>analytic statements</w:t>
      </w:r>
      <w:r w:rsidR="000B617A">
        <w:rPr>
          <w:rFonts w:ascii="Garamond" w:hAnsi="Garamond"/>
          <w:sz w:val="24"/>
          <w:szCs w:val="24"/>
        </w:rPr>
        <w:t xml:space="preserve"> and the </w:t>
      </w:r>
      <w:r w:rsidR="000B617A" w:rsidRPr="00461D74">
        <w:rPr>
          <w:rFonts w:ascii="Garamond" w:hAnsi="Garamond"/>
          <w:sz w:val="24"/>
          <w:szCs w:val="24"/>
        </w:rPr>
        <w:t>conventional (or analytic) components</w:t>
      </w:r>
      <w:r w:rsidR="000B617A">
        <w:rPr>
          <w:rFonts w:ascii="Garamond" w:hAnsi="Garamond"/>
          <w:sz w:val="24"/>
          <w:szCs w:val="24"/>
        </w:rPr>
        <w:t xml:space="preserve"> of</w:t>
      </w:r>
      <w:r w:rsidR="000B617A" w:rsidRPr="00461D74">
        <w:rPr>
          <w:rFonts w:ascii="Garamond" w:hAnsi="Garamond"/>
          <w:sz w:val="24"/>
          <w:szCs w:val="24"/>
        </w:rPr>
        <w:t xml:space="preserve"> synthetic statements</w:t>
      </w:r>
      <w:r w:rsidR="000B617A">
        <w:rPr>
          <w:rFonts w:ascii="Garamond" w:hAnsi="Garamond"/>
          <w:sz w:val="24"/>
          <w:szCs w:val="24"/>
        </w:rPr>
        <w:t xml:space="preserve">, in effect </w:t>
      </w:r>
      <w:r w:rsidR="000B617A">
        <w:rPr>
          <w:rFonts w:ascii="Garamond" w:hAnsi="Garamond"/>
          <w:sz w:val="24"/>
          <w:szCs w:val="24"/>
        </w:rPr>
        <w:lastRenderedPageBreak/>
        <w:t>establishe</w:t>
      </w:r>
      <w:r w:rsidR="00B03110">
        <w:rPr>
          <w:rFonts w:ascii="Garamond" w:hAnsi="Garamond"/>
          <w:sz w:val="24"/>
          <w:szCs w:val="24"/>
        </w:rPr>
        <w:t>d</w:t>
      </w:r>
      <w:r w:rsidR="000B617A">
        <w:rPr>
          <w:rFonts w:ascii="Garamond" w:hAnsi="Garamond"/>
          <w:sz w:val="24"/>
          <w:szCs w:val="24"/>
        </w:rPr>
        <w:t xml:space="preserve"> </w:t>
      </w:r>
      <w:r w:rsidRPr="00461D74">
        <w:rPr>
          <w:rFonts w:ascii="Garamond" w:hAnsi="Garamond"/>
          <w:sz w:val="24"/>
          <w:szCs w:val="24"/>
        </w:rPr>
        <w:t xml:space="preserve">that both sides of this ‘divide’ are in fact entangled with one another. </w:t>
      </w:r>
      <w:proofErr w:type="spellStart"/>
      <w:r w:rsidRPr="00461D74">
        <w:rPr>
          <w:rFonts w:ascii="Garamond" w:hAnsi="Garamond"/>
          <w:sz w:val="24"/>
          <w:szCs w:val="24"/>
        </w:rPr>
        <w:t>Quine</w:t>
      </w:r>
      <w:proofErr w:type="spellEnd"/>
      <w:r w:rsidRPr="00461D74">
        <w:rPr>
          <w:rFonts w:ascii="Garamond" w:hAnsi="Garamond"/>
          <w:sz w:val="24"/>
          <w:szCs w:val="24"/>
        </w:rPr>
        <w:t xml:space="preserve"> demonstrates this by arguing that there are two categories of analytic statements: (</w:t>
      </w:r>
      <w:proofErr w:type="spellStart"/>
      <w:r w:rsidRPr="00461D74">
        <w:rPr>
          <w:rFonts w:ascii="Garamond" w:hAnsi="Garamond"/>
          <w:sz w:val="24"/>
          <w:szCs w:val="24"/>
        </w:rPr>
        <w:t>i</w:t>
      </w:r>
      <w:proofErr w:type="spellEnd"/>
      <w:r w:rsidRPr="00461D74">
        <w:rPr>
          <w:rFonts w:ascii="Garamond" w:hAnsi="Garamond"/>
          <w:sz w:val="24"/>
          <w:szCs w:val="24"/>
        </w:rPr>
        <w:t>) those that are true in all possible worlds; and (ii) those that are true in virtue of synonymy.</w:t>
      </w:r>
      <w:r w:rsidR="00AA2A48" w:rsidRPr="00461D74">
        <w:rPr>
          <w:rFonts w:ascii="Garamond" w:hAnsi="Garamond"/>
          <w:sz w:val="24"/>
          <w:szCs w:val="24"/>
        </w:rPr>
        <w:fldChar w:fldCharType="begin"/>
      </w:r>
      <w:r w:rsidR="0083324E" w:rsidRPr="00461D74">
        <w:rPr>
          <w:rFonts w:ascii="Garamond" w:hAnsi="Garamond"/>
          <w:sz w:val="24"/>
          <w:szCs w:val="24"/>
        </w:rPr>
        <w:instrText xml:space="preserve"> ADDIN EN.CITE &lt;EndNote&gt;&lt;Cite&gt;&lt;Author&gt;Quine&lt;/Author&gt;&lt;Year&gt;1951&lt;/Year&gt;&lt;RecNum&gt;65&lt;/RecNum&gt;&lt;record&gt;&lt;rec-number&gt;65&lt;/rec-number&gt;&lt;foreign-keys&gt;&lt;key app="EN" db-id="vxze0a2pwrt959ep2afxdw5cat595wt9sv95" timestamp="1443702612"&gt;65&lt;/key&gt;&lt;/foreign-keys&gt;&lt;ref-type name="Journal Article"&gt;17&lt;/ref-type&gt;&lt;contributors&gt;&lt;authors&gt;&lt;author&gt;Quine, Willard V. O.&lt;/author&gt;&lt;/authors&gt;&lt;/contributors&gt;&lt;titles&gt;&lt;title&gt;Two Dogmas of Empiricism&lt;/title&gt;&lt;secondary-title&gt;Philosophical Review&lt;/secondary-title&gt;&lt;/titles&gt;&lt;periodical&gt;&lt;full-title&gt;Philosophical Review&lt;/full-title&gt;&lt;/periodical&gt;&lt;pages&gt;20–43&lt;/pages&gt;&lt;volume&gt;, 60&lt;/volume&gt;&lt;number&gt;1&lt;/number&gt;&lt;dates&gt;&lt;year&gt;1951&lt;/year&gt;&lt;/dates&gt;&lt;urls&gt;&lt;/urls&gt;&lt;/record&gt;&lt;/Cite&gt;&lt;/EndNote&gt;</w:instrText>
      </w:r>
      <w:r w:rsidR="00AA2A48" w:rsidRPr="00461D74">
        <w:rPr>
          <w:rFonts w:ascii="Garamond" w:hAnsi="Garamond"/>
          <w:sz w:val="24"/>
          <w:szCs w:val="24"/>
        </w:rPr>
        <w:fldChar w:fldCharType="end"/>
      </w:r>
      <w:r w:rsidR="00E357E2" w:rsidRPr="00461D74">
        <w:rPr>
          <w:rStyle w:val="FootnoteReference"/>
          <w:rFonts w:ascii="Garamond" w:hAnsi="Garamond"/>
          <w:sz w:val="24"/>
          <w:szCs w:val="24"/>
        </w:rPr>
        <w:footnoteReference w:id="265"/>
      </w:r>
      <w:r w:rsidRPr="00461D74">
        <w:rPr>
          <w:rFonts w:ascii="Garamond" w:hAnsi="Garamond"/>
          <w:sz w:val="24"/>
          <w:szCs w:val="24"/>
        </w:rPr>
        <w:t xml:space="preserve"> He then argues that those that are true in virtue of synonymy cannot be true in all</w:t>
      </w:r>
      <w:r w:rsidR="00E357E2" w:rsidRPr="00461D74">
        <w:rPr>
          <w:rFonts w:ascii="Garamond" w:hAnsi="Garamond"/>
          <w:sz w:val="24"/>
          <w:szCs w:val="24"/>
        </w:rPr>
        <w:t xml:space="preserve"> possible worlds since synonym</w:t>
      </w:r>
      <w:r w:rsidRPr="00461D74">
        <w:rPr>
          <w:rFonts w:ascii="Garamond" w:hAnsi="Garamond"/>
          <w:sz w:val="24"/>
          <w:szCs w:val="24"/>
        </w:rPr>
        <w:t>y relies on particular contingent facts.</w:t>
      </w:r>
      <w:r w:rsidRPr="00461D74">
        <w:rPr>
          <w:rStyle w:val="FootnoteReference"/>
          <w:rFonts w:ascii="Garamond" w:hAnsi="Garamond"/>
          <w:sz w:val="24"/>
          <w:szCs w:val="24"/>
        </w:rPr>
        <w:footnoteReference w:id="266"/>
      </w:r>
      <w:r w:rsidRPr="00461D74">
        <w:rPr>
          <w:rFonts w:ascii="Garamond" w:hAnsi="Garamond"/>
          <w:sz w:val="24"/>
          <w:szCs w:val="24"/>
        </w:rPr>
        <w:t xml:space="preserve"> Hence, these second forms of analytic statements are parasitic on synthetic statements – or put differently, they are entangled. The upshot here is that all those analytic statements that</w:t>
      </w:r>
      <w:r w:rsidR="00E357E2" w:rsidRPr="00461D74">
        <w:rPr>
          <w:rFonts w:ascii="Garamond" w:hAnsi="Garamond"/>
          <w:sz w:val="24"/>
          <w:szCs w:val="24"/>
        </w:rPr>
        <w:t xml:space="preserve"> are true in virtue of synonym</w:t>
      </w:r>
      <w:r w:rsidRPr="00461D74">
        <w:rPr>
          <w:rFonts w:ascii="Garamond" w:hAnsi="Garamond"/>
          <w:sz w:val="24"/>
          <w:szCs w:val="24"/>
        </w:rPr>
        <w:t xml:space="preserve">y, can no longer be counted as analytic, or truths of reason, in the sense that Kant or Leibniz, respectively, could have entertained – namely, </w:t>
      </w:r>
      <w:r w:rsidR="00EF57BE">
        <w:rPr>
          <w:rFonts w:ascii="Garamond" w:hAnsi="Garamond"/>
          <w:sz w:val="24"/>
          <w:szCs w:val="24"/>
        </w:rPr>
        <w:t xml:space="preserve">true </w:t>
      </w:r>
      <w:r w:rsidRPr="00461D74">
        <w:rPr>
          <w:rFonts w:ascii="Garamond" w:hAnsi="Garamond"/>
          <w:sz w:val="24"/>
          <w:szCs w:val="24"/>
        </w:rPr>
        <w:t xml:space="preserve">in all possible worlds. Thus, if analytic statements are seen as dependent on factual statements, we come to possess many statements that cannot be </w:t>
      </w:r>
      <w:r w:rsidR="00B03110">
        <w:rPr>
          <w:rFonts w:ascii="Garamond" w:hAnsi="Garamond"/>
          <w:sz w:val="24"/>
          <w:szCs w:val="24"/>
        </w:rPr>
        <w:t>exclusively</w:t>
      </w:r>
      <w:r w:rsidR="00B03110" w:rsidRPr="00461D74" w:rsidDel="00B03110">
        <w:rPr>
          <w:rFonts w:ascii="Garamond" w:hAnsi="Garamond"/>
          <w:sz w:val="24"/>
          <w:szCs w:val="24"/>
        </w:rPr>
        <w:t xml:space="preserve"> </w:t>
      </w:r>
      <w:r w:rsidR="00B219B8">
        <w:rPr>
          <w:rFonts w:ascii="Garamond" w:hAnsi="Garamond"/>
          <w:sz w:val="24"/>
          <w:szCs w:val="24"/>
        </w:rPr>
        <w:t xml:space="preserve">(or definitively) </w:t>
      </w:r>
      <w:r w:rsidR="00B03110">
        <w:rPr>
          <w:rFonts w:ascii="Garamond" w:hAnsi="Garamond"/>
          <w:sz w:val="24"/>
          <w:szCs w:val="24"/>
        </w:rPr>
        <w:t xml:space="preserve">classified </w:t>
      </w:r>
      <w:r w:rsidRPr="00461D74">
        <w:rPr>
          <w:rFonts w:ascii="Garamond" w:hAnsi="Garamond"/>
          <w:sz w:val="24"/>
          <w:szCs w:val="24"/>
        </w:rPr>
        <w:t>as fact</w:t>
      </w:r>
      <w:r w:rsidR="00B03110">
        <w:rPr>
          <w:rFonts w:ascii="Garamond" w:hAnsi="Garamond"/>
          <w:sz w:val="24"/>
          <w:szCs w:val="24"/>
        </w:rPr>
        <w:t>ual</w:t>
      </w:r>
      <w:r w:rsidR="00EF57BE">
        <w:rPr>
          <w:rFonts w:ascii="Garamond" w:hAnsi="Garamond"/>
          <w:sz w:val="24"/>
          <w:szCs w:val="24"/>
        </w:rPr>
        <w:t xml:space="preserve"> on the one hand</w:t>
      </w:r>
      <w:r w:rsidRPr="00461D74">
        <w:rPr>
          <w:rFonts w:ascii="Garamond" w:hAnsi="Garamond"/>
          <w:sz w:val="24"/>
          <w:szCs w:val="24"/>
        </w:rPr>
        <w:t xml:space="preserve">, or </w:t>
      </w:r>
      <w:r w:rsidR="00B03110">
        <w:rPr>
          <w:rFonts w:ascii="Garamond" w:hAnsi="Garamond"/>
          <w:sz w:val="24"/>
          <w:szCs w:val="24"/>
        </w:rPr>
        <w:t>on the other hand</w:t>
      </w:r>
      <w:r w:rsidRPr="00461D74">
        <w:rPr>
          <w:rFonts w:ascii="Garamond" w:hAnsi="Garamond"/>
          <w:sz w:val="24"/>
          <w:szCs w:val="24"/>
        </w:rPr>
        <w:t xml:space="preserve"> </w:t>
      </w:r>
      <w:r w:rsidR="00B03110">
        <w:rPr>
          <w:rFonts w:ascii="Garamond" w:hAnsi="Garamond"/>
          <w:sz w:val="24"/>
          <w:szCs w:val="24"/>
        </w:rPr>
        <w:t xml:space="preserve">as </w:t>
      </w:r>
      <w:r w:rsidRPr="00461D74">
        <w:rPr>
          <w:rFonts w:ascii="Garamond" w:hAnsi="Garamond"/>
          <w:sz w:val="24"/>
          <w:szCs w:val="24"/>
        </w:rPr>
        <w:t>convention</w:t>
      </w:r>
      <w:r w:rsidR="000F1A8E" w:rsidRPr="00461D74">
        <w:rPr>
          <w:rFonts w:ascii="Garamond" w:hAnsi="Garamond"/>
          <w:sz w:val="24"/>
          <w:szCs w:val="24"/>
        </w:rPr>
        <w:t>al</w:t>
      </w:r>
      <w:r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For Putnam, </w:t>
      </w:r>
      <w:proofErr w:type="spellStart"/>
      <w:r w:rsidRPr="00461D74">
        <w:rPr>
          <w:rFonts w:ascii="Garamond" w:hAnsi="Garamond"/>
          <w:sz w:val="24"/>
          <w:szCs w:val="24"/>
        </w:rPr>
        <w:t>Quine</w:t>
      </w:r>
      <w:proofErr w:type="spellEnd"/>
      <w:r w:rsidRPr="00461D74">
        <w:rPr>
          <w:rFonts w:ascii="Garamond" w:hAnsi="Garamond"/>
          <w:sz w:val="24"/>
          <w:szCs w:val="24"/>
        </w:rPr>
        <w:t xml:space="preserve"> demonstrate</w:t>
      </w:r>
      <w:r w:rsidR="00A84CEC">
        <w:rPr>
          <w:rFonts w:ascii="Garamond" w:hAnsi="Garamond"/>
          <w:sz w:val="24"/>
          <w:szCs w:val="24"/>
        </w:rPr>
        <w:t>s</w:t>
      </w:r>
      <w:r w:rsidRPr="00461D74">
        <w:rPr>
          <w:rFonts w:ascii="Garamond" w:hAnsi="Garamond"/>
          <w:sz w:val="24"/>
          <w:szCs w:val="24"/>
        </w:rPr>
        <w:t xml:space="preserve"> the collapse of the </w:t>
      </w:r>
      <w:r w:rsidR="00A23AD7" w:rsidRPr="00461D74">
        <w:rPr>
          <w:rFonts w:ascii="Garamond" w:hAnsi="Garamond"/>
          <w:sz w:val="24"/>
          <w:szCs w:val="24"/>
        </w:rPr>
        <w:t>‘analytic/synthetic’</w:t>
      </w:r>
      <w:r w:rsidRPr="00461D74">
        <w:rPr>
          <w:rFonts w:ascii="Garamond" w:hAnsi="Garamond"/>
          <w:sz w:val="24"/>
          <w:szCs w:val="24"/>
        </w:rPr>
        <w:t xml:space="preserve"> distinction </w:t>
      </w:r>
      <w:r w:rsidR="00A84CEC">
        <w:rPr>
          <w:rFonts w:ascii="Garamond" w:hAnsi="Garamond"/>
          <w:sz w:val="24"/>
          <w:szCs w:val="24"/>
        </w:rPr>
        <w:t>owing to</w:t>
      </w:r>
      <w:r w:rsidR="00A84CEC" w:rsidRPr="00461D74">
        <w:rPr>
          <w:rFonts w:ascii="Garamond" w:hAnsi="Garamond"/>
          <w:sz w:val="24"/>
          <w:szCs w:val="24"/>
        </w:rPr>
        <w:t xml:space="preserve"> </w:t>
      </w:r>
      <w:r w:rsidRPr="00461D74">
        <w:rPr>
          <w:rFonts w:ascii="Garamond" w:hAnsi="Garamond"/>
          <w:sz w:val="24"/>
          <w:szCs w:val="24"/>
        </w:rPr>
        <w:t>entanglement between fact</w:t>
      </w:r>
      <w:r w:rsidR="00A84CEC">
        <w:rPr>
          <w:rFonts w:ascii="Garamond" w:hAnsi="Garamond"/>
          <w:sz w:val="24"/>
          <w:szCs w:val="24"/>
        </w:rPr>
        <w:t>s</w:t>
      </w:r>
      <w:r w:rsidRPr="00461D74">
        <w:rPr>
          <w:rFonts w:ascii="Garamond" w:hAnsi="Garamond"/>
          <w:sz w:val="24"/>
          <w:szCs w:val="24"/>
        </w:rPr>
        <w:t xml:space="preserve"> and convention</w:t>
      </w:r>
      <w:r w:rsidR="00A84CEC">
        <w:rPr>
          <w:rFonts w:ascii="Garamond" w:hAnsi="Garamond"/>
          <w:sz w:val="24"/>
          <w:szCs w:val="24"/>
        </w:rPr>
        <w:t>s</w:t>
      </w:r>
      <w:r w:rsidRPr="00461D74">
        <w:rPr>
          <w:rFonts w:ascii="Garamond" w:hAnsi="Garamond"/>
          <w:sz w:val="24"/>
          <w:szCs w:val="24"/>
        </w:rPr>
        <w:t>. Nonetheless, Putnam also argues that the nature of entanglement between fact</w:t>
      </w:r>
      <w:r w:rsidR="00A84CEC">
        <w:rPr>
          <w:rFonts w:ascii="Garamond" w:hAnsi="Garamond"/>
          <w:sz w:val="24"/>
          <w:szCs w:val="24"/>
        </w:rPr>
        <w:t>s</w:t>
      </w:r>
      <w:r w:rsidRPr="00461D74">
        <w:rPr>
          <w:rFonts w:ascii="Garamond" w:hAnsi="Garamond"/>
          <w:sz w:val="24"/>
          <w:szCs w:val="24"/>
        </w:rPr>
        <w:t xml:space="preserve"> and convention</w:t>
      </w:r>
      <w:r w:rsidR="00A84CEC">
        <w:rPr>
          <w:rFonts w:ascii="Garamond" w:hAnsi="Garamond"/>
          <w:sz w:val="24"/>
          <w:szCs w:val="24"/>
        </w:rPr>
        <w:t>s</w:t>
      </w:r>
      <w:r w:rsidRPr="00461D74">
        <w:rPr>
          <w:rFonts w:ascii="Garamond" w:hAnsi="Garamond"/>
          <w:sz w:val="24"/>
          <w:szCs w:val="24"/>
        </w:rPr>
        <w:t xml:space="preserve"> became </w:t>
      </w:r>
      <w:r w:rsidR="00A84CEC">
        <w:rPr>
          <w:rFonts w:ascii="Garamond" w:hAnsi="Garamond"/>
          <w:sz w:val="24"/>
          <w:szCs w:val="24"/>
        </w:rPr>
        <w:t xml:space="preserve">more apparent to </w:t>
      </w:r>
      <w:proofErr w:type="spellStart"/>
      <w:r w:rsidR="00A84CEC">
        <w:rPr>
          <w:rFonts w:ascii="Garamond" w:hAnsi="Garamond"/>
          <w:sz w:val="24"/>
          <w:szCs w:val="24"/>
        </w:rPr>
        <w:t>Quine</w:t>
      </w:r>
      <w:proofErr w:type="spellEnd"/>
      <w:r w:rsidR="00A84CEC">
        <w:rPr>
          <w:rFonts w:ascii="Garamond" w:hAnsi="Garamond"/>
          <w:sz w:val="24"/>
          <w:szCs w:val="24"/>
        </w:rPr>
        <w:t xml:space="preserve"> and other</w:t>
      </w:r>
      <w:r w:rsidRPr="00461D74">
        <w:rPr>
          <w:rFonts w:ascii="Garamond" w:hAnsi="Garamond"/>
          <w:sz w:val="24"/>
          <w:szCs w:val="24"/>
        </w:rPr>
        <w:t xml:space="preserve"> philosophers</w:t>
      </w:r>
      <w:r w:rsidR="00A84CEC">
        <w:rPr>
          <w:rFonts w:ascii="Garamond" w:hAnsi="Garamond"/>
          <w:sz w:val="24"/>
          <w:szCs w:val="24"/>
        </w:rPr>
        <w:t>,</w:t>
      </w:r>
      <w:r w:rsidRPr="00461D74">
        <w:rPr>
          <w:rFonts w:ascii="Garamond" w:hAnsi="Garamond"/>
          <w:sz w:val="24"/>
          <w:szCs w:val="24"/>
        </w:rPr>
        <w:t xml:space="preserve"> primarily </w:t>
      </w:r>
      <w:r w:rsidR="000F567F">
        <w:rPr>
          <w:rFonts w:ascii="Garamond" w:hAnsi="Garamond"/>
          <w:sz w:val="24"/>
          <w:szCs w:val="24"/>
        </w:rPr>
        <w:t>as a result of</w:t>
      </w:r>
      <w:r w:rsidRPr="00461D74">
        <w:rPr>
          <w:rFonts w:ascii="Garamond" w:hAnsi="Garamond"/>
          <w:sz w:val="24"/>
          <w:szCs w:val="24"/>
        </w:rPr>
        <w:t xml:space="preserve"> developments in science. The story that Putnam narrates is this: Because of developments in physics, analytic philosophers had to account for a broader and more complex conception of factual predicates. Therefore, </w:t>
      </w:r>
      <w:proofErr w:type="spellStart"/>
      <w:r w:rsidRPr="00461D74">
        <w:rPr>
          <w:rFonts w:ascii="Garamond" w:hAnsi="Garamond"/>
          <w:sz w:val="24"/>
          <w:szCs w:val="24"/>
        </w:rPr>
        <w:t>Carnap</w:t>
      </w:r>
      <w:proofErr w:type="spellEnd"/>
      <w:r w:rsidRPr="00461D74">
        <w:rPr>
          <w:rFonts w:ascii="Garamond" w:hAnsi="Garamond"/>
          <w:sz w:val="24"/>
          <w:szCs w:val="24"/>
        </w:rPr>
        <w:t xml:space="preserve"> and other logical positivists were forced to expand the scope of ‘facts’ as it was originally understood, </w:t>
      </w:r>
      <w:r w:rsidR="00EF57BE">
        <w:rPr>
          <w:rFonts w:ascii="Garamond" w:hAnsi="Garamond"/>
          <w:sz w:val="24"/>
          <w:szCs w:val="24"/>
        </w:rPr>
        <w:t xml:space="preserve">namely </w:t>
      </w:r>
      <w:proofErr w:type="gramStart"/>
      <w:r w:rsidRPr="00461D74">
        <w:rPr>
          <w:rFonts w:ascii="Garamond" w:hAnsi="Garamond"/>
          <w:sz w:val="24"/>
          <w:szCs w:val="24"/>
        </w:rPr>
        <w:t>Hume’s understanding</w:t>
      </w:r>
      <w:proofErr w:type="gramEnd"/>
      <w:r w:rsidRPr="00461D74">
        <w:rPr>
          <w:rFonts w:ascii="Garamond" w:hAnsi="Garamond"/>
          <w:sz w:val="24"/>
          <w:szCs w:val="24"/>
        </w:rPr>
        <w:t xml:space="preserve"> of ‘fact’ as a sensible impression. But </w:t>
      </w:r>
      <w:r w:rsidR="000F567F">
        <w:rPr>
          <w:rFonts w:ascii="Garamond" w:hAnsi="Garamond"/>
          <w:sz w:val="24"/>
          <w:szCs w:val="24"/>
        </w:rPr>
        <w:t>by inflating and therefore expanding the class of factual predicates</w:t>
      </w:r>
      <w:r w:rsidRPr="00461D74">
        <w:rPr>
          <w:rFonts w:ascii="Garamond" w:hAnsi="Garamond"/>
          <w:sz w:val="24"/>
          <w:szCs w:val="24"/>
        </w:rPr>
        <w:t xml:space="preserve">, Putnam argues, they undermined a strong reading of the ‘fact/value’ distinction. </w:t>
      </w:r>
    </w:p>
    <w:p w:rsidR="004D3A89" w:rsidRDefault="00016049">
      <w:pPr>
        <w:spacing w:line="360" w:lineRule="auto"/>
        <w:jc w:val="both"/>
        <w:rPr>
          <w:rFonts w:ascii="Garamond" w:hAnsi="Garamond"/>
          <w:sz w:val="24"/>
          <w:szCs w:val="24"/>
        </w:rPr>
      </w:pPr>
      <w:r w:rsidRPr="00461D74">
        <w:rPr>
          <w:rFonts w:ascii="Garamond" w:hAnsi="Garamond"/>
          <w:sz w:val="24"/>
          <w:szCs w:val="24"/>
        </w:rPr>
        <w:lastRenderedPageBreak/>
        <w:t xml:space="preserve">Under Hume a fact </w:t>
      </w:r>
      <w:r w:rsidR="00EF57BE">
        <w:rPr>
          <w:rFonts w:ascii="Garamond" w:hAnsi="Garamond"/>
          <w:sz w:val="24"/>
          <w:szCs w:val="24"/>
        </w:rPr>
        <w:t>equated with</w:t>
      </w:r>
      <w:r w:rsidRPr="00461D74">
        <w:rPr>
          <w:rFonts w:ascii="Garamond" w:hAnsi="Garamond"/>
          <w:sz w:val="24"/>
          <w:szCs w:val="24"/>
        </w:rPr>
        <w:t xml:space="preserve"> a sensible impression.</w:t>
      </w:r>
      <w:r w:rsidRPr="00461D74">
        <w:rPr>
          <w:rStyle w:val="FootnoteReference"/>
          <w:rFonts w:ascii="Garamond" w:hAnsi="Garamond"/>
          <w:sz w:val="24"/>
          <w:szCs w:val="24"/>
        </w:rPr>
        <w:footnoteReference w:id="267"/>
      </w:r>
      <w:r w:rsidRPr="00461D74">
        <w:rPr>
          <w:rFonts w:ascii="Garamond" w:hAnsi="Garamond"/>
          <w:sz w:val="24"/>
          <w:szCs w:val="24"/>
        </w:rPr>
        <w:t xml:space="preserve"> On this view, the property of those statements that refer to ‘matters of fact’ must be sensible to us as physical sense impressions;</w:t>
      </w:r>
      <w:r w:rsidR="00AA2A48" w:rsidRPr="00461D74">
        <w:rPr>
          <w:rFonts w:ascii="Garamond" w:hAnsi="Garamond"/>
          <w:sz w:val="24"/>
          <w:szCs w:val="24"/>
        </w:rPr>
        <w:fldChar w:fldCharType="begin"/>
      </w:r>
      <w:r w:rsidR="0083324E" w:rsidRPr="00461D74">
        <w:rPr>
          <w:rFonts w:ascii="Garamond" w:hAnsi="Garamond"/>
          <w:sz w:val="24"/>
          <w:szCs w:val="24"/>
        </w:rPr>
        <w:instrText xml:space="preserve"> ADDIN EN.CITE &lt;EndNote&gt;&lt;Cite&gt;&lt;Author&gt;Millgram&lt;/Author&gt;&lt;Year&gt;1995&lt;/Year&gt;&lt;RecNum&gt;131&lt;/RecNum&gt;&lt;record&gt;&lt;rec-number&gt;131&lt;/rec-number&gt;&lt;foreign-keys&gt;&lt;key app="EN" db-id="vxze0a2pwrt959ep2afxdw5cat595wt9sv95" timestamp="1520822487"&gt;131&lt;/key&gt;&lt;/foreign-keys&gt;&lt;ref-type name="Journal Article"&gt;17&lt;/ref-type&gt;&lt;contributors&gt;&lt;authors&gt;&lt;author&gt;Millgram, Elijah&lt;/author&gt;&lt;/authors&gt;&lt;/contributors&gt;&lt;titles&gt;&lt;title&gt;Was Hume a Humean?&lt;/title&gt;&lt;secondary-title&gt;Hume Studies&lt;/secondary-title&gt;&lt;/titles&gt;&lt;periodical&gt;&lt;full-title&gt;Hume Studies&lt;/full-title&gt;&lt;/periodical&gt;&lt;pages&gt;75-93&lt;/pages&gt;&lt;volume&gt;, 21&lt;/volume&gt;&lt;number&gt;1&lt;/number&gt;&lt;dates&gt;&lt;year&gt;1995&lt;/year&gt;&lt;/dates&gt;&lt;urls&gt;&lt;/urls&gt;&lt;/record&gt;&lt;/Cite&gt;&lt;/EndNote&gt;</w:instrText>
      </w:r>
      <w:r w:rsidR="00AA2A48" w:rsidRPr="00461D74">
        <w:rPr>
          <w:rFonts w:ascii="Garamond" w:hAnsi="Garamond"/>
          <w:sz w:val="24"/>
          <w:szCs w:val="24"/>
        </w:rPr>
        <w:fldChar w:fldCharType="end"/>
      </w:r>
      <w:r w:rsidR="000119A3" w:rsidRPr="00461D74">
        <w:rPr>
          <w:rStyle w:val="FootnoteReference"/>
          <w:rFonts w:ascii="Garamond" w:hAnsi="Garamond"/>
          <w:sz w:val="24"/>
          <w:szCs w:val="24"/>
        </w:rPr>
        <w:footnoteReference w:id="268"/>
      </w:r>
      <w:r w:rsidRPr="00461D74">
        <w:rPr>
          <w:rFonts w:ascii="Garamond" w:hAnsi="Garamond"/>
          <w:sz w:val="24"/>
          <w:szCs w:val="24"/>
        </w:rPr>
        <w:t xml:space="preserve"> and this is necessary for identifying those statements as objective – that is, they can be identified as true or false. For Hume, we cannot sensibly – through sense impression – imagine the properties of a virtue in the same way that we can for those statements that refer to ‘matters of fact’ – such as sensibly imagining the properties of an apple.</w:t>
      </w:r>
    </w:p>
    <w:p w:rsidR="00665157" w:rsidRDefault="00A339D8">
      <w:pPr>
        <w:spacing w:line="360" w:lineRule="auto"/>
        <w:ind w:firstLine="720"/>
        <w:jc w:val="both"/>
        <w:rPr>
          <w:rFonts w:ascii="Garamond" w:hAnsi="Garamond"/>
          <w:sz w:val="24"/>
          <w:szCs w:val="24"/>
        </w:rPr>
      </w:pPr>
      <w:r>
        <w:rPr>
          <w:rFonts w:ascii="Garamond" w:hAnsi="Garamond"/>
          <w:sz w:val="24"/>
          <w:szCs w:val="24"/>
        </w:rPr>
        <w:t>Now,</w:t>
      </w:r>
      <w:r w:rsidRPr="00461D74">
        <w:rPr>
          <w:rFonts w:ascii="Garamond" w:hAnsi="Garamond"/>
          <w:sz w:val="24"/>
          <w:szCs w:val="24"/>
        </w:rPr>
        <w:t xml:space="preserve"> </w:t>
      </w:r>
      <w:r w:rsidR="00016049" w:rsidRPr="00461D74">
        <w:rPr>
          <w:rFonts w:ascii="Garamond" w:hAnsi="Garamond"/>
          <w:sz w:val="24"/>
          <w:szCs w:val="24"/>
        </w:rPr>
        <w:t xml:space="preserve">logical positivists had inherited this </w:t>
      </w:r>
      <w:proofErr w:type="spellStart"/>
      <w:r w:rsidR="00016049" w:rsidRPr="00461D74">
        <w:rPr>
          <w:rFonts w:ascii="Garamond" w:hAnsi="Garamond"/>
          <w:sz w:val="24"/>
          <w:szCs w:val="24"/>
        </w:rPr>
        <w:t>Humean</w:t>
      </w:r>
      <w:proofErr w:type="spellEnd"/>
      <w:r w:rsidR="00016049" w:rsidRPr="00461D74">
        <w:rPr>
          <w:rFonts w:ascii="Garamond" w:hAnsi="Garamond"/>
          <w:sz w:val="24"/>
          <w:szCs w:val="24"/>
        </w:rPr>
        <w:t xml:space="preserve"> legacy</w:t>
      </w:r>
      <w:r>
        <w:rPr>
          <w:rFonts w:ascii="Garamond" w:hAnsi="Garamond"/>
          <w:sz w:val="24"/>
          <w:szCs w:val="24"/>
        </w:rPr>
        <w:t>;</w:t>
      </w:r>
      <w:r w:rsidR="00016049" w:rsidRPr="00461D74">
        <w:rPr>
          <w:rFonts w:ascii="Garamond" w:hAnsi="Garamond"/>
          <w:sz w:val="24"/>
          <w:szCs w:val="24"/>
        </w:rPr>
        <w:t xml:space="preserve"> </w:t>
      </w:r>
      <w:r>
        <w:rPr>
          <w:rFonts w:ascii="Garamond" w:hAnsi="Garamond"/>
          <w:sz w:val="24"/>
          <w:szCs w:val="24"/>
        </w:rPr>
        <w:t xml:space="preserve">therefore, </w:t>
      </w:r>
      <w:r w:rsidR="00016049" w:rsidRPr="00461D74">
        <w:rPr>
          <w:rFonts w:ascii="Garamond" w:hAnsi="Garamond"/>
          <w:sz w:val="24"/>
          <w:szCs w:val="24"/>
        </w:rPr>
        <w:t xml:space="preserve">they initially </w:t>
      </w:r>
      <w:r>
        <w:rPr>
          <w:rFonts w:ascii="Garamond" w:hAnsi="Garamond"/>
          <w:sz w:val="24"/>
          <w:szCs w:val="24"/>
        </w:rPr>
        <w:t>argued</w:t>
      </w:r>
      <w:r w:rsidRPr="00461D74">
        <w:rPr>
          <w:rFonts w:ascii="Garamond" w:hAnsi="Garamond"/>
          <w:sz w:val="24"/>
          <w:szCs w:val="24"/>
        </w:rPr>
        <w:t xml:space="preserve"> </w:t>
      </w:r>
      <w:r w:rsidR="00016049" w:rsidRPr="00461D74">
        <w:rPr>
          <w:rFonts w:ascii="Garamond" w:hAnsi="Garamond"/>
          <w:sz w:val="24"/>
          <w:szCs w:val="24"/>
        </w:rPr>
        <w:t>that all factual statements can be transformed into statements about the subject</w:t>
      </w:r>
      <w:r w:rsidR="000F1A8E" w:rsidRPr="00461D74">
        <w:rPr>
          <w:rFonts w:ascii="Garamond" w:hAnsi="Garamond"/>
          <w:sz w:val="24"/>
          <w:szCs w:val="24"/>
        </w:rPr>
        <w:t>’</w:t>
      </w:r>
      <w:r w:rsidR="00016049" w:rsidRPr="00461D74">
        <w:rPr>
          <w:rFonts w:ascii="Garamond" w:hAnsi="Garamond"/>
          <w:sz w:val="24"/>
          <w:szCs w:val="24"/>
        </w:rPr>
        <w:t xml:space="preserve">s own sense experience, namely that all factual predicates must be definable </w:t>
      </w:r>
      <w:r w:rsidR="009A5D26" w:rsidRPr="00461D74">
        <w:rPr>
          <w:rFonts w:ascii="Garamond" w:hAnsi="Garamond"/>
          <w:sz w:val="24"/>
          <w:szCs w:val="24"/>
        </w:rPr>
        <w:t>using</w:t>
      </w:r>
      <w:r w:rsidR="00016049" w:rsidRPr="00461D74">
        <w:rPr>
          <w:rFonts w:ascii="Garamond" w:hAnsi="Garamond"/>
          <w:sz w:val="24"/>
          <w:szCs w:val="24"/>
        </w:rPr>
        <w:t xml:space="preserve"> observational terms.</w:t>
      </w:r>
      <w:r w:rsidR="00016049" w:rsidRPr="00461D74">
        <w:rPr>
          <w:rStyle w:val="FootnoteReference"/>
          <w:rFonts w:ascii="Garamond" w:hAnsi="Garamond"/>
          <w:sz w:val="24"/>
          <w:szCs w:val="24"/>
        </w:rPr>
        <w:footnoteReference w:id="269"/>
      </w:r>
      <w:r w:rsidR="00016049" w:rsidRPr="00461D74">
        <w:rPr>
          <w:rFonts w:ascii="Garamond" w:hAnsi="Garamond"/>
          <w:sz w:val="24"/>
          <w:szCs w:val="24"/>
        </w:rPr>
        <w:t xml:space="preserve"> Nonetheless, given the developments in science</w:t>
      </w:r>
      <w:r w:rsidR="000F1A8E" w:rsidRPr="00461D74">
        <w:rPr>
          <w:rFonts w:ascii="Garamond" w:hAnsi="Garamond"/>
          <w:sz w:val="24"/>
          <w:szCs w:val="24"/>
        </w:rPr>
        <w:t xml:space="preserve"> </w:t>
      </w:r>
      <w:r w:rsidR="000575D8" w:rsidRPr="00461D74">
        <w:rPr>
          <w:rFonts w:ascii="Garamond" w:hAnsi="Garamond"/>
          <w:sz w:val="24"/>
          <w:szCs w:val="24"/>
        </w:rPr>
        <w:t>–</w:t>
      </w:r>
      <w:r w:rsidR="000F1A8E" w:rsidRPr="00461D74">
        <w:rPr>
          <w:rFonts w:ascii="Garamond" w:hAnsi="Garamond"/>
          <w:sz w:val="24"/>
          <w:szCs w:val="24"/>
        </w:rPr>
        <w:t xml:space="preserve"> </w:t>
      </w:r>
      <w:r w:rsidR="00016049" w:rsidRPr="00461D74">
        <w:rPr>
          <w:rFonts w:ascii="Garamond" w:hAnsi="Garamond"/>
          <w:sz w:val="24"/>
          <w:szCs w:val="24"/>
        </w:rPr>
        <w:t xml:space="preserve">chief among them the discovery of the atom and smaller subatomic particles, as well as the existence </w:t>
      </w:r>
      <w:r w:rsidR="000575D8" w:rsidRPr="00461D74">
        <w:rPr>
          <w:rFonts w:ascii="Garamond" w:hAnsi="Garamond"/>
          <w:sz w:val="24"/>
          <w:szCs w:val="24"/>
        </w:rPr>
        <w:t>of curved space</w:t>
      </w:r>
      <w:r w:rsidR="000F1A8E" w:rsidRPr="00461D74">
        <w:rPr>
          <w:rFonts w:ascii="Garamond" w:hAnsi="Garamond"/>
          <w:sz w:val="24"/>
          <w:szCs w:val="24"/>
        </w:rPr>
        <w:t xml:space="preserve"> </w:t>
      </w:r>
      <w:r w:rsidR="000575D8" w:rsidRPr="00461D74">
        <w:rPr>
          <w:rFonts w:ascii="Garamond" w:hAnsi="Garamond"/>
          <w:sz w:val="24"/>
          <w:szCs w:val="24"/>
        </w:rPr>
        <w:t>–</w:t>
      </w:r>
      <w:r w:rsidR="000F1A8E" w:rsidRPr="00461D74">
        <w:rPr>
          <w:rFonts w:ascii="Garamond" w:hAnsi="Garamond"/>
          <w:sz w:val="24"/>
          <w:szCs w:val="24"/>
        </w:rPr>
        <w:t xml:space="preserve"> </w:t>
      </w:r>
      <w:proofErr w:type="spellStart"/>
      <w:r w:rsidR="00016049" w:rsidRPr="00461D74">
        <w:rPr>
          <w:rFonts w:ascii="Garamond" w:hAnsi="Garamond"/>
          <w:sz w:val="24"/>
          <w:szCs w:val="24"/>
        </w:rPr>
        <w:t>Carnap</w:t>
      </w:r>
      <w:proofErr w:type="spellEnd"/>
      <w:r w:rsidR="00016049" w:rsidRPr="00461D74">
        <w:rPr>
          <w:rFonts w:ascii="Garamond" w:hAnsi="Garamond"/>
          <w:sz w:val="24"/>
          <w:szCs w:val="24"/>
        </w:rPr>
        <w:t xml:space="preserve"> and other logical positivists stretch</w:t>
      </w:r>
      <w:r>
        <w:rPr>
          <w:rFonts w:ascii="Garamond" w:hAnsi="Garamond"/>
          <w:sz w:val="24"/>
          <w:szCs w:val="24"/>
        </w:rPr>
        <w:t>ed</w:t>
      </w:r>
      <w:r w:rsidR="00016049" w:rsidRPr="00461D74">
        <w:rPr>
          <w:rFonts w:ascii="Garamond" w:hAnsi="Garamond"/>
          <w:sz w:val="24"/>
          <w:szCs w:val="24"/>
        </w:rPr>
        <w:t xml:space="preserve"> the notion of ‘fact’ </w:t>
      </w:r>
      <w:r>
        <w:rPr>
          <w:rFonts w:ascii="Garamond" w:hAnsi="Garamond"/>
          <w:sz w:val="24"/>
          <w:szCs w:val="24"/>
        </w:rPr>
        <w:t>to a considerable extent</w:t>
      </w:r>
      <w:r w:rsidR="00016049" w:rsidRPr="00461D74">
        <w:rPr>
          <w:rFonts w:ascii="Garamond" w:hAnsi="Garamond"/>
          <w:sz w:val="24"/>
          <w:szCs w:val="24"/>
        </w:rPr>
        <w:t xml:space="preserve">. </w:t>
      </w:r>
      <w:r w:rsidR="000575D8" w:rsidRPr="00461D74">
        <w:rPr>
          <w:rFonts w:ascii="Garamond" w:hAnsi="Garamond"/>
          <w:sz w:val="24"/>
          <w:szCs w:val="24"/>
        </w:rPr>
        <w:t>Therefore</w:t>
      </w:r>
      <w:r w:rsidR="00016049" w:rsidRPr="00461D74">
        <w:rPr>
          <w:rFonts w:ascii="Garamond" w:hAnsi="Garamond"/>
          <w:sz w:val="24"/>
          <w:szCs w:val="24"/>
        </w:rPr>
        <w:t xml:space="preserve">, </w:t>
      </w:r>
      <w:proofErr w:type="spellStart"/>
      <w:r w:rsidR="00016049" w:rsidRPr="00461D74">
        <w:rPr>
          <w:rFonts w:ascii="Garamond" w:hAnsi="Garamond"/>
          <w:sz w:val="24"/>
          <w:szCs w:val="24"/>
        </w:rPr>
        <w:t>Carnap</w:t>
      </w:r>
      <w:proofErr w:type="spellEnd"/>
      <w:r w:rsidR="00016049" w:rsidRPr="00461D74">
        <w:rPr>
          <w:rFonts w:ascii="Garamond" w:hAnsi="Garamond"/>
          <w:sz w:val="24"/>
          <w:szCs w:val="24"/>
        </w:rPr>
        <w:t>, in 1936, liberalised the concept of fact and defined it as factual predicates that are meaningful observation terms or reducible to such term</w:t>
      </w:r>
      <w:r w:rsidR="00893D03" w:rsidRPr="00461D74">
        <w:rPr>
          <w:rFonts w:ascii="Garamond" w:hAnsi="Garamond"/>
          <w:sz w:val="24"/>
          <w:szCs w:val="24"/>
        </w:rPr>
        <w:t>s.</w:t>
      </w:r>
      <w:r w:rsidR="000575D8" w:rsidRPr="00461D74">
        <w:rPr>
          <w:rStyle w:val="FootnoteReference"/>
          <w:rFonts w:ascii="Garamond" w:hAnsi="Garamond"/>
          <w:sz w:val="24"/>
          <w:szCs w:val="24"/>
        </w:rPr>
        <w:footnoteReference w:id="270"/>
      </w:r>
      <w:r w:rsidR="00016049" w:rsidRPr="00461D74">
        <w:rPr>
          <w:rFonts w:ascii="Garamond" w:hAnsi="Garamond"/>
          <w:sz w:val="24"/>
          <w:szCs w:val="24"/>
        </w:rPr>
        <w:t xml:space="preserve"> However, after 1938, </w:t>
      </w:r>
      <w:proofErr w:type="spellStart"/>
      <w:r w:rsidR="00016049" w:rsidRPr="00461D74">
        <w:rPr>
          <w:rFonts w:ascii="Garamond" w:hAnsi="Garamond"/>
          <w:sz w:val="24"/>
          <w:szCs w:val="24"/>
        </w:rPr>
        <w:t>Carnap</w:t>
      </w:r>
      <w:proofErr w:type="spellEnd"/>
      <w:r w:rsidR="00016049" w:rsidRPr="00461D74">
        <w:rPr>
          <w:rFonts w:ascii="Garamond" w:hAnsi="Garamond"/>
          <w:sz w:val="24"/>
          <w:szCs w:val="24"/>
        </w:rPr>
        <w:t xml:space="preserve"> went a step further and altogether jettisoned “the requirement that a meaningful factual predicate must be either an observation predicate or ‘reducible’ to observation predicates</w:t>
      </w:r>
      <w:r w:rsidR="006B048D" w:rsidRPr="00461D74">
        <w:rPr>
          <w:rFonts w:ascii="Garamond" w:hAnsi="Garamond"/>
          <w:sz w:val="24"/>
          <w:szCs w:val="24"/>
        </w:rPr>
        <w:t>.</w:t>
      </w:r>
      <w:r w:rsidR="00016049" w:rsidRPr="00461D74">
        <w:rPr>
          <w:rFonts w:ascii="Garamond" w:hAnsi="Garamond"/>
          <w:sz w:val="24"/>
          <w:szCs w:val="24"/>
        </w:rPr>
        <w:t>”</w:t>
      </w:r>
      <w:r w:rsidR="00AA2A48" w:rsidRPr="00461D74">
        <w:rPr>
          <w:rFonts w:ascii="Garamond" w:hAnsi="Garamond"/>
          <w:sz w:val="24"/>
          <w:szCs w:val="24"/>
        </w:rPr>
        <w:fldChar w:fldCharType="begin"/>
      </w:r>
      <w:r w:rsidR="0083324E" w:rsidRPr="00461D74">
        <w:rPr>
          <w:rFonts w:ascii="Garamond" w:hAnsi="Garamond"/>
          <w:sz w:val="24"/>
          <w:szCs w:val="24"/>
        </w:rPr>
        <w:instrText xml:space="preserve"> ADDIN EN.CITE &lt;EndNote&gt;&lt;Cite AuthorYear="1"&gt;&lt;Author&gt;Putnam&lt;/Author&gt;&lt;Year&gt;2002&lt;/Year&gt;&lt;RecNum&gt;51&lt;/RecNum&gt;&lt;record&gt;&lt;rec-number&gt;51&lt;/rec-number&gt;&lt;foreign-keys&gt;&lt;key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461D74">
        <w:rPr>
          <w:rFonts w:ascii="Garamond" w:hAnsi="Garamond"/>
          <w:sz w:val="24"/>
          <w:szCs w:val="24"/>
        </w:rPr>
        <w:fldChar w:fldCharType="end"/>
      </w:r>
      <w:r w:rsidR="006B048D" w:rsidRPr="00461D74">
        <w:rPr>
          <w:rStyle w:val="FootnoteReference"/>
          <w:rFonts w:ascii="Garamond" w:hAnsi="Garamond"/>
          <w:sz w:val="24"/>
          <w:szCs w:val="24"/>
        </w:rPr>
        <w:footnoteReference w:id="271"/>
      </w:r>
      <w:r w:rsidR="00016049" w:rsidRPr="00461D74">
        <w:rPr>
          <w:rFonts w:ascii="Garamond" w:hAnsi="Garamond"/>
          <w:sz w:val="24"/>
          <w:szCs w:val="24"/>
        </w:rPr>
        <w:t xml:space="preserve"> Under this newly revised model, the </w:t>
      </w:r>
      <w:r w:rsidR="00893D03" w:rsidRPr="00461D74">
        <w:rPr>
          <w:rFonts w:ascii="Garamond" w:hAnsi="Garamond"/>
          <w:sz w:val="24"/>
          <w:szCs w:val="24"/>
        </w:rPr>
        <w:t xml:space="preserve">requirement was modified so that the </w:t>
      </w:r>
      <w:r w:rsidR="00016049" w:rsidRPr="00461D74">
        <w:rPr>
          <w:rFonts w:ascii="Garamond" w:hAnsi="Garamond"/>
          <w:sz w:val="24"/>
          <w:szCs w:val="24"/>
        </w:rPr>
        <w:t xml:space="preserve">whole </w:t>
      </w:r>
      <w:r w:rsidR="00016049" w:rsidRPr="00461D74">
        <w:rPr>
          <w:rFonts w:ascii="Garamond" w:hAnsi="Garamond"/>
          <w:i/>
          <w:sz w:val="24"/>
          <w:szCs w:val="24"/>
        </w:rPr>
        <w:t>system</w:t>
      </w:r>
      <w:r w:rsidR="00016049" w:rsidRPr="00461D74">
        <w:rPr>
          <w:rFonts w:ascii="Garamond" w:hAnsi="Garamond"/>
          <w:sz w:val="24"/>
          <w:szCs w:val="24"/>
        </w:rPr>
        <w:t xml:space="preserve"> of scientific statements must have factual content, </w:t>
      </w:r>
      <w:r w:rsidR="00016049" w:rsidRPr="00461D74">
        <w:rPr>
          <w:rFonts w:ascii="Garamond" w:hAnsi="Garamond"/>
          <w:sz w:val="24"/>
          <w:szCs w:val="24"/>
        </w:rPr>
        <w:lastRenderedPageBreak/>
        <w:t>rather than any particular statement</w:t>
      </w:r>
      <w:r w:rsidR="00893D03" w:rsidRPr="00461D74">
        <w:rPr>
          <w:rFonts w:ascii="Garamond" w:hAnsi="Garamond"/>
          <w:sz w:val="24"/>
          <w:szCs w:val="24"/>
        </w:rPr>
        <w:t xml:space="preserve">; notwithstanding these corrections, </w:t>
      </w:r>
      <w:proofErr w:type="spellStart"/>
      <w:r w:rsidR="00893D03" w:rsidRPr="00461D74">
        <w:rPr>
          <w:rFonts w:ascii="Garamond" w:hAnsi="Garamond"/>
          <w:sz w:val="24"/>
          <w:szCs w:val="24"/>
        </w:rPr>
        <w:t>Carnap</w:t>
      </w:r>
      <w:proofErr w:type="spellEnd"/>
      <w:r w:rsidR="00893D03" w:rsidRPr="00461D74">
        <w:rPr>
          <w:rFonts w:ascii="Garamond" w:hAnsi="Garamond"/>
          <w:sz w:val="24"/>
          <w:szCs w:val="24"/>
        </w:rPr>
        <w:t xml:space="preserve"> still</w:t>
      </w:r>
      <w:r w:rsidR="00016049" w:rsidRPr="00461D74">
        <w:rPr>
          <w:rFonts w:ascii="Garamond" w:hAnsi="Garamond"/>
          <w:sz w:val="24"/>
          <w:szCs w:val="24"/>
        </w:rPr>
        <w:t xml:space="preserve"> insisted on a distinction between ‘observational’ terms and ‘theoretical’ terms, the latter as partially</w:t>
      </w:r>
      <w:r w:rsidR="00715BCF">
        <w:rPr>
          <w:rFonts w:ascii="Garamond" w:hAnsi="Garamond"/>
          <w:sz w:val="24"/>
          <w:szCs w:val="24"/>
        </w:rPr>
        <w:t>,</w:t>
      </w:r>
      <w:r w:rsidR="00016049" w:rsidRPr="00461D74">
        <w:rPr>
          <w:rFonts w:ascii="Garamond" w:hAnsi="Garamond"/>
          <w:sz w:val="24"/>
          <w:szCs w:val="24"/>
        </w:rPr>
        <w:t xml:space="preserve"> and the former as fully</w:t>
      </w:r>
      <w:r w:rsidR="00715BCF">
        <w:rPr>
          <w:rFonts w:ascii="Garamond" w:hAnsi="Garamond"/>
          <w:sz w:val="24"/>
          <w:szCs w:val="24"/>
        </w:rPr>
        <w:t>,</w:t>
      </w:r>
      <w:r w:rsidR="00016049" w:rsidRPr="00461D74">
        <w:rPr>
          <w:rFonts w:ascii="Garamond" w:hAnsi="Garamond"/>
          <w:sz w:val="24"/>
          <w:szCs w:val="24"/>
        </w:rPr>
        <w:t xml:space="preserve"> interpretable.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Putnam argues, however, that logical positivists like </w:t>
      </w:r>
      <w:proofErr w:type="spellStart"/>
      <w:r w:rsidRPr="00461D74">
        <w:rPr>
          <w:rFonts w:ascii="Garamond" w:hAnsi="Garamond"/>
          <w:sz w:val="24"/>
          <w:szCs w:val="24"/>
        </w:rPr>
        <w:t>Carnap</w:t>
      </w:r>
      <w:proofErr w:type="spellEnd"/>
      <w:r w:rsidRPr="00461D74">
        <w:rPr>
          <w:rFonts w:ascii="Garamond" w:hAnsi="Garamond"/>
          <w:sz w:val="24"/>
          <w:szCs w:val="24"/>
        </w:rPr>
        <w:t>, by extending the definition of a fact from sensible impression to one that includes theoretical/conventional elements, undermined the ‘analytic/synthetic’ distinction. On Putnam’s view, the extension by logical positivism of what is to be counted as a fact undermines the ‘synthetic’ vs. ‘analytic’ distinction, since it counts as ‘synthetic</w:t>
      </w:r>
      <w:r w:rsidR="00D83FD4">
        <w:rPr>
          <w:rFonts w:ascii="Garamond" w:hAnsi="Garamond"/>
          <w:sz w:val="24"/>
          <w:szCs w:val="24"/>
        </w:rPr>
        <w:t>,</w:t>
      </w:r>
      <w:r w:rsidRPr="00461D74">
        <w:rPr>
          <w:rFonts w:ascii="Garamond" w:hAnsi="Garamond"/>
          <w:sz w:val="24"/>
          <w:szCs w:val="24"/>
        </w:rPr>
        <w:t xml:space="preserve">’ statement terms that </w:t>
      </w:r>
      <w:r w:rsidR="00D83FD4">
        <w:rPr>
          <w:rFonts w:ascii="Garamond" w:hAnsi="Garamond"/>
          <w:sz w:val="24"/>
          <w:szCs w:val="24"/>
        </w:rPr>
        <w:t>cannot be</w:t>
      </w:r>
      <w:r w:rsidRPr="00461D74">
        <w:rPr>
          <w:rFonts w:ascii="Garamond" w:hAnsi="Garamond"/>
          <w:sz w:val="24"/>
          <w:szCs w:val="24"/>
        </w:rPr>
        <w:t xml:space="preserve"> clearly </w:t>
      </w:r>
      <w:r w:rsidR="00D83FD4">
        <w:rPr>
          <w:rFonts w:ascii="Garamond" w:hAnsi="Garamond"/>
          <w:sz w:val="24"/>
          <w:szCs w:val="24"/>
        </w:rPr>
        <w:t xml:space="preserve">classified as </w:t>
      </w:r>
      <w:r w:rsidRPr="00461D74">
        <w:rPr>
          <w:rFonts w:ascii="Garamond" w:hAnsi="Garamond"/>
          <w:sz w:val="24"/>
          <w:szCs w:val="24"/>
        </w:rPr>
        <w:t>‘synthetic’ or ‘analytic</w:t>
      </w:r>
      <w:r w:rsidR="00D83FD4">
        <w:rPr>
          <w:rFonts w:ascii="Garamond" w:hAnsi="Garamond"/>
          <w:sz w:val="24"/>
          <w:szCs w:val="24"/>
        </w:rPr>
        <w:t>.</w:t>
      </w:r>
      <w:r w:rsidRPr="00461D74">
        <w:rPr>
          <w:rFonts w:ascii="Garamond" w:hAnsi="Garamond"/>
          <w:sz w:val="24"/>
          <w:szCs w:val="24"/>
        </w:rPr>
        <w:t xml:space="preserve">’ Even </w:t>
      </w:r>
      <w:proofErr w:type="spellStart"/>
      <w:r w:rsidRPr="00461D74">
        <w:rPr>
          <w:rFonts w:ascii="Garamond" w:hAnsi="Garamond"/>
          <w:sz w:val="24"/>
          <w:szCs w:val="24"/>
        </w:rPr>
        <w:t>Carnap’s</w:t>
      </w:r>
      <w:proofErr w:type="spellEnd"/>
      <w:r w:rsidRPr="00461D74">
        <w:rPr>
          <w:rFonts w:ascii="Garamond" w:hAnsi="Garamond"/>
          <w:sz w:val="24"/>
          <w:szCs w:val="24"/>
        </w:rPr>
        <w:t xml:space="preserve"> strict separation between ‘observational’ and ‘theoretical’ terms, namely the ‘observation’ vs. ‘theory’ distinction, is itself undermined and discarded rapidly given the developments in the philosophy of science, starting with Kuhn</w:t>
      </w:r>
      <w:r w:rsidR="005D1930" w:rsidRPr="00461D74">
        <w:rPr>
          <w:rFonts w:ascii="Garamond" w:hAnsi="Garamond"/>
          <w:sz w:val="24"/>
          <w:szCs w:val="24"/>
        </w:rPr>
        <w:t>.</w:t>
      </w:r>
      <w:r w:rsidR="005D1930" w:rsidRPr="00461D74">
        <w:rPr>
          <w:rStyle w:val="FootnoteReference"/>
          <w:rFonts w:ascii="Garamond" w:hAnsi="Garamond"/>
          <w:sz w:val="24"/>
          <w:szCs w:val="24"/>
        </w:rPr>
        <w:footnoteReference w:id="272"/>
      </w:r>
      <w:r w:rsidR="005D1930" w:rsidRPr="00461D74">
        <w:rPr>
          <w:rFonts w:ascii="Garamond" w:hAnsi="Garamond"/>
          <w:sz w:val="24"/>
          <w:szCs w:val="24"/>
        </w:rPr>
        <w:t xml:space="preserve"> </w:t>
      </w:r>
      <w:r w:rsidR="00893D03" w:rsidRPr="00461D74">
        <w:rPr>
          <w:rFonts w:ascii="Garamond" w:hAnsi="Garamond"/>
          <w:sz w:val="24"/>
          <w:szCs w:val="24"/>
        </w:rPr>
        <w:t>In his seminal work,</w:t>
      </w:r>
      <w:r w:rsidR="000F1A8E" w:rsidRPr="00461D74">
        <w:rPr>
          <w:rStyle w:val="FootnoteReference"/>
          <w:rFonts w:ascii="Garamond" w:hAnsi="Garamond"/>
          <w:sz w:val="24"/>
          <w:szCs w:val="24"/>
        </w:rPr>
        <w:footnoteReference w:id="273"/>
      </w:r>
      <w:r w:rsidR="00193A81" w:rsidRPr="00461D74">
        <w:rPr>
          <w:rFonts w:ascii="Garamond" w:hAnsi="Garamond"/>
          <w:sz w:val="24"/>
          <w:szCs w:val="24"/>
        </w:rPr>
        <w:t xml:space="preserve"> </w:t>
      </w:r>
      <w:r w:rsidRPr="00461D74">
        <w:rPr>
          <w:rFonts w:ascii="Garamond" w:hAnsi="Garamond"/>
          <w:sz w:val="24"/>
          <w:szCs w:val="24"/>
        </w:rPr>
        <w:t xml:space="preserve">Kuhn </w:t>
      </w:r>
      <w:r w:rsidR="00893D03" w:rsidRPr="00461D74">
        <w:rPr>
          <w:rFonts w:ascii="Garamond" w:hAnsi="Garamond"/>
          <w:sz w:val="24"/>
          <w:szCs w:val="24"/>
        </w:rPr>
        <w:t>argued</w:t>
      </w:r>
      <w:r w:rsidRPr="00461D74">
        <w:rPr>
          <w:rFonts w:ascii="Garamond" w:hAnsi="Garamond"/>
          <w:sz w:val="24"/>
          <w:szCs w:val="24"/>
        </w:rPr>
        <w:t xml:space="preserve"> that observational terms are theory-laden, namely, their semantic contents are not independent of theoretical presuppositions.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On Putnam’s view, </w:t>
      </w:r>
      <w:r w:rsidR="00E12986">
        <w:rPr>
          <w:rFonts w:ascii="Garamond" w:hAnsi="Garamond"/>
          <w:sz w:val="24"/>
          <w:szCs w:val="24"/>
        </w:rPr>
        <w:t xml:space="preserve">when we take stock of the </w:t>
      </w:r>
      <w:r w:rsidR="005C1E09">
        <w:rPr>
          <w:rFonts w:ascii="Garamond" w:hAnsi="Garamond"/>
          <w:sz w:val="24"/>
          <w:szCs w:val="24"/>
        </w:rPr>
        <w:t xml:space="preserve">way in which </w:t>
      </w:r>
      <w:r w:rsidRPr="00461D74">
        <w:rPr>
          <w:rFonts w:ascii="Garamond" w:hAnsi="Garamond"/>
          <w:sz w:val="24"/>
          <w:szCs w:val="24"/>
        </w:rPr>
        <w:t xml:space="preserve">the </w:t>
      </w:r>
      <w:r w:rsidR="00E12986">
        <w:rPr>
          <w:rFonts w:ascii="Garamond" w:hAnsi="Garamond"/>
          <w:sz w:val="24"/>
          <w:szCs w:val="24"/>
        </w:rPr>
        <w:t xml:space="preserve">hard </w:t>
      </w:r>
      <w:r w:rsidRPr="00461D74">
        <w:rPr>
          <w:rFonts w:ascii="Garamond" w:hAnsi="Garamond"/>
          <w:sz w:val="24"/>
          <w:szCs w:val="24"/>
        </w:rPr>
        <w:t xml:space="preserve">distinction </w:t>
      </w:r>
      <w:r w:rsidR="00E12986">
        <w:rPr>
          <w:rFonts w:ascii="Garamond" w:hAnsi="Garamond"/>
          <w:sz w:val="24"/>
          <w:szCs w:val="24"/>
        </w:rPr>
        <w:t xml:space="preserve">between </w:t>
      </w:r>
      <w:r w:rsidR="00E12986" w:rsidRPr="00461D74">
        <w:rPr>
          <w:rFonts w:ascii="Garamond" w:hAnsi="Garamond"/>
          <w:sz w:val="24"/>
          <w:szCs w:val="24"/>
        </w:rPr>
        <w:t xml:space="preserve">‘fact/value’ </w:t>
      </w:r>
      <w:r w:rsidRPr="00461D74">
        <w:rPr>
          <w:rFonts w:ascii="Garamond" w:hAnsi="Garamond"/>
          <w:sz w:val="24"/>
          <w:szCs w:val="24"/>
        </w:rPr>
        <w:t xml:space="preserve">was supported and premised on a clear ‘analytic’ vs. ‘synthetic’ distinction – a distinction that was undermined by </w:t>
      </w:r>
      <w:proofErr w:type="spellStart"/>
      <w:r w:rsidRPr="00461D74">
        <w:rPr>
          <w:rFonts w:ascii="Garamond" w:hAnsi="Garamond"/>
          <w:sz w:val="24"/>
          <w:szCs w:val="24"/>
        </w:rPr>
        <w:t>Quine</w:t>
      </w:r>
      <w:proofErr w:type="spellEnd"/>
      <w:r w:rsidRPr="00461D74">
        <w:rPr>
          <w:rFonts w:ascii="Garamond" w:hAnsi="Garamond"/>
          <w:sz w:val="24"/>
          <w:szCs w:val="24"/>
        </w:rPr>
        <w:t xml:space="preserve"> – there are good reasons for us to abandon </w:t>
      </w:r>
      <w:r w:rsidR="00E12986">
        <w:rPr>
          <w:rFonts w:ascii="Garamond" w:hAnsi="Garamond"/>
          <w:sz w:val="24"/>
          <w:szCs w:val="24"/>
        </w:rPr>
        <w:t xml:space="preserve">our commitment to </w:t>
      </w:r>
      <w:r w:rsidRPr="00461D74">
        <w:rPr>
          <w:rFonts w:ascii="Garamond" w:hAnsi="Garamond"/>
          <w:sz w:val="24"/>
          <w:szCs w:val="24"/>
        </w:rPr>
        <w:t xml:space="preserve">a strong form of the </w:t>
      </w:r>
      <w:r w:rsidR="00456918" w:rsidRPr="00461D74">
        <w:rPr>
          <w:rFonts w:ascii="Garamond" w:hAnsi="Garamond"/>
          <w:sz w:val="24"/>
          <w:szCs w:val="24"/>
        </w:rPr>
        <w:t>‘</w:t>
      </w:r>
      <w:r w:rsidRPr="00461D74">
        <w:rPr>
          <w:rFonts w:ascii="Garamond" w:hAnsi="Garamond"/>
          <w:sz w:val="24"/>
          <w:szCs w:val="24"/>
        </w:rPr>
        <w:t>fact/value</w:t>
      </w:r>
      <w:r w:rsidR="00456918" w:rsidRPr="00461D74">
        <w:rPr>
          <w:rFonts w:ascii="Garamond" w:hAnsi="Garamond"/>
          <w:sz w:val="24"/>
          <w:szCs w:val="24"/>
        </w:rPr>
        <w:t>’</w:t>
      </w:r>
      <w:r w:rsidRPr="00461D74">
        <w:rPr>
          <w:rFonts w:ascii="Garamond" w:hAnsi="Garamond"/>
          <w:sz w:val="24"/>
          <w:szCs w:val="24"/>
        </w:rPr>
        <w:t xml:space="preserve"> distinction. For Putnam, the class of </w:t>
      </w:r>
      <w:r w:rsidR="00A23AD7" w:rsidRPr="00461D74">
        <w:rPr>
          <w:rFonts w:ascii="Garamond" w:hAnsi="Garamond"/>
          <w:sz w:val="24"/>
          <w:szCs w:val="24"/>
        </w:rPr>
        <w:t>‘analytic/synthetic’</w:t>
      </w:r>
      <w:r w:rsidRPr="00461D74">
        <w:rPr>
          <w:rFonts w:ascii="Garamond" w:hAnsi="Garamond"/>
          <w:sz w:val="24"/>
          <w:szCs w:val="24"/>
        </w:rPr>
        <w:t xml:space="preserve"> is only an occasionally useful notion, and not a powerful metaphysical </w:t>
      </w:r>
      <w:r w:rsidR="00E12986">
        <w:rPr>
          <w:rFonts w:ascii="Garamond" w:hAnsi="Garamond"/>
          <w:sz w:val="24"/>
          <w:szCs w:val="24"/>
        </w:rPr>
        <w:t>tool to be bandied about often in ways that block potential avenues of inquiry</w:t>
      </w:r>
      <w:r w:rsidRPr="00461D74">
        <w:rPr>
          <w:rFonts w:ascii="Garamond" w:hAnsi="Garamond"/>
          <w:sz w:val="24"/>
          <w:szCs w:val="24"/>
        </w:rPr>
        <w:t xml:space="preserve">. The danger of employing </w:t>
      </w:r>
      <w:r w:rsidR="00E12986">
        <w:rPr>
          <w:rFonts w:ascii="Garamond" w:hAnsi="Garamond"/>
          <w:sz w:val="24"/>
          <w:szCs w:val="24"/>
        </w:rPr>
        <w:t>this distinction</w:t>
      </w:r>
      <w:r w:rsidRPr="00461D74">
        <w:rPr>
          <w:rFonts w:ascii="Garamond" w:hAnsi="Garamond"/>
          <w:sz w:val="24"/>
          <w:szCs w:val="24"/>
        </w:rPr>
        <w:t xml:space="preserve"> in </w:t>
      </w:r>
      <w:r w:rsidR="00E12986">
        <w:rPr>
          <w:rFonts w:ascii="Garamond" w:hAnsi="Garamond"/>
          <w:sz w:val="24"/>
          <w:szCs w:val="24"/>
        </w:rPr>
        <w:t>a</w:t>
      </w:r>
      <w:r w:rsidRPr="00461D74">
        <w:rPr>
          <w:rFonts w:ascii="Garamond" w:hAnsi="Garamond"/>
          <w:sz w:val="24"/>
          <w:szCs w:val="24"/>
        </w:rPr>
        <w:t xml:space="preserve"> metaphysical</w:t>
      </w:r>
      <w:r w:rsidR="00E12986">
        <w:rPr>
          <w:rFonts w:ascii="Garamond" w:hAnsi="Garamond"/>
          <w:sz w:val="24"/>
          <w:szCs w:val="24"/>
        </w:rPr>
        <w:t>ly inflated</w:t>
      </w:r>
      <w:r w:rsidRPr="00461D74">
        <w:rPr>
          <w:rFonts w:ascii="Garamond" w:hAnsi="Garamond"/>
          <w:sz w:val="24"/>
          <w:szCs w:val="24"/>
        </w:rPr>
        <w:t xml:space="preserve"> sense </w:t>
      </w:r>
      <w:r w:rsidR="00E12986">
        <w:rPr>
          <w:rFonts w:ascii="Garamond" w:hAnsi="Garamond"/>
          <w:sz w:val="24"/>
          <w:szCs w:val="24"/>
        </w:rPr>
        <w:t xml:space="preserve">is that we end up </w:t>
      </w:r>
      <w:r w:rsidRPr="00461D74">
        <w:rPr>
          <w:rFonts w:ascii="Garamond" w:hAnsi="Garamond"/>
          <w:sz w:val="24"/>
          <w:szCs w:val="24"/>
        </w:rPr>
        <w:t>ignor</w:t>
      </w:r>
      <w:r w:rsidR="00E12986">
        <w:rPr>
          <w:rFonts w:ascii="Garamond" w:hAnsi="Garamond"/>
          <w:sz w:val="24"/>
          <w:szCs w:val="24"/>
        </w:rPr>
        <w:t>ing</w:t>
      </w:r>
      <w:r w:rsidRPr="00461D74">
        <w:rPr>
          <w:rFonts w:ascii="Garamond" w:hAnsi="Garamond"/>
          <w:sz w:val="24"/>
          <w:szCs w:val="24"/>
        </w:rPr>
        <w:t xml:space="preserve"> or discard</w:t>
      </w:r>
      <w:r w:rsidR="00E12986">
        <w:rPr>
          <w:rFonts w:ascii="Garamond" w:hAnsi="Garamond"/>
          <w:sz w:val="24"/>
          <w:szCs w:val="24"/>
        </w:rPr>
        <w:t>ing</w:t>
      </w:r>
      <w:r w:rsidRPr="00461D74">
        <w:rPr>
          <w:rFonts w:ascii="Garamond" w:hAnsi="Garamond"/>
          <w:sz w:val="24"/>
          <w:szCs w:val="24"/>
        </w:rPr>
        <w:t xml:space="preserve"> the range of statements that do not fall neatly into either </w:t>
      </w:r>
      <w:r w:rsidRPr="00461D74">
        <w:rPr>
          <w:rFonts w:ascii="Garamond" w:hAnsi="Garamond"/>
          <w:sz w:val="24"/>
          <w:szCs w:val="24"/>
        </w:rPr>
        <w:lastRenderedPageBreak/>
        <w:t>category. Modern science has shown us that many statements of science are entangled with both ‘observational’ and ‘theoretical terms</w:t>
      </w:r>
      <w:r w:rsidR="00E12986">
        <w:rPr>
          <w:rFonts w:ascii="Garamond" w:hAnsi="Garamond"/>
          <w:sz w:val="24"/>
          <w:szCs w:val="24"/>
        </w:rPr>
        <w:t>,</w:t>
      </w:r>
      <w:r w:rsidRPr="00461D74">
        <w:rPr>
          <w:rFonts w:ascii="Garamond" w:hAnsi="Garamond"/>
          <w:sz w:val="24"/>
          <w:szCs w:val="24"/>
        </w:rPr>
        <w:t>’ and indeed even observational terms are theory-lade</w:t>
      </w:r>
      <w:r w:rsidR="00E85293" w:rsidRPr="00461D74">
        <w:rPr>
          <w:rFonts w:ascii="Garamond" w:hAnsi="Garamond"/>
          <w:sz w:val="24"/>
          <w:szCs w:val="24"/>
        </w:rPr>
        <w:t>n,</w:t>
      </w:r>
      <w:r w:rsidRPr="00461D74">
        <w:rPr>
          <w:rStyle w:val="FootnoteReference"/>
          <w:rFonts w:ascii="Garamond" w:hAnsi="Garamond"/>
          <w:sz w:val="24"/>
          <w:szCs w:val="24"/>
        </w:rPr>
        <w:footnoteReference w:id="274"/>
      </w:r>
      <w:r w:rsidRPr="00461D74">
        <w:rPr>
          <w:rFonts w:ascii="Garamond" w:hAnsi="Garamond"/>
          <w:sz w:val="24"/>
          <w:szCs w:val="24"/>
        </w:rPr>
        <w:t xml:space="preserve"> meaning that observation in science can only be interpreted through a prior understanding of theory. For example, the observational term ‘mass’ has </w:t>
      </w:r>
      <w:r w:rsidR="000F1A8E" w:rsidRPr="00461D74">
        <w:rPr>
          <w:rFonts w:ascii="Garamond" w:hAnsi="Garamond"/>
          <w:sz w:val="24"/>
          <w:szCs w:val="24"/>
        </w:rPr>
        <w:t xml:space="preserve">a </w:t>
      </w:r>
      <w:r w:rsidRPr="00461D74">
        <w:rPr>
          <w:rFonts w:ascii="Garamond" w:hAnsi="Garamond"/>
          <w:sz w:val="24"/>
          <w:szCs w:val="24"/>
        </w:rPr>
        <w:t>different meaning under Newtonian mechanics than it does under the theory of relativity</w:t>
      </w:r>
      <w:r w:rsidR="00E12986">
        <w:rPr>
          <w:rFonts w:ascii="Garamond" w:hAnsi="Garamond"/>
          <w:sz w:val="24"/>
          <w:szCs w:val="24"/>
        </w:rPr>
        <w:t>; while, in</w:t>
      </w:r>
      <w:r w:rsidRPr="00461D74">
        <w:rPr>
          <w:rFonts w:ascii="Garamond" w:hAnsi="Garamond"/>
          <w:sz w:val="24"/>
          <w:szCs w:val="24"/>
        </w:rPr>
        <w:t xml:space="preserve"> the former it is constant, in the latter the mass of an object </w:t>
      </w:r>
      <w:r w:rsidR="00E12986">
        <w:rPr>
          <w:rFonts w:ascii="Garamond" w:hAnsi="Garamond"/>
          <w:sz w:val="24"/>
          <w:szCs w:val="24"/>
        </w:rPr>
        <w:t>can only be determined in relation</w:t>
      </w:r>
      <w:r w:rsidRPr="00461D74">
        <w:rPr>
          <w:rFonts w:ascii="Garamond" w:hAnsi="Garamond"/>
          <w:sz w:val="24"/>
          <w:szCs w:val="24"/>
        </w:rPr>
        <w:t xml:space="preserve"> to its velocity.</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At this point it is worth noting what we have accomplished so far. Putnam argues that the </w:t>
      </w:r>
      <w:r w:rsidR="00456918" w:rsidRPr="00461D74">
        <w:rPr>
          <w:rFonts w:ascii="Garamond" w:hAnsi="Garamond"/>
          <w:sz w:val="24"/>
          <w:szCs w:val="24"/>
        </w:rPr>
        <w:t>‘</w:t>
      </w:r>
      <w:r w:rsidRPr="00461D74">
        <w:rPr>
          <w:rFonts w:ascii="Garamond" w:hAnsi="Garamond"/>
          <w:sz w:val="24"/>
          <w:szCs w:val="24"/>
        </w:rPr>
        <w:t>fact/value</w:t>
      </w:r>
      <w:r w:rsidR="00456918" w:rsidRPr="00461D74">
        <w:rPr>
          <w:rFonts w:ascii="Garamond" w:hAnsi="Garamond"/>
          <w:sz w:val="24"/>
          <w:szCs w:val="24"/>
        </w:rPr>
        <w:t>’</w:t>
      </w:r>
      <w:r w:rsidRPr="00461D74">
        <w:rPr>
          <w:rFonts w:ascii="Garamond" w:hAnsi="Garamond"/>
          <w:sz w:val="24"/>
          <w:szCs w:val="24"/>
        </w:rPr>
        <w:t xml:space="preserve"> distinction was itself parasitic on a clear distinction between ‘analytic’ vs. ‘synthetic’ statements – a distinction that was largely undermined by </w:t>
      </w:r>
      <w:proofErr w:type="spellStart"/>
      <w:r w:rsidRPr="00461D74">
        <w:rPr>
          <w:rFonts w:ascii="Garamond" w:hAnsi="Garamond"/>
          <w:sz w:val="24"/>
          <w:szCs w:val="24"/>
        </w:rPr>
        <w:t>Quine</w:t>
      </w:r>
      <w:proofErr w:type="spellEnd"/>
      <w:r w:rsidRPr="00461D74">
        <w:rPr>
          <w:rFonts w:ascii="Garamond" w:hAnsi="Garamond"/>
          <w:sz w:val="24"/>
          <w:szCs w:val="24"/>
        </w:rPr>
        <w:t>. In addition, the entanglement between analytic and synthetic statements became more pronounced when logical positivists modified their conception of fact (largely due to developments in physics). However, in the process, they destroyed Hume’s idea of fact as a sensible impression. Non-observable entities and later abstract theoretical entities were included under the description of ‘matters of fact</w:t>
      </w:r>
      <w:r w:rsidR="003E3265">
        <w:rPr>
          <w:rFonts w:ascii="Garamond" w:hAnsi="Garamond"/>
          <w:sz w:val="24"/>
          <w:szCs w:val="24"/>
        </w:rPr>
        <w:t>,</w:t>
      </w:r>
      <w:r w:rsidRPr="00461D74">
        <w:rPr>
          <w:rFonts w:ascii="Garamond" w:hAnsi="Garamond"/>
          <w:sz w:val="24"/>
          <w:szCs w:val="24"/>
        </w:rPr>
        <w:t xml:space="preserve">’ even though Hume’s notion of fact was that of something which </w:t>
      </w:r>
      <w:r w:rsidR="003E3265">
        <w:rPr>
          <w:rFonts w:ascii="Garamond" w:hAnsi="Garamond"/>
          <w:sz w:val="24"/>
          <w:szCs w:val="24"/>
        </w:rPr>
        <w:t>affords us</w:t>
      </w:r>
      <w:r w:rsidR="003E3265" w:rsidRPr="00461D74">
        <w:rPr>
          <w:rFonts w:ascii="Garamond" w:hAnsi="Garamond"/>
          <w:sz w:val="24"/>
          <w:szCs w:val="24"/>
        </w:rPr>
        <w:t xml:space="preserve"> </w:t>
      </w:r>
      <w:r w:rsidRPr="00461D74">
        <w:rPr>
          <w:rFonts w:ascii="Garamond" w:hAnsi="Garamond"/>
          <w:sz w:val="24"/>
          <w:szCs w:val="24"/>
        </w:rPr>
        <w:t>‘sensible impression</w:t>
      </w:r>
      <w:r w:rsidR="003E3265">
        <w:rPr>
          <w:rFonts w:ascii="Garamond" w:hAnsi="Garamond"/>
          <w:sz w:val="24"/>
          <w:szCs w:val="24"/>
        </w:rPr>
        <w:t>.</w:t>
      </w:r>
      <w:r w:rsidRPr="00461D74">
        <w:rPr>
          <w:rFonts w:ascii="Garamond" w:hAnsi="Garamond"/>
          <w:sz w:val="24"/>
          <w:szCs w:val="24"/>
        </w:rPr>
        <w:t xml:space="preserve">’ Thus, the synthetic-analytic distinction was undermined </w:t>
      </w:r>
      <w:r w:rsidR="003E3265">
        <w:rPr>
          <w:rFonts w:ascii="Garamond" w:hAnsi="Garamond"/>
          <w:sz w:val="24"/>
          <w:szCs w:val="24"/>
        </w:rPr>
        <w:t>given that</w:t>
      </w:r>
      <w:r w:rsidR="003E3265" w:rsidRPr="00461D74">
        <w:rPr>
          <w:rFonts w:ascii="Garamond" w:hAnsi="Garamond"/>
          <w:sz w:val="24"/>
          <w:szCs w:val="24"/>
        </w:rPr>
        <w:t xml:space="preserve"> </w:t>
      </w:r>
      <w:r w:rsidRPr="00461D74">
        <w:rPr>
          <w:rFonts w:ascii="Garamond" w:hAnsi="Garamond"/>
          <w:sz w:val="24"/>
          <w:szCs w:val="24"/>
        </w:rPr>
        <w:t xml:space="preserve">a range of scientific statements could not </w:t>
      </w:r>
      <w:r w:rsidR="000F1A8E" w:rsidRPr="00461D74">
        <w:rPr>
          <w:rFonts w:ascii="Garamond" w:hAnsi="Garamond"/>
          <w:sz w:val="24"/>
          <w:szCs w:val="24"/>
        </w:rPr>
        <w:t xml:space="preserve">be </w:t>
      </w:r>
      <w:r w:rsidRPr="00461D74">
        <w:rPr>
          <w:rFonts w:ascii="Garamond" w:hAnsi="Garamond"/>
          <w:sz w:val="24"/>
          <w:szCs w:val="24"/>
        </w:rPr>
        <w:t xml:space="preserve">neatly classified under the synthetic-analytic distinction, and we discovered that theory and observation were entangled in ways which logical positivism failed to appreciate. The upshot of all this is that because the </w:t>
      </w:r>
      <w:r w:rsidR="00456918" w:rsidRPr="00461D74">
        <w:rPr>
          <w:rFonts w:ascii="Garamond" w:hAnsi="Garamond"/>
          <w:sz w:val="24"/>
          <w:szCs w:val="24"/>
        </w:rPr>
        <w:t>‘</w:t>
      </w:r>
      <w:r w:rsidRPr="00461D74">
        <w:rPr>
          <w:rFonts w:ascii="Garamond" w:hAnsi="Garamond"/>
          <w:sz w:val="24"/>
          <w:szCs w:val="24"/>
        </w:rPr>
        <w:t>fact/value</w:t>
      </w:r>
      <w:r w:rsidR="00456918" w:rsidRPr="00461D74">
        <w:rPr>
          <w:rFonts w:ascii="Garamond" w:hAnsi="Garamond"/>
          <w:sz w:val="24"/>
          <w:szCs w:val="24"/>
        </w:rPr>
        <w:t>’</w:t>
      </w:r>
      <w:r w:rsidRPr="00461D74">
        <w:rPr>
          <w:rFonts w:ascii="Garamond" w:hAnsi="Garamond"/>
          <w:sz w:val="24"/>
          <w:szCs w:val="24"/>
        </w:rPr>
        <w:t xml:space="preserve"> distinction was supported and premised on a clear distinction between ‘analytic’ vs. ‘synthetic’ statements </w:t>
      </w:r>
      <w:r w:rsidR="000F1A8E" w:rsidRPr="00461D74">
        <w:rPr>
          <w:rFonts w:ascii="Garamond" w:hAnsi="Garamond"/>
          <w:sz w:val="24"/>
          <w:szCs w:val="24"/>
        </w:rPr>
        <w:t>–</w:t>
      </w:r>
      <w:r w:rsidRPr="00461D74">
        <w:rPr>
          <w:rFonts w:ascii="Garamond" w:hAnsi="Garamond"/>
          <w:sz w:val="24"/>
          <w:szCs w:val="24"/>
        </w:rPr>
        <w:t xml:space="preserve"> a distinction that now seems suspect </w:t>
      </w:r>
      <w:r w:rsidR="000F1A8E" w:rsidRPr="00461D74">
        <w:rPr>
          <w:rFonts w:ascii="Garamond" w:hAnsi="Garamond"/>
          <w:sz w:val="24"/>
          <w:szCs w:val="24"/>
        </w:rPr>
        <w:t>–</w:t>
      </w:r>
      <w:r w:rsidRPr="00461D74">
        <w:rPr>
          <w:rFonts w:ascii="Garamond" w:hAnsi="Garamond"/>
          <w:sz w:val="24"/>
          <w:szCs w:val="24"/>
        </w:rPr>
        <w:t xml:space="preserve"> there are good reasons for us to abandon a strong form of the </w:t>
      </w:r>
      <w:r w:rsidR="00456918" w:rsidRPr="00461D74">
        <w:rPr>
          <w:rFonts w:ascii="Garamond" w:hAnsi="Garamond"/>
          <w:sz w:val="24"/>
          <w:szCs w:val="24"/>
        </w:rPr>
        <w:t>‘</w:t>
      </w:r>
      <w:r w:rsidRPr="00461D74">
        <w:rPr>
          <w:rFonts w:ascii="Garamond" w:hAnsi="Garamond"/>
          <w:sz w:val="24"/>
          <w:szCs w:val="24"/>
        </w:rPr>
        <w:t>fact/value</w:t>
      </w:r>
      <w:r w:rsidR="00456918" w:rsidRPr="00461D74">
        <w:rPr>
          <w:rFonts w:ascii="Garamond" w:hAnsi="Garamond"/>
          <w:sz w:val="24"/>
          <w:szCs w:val="24"/>
        </w:rPr>
        <w:t>’</w:t>
      </w:r>
      <w:r w:rsidRPr="00461D74">
        <w:rPr>
          <w:rFonts w:ascii="Garamond" w:hAnsi="Garamond"/>
          <w:sz w:val="24"/>
          <w:szCs w:val="24"/>
        </w:rPr>
        <w:t xml:space="preserve"> distinction.</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Now I should emphasize that Putnam’s argument thus far does not directly undermine the </w:t>
      </w:r>
      <w:r w:rsidR="00456918" w:rsidRPr="00461D74">
        <w:rPr>
          <w:rFonts w:ascii="Garamond" w:hAnsi="Garamond"/>
          <w:sz w:val="24"/>
          <w:szCs w:val="24"/>
        </w:rPr>
        <w:t>‘fact/value’</w:t>
      </w:r>
      <w:r w:rsidRPr="00461D74">
        <w:rPr>
          <w:rFonts w:ascii="Garamond" w:hAnsi="Garamond"/>
          <w:sz w:val="24"/>
          <w:szCs w:val="24"/>
        </w:rPr>
        <w:t xml:space="preserve"> distinction. All that it accomplishes is to show </w:t>
      </w:r>
      <w:r w:rsidRPr="00461D74">
        <w:rPr>
          <w:rFonts w:ascii="Garamond" w:hAnsi="Garamond"/>
          <w:sz w:val="24"/>
          <w:szCs w:val="24"/>
        </w:rPr>
        <w:lastRenderedPageBreak/>
        <w:t xml:space="preserve">that the </w:t>
      </w:r>
      <w:r w:rsidR="00456918" w:rsidRPr="00461D74">
        <w:rPr>
          <w:rFonts w:ascii="Garamond" w:hAnsi="Garamond"/>
          <w:sz w:val="24"/>
          <w:szCs w:val="24"/>
        </w:rPr>
        <w:t>‘fact/value’</w:t>
      </w:r>
      <w:r w:rsidRPr="00461D74">
        <w:rPr>
          <w:rFonts w:ascii="Garamond" w:hAnsi="Garamond"/>
          <w:sz w:val="24"/>
          <w:szCs w:val="24"/>
        </w:rPr>
        <w:t xml:space="preserve"> distinction was in part premised on an earlier, now defunct, distinction; thus, it provides </w:t>
      </w:r>
      <w:r w:rsidR="003E3265">
        <w:rPr>
          <w:rFonts w:ascii="Garamond" w:hAnsi="Garamond"/>
          <w:sz w:val="24"/>
          <w:szCs w:val="24"/>
        </w:rPr>
        <w:t xml:space="preserve">no more than </w:t>
      </w:r>
      <w:r w:rsidRPr="00461D74">
        <w:rPr>
          <w:rFonts w:ascii="Garamond" w:hAnsi="Garamond"/>
          <w:sz w:val="24"/>
          <w:szCs w:val="24"/>
        </w:rPr>
        <w:t xml:space="preserve">an indirect argument </w:t>
      </w:r>
      <w:r w:rsidR="003E3265">
        <w:rPr>
          <w:rFonts w:ascii="Garamond" w:hAnsi="Garamond"/>
          <w:sz w:val="24"/>
          <w:szCs w:val="24"/>
        </w:rPr>
        <w:t xml:space="preserve">– albeit one that on my view remains </w:t>
      </w:r>
      <w:r w:rsidR="005C1E09">
        <w:rPr>
          <w:rFonts w:ascii="Garamond" w:hAnsi="Garamond"/>
          <w:sz w:val="24"/>
          <w:szCs w:val="24"/>
        </w:rPr>
        <w:t>significant</w:t>
      </w:r>
      <w:r w:rsidR="003E3265">
        <w:rPr>
          <w:rFonts w:ascii="Garamond" w:hAnsi="Garamond"/>
          <w:sz w:val="24"/>
          <w:szCs w:val="24"/>
        </w:rPr>
        <w:t xml:space="preserve"> – </w:t>
      </w:r>
      <w:r w:rsidRPr="00461D74">
        <w:rPr>
          <w:rFonts w:ascii="Garamond" w:hAnsi="Garamond"/>
          <w:sz w:val="24"/>
          <w:szCs w:val="24"/>
        </w:rPr>
        <w:t xml:space="preserve">for </w:t>
      </w:r>
      <w:r w:rsidR="003E3265">
        <w:rPr>
          <w:rFonts w:ascii="Garamond" w:hAnsi="Garamond"/>
          <w:sz w:val="24"/>
          <w:szCs w:val="24"/>
        </w:rPr>
        <w:t>maintaining some degree of scepticism</w:t>
      </w:r>
      <w:r w:rsidR="003E3265" w:rsidRPr="00461D74">
        <w:rPr>
          <w:rFonts w:ascii="Garamond" w:hAnsi="Garamond"/>
          <w:sz w:val="24"/>
          <w:szCs w:val="24"/>
        </w:rPr>
        <w:t xml:space="preserve"> </w:t>
      </w:r>
      <w:r w:rsidRPr="00461D74">
        <w:rPr>
          <w:rFonts w:ascii="Garamond" w:hAnsi="Garamond"/>
          <w:sz w:val="24"/>
          <w:szCs w:val="24"/>
        </w:rPr>
        <w:t xml:space="preserve">about a strong </w:t>
      </w:r>
      <w:r w:rsidR="00456918" w:rsidRPr="00461D74">
        <w:rPr>
          <w:rFonts w:ascii="Garamond" w:hAnsi="Garamond"/>
          <w:sz w:val="24"/>
          <w:szCs w:val="24"/>
        </w:rPr>
        <w:t>‘fact/value’</w:t>
      </w:r>
      <w:r w:rsidRPr="00461D74">
        <w:rPr>
          <w:rFonts w:ascii="Garamond" w:hAnsi="Garamond"/>
          <w:sz w:val="24"/>
          <w:szCs w:val="24"/>
        </w:rPr>
        <w:t xml:space="preserve"> dichotomy. However, Putnam does not stop here. He also offers a direct argument for undermining a strong </w:t>
      </w:r>
      <w:r w:rsidR="00456918" w:rsidRPr="00461D74">
        <w:rPr>
          <w:rFonts w:ascii="Garamond" w:hAnsi="Garamond"/>
          <w:sz w:val="24"/>
          <w:szCs w:val="24"/>
        </w:rPr>
        <w:t>‘fact/value’</w:t>
      </w:r>
      <w:r w:rsidRPr="00461D74">
        <w:rPr>
          <w:rFonts w:ascii="Garamond" w:hAnsi="Garamond"/>
          <w:sz w:val="24"/>
          <w:szCs w:val="24"/>
        </w:rPr>
        <w:t xml:space="preserve"> distinction; his argument is that entanglement between descriptive and evaluative </w:t>
      </w:r>
      <w:r w:rsidR="005B3F42">
        <w:rPr>
          <w:rFonts w:ascii="Garamond" w:hAnsi="Garamond"/>
          <w:sz w:val="24"/>
          <w:szCs w:val="24"/>
        </w:rPr>
        <w:t>components</w:t>
      </w:r>
      <w:r w:rsidR="0000326D">
        <w:rPr>
          <w:rFonts w:ascii="Garamond" w:hAnsi="Garamond"/>
          <w:sz w:val="24"/>
          <w:szCs w:val="24"/>
        </w:rPr>
        <w:t xml:space="preserve"> of semantic </w:t>
      </w:r>
      <w:r w:rsidR="0079179F">
        <w:rPr>
          <w:rFonts w:ascii="Garamond" w:hAnsi="Garamond"/>
          <w:sz w:val="24"/>
          <w:szCs w:val="24"/>
        </w:rPr>
        <w:t xml:space="preserve">content </w:t>
      </w:r>
      <w:r w:rsidRPr="00461D74">
        <w:rPr>
          <w:rFonts w:ascii="Garamond" w:hAnsi="Garamond"/>
          <w:sz w:val="24"/>
          <w:szCs w:val="24"/>
        </w:rPr>
        <w:t>undermines a strong divide between the factual and the evaluative, between fact</w:t>
      </w:r>
      <w:r w:rsidR="003E3265">
        <w:rPr>
          <w:rFonts w:ascii="Garamond" w:hAnsi="Garamond"/>
          <w:sz w:val="24"/>
          <w:szCs w:val="24"/>
        </w:rPr>
        <w:t>s</w:t>
      </w:r>
      <w:r w:rsidRPr="00461D74">
        <w:rPr>
          <w:rFonts w:ascii="Garamond" w:hAnsi="Garamond"/>
          <w:sz w:val="24"/>
          <w:szCs w:val="24"/>
        </w:rPr>
        <w:t xml:space="preserve"> and value</w:t>
      </w:r>
      <w:r w:rsidR="003E3265">
        <w:rPr>
          <w:rFonts w:ascii="Garamond" w:hAnsi="Garamond"/>
          <w:sz w:val="24"/>
          <w:szCs w:val="24"/>
        </w:rPr>
        <w:t>s</w:t>
      </w:r>
      <w:r w:rsidRPr="00461D74">
        <w:rPr>
          <w:rFonts w:ascii="Garamond" w:hAnsi="Garamond"/>
          <w:sz w:val="24"/>
          <w:szCs w:val="24"/>
        </w:rPr>
        <w:t xml:space="preserve">. I will consider this </w:t>
      </w:r>
      <w:r w:rsidR="0079179F">
        <w:rPr>
          <w:rFonts w:ascii="Garamond" w:hAnsi="Garamond"/>
          <w:sz w:val="24"/>
          <w:szCs w:val="24"/>
        </w:rPr>
        <w:t xml:space="preserve">line of inquiry </w:t>
      </w:r>
      <w:r w:rsidRPr="00461D74">
        <w:rPr>
          <w:rFonts w:ascii="Garamond" w:hAnsi="Garamond"/>
          <w:sz w:val="24"/>
          <w:szCs w:val="24"/>
        </w:rPr>
        <w:t>in the next section.</w:t>
      </w:r>
    </w:p>
    <w:p w:rsidR="00665157" w:rsidRDefault="00665157">
      <w:pPr>
        <w:spacing w:line="360" w:lineRule="auto"/>
        <w:jc w:val="both"/>
        <w:rPr>
          <w:rFonts w:ascii="Garamond" w:hAnsi="Garamond"/>
        </w:rPr>
      </w:pPr>
    </w:p>
    <w:p w:rsidR="00665157" w:rsidRDefault="001C62D0">
      <w:pPr>
        <w:pStyle w:val="Heading2"/>
        <w:spacing w:line="360" w:lineRule="auto"/>
        <w:jc w:val="both"/>
        <w:rPr>
          <w:rFonts w:cstheme="majorHAnsi"/>
        </w:rPr>
      </w:pPr>
      <w:bookmarkStart w:id="30" w:name="_Toc528077812"/>
      <w:r>
        <w:rPr>
          <w:rFonts w:cstheme="majorHAnsi"/>
        </w:rPr>
        <w:t>6</w:t>
      </w:r>
      <w:r w:rsidR="00016049" w:rsidRPr="00331208">
        <w:rPr>
          <w:rFonts w:cstheme="majorHAnsi"/>
        </w:rPr>
        <w:t>. The Entanglement of Fact and Value</w:t>
      </w:r>
      <w:bookmarkEnd w:id="30"/>
    </w:p>
    <w:p w:rsidR="00665157" w:rsidRDefault="00665157">
      <w:pPr>
        <w:spacing w:line="360" w:lineRule="auto"/>
        <w:jc w:val="both"/>
        <w:rPr>
          <w:rFonts w:ascii="Garamond" w:hAnsi="Garamond"/>
          <w:sz w:val="24"/>
          <w:szCs w:val="24"/>
        </w:rPr>
      </w:pPr>
    </w:p>
    <w:p w:rsidR="00665157" w:rsidRDefault="00016049">
      <w:pPr>
        <w:spacing w:line="360" w:lineRule="auto"/>
        <w:jc w:val="both"/>
        <w:rPr>
          <w:rFonts w:ascii="Garamond" w:hAnsi="Garamond"/>
          <w:sz w:val="24"/>
          <w:szCs w:val="24"/>
        </w:rPr>
      </w:pPr>
      <w:r w:rsidRPr="00461D74">
        <w:rPr>
          <w:rFonts w:ascii="Garamond" w:hAnsi="Garamond"/>
          <w:sz w:val="24"/>
          <w:szCs w:val="24"/>
        </w:rPr>
        <w:t xml:space="preserve">We saw that the logical positivist conception of the </w:t>
      </w:r>
      <w:r w:rsidR="00456918" w:rsidRPr="00461D74">
        <w:rPr>
          <w:rFonts w:ascii="Garamond" w:hAnsi="Garamond"/>
          <w:sz w:val="24"/>
          <w:szCs w:val="24"/>
        </w:rPr>
        <w:t>‘fact/value’</w:t>
      </w:r>
      <w:r w:rsidRPr="00461D74">
        <w:rPr>
          <w:rFonts w:ascii="Garamond" w:hAnsi="Garamond"/>
          <w:sz w:val="24"/>
          <w:szCs w:val="24"/>
        </w:rPr>
        <w:t xml:space="preserve"> dichotomy was not based on a serious discussion on the nature of values or evaluative judgments; </w:t>
      </w:r>
      <w:r w:rsidR="000445B1">
        <w:rPr>
          <w:rFonts w:ascii="Garamond" w:hAnsi="Garamond"/>
          <w:sz w:val="24"/>
          <w:szCs w:val="24"/>
        </w:rPr>
        <w:t>instead,</w:t>
      </w:r>
      <w:r w:rsidR="000445B1" w:rsidRPr="00461D74">
        <w:rPr>
          <w:rFonts w:ascii="Garamond" w:hAnsi="Garamond"/>
          <w:sz w:val="24"/>
          <w:szCs w:val="24"/>
        </w:rPr>
        <w:t xml:space="preserve"> </w:t>
      </w:r>
      <w:r w:rsidRPr="00461D74">
        <w:rPr>
          <w:rFonts w:ascii="Garamond" w:hAnsi="Garamond"/>
          <w:sz w:val="24"/>
          <w:szCs w:val="24"/>
        </w:rPr>
        <w:t xml:space="preserve">it relied on an impoverished empiricist view on the </w:t>
      </w:r>
      <w:r w:rsidR="00BA2394">
        <w:rPr>
          <w:rFonts w:ascii="Garamond" w:hAnsi="Garamond"/>
          <w:sz w:val="24"/>
          <w:szCs w:val="24"/>
        </w:rPr>
        <w:t>status</w:t>
      </w:r>
      <w:r w:rsidR="00BA2394" w:rsidRPr="00461D74">
        <w:rPr>
          <w:rFonts w:ascii="Garamond" w:hAnsi="Garamond"/>
          <w:sz w:val="24"/>
          <w:szCs w:val="24"/>
        </w:rPr>
        <w:t xml:space="preserve"> </w:t>
      </w:r>
      <w:r w:rsidRPr="00461D74">
        <w:rPr>
          <w:rFonts w:ascii="Garamond" w:hAnsi="Garamond"/>
          <w:sz w:val="24"/>
          <w:szCs w:val="24"/>
        </w:rPr>
        <w:t xml:space="preserve">of </w:t>
      </w:r>
      <w:r w:rsidR="00BA2394">
        <w:rPr>
          <w:rFonts w:ascii="Garamond" w:hAnsi="Garamond"/>
          <w:sz w:val="24"/>
          <w:szCs w:val="24"/>
        </w:rPr>
        <w:t>factual statements</w:t>
      </w:r>
      <w:r w:rsidR="000445B1">
        <w:rPr>
          <w:rFonts w:ascii="Garamond" w:hAnsi="Garamond"/>
          <w:sz w:val="24"/>
          <w:szCs w:val="24"/>
        </w:rPr>
        <w:t>.</w:t>
      </w:r>
      <w:r w:rsidRPr="00461D74">
        <w:rPr>
          <w:rStyle w:val="FootnoteReference"/>
          <w:rFonts w:ascii="Garamond" w:hAnsi="Garamond"/>
          <w:sz w:val="24"/>
          <w:szCs w:val="24"/>
        </w:rPr>
        <w:footnoteReference w:id="275"/>
      </w:r>
      <w:r w:rsidRPr="00461D74">
        <w:rPr>
          <w:rFonts w:ascii="Garamond" w:hAnsi="Garamond"/>
          <w:sz w:val="24"/>
          <w:szCs w:val="24"/>
        </w:rPr>
        <w:t xml:space="preserve"> Yet by extending the definition of fact</w:t>
      </w:r>
      <w:r w:rsidR="00AE75F4">
        <w:rPr>
          <w:rFonts w:ascii="Garamond" w:hAnsi="Garamond"/>
          <w:sz w:val="24"/>
          <w:szCs w:val="24"/>
        </w:rPr>
        <w:t>,</w:t>
      </w:r>
      <w:r w:rsidRPr="00461D74">
        <w:rPr>
          <w:rFonts w:ascii="Garamond" w:hAnsi="Garamond"/>
          <w:sz w:val="24"/>
          <w:szCs w:val="24"/>
        </w:rPr>
        <w:t xml:space="preserve"> </w:t>
      </w:r>
      <w:r w:rsidR="005A351D">
        <w:rPr>
          <w:rFonts w:ascii="Garamond" w:hAnsi="Garamond"/>
          <w:sz w:val="24"/>
          <w:szCs w:val="24"/>
        </w:rPr>
        <w:t>logical positivists</w:t>
      </w:r>
      <w:r w:rsidR="00AE75F4">
        <w:rPr>
          <w:rFonts w:ascii="Garamond" w:hAnsi="Garamond"/>
          <w:sz w:val="24"/>
          <w:szCs w:val="24"/>
        </w:rPr>
        <w:t xml:space="preserve"> </w:t>
      </w:r>
      <w:r w:rsidR="005A351D">
        <w:rPr>
          <w:rFonts w:ascii="Garamond" w:hAnsi="Garamond"/>
          <w:sz w:val="24"/>
          <w:szCs w:val="24"/>
        </w:rPr>
        <w:t>diluted</w:t>
      </w:r>
      <w:r w:rsidR="005A351D" w:rsidRPr="00461D74">
        <w:rPr>
          <w:rFonts w:ascii="Garamond" w:hAnsi="Garamond"/>
          <w:sz w:val="24"/>
          <w:szCs w:val="24"/>
        </w:rPr>
        <w:t xml:space="preserve"> </w:t>
      </w:r>
      <w:r w:rsidRPr="00461D74">
        <w:rPr>
          <w:rFonts w:ascii="Garamond" w:hAnsi="Garamond"/>
          <w:sz w:val="24"/>
          <w:szCs w:val="24"/>
        </w:rPr>
        <w:t xml:space="preserve">the </w:t>
      </w:r>
      <w:r w:rsidR="005A351D">
        <w:rPr>
          <w:rFonts w:ascii="Garamond" w:hAnsi="Garamond"/>
          <w:sz w:val="24"/>
          <w:szCs w:val="24"/>
        </w:rPr>
        <w:t xml:space="preserve">distinction between </w:t>
      </w:r>
      <w:r w:rsidRPr="00461D74">
        <w:rPr>
          <w:rFonts w:ascii="Garamond" w:hAnsi="Garamond"/>
          <w:sz w:val="24"/>
          <w:szCs w:val="24"/>
        </w:rPr>
        <w:t xml:space="preserve">‘synthetic’ and ‘analytic’ </w:t>
      </w:r>
      <w:r w:rsidR="005A351D">
        <w:rPr>
          <w:rFonts w:ascii="Garamond" w:hAnsi="Garamond"/>
          <w:sz w:val="24"/>
          <w:szCs w:val="24"/>
        </w:rPr>
        <w:t>statements, for</w:t>
      </w:r>
      <w:r w:rsidRPr="00461D74">
        <w:rPr>
          <w:rFonts w:ascii="Garamond" w:hAnsi="Garamond"/>
          <w:sz w:val="24"/>
          <w:szCs w:val="24"/>
        </w:rPr>
        <w:t xml:space="preserve"> these concepts were now entangled under their modified classification system. </w:t>
      </w:r>
      <w:r w:rsidR="005A351D">
        <w:rPr>
          <w:rFonts w:ascii="Garamond" w:hAnsi="Garamond"/>
          <w:sz w:val="24"/>
          <w:szCs w:val="24"/>
        </w:rPr>
        <w:t>Therefore</w:t>
      </w:r>
      <w:r w:rsidRPr="00461D74">
        <w:rPr>
          <w:rFonts w:ascii="Garamond" w:hAnsi="Garamond"/>
          <w:sz w:val="24"/>
          <w:szCs w:val="24"/>
        </w:rPr>
        <w:t xml:space="preserve">, </w:t>
      </w:r>
      <w:r w:rsidR="005A351D">
        <w:rPr>
          <w:rFonts w:ascii="Garamond" w:hAnsi="Garamond"/>
          <w:sz w:val="24"/>
          <w:szCs w:val="24"/>
        </w:rPr>
        <w:t xml:space="preserve">Putnam argued, </w:t>
      </w:r>
      <w:r w:rsidRPr="00461D74">
        <w:rPr>
          <w:rFonts w:ascii="Garamond" w:hAnsi="Garamond"/>
          <w:sz w:val="24"/>
          <w:szCs w:val="24"/>
        </w:rPr>
        <w:t xml:space="preserve">they undermined the distinction between ‘fact’ and ‘value’ </w:t>
      </w:r>
      <w:r w:rsidR="005A351D">
        <w:rPr>
          <w:rFonts w:ascii="Garamond" w:hAnsi="Garamond"/>
          <w:sz w:val="24"/>
          <w:szCs w:val="24"/>
        </w:rPr>
        <w:t xml:space="preserve">precisely </w:t>
      </w:r>
      <w:r w:rsidRPr="00461D74">
        <w:rPr>
          <w:rFonts w:ascii="Garamond" w:hAnsi="Garamond"/>
          <w:sz w:val="24"/>
          <w:szCs w:val="24"/>
        </w:rPr>
        <w:t xml:space="preserve">because the notion of ‘fact’ for them relied on a clear class of ‘synthetic’ judgments. Putnam then </w:t>
      </w:r>
      <w:r w:rsidR="005A351D">
        <w:rPr>
          <w:rFonts w:ascii="Garamond" w:hAnsi="Garamond"/>
          <w:sz w:val="24"/>
          <w:szCs w:val="24"/>
        </w:rPr>
        <w:t>further stipulates</w:t>
      </w:r>
      <w:r w:rsidR="005A351D" w:rsidRPr="00461D74">
        <w:rPr>
          <w:rFonts w:ascii="Garamond" w:hAnsi="Garamond"/>
          <w:sz w:val="24"/>
          <w:szCs w:val="24"/>
        </w:rPr>
        <w:t xml:space="preserve"> </w:t>
      </w:r>
      <w:r w:rsidRPr="00461D74">
        <w:rPr>
          <w:rFonts w:ascii="Garamond" w:hAnsi="Garamond"/>
          <w:sz w:val="24"/>
          <w:szCs w:val="24"/>
        </w:rPr>
        <w:t xml:space="preserve">that in the absence of a clear class of ‘synthetic’ judgements we run into the problem of entanglement </w:t>
      </w:r>
      <w:r w:rsidR="005A351D">
        <w:rPr>
          <w:rFonts w:ascii="Garamond" w:hAnsi="Garamond"/>
          <w:sz w:val="24"/>
          <w:szCs w:val="24"/>
        </w:rPr>
        <w:t>for</w:t>
      </w:r>
      <w:r w:rsidR="005A351D" w:rsidRPr="00461D74">
        <w:rPr>
          <w:rFonts w:ascii="Garamond" w:hAnsi="Garamond"/>
          <w:sz w:val="24"/>
          <w:szCs w:val="24"/>
        </w:rPr>
        <w:t xml:space="preserve"> </w:t>
      </w:r>
      <w:r w:rsidRPr="00461D74">
        <w:rPr>
          <w:rFonts w:ascii="Garamond" w:hAnsi="Garamond"/>
          <w:sz w:val="24"/>
          <w:szCs w:val="24"/>
        </w:rPr>
        <w:t>we discover that description and evaluation are interdependent and entangled in ways that are not always fully appreciated.</w:t>
      </w:r>
    </w:p>
    <w:p w:rsidR="00BE3CAD" w:rsidRDefault="00016049" w:rsidP="00920B6D">
      <w:pPr>
        <w:spacing w:line="360" w:lineRule="auto"/>
        <w:ind w:firstLine="720"/>
        <w:jc w:val="both"/>
        <w:rPr>
          <w:rFonts w:ascii="Garamond" w:hAnsi="Garamond"/>
          <w:sz w:val="24"/>
          <w:szCs w:val="24"/>
        </w:rPr>
      </w:pPr>
      <w:r w:rsidRPr="00461D74">
        <w:rPr>
          <w:rFonts w:ascii="Garamond" w:hAnsi="Garamond"/>
          <w:sz w:val="24"/>
          <w:szCs w:val="24"/>
        </w:rPr>
        <w:lastRenderedPageBreak/>
        <w:t xml:space="preserve">On Putnam’s view, once we discard our narrow conception of values as </w:t>
      </w:r>
      <w:r w:rsidR="00182203" w:rsidRPr="00461D74">
        <w:rPr>
          <w:rFonts w:ascii="Garamond" w:hAnsi="Garamond"/>
          <w:sz w:val="24"/>
          <w:szCs w:val="24"/>
        </w:rPr>
        <w:t xml:space="preserve">just </w:t>
      </w:r>
      <w:r w:rsidRPr="00461D74">
        <w:rPr>
          <w:rFonts w:ascii="Garamond" w:hAnsi="Garamond"/>
          <w:sz w:val="24"/>
          <w:szCs w:val="24"/>
        </w:rPr>
        <w:t xml:space="preserve">ethical values, we find that not only </w:t>
      </w:r>
      <w:r w:rsidR="00AE75F4">
        <w:rPr>
          <w:rFonts w:ascii="Garamond" w:hAnsi="Garamond"/>
          <w:sz w:val="24"/>
          <w:szCs w:val="24"/>
        </w:rPr>
        <w:t xml:space="preserve">are </w:t>
      </w:r>
      <w:r w:rsidR="00A42AB0">
        <w:rPr>
          <w:rFonts w:ascii="Garamond" w:hAnsi="Garamond"/>
          <w:sz w:val="24"/>
          <w:szCs w:val="24"/>
        </w:rPr>
        <w:t xml:space="preserve">there clear instances of entanglement between </w:t>
      </w:r>
      <w:r w:rsidRPr="00461D74">
        <w:rPr>
          <w:rFonts w:ascii="Garamond" w:hAnsi="Garamond"/>
          <w:sz w:val="24"/>
          <w:szCs w:val="24"/>
        </w:rPr>
        <w:t>observation</w:t>
      </w:r>
      <w:r w:rsidR="00A42AB0">
        <w:rPr>
          <w:rFonts w:ascii="Garamond" w:hAnsi="Garamond"/>
          <w:sz w:val="24"/>
          <w:szCs w:val="24"/>
        </w:rPr>
        <w:t>al,</w:t>
      </w:r>
      <w:r w:rsidRPr="00461D74">
        <w:rPr>
          <w:rFonts w:ascii="Garamond" w:hAnsi="Garamond"/>
          <w:sz w:val="24"/>
          <w:szCs w:val="24"/>
        </w:rPr>
        <w:t xml:space="preserve"> and theoretical</w:t>
      </w:r>
      <w:r w:rsidR="00A42AB0">
        <w:rPr>
          <w:rFonts w:ascii="Garamond" w:hAnsi="Garamond"/>
          <w:sz w:val="24"/>
          <w:szCs w:val="24"/>
        </w:rPr>
        <w:t>,</w:t>
      </w:r>
      <w:r w:rsidRPr="00461D74">
        <w:rPr>
          <w:rFonts w:ascii="Garamond" w:hAnsi="Garamond"/>
          <w:sz w:val="24"/>
          <w:szCs w:val="24"/>
        </w:rPr>
        <w:t xml:space="preserve"> terms, but </w:t>
      </w:r>
      <w:r w:rsidR="00A42AB0">
        <w:rPr>
          <w:rFonts w:ascii="Garamond" w:hAnsi="Garamond"/>
          <w:sz w:val="24"/>
          <w:szCs w:val="24"/>
        </w:rPr>
        <w:t>in addition,</w:t>
      </w:r>
      <w:r w:rsidR="00A42AB0" w:rsidRPr="00461D74">
        <w:rPr>
          <w:rFonts w:ascii="Garamond" w:hAnsi="Garamond"/>
          <w:sz w:val="24"/>
          <w:szCs w:val="24"/>
        </w:rPr>
        <w:t xml:space="preserve"> </w:t>
      </w:r>
      <w:r w:rsidR="00A42AB0">
        <w:rPr>
          <w:rFonts w:ascii="Garamond" w:hAnsi="Garamond"/>
          <w:sz w:val="24"/>
          <w:szCs w:val="24"/>
        </w:rPr>
        <w:t xml:space="preserve">the activity of </w:t>
      </w:r>
      <w:r w:rsidRPr="00461D74">
        <w:rPr>
          <w:rFonts w:ascii="Garamond" w:hAnsi="Garamond"/>
          <w:sz w:val="24"/>
          <w:szCs w:val="24"/>
        </w:rPr>
        <w:t>scientific theorizing itself presupposes values – it presupposes epistemic values, the so-called theoretical virtues. Judgments of parsimony, consistency, elegance or beauty, symmetry, coherence, reasonableness, and plausibility are all value judgments that are very much employed in various scientific domains.</w:t>
      </w:r>
      <w:r w:rsidRPr="00461D74">
        <w:rPr>
          <w:rStyle w:val="FootnoteReference"/>
          <w:rFonts w:ascii="Garamond" w:hAnsi="Garamond"/>
          <w:sz w:val="24"/>
          <w:szCs w:val="24"/>
        </w:rPr>
        <w:footnoteReference w:id="276"/>
      </w:r>
      <w:r w:rsidRPr="00461D74">
        <w:rPr>
          <w:rFonts w:ascii="Garamond" w:hAnsi="Garamond"/>
          <w:sz w:val="24"/>
          <w:szCs w:val="24"/>
        </w:rPr>
        <w:t xml:space="preserve"> </w:t>
      </w:r>
      <w:r w:rsidR="00BE3CAD">
        <w:rPr>
          <w:rFonts w:ascii="Garamond" w:hAnsi="Garamond"/>
          <w:sz w:val="24"/>
          <w:szCs w:val="24"/>
        </w:rPr>
        <w:t>Still</w:t>
      </w:r>
      <w:r w:rsidR="0015477D">
        <w:rPr>
          <w:rFonts w:ascii="Garamond" w:hAnsi="Garamond"/>
          <w:sz w:val="24"/>
          <w:szCs w:val="24"/>
        </w:rPr>
        <w:t xml:space="preserve">, someone could counter this and say ‘the activity of science is one thing, and its products, another thing altogether.’ He or she could then grant that science as an activity is value-laden, </w:t>
      </w:r>
      <w:r w:rsidR="00AE75F4">
        <w:rPr>
          <w:rFonts w:ascii="Garamond" w:hAnsi="Garamond"/>
          <w:sz w:val="24"/>
          <w:szCs w:val="24"/>
        </w:rPr>
        <w:t xml:space="preserve">but </w:t>
      </w:r>
      <w:r w:rsidR="0015477D">
        <w:rPr>
          <w:rFonts w:ascii="Garamond" w:hAnsi="Garamond"/>
          <w:sz w:val="24"/>
          <w:szCs w:val="24"/>
        </w:rPr>
        <w:t>nevertheless</w:t>
      </w:r>
      <w:r w:rsidR="00AE75F4">
        <w:rPr>
          <w:rFonts w:ascii="Garamond" w:hAnsi="Garamond"/>
          <w:sz w:val="24"/>
          <w:szCs w:val="24"/>
        </w:rPr>
        <w:t xml:space="preserve"> </w:t>
      </w:r>
      <w:r w:rsidR="0015477D">
        <w:rPr>
          <w:rFonts w:ascii="Garamond" w:hAnsi="Garamond"/>
          <w:sz w:val="24"/>
          <w:szCs w:val="24"/>
        </w:rPr>
        <w:t>continue to argue that the achievement</w:t>
      </w:r>
      <w:r w:rsidR="00E03E57">
        <w:rPr>
          <w:rFonts w:ascii="Garamond" w:hAnsi="Garamond"/>
          <w:sz w:val="24"/>
          <w:szCs w:val="24"/>
        </w:rPr>
        <w:t>s</w:t>
      </w:r>
      <w:r w:rsidR="0015477D">
        <w:rPr>
          <w:rFonts w:ascii="Garamond" w:hAnsi="Garamond"/>
          <w:sz w:val="24"/>
          <w:szCs w:val="24"/>
        </w:rPr>
        <w:t xml:space="preserve"> of science are not. The problem with this approach is </w:t>
      </w:r>
      <w:r w:rsidR="00517E9E">
        <w:rPr>
          <w:rFonts w:ascii="Garamond" w:hAnsi="Garamond"/>
          <w:sz w:val="24"/>
          <w:szCs w:val="24"/>
        </w:rPr>
        <w:t xml:space="preserve">at least two-fold. </w:t>
      </w:r>
    </w:p>
    <w:p w:rsidR="0015477D" w:rsidRDefault="00517E9E" w:rsidP="00920B6D">
      <w:pPr>
        <w:spacing w:line="360" w:lineRule="auto"/>
        <w:ind w:firstLine="720"/>
        <w:jc w:val="both"/>
        <w:rPr>
          <w:rFonts w:ascii="Garamond" w:hAnsi="Garamond"/>
          <w:sz w:val="24"/>
          <w:szCs w:val="24"/>
        </w:rPr>
      </w:pPr>
      <w:r>
        <w:rPr>
          <w:rFonts w:ascii="Garamond" w:hAnsi="Garamond"/>
          <w:sz w:val="24"/>
          <w:szCs w:val="24"/>
        </w:rPr>
        <w:t>F</w:t>
      </w:r>
      <w:r w:rsidR="0015477D">
        <w:rPr>
          <w:rFonts w:ascii="Garamond" w:hAnsi="Garamond"/>
          <w:sz w:val="24"/>
          <w:szCs w:val="24"/>
        </w:rPr>
        <w:t xml:space="preserve">irst, </w:t>
      </w:r>
      <w:r w:rsidR="00E01111">
        <w:rPr>
          <w:rFonts w:ascii="Garamond" w:hAnsi="Garamond"/>
          <w:sz w:val="24"/>
          <w:szCs w:val="24"/>
        </w:rPr>
        <w:t xml:space="preserve">I am </w:t>
      </w:r>
      <w:r>
        <w:rPr>
          <w:rFonts w:ascii="Garamond" w:hAnsi="Garamond"/>
          <w:sz w:val="24"/>
          <w:szCs w:val="24"/>
        </w:rPr>
        <w:t>uncertain as to</w:t>
      </w:r>
      <w:r w:rsidR="00E01111">
        <w:rPr>
          <w:rFonts w:ascii="Garamond" w:hAnsi="Garamond"/>
          <w:sz w:val="24"/>
          <w:szCs w:val="24"/>
        </w:rPr>
        <w:t xml:space="preserve"> whether the distinction between </w:t>
      </w:r>
      <w:r>
        <w:rPr>
          <w:rFonts w:ascii="Garamond" w:hAnsi="Garamond"/>
          <w:sz w:val="24"/>
          <w:szCs w:val="24"/>
        </w:rPr>
        <w:t>the methods and activity of science on the one hand, and its product on the other</w:t>
      </w:r>
      <w:r w:rsidR="00AE75F4">
        <w:rPr>
          <w:rFonts w:ascii="Garamond" w:hAnsi="Garamond"/>
          <w:sz w:val="24"/>
          <w:szCs w:val="24"/>
        </w:rPr>
        <w:t>,</w:t>
      </w:r>
      <w:r>
        <w:rPr>
          <w:rFonts w:ascii="Garamond" w:hAnsi="Garamond"/>
          <w:sz w:val="24"/>
          <w:szCs w:val="24"/>
        </w:rPr>
        <w:t xml:space="preserve"> is uncontroversial. The objectivity of science in part rests on its particular method, and the shape of its activity. </w:t>
      </w:r>
      <w:r w:rsidR="00486A0B">
        <w:rPr>
          <w:rFonts w:ascii="Garamond" w:hAnsi="Garamond"/>
          <w:sz w:val="24"/>
          <w:szCs w:val="24"/>
        </w:rPr>
        <w:t>Conversely</w:t>
      </w:r>
      <w:r>
        <w:rPr>
          <w:rFonts w:ascii="Garamond" w:hAnsi="Garamond"/>
          <w:sz w:val="24"/>
          <w:szCs w:val="24"/>
        </w:rPr>
        <w:t xml:space="preserve">, but similarly, it is also argued that ethical inquiry isn’t objective because moral inquiry doesn’t utilise the method of science. Second, on this view, </w:t>
      </w:r>
      <w:r w:rsidR="0015477D">
        <w:rPr>
          <w:rFonts w:ascii="Garamond" w:hAnsi="Garamond"/>
          <w:sz w:val="24"/>
          <w:szCs w:val="24"/>
        </w:rPr>
        <w:t>there seems to be an accidental (or contingent) relationship between the activity of science</w:t>
      </w:r>
      <w:r>
        <w:rPr>
          <w:rFonts w:ascii="Garamond" w:hAnsi="Garamond"/>
          <w:sz w:val="24"/>
          <w:szCs w:val="24"/>
        </w:rPr>
        <w:t>, and its product; and that would mean any sort of activity that produces a particular product which accidentally maps onto and obtains objects in the world, is worthy of the name science</w:t>
      </w:r>
      <w:r w:rsidR="00920B6D">
        <w:rPr>
          <w:rFonts w:ascii="Garamond" w:hAnsi="Garamond"/>
          <w:sz w:val="24"/>
          <w:szCs w:val="24"/>
        </w:rPr>
        <w:t>.</w:t>
      </w:r>
    </w:p>
    <w:p w:rsidR="00665157" w:rsidRDefault="00BE3CAD" w:rsidP="00C40ABA">
      <w:pPr>
        <w:spacing w:line="360" w:lineRule="auto"/>
        <w:ind w:firstLine="720"/>
        <w:jc w:val="both"/>
        <w:rPr>
          <w:rFonts w:ascii="Garamond" w:hAnsi="Garamond"/>
          <w:sz w:val="24"/>
          <w:szCs w:val="24"/>
        </w:rPr>
      </w:pPr>
      <w:r>
        <w:rPr>
          <w:rFonts w:ascii="Garamond" w:hAnsi="Garamond"/>
          <w:sz w:val="24"/>
          <w:szCs w:val="24"/>
        </w:rPr>
        <w:t xml:space="preserve">Now, </w:t>
      </w:r>
      <w:r w:rsidR="00C40ABA">
        <w:rPr>
          <w:rFonts w:ascii="Garamond" w:hAnsi="Garamond"/>
          <w:sz w:val="24"/>
          <w:szCs w:val="24"/>
        </w:rPr>
        <w:t xml:space="preserve">if there is something to say about the relationship between an activity and its product, and that they are interdependent in some meaningful way, the sort of objection I have considered here is less decisive than it might appear. Therefore, if I am correct to suggest that we should indeed </w:t>
      </w:r>
      <w:r w:rsidR="00C9182F">
        <w:rPr>
          <w:rFonts w:ascii="Garamond" w:hAnsi="Garamond"/>
          <w:sz w:val="24"/>
          <w:szCs w:val="24"/>
        </w:rPr>
        <w:t>take</w:t>
      </w:r>
      <w:r w:rsidR="00C40ABA">
        <w:rPr>
          <w:rFonts w:ascii="Garamond" w:hAnsi="Garamond"/>
          <w:sz w:val="24"/>
          <w:szCs w:val="24"/>
        </w:rPr>
        <w:t xml:space="preserve"> Putnam’s argument seriously, it seems that the</w:t>
      </w:r>
      <w:r w:rsidR="00016049" w:rsidRPr="00461D74">
        <w:rPr>
          <w:rFonts w:ascii="Garamond" w:hAnsi="Garamond"/>
          <w:sz w:val="24"/>
          <w:szCs w:val="24"/>
        </w:rPr>
        <w:t xml:space="preserve"> knowledge of particular fact presupposes knowledge of theories, and knowledge of theories presupposes knowledge of </w:t>
      </w:r>
      <w:r w:rsidR="00016049" w:rsidRPr="00461D74">
        <w:rPr>
          <w:rFonts w:ascii="Garamond" w:hAnsi="Garamond"/>
          <w:sz w:val="24"/>
          <w:szCs w:val="24"/>
        </w:rPr>
        <w:lastRenderedPageBreak/>
        <w:t>particular facts; further</w:t>
      </w:r>
      <w:r w:rsidR="00C40ABA">
        <w:rPr>
          <w:rFonts w:ascii="Garamond" w:hAnsi="Garamond"/>
          <w:sz w:val="24"/>
          <w:szCs w:val="24"/>
        </w:rPr>
        <w:t>more</w:t>
      </w:r>
      <w:r w:rsidR="00016049" w:rsidRPr="00461D74">
        <w:rPr>
          <w:rFonts w:ascii="Garamond" w:hAnsi="Garamond"/>
          <w:sz w:val="24"/>
          <w:szCs w:val="24"/>
        </w:rPr>
        <w:t>, knowledge of facts presupposes knowledge of values, and vice versa.</w:t>
      </w:r>
      <w:r w:rsidR="00016049" w:rsidRPr="00461D74">
        <w:rPr>
          <w:rStyle w:val="FootnoteReference"/>
          <w:rFonts w:ascii="Garamond" w:hAnsi="Garamond"/>
          <w:sz w:val="24"/>
          <w:szCs w:val="24"/>
        </w:rPr>
        <w:footnoteReference w:id="277"/>
      </w:r>
    </w:p>
    <w:p w:rsidR="00665157" w:rsidRDefault="00016049">
      <w:pPr>
        <w:spacing w:line="360" w:lineRule="auto"/>
        <w:ind w:left="1440"/>
        <w:jc w:val="both"/>
        <w:rPr>
          <w:rFonts w:ascii="Garamond" w:hAnsi="Garamond"/>
        </w:rPr>
      </w:pPr>
      <w:r w:rsidRPr="00461D74">
        <w:rPr>
          <w:rFonts w:ascii="Garamond" w:hAnsi="Garamond"/>
        </w:rPr>
        <w:t>“</w:t>
      </w:r>
      <w:proofErr w:type="spellStart"/>
      <w:r w:rsidRPr="00461D74">
        <w:rPr>
          <w:rFonts w:ascii="Garamond" w:hAnsi="Garamond"/>
        </w:rPr>
        <w:t>Quine’s</w:t>
      </w:r>
      <w:proofErr w:type="spellEnd"/>
      <w:r w:rsidRPr="00461D74">
        <w:rPr>
          <w:rFonts w:ascii="Garamond" w:hAnsi="Garamond"/>
        </w:rPr>
        <w:t xml:space="preserve"> critique of the logical positivists’ picture of what they called language of science as neatly divided into a ‘factual’ part and an ‘analytic’ part, </w:t>
      </w:r>
      <w:r w:rsidRPr="00461D74">
        <w:rPr>
          <w:rFonts w:ascii="Garamond" w:hAnsi="Garamond"/>
          <w:i/>
        </w:rPr>
        <w:t>the whole argument for the classical fact/value dichotomy was in ruins</w:t>
      </w:r>
      <w:r w:rsidRPr="00461D74">
        <w:rPr>
          <w:rFonts w:ascii="Garamond" w:hAnsi="Garamond"/>
        </w:rPr>
        <w:t>,</w:t>
      </w:r>
      <w:r w:rsidRPr="00461D74">
        <w:rPr>
          <w:rStyle w:val="FootnoteReference"/>
          <w:rFonts w:ascii="Garamond" w:hAnsi="Garamond"/>
        </w:rPr>
        <w:footnoteReference w:id="278"/>
      </w:r>
      <w:r w:rsidRPr="00461D74">
        <w:rPr>
          <w:rFonts w:ascii="Garamond" w:hAnsi="Garamond"/>
        </w:rPr>
        <w:t xml:space="preserve"> and that ‘as far as logical empiricism could tell,’ science might presuppose values as well as experiences and conventions. Indeed, once we stop thinking of ‘value’ as synonymous with ‘ethics,’ it is quite clear that it does presuppose values – it presupposed epistemic values.”</w:t>
      </w:r>
      <w:r w:rsidRPr="00461D74">
        <w:rPr>
          <w:rStyle w:val="FootnoteReference"/>
          <w:rFonts w:ascii="Garamond" w:hAnsi="Garamond"/>
        </w:rPr>
        <w:footnoteReference w:id="279"/>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The narrow logical positivist view is confident in the knowledge that the questions of values are subjective and there can be no question of any rational agreement as part of an objective inquiry. But this false confidence </w:t>
      </w:r>
      <w:r w:rsidR="00191701">
        <w:rPr>
          <w:rFonts w:ascii="Garamond" w:hAnsi="Garamond"/>
          <w:sz w:val="24"/>
          <w:szCs w:val="24"/>
        </w:rPr>
        <w:t xml:space="preserve">is settled with its own limitations and </w:t>
      </w:r>
      <w:r w:rsidRPr="00461D74">
        <w:rPr>
          <w:rFonts w:ascii="Garamond" w:hAnsi="Garamond"/>
          <w:sz w:val="24"/>
          <w:szCs w:val="24"/>
        </w:rPr>
        <w:t xml:space="preserve">suffers </w:t>
      </w:r>
      <w:r w:rsidR="00191701">
        <w:rPr>
          <w:rFonts w:ascii="Garamond" w:hAnsi="Garamond"/>
          <w:sz w:val="24"/>
          <w:szCs w:val="24"/>
        </w:rPr>
        <w:t xml:space="preserve">insofar as </w:t>
      </w:r>
      <w:r w:rsidRPr="00461D74">
        <w:rPr>
          <w:rFonts w:ascii="Garamond" w:hAnsi="Garamond"/>
          <w:sz w:val="24"/>
          <w:szCs w:val="24"/>
        </w:rPr>
        <w:t xml:space="preserve">it </w:t>
      </w:r>
      <w:r w:rsidR="00191701">
        <w:rPr>
          <w:rFonts w:ascii="Garamond" w:hAnsi="Garamond"/>
          <w:sz w:val="24"/>
          <w:szCs w:val="24"/>
        </w:rPr>
        <w:t>subscribes to</w:t>
      </w:r>
      <w:r w:rsidR="00191701" w:rsidRPr="00461D74">
        <w:rPr>
          <w:rFonts w:ascii="Garamond" w:hAnsi="Garamond"/>
          <w:sz w:val="24"/>
          <w:szCs w:val="24"/>
        </w:rPr>
        <w:t xml:space="preserve"> </w:t>
      </w:r>
      <w:r w:rsidRPr="00461D74">
        <w:rPr>
          <w:rFonts w:ascii="Garamond" w:hAnsi="Garamond"/>
          <w:sz w:val="24"/>
          <w:szCs w:val="24"/>
        </w:rPr>
        <w:t xml:space="preserve">a myopic </w:t>
      </w:r>
      <w:r w:rsidR="00191701">
        <w:rPr>
          <w:rFonts w:ascii="Garamond" w:hAnsi="Garamond"/>
          <w:sz w:val="24"/>
          <w:szCs w:val="24"/>
        </w:rPr>
        <w:t>conception of factual statements</w:t>
      </w:r>
      <w:r w:rsidRPr="00461D74">
        <w:rPr>
          <w:rFonts w:ascii="Garamond" w:hAnsi="Garamond"/>
          <w:sz w:val="24"/>
          <w:szCs w:val="24"/>
        </w:rPr>
        <w:t xml:space="preserve">, </w:t>
      </w:r>
      <w:r w:rsidR="00C9182F">
        <w:rPr>
          <w:rFonts w:ascii="Garamond" w:hAnsi="Garamond"/>
          <w:sz w:val="24"/>
          <w:szCs w:val="24"/>
        </w:rPr>
        <w:t>which</w:t>
      </w:r>
      <w:r w:rsidRPr="00461D74">
        <w:rPr>
          <w:rFonts w:ascii="Garamond" w:hAnsi="Garamond"/>
          <w:sz w:val="24"/>
          <w:szCs w:val="24"/>
        </w:rPr>
        <w:t xml:space="preserve"> </w:t>
      </w:r>
      <w:r w:rsidR="00191701">
        <w:rPr>
          <w:rFonts w:ascii="Garamond" w:hAnsi="Garamond"/>
          <w:sz w:val="24"/>
          <w:szCs w:val="24"/>
        </w:rPr>
        <w:t>as a result</w:t>
      </w:r>
      <w:r w:rsidR="00191701" w:rsidRPr="00461D74">
        <w:rPr>
          <w:rFonts w:ascii="Garamond" w:hAnsi="Garamond"/>
          <w:sz w:val="24"/>
          <w:szCs w:val="24"/>
        </w:rPr>
        <w:t xml:space="preserve"> </w:t>
      </w:r>
      <w:r w:rsidRPr="00461D74">
        <w:rPr>
          <w:rFonts w:ascii="Garamond" w:hAnsi="Garamond"/>
          <w:sz w:val="24"/>
          <w:szCs w:val="24"/>
        </w:rPr>
        <w:t xml:space="preserve">fails to carefully consider the role of non-ethical evaluative judgments in formulating factual claims. It falsely believes that science is ‘Objective’ in a Euclidean sense – namely that it is value free; </w:t>
      </w:r>
      <w:r w:rsidR="00191701">
        <w:rPr>
          <w:rFonts w:ascii="Garamond" w:hAnsi="Garamond"/>
          <w:sz w:val="24"/>
          <w:szCs w:val="24"/>
        </w:rPr>
        <w:t>and thus,</w:t>
      </w:r>
      <w:r w:rsidR="00191701" w:rsidRPr="00461D74">
        <w:rPr>
          <w:rFonts w:ascii="Garamond" w:hAnsi="Garamond"/>
          <w:sz w:val="24"/>
          <w:szCs w:val="24"/>
        </w:rPr>
        <w:t xml:space="preserve"> </w:t>
      </w:r>
      <w:r w:rsidRPr="00461D74">
        <w:rPr>
          <w:rFonts w:ascii="Garamond" w:hAnsi="Garamond"/>
          <w:sz w:val="24"/>
          <w:szCs w:val="24"/>
        </w:rPr>
        <w:t xml:space="preserve">it denies a fundamental understanding of how science works in practice, by failing to </w:t>
      </w:r>
      <w:r w:rsidR="00191701">
        <w:rPr>
          <w:rFonts w:ascii="Garamond" w:hAnsi="Garamond"/>
          <w:sz w:val="24"/>
          <w:szCs w:val="24"/>
        </w:rPr>
        <w:t>fully appreciate</w:t>
      </w:r>
      <w:r w:rsidR="00191701" w:rsidRPr="00461D74">
        <w:rPr>
          <w:rFonts w:ascii="Garamond" w:hAnsi="Garamond"/>
          <w:sz w:val="24"/>
          <w:szCs w:val="24"/>
        </w:rPr>
        <w:t xml:space="preserve"> </w:t>
      </w:r>
      <w:r w:rsidRPr="00461D74">
        <w:rPr>
          <w:rFonts w:ascii="Garamond" w:hAnsi="Garamond"/>
          <w:sz w:val="24"/>
          <w:szCs w:val="24"/>
        </w:rPr>
        <w:t>the</w:t>
      </w:r>
      <w:r w:rsidR="00191701">
        <w:rPr>
          <w:rFonts w:ascii="Garamond" w:hAnsi="Garamond"/>
          <w:sz w:val="24"/>
          <w:szCs w:val="24"/>
        </w:rPr>
        <w:t xml:space="preserve"> way in which</w:t>
      </w:r>
      <w:r w:rsidRPr="00461D74">
        <w:rPr>
          <w:rFonts w:ascii="Garamond" w:hAnsi="Garamond"/>
          <w:sz w:val="24"/>
          <w:szCs w:val="24"/>
        </w:rPr>
        <w:t xml:space="preserve"> epistemic values </w:t>
      </w:r>
      <w:r w:rsidR="00191701">
        <w:rPr>
          <w:rFonts w:ascii="Garamond" w:hAnsi="Garamond"/>
          <w:sz w:val="24"/>
          <w:szCs w:val="24"/>
        </w:rPr>
        <w:t>underwrite</w:t>
      </w:r>
      <w:r w:rsidRPr="00461D74">
        <w:rPr>
          <w:rFonts w:ascii="Garamond" w:hAnsi="Garamond"/>
          <w:sz w:val="24"/>
          <w:szCs w:val="24"/>
        </w:rPr>
        <w:t xml:space="preserve"> scientific inquiry. Nonetheless, Putnam argues that on the pragmatist view, </w:t>
      </w:r>
      <w:r w:rsidR="00182203" w:rsidRPr="00461D74">
        <w:rPr>
          <w:rFonts w:ascii="Garamond" w:hAnsi="Garamond"/>
          <w:sz w:val="24"/>
          <w:szCs w:val="24"/>
        </w:rPr>
        <w:t xml:space="preserve">such as that </w:t>
      </w:r>
      <w:r w:rsidRPr="00461D74">
        <w:rPr>
          <w:rFonts w:ascii="Garamond" w:hAnsi="Garamond"/>
          <w:sz w:val="24"/>
          <w:szCs w:val="24"/>
        </w:rPr>
        <w:t>of Dewey, Peirce, and James, value and normativity are a constitutive part of all experience, including scientific practice.</w:t>
      </w:r>
      <w:r w:rsidRPr="00461D74">
        <w:rPr>
          <w:rStyle w:val="FootnoteReference"/>
          <w:rFonts w:ascii="Garamond" w:hAnsi="Garamond"/>
          <w:sz w:val="24"/>
          <w:szCs w:val="24"/>
        </w:rPr>
        <w:footnoteReference w:id="280"/>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Putnam then argues that the grounds for a strong </w:t>
      </w:r>
      <w:r w:rsidR="00456918" w:rsidRPr="00461D74">
        <w:rPr>
          <w:rFonts w:ascii="Garamond" w:hAnsi="Garamond"/>
          <w:sz w:val="24"/>
          <w:szCs w:val="24"/>
        </w:rPr>
        <w:t>‘fact/value’</w:t>
      </w:r>
      <w:r w:rsidRPr="00461D74">
        <w:rPr>
          <w:rFonts w:ascii="Garamond" w:hAnsi="Garamond"/>
          <w:sz w:val="24"/>
          <w:szCs w:val="24"/>
        </w:rPr>
        <w:t xml:space="preserve"> distinction is in the process </w:t>
      </w:r>
      <w:r w:rsidR="00B83142">
        <w:rPr>
          <w:rFonts w:ascii="Garamond" w:hAnsi="Garamond"/>
          <w:sz w:val="24"/>
          <w:szCs w:val="24"/>
        </w:rPr>
        <w:t>diluted</w:t>
      </w:r>
      <w:r w:rsidRPr="00461D74">
        <w:rPr>
          <w:rFonts w:ascii="Garamond" w:hAnsi="Garamond"/>
          <w:sz w:val="24"/>
          <w:szCs w:val="24"/>
        </w:rPr>
        <w:t xml:space="preserve">, not only </w:t>
      </w:r>
      <w:r w:rsidR="00B83142">
        <w:rPr>
          <w:rFonts w:ascii="Garamond" w:hAnsi="Garamond"/>
          <w:sz w:val="24"/>
          <w:szCs w:val="24"/>
        </w:rPr>
        <w:t>on account of</w:t>
      </w:r>
      <w:r w:rsidR="00B83142" w:rsidRPr="00461D74">
        <w:rPr>
          <w:rFonts w:ascii="Garamond" w:hAnsi="Garamond"/>
          <w:sz w:val="24"/>
          <w:szCs w:val="24"/>
        </w:rPr>
        <w:t xml:space="preserve"> </w:t>
      </w:r>
      <w:r w:rsidRPr="00461D74">
        <w:rPr>
          <w:rFonts w:ascii="Garamond" w:hAnsi="Garamond"/>
          <w:sz w:val="24"/>
          <w:szCs w:val="24"/>
        </w:rPr>
        <w:t xml:space="preserve">the </w:t>
      </w:r>
      <w:r w:rsidR="00B83142">
        <w:rPr>
          <w:rFonts w:ascii="Garamond" w:hAnsi="Garamond"/>
          <w:sz w:val="24"/>
          <w:szCs w:val="24"/>
        </w:rPr>
        <w:t xml:space="preserve">demise of the </w:t>
      </w:r>
      <w:r w:rsidR="00130D3C" w:rsidRPr="00461D74">
        <w:rPr>
          <w:rFonts w:ascii="Garamond" w:hAnsi="Garamond"/>
          <w:sz w:val="24"/>
          <w:szCs w:val="24"/>
        </w:rPr>
        <w:t>‘</w:t>
      </w:r>
      <w:r w:rsidRPr="00461D74">
        <w:rPr>
          <w:rFonts w:ascii="Garamond" w:hAnsi="Garamond"/>
          <w:sz w:val="24"/>
          <w:szCs w:val="24"/>
        </w:rPr>
        <w:t>synthetic</w:t>
      </w:r>
      <w:r w:rsidR="00182203" w:rsidRPr="00461D74">
        <w:rPr>
          <w:rFonts w:ascii="Garamond" w:hAnsi="Garamond"/>
          <w:sz w:val="24"/>
          <w:szCs w:val="24"/>
        </w:rPr>
        <w:t>/</w:t>
      </w:r>
      <w:r w:rsidRPr="00461D74">
        <w:rPr>
          <w:rFonts w:ascii="Garamond" w:hAnsi="Garamond"/>
          <w:sz w:val="24"/>
          <w:szCs w:val="24"/>
        </w:rPr>
        <w:t>analytic</w:t>
      </w:r>
      <w:r w:rsidR="00130D3C" w:rsidRPr="00461D74">
        <w:rPr>
          <w:rFonts w:ascii="Garamond" w:hAnsi="Garamond"/>
          <w:sz w:val="24"/>
          <w:szCs w:val="24"/>
        </w:rPr>
        <w:t>’</w:t>
      </w:r>
      <w:r w:rsidR="00182203" w:rsidRPr="00461D74">
        <w:rPr>
          <w:rFonts w:ascii="Garamond" w:hAnsi="Garamond"/>
          <w:sz w:val="24"/>
          <w:szCs w:val="24"/>
        </w:rPr>
        <w:t xml:space="preserve"> distinction</w:t>
      </w:r>
      <w:r w:rsidRPr="00461D74">
        <w:rPr>
          <w:rFonts w:ascii="Garamond" w:hAnsi="Garamond"/>
          <w:sz w:val="24"/>
          <w:szCs w:val="24"/>
        </w:rPr>
        <w:t xml:space="preserve"> </w:t>
      </w:r>
      <w:r w:rsidR="00B83142" w:rsidRPr="00461D74">
        <w:rPr>
          <w:rFonts w:ascii="Garamond" w:hAnsi="Garamond"/>
          <w:sz w:val="24"/>
          <w:szCs w:val="24"/>
        </w:rPr>
        <w:t xml:space="preserve">– </w:t>
      </w:r>
      <w:r w:rsidR="00B83142">
        <w:rPr>
          <w:rFonts w:ascii="Garamond" w:hAnsi="Garamond"/>
          <w:sz w:val="24"/>
          <w:szCs w:val="24"/>
        </w:rPr>
        <w:t>owing to the</w:t>
      </w:r>
      <w:r w:rsidR="00B83142" w:rsidRPr="00461D74">
        <w:rPr>
          <w:rFonts w:ascii="Garamond" w:hAnsi="Garamond"/>
          <w:sz w:val="24"/>
          <w:szCs w:val="24"/>
        </w:rPr>
        <w:t xml:space="preserve"> entanglement between fact and convention – </w:t>
      </w:r>
      <w:r w:rsidRPr="00461D74">
        <w:rPr>
          <w:rFonts w:ascii="Garamond" w:hAnsi="Garamond"/>
          <w:sz w:val="24"/>
          <w:szCs w:val="24"/>
        </w:rPr>
        <w:t xml:space="preserve">which </w:t>
      </w:r>
      <w:r w:rsidRPr="00461D74">
        <w:rPr>
          <w:rFonts w:ascii="Garamond" w:hAnsi="Garamond"/>
          <w:sz w:val="24"/>
          <w:szCs w:val="24"/>
        </w:rPr>
        <w:lastRenderedPageBreak/>
        <w:t xml:space="preserve">supported and reinforced the </w:t>
      </w:r>
      <w:r w:rsidR="00B83142">
        <w:rPr>
          <w:rFonts w:ascii="Garamond" w:hAnsi="Garamond"/>
          <w:sz w:val="24"/>
          <w:szCs w:val="24"/>
        </w:rPr>
        <w:t xml:space="preserve">distinction between </w:t>
      </w:r>
      <w:r w:rsidR="00CB16DF" w:rsidRPr="00461D74">
        <w:rPr>
          <w:rFonts w:ascii="Garamond" w:hAnsi="Garamond"/>
          <w:sz w:val="24"/>
          <w:szCs w:val="24"/>
        </w:rPr>
        <w:t>‘</w:t>
      </w:r>
      <w:r w:rsidRPr="00461D74">
        <w:rPr>
          <w:rFonts w:ascii="Garamond" w:hAnsi="Garamond"/>
          <w:sz w:val="24"/>
          <w:szCs w:val="24"/>
        </w:rPr>
        <w:t>fact/value</w:t>
      </w:r>
      <w:r w:rsidR="00B83142">
        <w:rPr>
          <w:rFonts w:ascii="Garamond" w:hAnsi="Garamond"/>
          <w:sz w:val="24"/>
          <w:szCs w:val="24"/>
        </w:rPr>
        <w:t>,</w:t>
      </w:r>
      <w:r w:rsidR="00CB16DF" w:rsidRPr="00461D74">
        <w:rPr>
          <w:rFonts w:ascii="Garamond" w:hAnsi="Garamond"/>
          <w:sz w:val="24"/>
          <w:szCs w:val="24"/>
        </w:rPr>
        <w:t>’</w:t>
      </w:r>
      <w:r w:rsidRPr="00461D74">
        <w:rPr>
          <w:rFonts w:ascii="Garamond" w:hAnsi="Garamond"/>
          <w:sz w:val="24"/>
          <w:szCs w:val="24"/>
        </w:rPr>
        <w:t xml:space="preserve"> but also because in our everyday use</w:t>
      </w:r>
      <w:r w:rsidR="005A5D02">
        <w:rPr>
          <w:rFonts w:ascii="Garamond" w:hAnsi="Garamond"/>
          <w:sz w:val="24"/>
          <w:szCs w:val="24"/>
        </w:rPr>
        <w:t>,</w:t>
      </w:r>
      <w:r w:rsidRPr="00461D74">
        <w:rPr>
          <w:rFonts w:ascii="Garamond" w:hAnsi="Garamond"/>
          <w:sz w:val="24"/>
          <w:szCs w:val="24"/>
        </w:rPr>
        <w:t xml:space="preserve"> and </w:t>
      </w:r>
      <w:r w:rsidR="005A5D02">
        <w:rPr>
          <w:rFonts w:ascii="Garamond" w:hAnsi="Garamond"/>
          <w:sz w:val="24"/>
          <w:szCs w:val="24"/>
        </w:rPr>
        <w:t>more in</w:t>
      </w:r>
      <w:r w:rsidR="00C9182F">
        <w:rPr>
          <w:rFonts w:ascii="Garamond" w:hAnsi="Garamond"/>
          <w:sz w:val="24"/>
          <w:szCs w:val="24"/>
        </w:rPr>
        <w:t xml:space="preserve"> </w:t>
      </w:r>
      <w:r w:rsidR="005A5D02">
        <w:rPr>
          <w:rFonts w:ascii="Garamond" w:hAnsi="Garamond"/>
          <w:sz w:val="24"/>
          <w:szCs w:val="24"/>
        </w:rPr>
        <w:t>depth consideration,</w:t>
      </w:r>
      <w:r w:rsidR="005A5D02" w:rsidRPr="00461D74">
        <w:rPr>
          <w:rFonts w:ascii="Garamond" w:hAnsi="Garamond"/>
          <w:sz w:val="24"/>
          <w:szCs w:val="24"/>
        </w:rPr>
        <w:t xml:space="preserve"> </w:t>
      </w:r>
      <w:r w:rsidRPr="00461D74">
        <w:rPr>
          <w:rFonts w:ascii="Garamond" w:hAnsi="Garamond"/>
          <w:sz w:val="24"/>
          <w:szCs w:val="24"/>
        </w:rPr>
        <w:t>of ordinary language</w:t>
      </w:r>
      <w:r w:rsidR="005A5D02">
        <w:rPr>
          <w:rFonts w:ascii="Garamond" w:hAnsi="Garamond"/>
          <w:sz w:val="24"/>
          <w:szCs w:val="24"/>
        </w:rPr>
        <w:t xml:space="preserve"> terms</w:t>
      </w:r>
      <w:r w:rsidRPr="00461D74">
        <w:rPr>
          <w:rFonts w:ascii="Garamond" w:hAnsi="Garamond"/>
          <w:sz w:val="24"/>
          <w:szCs w:val="24"/>
        </w:rPr>
        <w:t xml:space="preserve">, it </w:t>
      </w:r>
      <w:r w:rsidR="005A5D02">
        <w:rPr>
          <w:rFonts w:ascii="Garamond" w:hAnsi="Garamond"/>
          <w:sz w:val="24"/>
          <w:szCs w:val="24"/>
        </w:rPr>
        <w:t>becomes</w:t>
      </w:r>
      <w:r w:rsidR="005A5D02" w:rsidRPr="00461D74">
        <w:rPr>
          <w:rFonts w:ascii="Garamond" w:hAnsi="Garamond"/>
          <w:sz w:val="24"/>
          <w:szCs w:val="24"/>
        </w:rPr>
        <w:t xml:space="preserve"> </w:t>
      </w:r>
      <w:r w:rsidRPr="00461D74">
        <w:rPr>
          <w:rFonts w:ascii="Garamond" w:hAnsi="Garamond"/>
          <w:sz w:val="24"/>
          <w:szCs w:val="24"/>
        </w:rPr>
        <w:t xml:space="preserve">quite </w:t>
      </w:r>
      <w:r w:rsidR="005A5D02">
        <w:rPr>
          <w:rFonts w:ascii="Garamond" w:hAnsi="Garamond"/>
          <w:sz w:val="24"/>
          <w:szCs w:val="24"/>
        </w:rPr>
        <w:t>obvious</w:t>
      </w:r>
      <w:r w:rsidR="005A5D02" w:rsidRPr="00461D74">
        <w:rPr>
          <w:rFonts w:ascii="Garamond" w:hAnsi="Garamond"/>
          <w:sz w:val="24"/>
          <w:szCs w:val="24"/>
        </w:rPr>
        <w:t xml:space="preserve"> </w:t>
      </w:r>
      <w:r w:rsidRPr="00461D74">
        <w:rPr>
          <w:rFonts w:ascii="Garamond" w:hAnsi="Garamond"/>
          <w:sz w:val="24"/>
          <w:szCs w:val="24"/>
        </w:rPr>
        <w:t xml:space="preserve">that descriptive and evaluative terms are often entangled. Putnam considers </w:t>
      </w:r>
      <w:r w:rsidR="005A5D02">
        <w:rPr>
          <w:rFonts w:ascii="Garamond" w:hAnsi="Garamond"/>
          <w:sz w:val="24"/>
          <w:szCs w:val="24"/>
        </w:rPr>
        <w:t xml:space="preserve">the term </w:t>
      </w:r>
      <w:r w:rsidRPr="00461D74">
        <w:rPr>
          <w:rFonts w:ascii="Garamond" w:hAnsi="Garamond"/>
          <w:sz w:val="24"/>
          <w:szCs w:val="24"/>
        </w:rPr>
        <w:t>‘cruel</w:t>
      </w:r>
      <w:r w:rsidR="005A5D02">
        <w:rPr>
          <w:rFonts w:ascii="Garamond" w:hAnsi="Garamond"/>
          <w:sz w:val="24"/>
          <w:szCs w:val="24"/>
        </w:rPr>
        <w:t>,</w:t>
      </w:r>
      <w:r w:rsidRPr="00461D74">
        <w:rPr>
          <w:rFonts w:ascii="Garamond" w:hAnsi="Garamond"/>
          <w:sz w:val="24"/>
          <w:szCs w:val="24"/>
        </w:rPr>
        <w:t>’</w:t>
      </w:r>
      <w:r w:rsidR="005A5D02">
        <w:rPr>
          <w:rFonts w:ascii="Garamond" w:hAnsi="Garamond"/>
          <w:sz w:val="24"/>
          <w:szCs w:val="24"/>
        </w:rPr>
        <w:t xml:space="preserve"> and</w:t>
      </w:r>
      <w:r w:rsidRPr="00461D74">
        <w:rPr>
          <w:rFonts w:ascii="Garamond" w:hAnsi="Garamond"/>
          <w:sz w:val="24"/>
          <w:szCs w:val="24"/>
        </w:rPr>
        <w:t xml:space="preserve"> argues that </w:t>
      </w:r>
      <w:r w:rsidR="005A5D02">
        <w:rPr>
          <w:rFonts w:ascii="Garamond" w:hAnsi="Garamond"/>
          <w:sz w:val="24"/>
          <w:szCs w:val="24"/>
        </w:rPr>
        <w:t>this</w:t>
      </w:r>
      <w:r w:rsidR="005A5D02" w:rsidRPr="00461D74">
        <w:rPr>
          <w:rFonts w:ascii="Garamond" w:hAnsi="Garamond"/>
          <w:sz w:val="24"/>
          <w:szCs w:val="24"/>
        </w:rPr>
        <w:t xml:space="preserve"> </w:t>
      </w:r>
      <w:r w:rsidRPr="00461D74">
        <w:rPr>
          <w:rFonts w:ascii="Garamond" w:hAnsi="Garamond"/>
          <w:sz w:val="24"/>
          <w:szCs w:val="24"/>
        </w:rPr>
        <w:t xml:space="preserve">term and other less abstract </w:t>
      </w:r>
      <w:r w:rsidR="005A5D02">
        <w:rPr>
          <w:rFonts w:ascii="Garamond" w:hAnsi="Garamond"/>
          <w:sz w:val="24"/>
          <w:szCs w:val="24"/>
        </w:rPr>
        <w:t>(</w:t>
      </w:r>
      <w:r w:rsidRPr="00461D74">
        <w:rPr>
          <w:rFonts w:ascii="Garamond" w:hAnsi="Garamond"/>
          <w:sz w:val="24"/>
          <w:szCs w:val="24"/>
        </w:rPr>
        <w:t>ethical</w:t>
      </w:r>
      <w:r w:rsidR="005A5D02">
        <w:rPr>
          <w:rFonts w:ascii="Garamond" w:hAnsi="Garamond"/>
          <w:sz w:val="24"/>
          <w:szCs w:val="24"/>
        </w:rPr>
        <w:t>)</w:t>
      </w:r>
      <w:r w:rsidRPr="00461D74">
        <w:rPr>
          <w:rFonts w:ascii="Garamond" w:hAnsi="Garamond"/>
          <w:sz w:val="24"/>
          <w:szCs w:val="24"/>
        </w:rPr>
        <w:t xml:space="preserve"> terms – often referred to by philosophers as ‘thick ethical concepts’ – are entangled</w:t>
      </w:r>
      <w:r w:rsidR="005A5D02">
        <w:rPr>
          <w:rFonts w:ascii="Garamond" w:hAnsi="Garamond"/>
          <w:sz w:val="24"/>
          <w:szCs w:val="24"/>
        </w:rPr>
        <w:t>;</w:t>
      </w:r>
      <w:r w:rsidRPr="00461D74">
        <w:rPr>
          <w:rFonts w:ascii="Garamond" w:hAnsi="Garamond"/>
          <w:sz w:val="24"/>
          <w:szCs w:val="24"/>
        </w:rPr>
        <w:t xml:space="preserve"> and </w:t>
      </w:r>
      <w:r w:rsidR="005A5D02">
        <w:rPr>
          <w:rFonts w:ascii="Garamond" w:hAnsi="Garamond"/>
          <w:sz w:val="24"/>
          <w:szCs w:val="24"/>
        </w:rPr>
        <w:t xml:space="preserve">that </w:t>
      </w:r>
      <w:r w:rsidRPr="00461D74">
        <w:rPr>
          <w:rFonts w:ascii="Garamond" w:hAnsi="Garamond"/>
          <w:sz w:val="24"/>
          <w:szCs w:val="24"/>
        </w:rPr>
        <w:t xml:space="preserve">there isn’t really a </w:t>
      </w:r>
      <w:r w:rsidR="005A5D02">
        <w:rPr>
          <w:rFonts w:ascii="Garamond" w:hAnsi="Garamond"/>
          <w:sz w:val="24"/>
          <w:szCs w:val="24"/>
        </w:rPr>
        <w:t xml:space="preserve">satisfactory </w:t>
      </w:r>
      <w:r w:rsidRPr="00461D74">
        <w:rPr>
          <w:rFonts w:ascii="Garamond" w:hAnsi="Garamond"/>
          <w:sz w:val="24"/>
          <w:szCs w:val="24"/>
        </w:rPr>
        <w:t xml:space="preserve">way </w:t>
      </w:r>
      <w:r w:rsidR="005A5D02">
        <w:rPr>
          <w:rFonts w:ascii="Garamond" w:hAnsi="Garamond"/>
          <w:sz w:val="24"/>
          <w:szCs w:val="24"/>
        </w:rPr>
        <w:t>of</w:t>
      </w:r>
      <w:r w:rsidRPr="00461D74">
        <w:rPr>
          <w:rFonts w:ascii="Garamond" w:hAnsi="Garamond"/>
          <w:sz w:val="24"/>
          <w:szCs w:val="24"/>
        </w:rPr>
        <w:t xml:space="preserve"> disentangl</w:t>
      </w:r>
      <w:r w:rsidR="005A5D02">
        <w:rPr>
          <w:rFonts w:ascii="Garamond" w:hAnsi="Garamond"/>
          <w:sz w:val="24"/>
          <w:szCs w:val="24"/>
        </w:rPr>
        <w:t>ing</w:t>
      </w:r>
      <w:r w:rsidRPr="00461D74">
        <w:rPr>
          <w:rFonts w:ascii="Garamond" w:hAnsi="Garamond"/>
          <w:sz w:val="24"/>
          <w:szCs w:val="24"/>
        </w:rPr>
        <w:t xml:space="preserve"> them. </w:t>
      </w:r>
      <w:r w:rsidR="005A5D02">
        <w:rPr>
          <w:rFonts w:ascii="Garamond" w:hAnsi="Garamond"/>
          <w:sz w:val="24"/>
          <w:szCs w:val="24"/>
        </w:rPr>
        <w:t xml:space="preserve">Now, </w:t>
      </w:r>
      <w:r w:rsidRPr="00461D74">
        <w:rPr>
          <w:rFonts w:ascii="Garamond" w:hAnsi="Garamond"/>
          <w:sz w:val="24"/>
          <w:szCs w:val="24"/>
        </w:rPr>
        <w:t>‘</w:t>
      </w:r>
      <w:r w:rsidR="00C9182F">
        <w:rPr>
          <w:rFonts w:ascii="Garamond" w:hAnsi="Garamond"/>
          <w:sz w:val="24"/>
          <w:szCs w:val="24"/>
        </w:rPr>
        <w:t>c</w:t>
      </w:r>
      <w:r w:rsidRPr="00461D74">
        <w:rPr>
          <w:rFonts w:ascii="Garamond" w:hAnsi="Garamond"/>
          <w:sz w:val="24"/>
          <w:szCs w:val="24"/>
        </w:rPr>
        <w:t>ruel’ is both a descriptive and an evaluative term.</w:t>
      </w:r>
      <w:r w:rsidRPr="00461D74">
        <w:rPr>
          <w:rStyle w:val="FootnoteReference"/>
          <w:rFonts w:ascii="Garamond" w:hAnsi="Garamond"/>
          <w:sz w:val="24"/>
          <w:szCs w:val="24"/>
        </w:rPr>
        <w:footnoteReference w:id="281"/>
      </w:r>
      <w:r w:rsidRPr="00461D74">
        <w:rPr>
          <w:rFonts w:ascii="Garamond" w:hAnsi="Garamond"/>
          <w:sz w:val="24"/>
          <w:szCs w:val="24"/>
        </w:rPr>
        <w:t xml:space="preserve"> For example, with respect to the ethical or normative use of cruel, I cannot say that X is a very cruel woman and that she is good woman, and simultaneously remain coherent. If X turns out to very cruel it means that X cannot be a good person. However, the term cruel has clear descriptive uses as well. For example, when a scholar of history says that “X’s short rule was mired by widespread cruelty, which generated a popular rebellion against X’s rule,” she is providing a description of some historical event, and possible causes </w:t>
      </w:r>
      <w:r w:rsidR="005A5D02">
        <w:rPr>
          <w:rFonts w:ascii="Garamond" w:hAnsi="Garamond"/>
          <w:sz w:val="24"/>
          <w:szCs w:val="24"/>
        </w:rPr>
        <w:t>that forms the explanatory basis for the</w:t>
      </w:r>
      <w:r w:rsidRPr="00461D74">
        <w:rPr>
          <w:rFonts w:ascii="Garamond" w:hAnsi="Garamond"/>
          <w:sz w:val="24"/>
          <w:szCs w:val="24"/>
        </w:rPr>
        <w:t xml:space="preserve"> particular turn of events.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Of course, Putnam concedes that the phenomenon of entanglement, which he is considering with respect to the term cruel, has been pointed out earlier by other critics of the </w:t>
      </w:r>
      <w:r w:rsidR="00456918" w:rsidRPr="00461D74">
        <w:rPr>
          <w:rFonts w:ascii="Garamond" w:hAnsi="Garamond"/>
          <w:sz w:val="24"/>
          <w:szCs w:val="24"/>
        </w:rPr>
        <w:t>‘fact/value’</w:t>
      </w:r>
      <w:r w:rsidRPr="00461D74">
        <w:rPr>
          <w:rFonts w:ascii="Garamond" w:hAnsi="Garamond"/>
          <w:sz w:val="24"/>
          <w:szCs w:val="24"/>
        </w:rPr>
        <w:t xml:space="preserve"> dichotomy.</w:t>
      </w:r>
      <w:r w:rsidRPr="00461D74">
        <w:rPr>
          <w:rStyle w:val="FootnoteReference"/>
          <w:rFonts w:ascii="Garamond" w:hAnsi="Garamond"/>
          <w:sz w:val="24"/>
          <w:szCs w:val="24"/>
        </w:rPr>
        <w:footnoteReference w:id="282"/>
      </w:r>
      <w:r w:rsidRPr="00461D74">
        <w:rPr>
          <w:rFonts w:ascii="Garamond" w:hAnsi="Garamond"/>
          <w:sz w:val="24"/>
          <w:szCs w:val="24"/>
        </w:rPr>
        <w:t xml:space="preserve"> Yet, the most common objection various defenders of the strong </w:t>
      </w:r>
      <w:r w:rsidR="00456918" w:rsidRPr="00461D74">
        <w:rPr>
          <w:rFonts w:ascii="Garamond" w:hAnsi="Garamond"/>
          <w:sz w:val="24"/>
          <w:szCs w:val="24"/>
        </w:rPr>
        <w:t>‘fact/value’</w:t>
      </w:r>
      <w:r w:rsidRPr="00461D74">
        <w:rPr>
          <w:rFonts w:ascii="Garamond" w:hAnsi="Garamond"/>
          <w:sz w:val="24"/>
          <w:szCs w:val="24"/>
        </w:rPr>
        <w:t xml:space="preserve"> distinction have </w:t>
      </w:r>
      <w:r w:rsidR="009D380F">
        <w:rPr>
          <w:rFonts w:ascii="Garamond" w:hAnsi="Garamond"/>
          <w:sz w:val="24"/>
          <w:szCs w:val="24"/>
        </w:rPr>
        <w:t>advanced</w:t>
      </w:r>
      <w:r w:rsidRPr="00461D74">
        <w:rPr>
          <w:rFonts w:ascii="Garamond" w:hAnsi="Garamond"/>
          <w:sz w:val="24"/>
          <w:szCs w:val="24"/>
        </w:rPr>
        <w:t xml:space="preserve"> is that this is not really a case of entanglement</w:t>
      </w:r>
      <w:r w:rsidR="009D380F">
        <w:rPr>
          <w:rFonts w:ascii="Garamond" w:hAnsi="Garamond"/>
          <w:sz w:val="24"/>
          <w:szCs w:val="24"/>
        </w:rPr>
        <w:t xml:space="preserve"> since</w:t>
      </w:r>
      <w:r w:rsidRPr="00461D74">
        <w:rPr>
          <w:rFonts w:ascii="Garamond" w:hAnsi="Garamond"/>
          <w:sz w:val="24"/>
          <w:szCs w:val="24"/>
        </w:rPr>
        <w:t xml:space="preserve"> we can </w:t>
      </w:r>
      <w:r w:rsidR="009D380F">
        <w:rPr>
          <w:rFonts w:ascii="Garamond" w:hAnsi="Garamond"/>
          <w:sz w:val="24"/>
          <w:szCs w:val="24"/>
        </w:rPr>
        <w:t xml:space="preserve">simply </w:t>
      </w:r>
      <w:r w:rsidRPr="00461D74">
        <w:rPr>
          <w:rFonts w:ascii="Garamond" w:hAnsi="Garamond"/>
          <w:sz w:val="24"/>
          <w:szCs w:val="24"/>
        </w:rPr>
        <w:t xml:space="preserve">reduce or </w:t>
      </w:r>
      <w:r w:rsidR="009D380F">
        <w:rPr>
          <w:rFonts w:ascii="Garamond" w:hAnsi="Garamond"/>
          <w:sz w:val="24"/>
          <w:szCs w:val="24"/>
        </w:rPr>
        <w:t xml:space="preserve">otherwise </w:t>
      </w:r>
      <w:r w:rsidRPr="00461D74">
        <w:rPr>
          <w:rFonts w:ascii="Garamond" w:hAnsi="Garamond"/>
          <w:sz w:val="24"/>
          <w:szCs w:val="24"/>
        </w:rPr>
        <w:t xml:space="preserve">disentangle thick terms into descriptive and evaluative components. On this view, thick concepts can be factored into a purely descriptive </w:t>
      </w:r>
      <w:r w:rsidR="00A2225A">
        <w:rPr>
          <w:rFonts w:ascii="Garamond" w:hAnsi="Garamond"/>
          <w:sz w:val="24"/>
          <w:szCs w:val="24"/>
        </w:rPr>
        <w:t>as well as</w:t>
      </w:r>
      <w:r w:rsidR="00A2225A" w:rsidRPr="00461D74">
        <w:rPr>
          <w:rFonts w:ascii="Garamond" w:hAnsi="Garamond"/>
          <w:sz w:val="24"/>
          <w:szCs w:val="24"/>
        </w:rPr>
        <w:t xml:space="preserve"> </w:t>
      </w:r>
      <w:r w:rsidRPr="00461D74">
        <w:rPr>
          <w:rFonts w:ascii="Garamond" w:hAnsi="Garamond"/>
          <w:sz w:val="24"/>
          <w:szCs w:val="24"/>
        </w:rPr>
        <w:t xml:space="preserve">an attitudinal component. The descriptive component states the matter of fact that the predicate </w:t>
      </w:r>
      <w:r w:rsidRPr="00461D74">
        <w:rPr>
          <w:rFonts w:ascii="Garamond" w:hAnsi="Garamond"/>
          <w:sz w:val="24"/>
          <w:szCs w:val="24"/>
        </w:rPr>
        <w:lastRenderedPageBreak/>
        <w:t xml:space="preserve">corresponds to, and the attitudinal component expresses an “attitude” (an emotion or volition). </w:t>
      </w:r>
    </w:p>
    <w:p w:rsidR="00665157" w:rsidRDefault="00522798">
      <w:pPr>
        <w:spacing w:line="360" w:lineRule="auto"/>
        <w:ind w:firstLine="720"/>
        <w:jc w:val="both"/>
        <w:rPr>
          <w:rFonts w:ascii="Garamond" w:hAnsi="Garamond"/>
          <w:sz w:val="24"/>
          <w:szCs w:val="24"/>
        </w:rPr>
      </w:pPr>
      <w:r>
        <w:rPr>
          <w:rFonts w:ascii="Garamond" w:hAnsi="Garamond"/>
          <w:sz w:val="24"/>
          <w:szCs w:val="24"/>
        </w:rPr>
        <w:t xml:space="preserve">Putnam, nonetheless, </w:t>
      </w:r>
      <w:r w:rsidR="00016049" w:rsidRPr="00461D74">
        <w:rPr>
          <w:rFonts w:ascii="Garamond" w:hAnsi="Garamond"/>
          <w:sz w:val="24"/>
          <w:szCs w:val="24"/>
        </w:rPr>
        <w:t xml:space="preserve">argues that </w:t>
      </w:r>
      <w:r>
        <w:rPr>
          <w:rFonts w:ascii="Garamond" w:hAnsi="Garamond"/>
          <w:sz w:val="24"/>
          <w:szCs w:val="24"/>
        </w:rPr>
        <w:t>the locus</w:t>
      </w:r>
      <w:r w:rsidR="00016049" w:rsidRPr="00461D74">
        <w:rPr>
          <w:rFonts w:ascii="Garamond" w:hAnsi="Garamond"/>
          <w:sz w:val="24"/>
          <w:szCs w:val="24"/>
        </w:rPr>
        <w:t xml:space="preserve"> </w:t>
      </w:r>
      <w:r>
        <w:rPr>
          <w:rFonts w:ascii="Garamond" w:hAnsi="Garamond"/>
          <w:sz w:val="24"/>
          <w:szCs w:val="24"/>
        </w:rPr>
        <w:t xml:space="preserve">of </w:t>
      </w:r>
      <w:r w:rsidR="00016049" w:rsidRPr="00461D74">
        <w:rPr>
          <w:rFonts w:ascii="Garamond" w:hAnsi="Garamond"/>
          <w:sz w:val="24"/>
          <w:szCs w:val="24"/>
        </w:rPr>
        <w:t>entanglement between descriptive and evaluative components of thick concepts</w:t>
      </w:r>
      <w:r>
        <w:rPr>
          <w:rFonts w:ascii="Garamond" w:hAnsi="Garamond"/>
          <w:sz w:val="24"/>
          <w:szCs w:val="24"/>
        </w:rPr>
        <w:t xml:space="preserve"> </w:t>
      </w:r>
      <w:r w:rsidR="00C9182F">
        <w:rPr>
          <w:rFonts w:ascii="Garamond" w:hAnsi="Garamond"/>
          <w:sz w:val="24"/>
          <w:szCs w:val="24"/>
        </w:rPr>
        <w:t>cuts</w:t>
      </w:r>
      <w:r>
        <w:rPr>
          <w:rFonts w:ascii="Garamond" w:hAnsi="Garamond"/>
          <w:sz w:val="24"/>
          <w:szCs w:val="24"/>
        </w:rPr>
        <w:t xml:space="preserve"> deeper than what the supporters of the fact/value dichotomy have allowed</w:t>
      </w:r>
      <w:r w:rsidR="00016049" w:rsidRPr="00461D74">
        <w:rPr>
          <w:rFonts w:ascii="Garamond" w:hAnsi="Garamond"/>
          <w:sz w:val="24"/>
          <w:szCs w:val="24"/>
        </w:rPr>
        <w:t>. He</w:t>
      </w:r>
      <w:r>
        <w:rPr>
          <w:rFonts w:ascii="Garamond" w:hAnsi="Garamond"/>
          <w:sz w:val="24"/>
          <w:szCs w:val="24"/>
        </w:rPr>
        <w:t>re, he</w:t>
      </w:r>
      <w:r w:rsidR="00016049" w:rsidRPr="00461D74">
        <w:rPr>
          <w:rFonts w:ascii="Garamond" w:hAnsi="Garamond"/>
          <w:sz w:val="24"/>
          <w:szCs w:val="24"/>
        </w:rPr>
        <w:t xml:space="preserve"> claims that factoring doesn’t always work, because often we are unable to factor the descriptive aspect of the word ‘cruel</w:t>
      </w:r>
      <w:r w:rsidR="00A2225A">
        <w:rPr>
          <w:rFonts w:ascii="Garamond" w:hAnsi="Garamond"/>
          <w:sz w:val="24"/>
          <w:szCs w:val="24"/>
        </w:rPr>
        <w:t>,</w:t>
      </w:r>
      <w:r w:rsidR="00016049" w:rsidRPr="00461D74">
        <w:rPr>
          <w:rFonts w:ascii="Garamond" w:hAnsi="Garamond"/>
          <w:sz w:val="24"/>
          <w:szCs w:val="24"/>
        </w:rPr>
        <w:t xml:space="preserve">’ without using the word </w:t>
      </w:r>
      <w:r w:rsidR="00C9182F">
        <w:rPr>
          <w:rFonts w:ascii="Garamond" w:hAnsi="Garamond"/>
          <w:sz w:val="24"/>
          <w:szCs w:val="24"/>
        </w:rPr>
        <w:t>‘</w:t>
      </w:r>
      <w:r w:rsidR="00016049" w:rsidRPr="00461D74">
        <w:rPr>
          <w:rFonts w:ascii="Garamond" w:hAnsi="Garamond"/>
          <w:sz w:val="24"/>
          <w:szCs w:val="24"/>
        </w:rPr>
        <w:t>cruel</w:t>
      </w:r>
      <w:r w:rsidR="00C9182F">
        <w:rPr>
          <w:rFonts w:ascii="Garamond" w:hAnsi="Garamond"/>
          <w:sz w:val="24"/>
          <w:szCs w:val="24"/>
        </w:rPr>
        <w:t>’</w:t>
      </w:r>
      <w:r w:rsidR="00016049" w:rsidRPr="00461D74">
        <w:rPr>
          <w:rFonts w:ascii="Garamond" w:hAnsi="Garamond"/>
          <w:sz w:val="24"/>
          <w:szCs w:val="24"/>
        </w:rPr>
        <w:t xml:space="preserve"> or another </w:t>
      </w:r>
      <w:r w:rsidR="00A2225A">
        <w:rPr>
          <w:rFonts w:ascii="Garamond" w:hAnsi="Garamond"/>
          <w:sz w:val="24"/>
          <w:szCs w:val="24"/>
        </w:rPr>
        <w:t xml:space="preserve">of its </w:t>
      </w:r>
      <w:r w:rsidR="00016049" w:rsidRPr="00461D74">
        <w:rPr>
          <w:rFonts w:ascii="Garamond" w:hAnsi="Garamond"/>
          <w:sz w:val="24"/>
          <w:szCs w:val="24"/>
        </w:rPr>
        <w:t>synonym</w:t>
      </w:r>
      <w:r w:rsidR="00A2225A">
        <w:rPr>
          <w:rFonts w:ascii="Garamond" w:hAnsi="Garamond"/>
          <w:sz w:val="24"/>
          <w:szCs w:val="24"/>
        </w:rPr>
        <w:t>s</w:t>
      </w:r>
      <w:r w:rsidR="00016049" w:rsidRPr="00461D74">
        <w:rPr>
          <w:rFonts w:ascii="Garamond" w:hAnsi="Garamond"/>
          <w:sz w:val="24"/>
          <w:szCs w:val="24"/>
        </w:rPr>
        <w:t xml:space="preserve">. Using the original term would leave the term </w:t>
      </w:r>
      <w:r w:rsidR="00C9182F">
        <w:rPr>
          <w:rFonts w:ascii="Garamond" w:hAnsi="Garamond"/>
          <w:sz w:val="24"/>
          <w:szCs w:val="24"/>
        </w:rPr>
        <w:t>‘</w:t>
      </w:r>
      <w:r w:rsidR="00016049" w:rsidRPr="00461D74">
        <w:rPr>
          <w:rFonts w:ascii="Garamond" w:hAnsi="Garamond"/>
          <w:sz w:val="24"/>
          <w:szCs w:val="24"/>
        </w:rPr>
        <w:t>cruel</w:t>
      </w:r>
      <w:r w:rsidR="00C9182F">
        <w:rPr>
          <w:rFonts w:ascii="Garamond" w:hAnsi="Garamond"/>
          <w:sz w:val="24"/>
          <w:szCs w:val="24"/>
        </w:rPr>
        <w:t>’</w:t>
      </w:r>
      <w:r w:rsidR="00016049" w:rsidRPr="00461D74">
        <w:rPr>
          <w:rFonts w:ascii="Garamond" w:hAnsi="Garamond"/>
          <w:sz w:val="24"/>
          <w:szCs w:val="24"/>
        </w:rPr>
        <w:t xml:space="preserve"> entangled, and using a synonym would just kick the problem up one level (the synonym for </w:t>
      </w:r>
      <w:r w:rsidR="00C9182F">
        <w:rPr>
          <w:rFonts w:ascii="Garamond" w:hAnsi="Garamond"/>
          <w:sz w:val="24"/>
          <w:szCs w:val="24"/>
        </w:rPr>
        <w:t>‘</w:t>
      </w:r>
      <w:r w:rsidR="00016049" w:rsidRPr="00461D74">
        <w:rPr>
          <w:rFonts w:ascii="Garamond" w:hAnsi="Garamond"/>
          <w:sz w:val="24"/>
          <w:szCs w:val="24"/>
        </w:rPr>
        <w:t>cruel</w:t>
      </w:r>
      <w:r w:rsidR="00C9182F">
        <w:rPr>
          <w:rFonts w:ascii="Garamond" w:hAnsi="Garamond"/>
          <w:sz w:val="24"/>
          <w:szCs w:val="24"/>
        </w:rPr>
        <w:t>’</w:t>
      </w:r>
      <w:r w:rsidR="00016049" w:rsidRPr="00461D74">
        <w:rPr>
          <w:rFonts w:ascii="Garamond" w:hAnsi="Garamond"/>
          <w:sz w:val="24"/>
          <w:szCs w:val="24"/>
        </w:rPr>
        <w:t xml:space="preserve"> would now have to be disentangled using another synonym). The issue for us is that when we use a thick term like </w:t>
      </w:r>
      <w:r w:rsidR="00182203" w:rsidRPr="00461D74">
        <w:rPr>
          <w:rFonts w:ascii="Garamond" w:hAnsi="Garamond"/>
          <w:sz w:val="24"/>
          <w:szCs w:val="24"/>
        </w:rPr>
        <w:t>‘</w:t>
      </w:r>
      <w:r w:rsidR="00016049" w:rsidRPr="00461D74">
        <w:rPr>
          <w:rFonts w:ascii="Garamond" w:hAnsi="Garamond"/>
          <w:sz w:val="24"/>
          <w:szCs w:val="24"/>
        </w:rPr>
        <w:t>cruel</w:t>
      </w:r>
      <w:r w:rsidR="00A2225A">
        <w:rPr>
          <w:rFonts w:ascii="Garamond" w:hAnsi="Garamond"/>
          <w:sz w:val="24"/>
          <w:szCs w:val="24"/>
        </w:rPr>
        <w:t>,</w:t>
      </w:r>
      <w:r w:rsidR="00182203" w:rsidRPr="00461D74">
        <w:rPr>
          <w:rFonts w:ascii="Garamond" w:hAnsi="Garamond"/>
          <w:sz w:val="24"/>
          <w:szCs w:val="24"/>
        </w:rPr>
        <w:t>’</w:t>
      </w:r>
      <w:r w:rsidR="00016049" w:rsidRPr="00461D74">
        <w:rPr>
          <w:rFonts w:ascii="Garamond" w:hAnsi="Garamond"/>
          <w:sz w:val="24"/>
          <w:szCs w:val="24"/>
        </w:rPr>
        <w:t xml:space="preserve"> in order </w:t>
      </w:r>
      <w:r w:rsidR="00A2225A">
        <w:rPr>
          <w:rFonts w:ascii="Garamond" w:hAnsi="Garamond"/>
          <w:sz w:val="24"/>
          <w:szCs w:val="24"/>
        </w:rPr>
        <w:t xml:space="preserve">that we can continue </w:t>
      </w:r>
      <w:r w:rsidR="00016049" w:rsidRPr="00461D74">
        <w:rPr>
          <w:rFonts w:ascii="Garamond" w:hAnsi="Garamond"/>
          <w:sz w:val="24"/>
          <w:szCs w:val="24"/>
        </w:rPr>
        <w:t xml:space="preserve">to make sense of the term and retain </w:t>
      </w:r>
      <w:r w:rsidR="00A2225A">
        <w:rPr>
          <w:rFonts w:ascii="Garamond" w:hAnsi="Garamond"/>
          <w:sz w:val="24"/>
          <w:szCs w:val="24"/>
        </w:rPr>
        <w:t>its</w:t>
      </w:r>
      <w:r w:rsidR="00A2225A" w:rsidRPr="00461D74">
        <w:rPr>
          <w:rFonts w:ascii="Garamond" w:hAnsi="Garamond"/>
          <w:sz w:val="24"/>
          <w:szCs w:val="24"/>
        </w:rPr>
        <w:t xml:space="preserve"> </w:t>
      </w:r>
      <w:r w:rsidR="00016049" w:rsidRPr="00461D74">
        <w:rPr>
          <w:rFonts w:ascii="Garamond" w:hAnsi="Garamond"/>
          <w:sz w:val="24"/>
          <w:szCs w:val="24"/>
        </w:rPr>
        <w:t xml:space="preserve">semantic </w:t>
      </w:r>
      <w:r w:rsidR="00A02B14">
        <w:rPr>
          <w:rFonts w:ascii="Garamond" w:hAnsi="Garamond"/>
          <w:sz w:val="24"/>
          <w:szCs w:val="24"/>
        </w:rPr>
        <w:t>content</w:t>
      </w:r>
      <w:r w:rsidR="00016049" w:rsidRPr="00461D74">
        <w:rPr>
          <w:rFonts w:ascii="Garamond" w:hAnsi="Garamond"/>
          <w:sz w:val="24"/>
          <w:szCs w:val="24"/>
        </w:rPr>
        <w:t xml:space="preserve">, we </w:t>
      </w:r>
      <w:r w:rsidR="002D48E7">
        <w:rPr>
          <w:rFonts w:ascii="Garamond" w:hAnsi="Garamond"/>
          <w:sz w:val="24"/>
          <w:szCs w:val="24"/>
        </w:rPr>
        <w:t>are pressed</w:t>
      </w:r>
      <w:r w:rsidR="00016049" w:rsidRPr="00461D74">
        <w:rPr>
          <w:rFonts w:ascii="Garamond" w:hAnsi="Garamond"/>
          <w:sz w:val="24"/>
          <w:szCs w:val="24"/>
        </w:rPr>
        <w:t xml:space="preserve"> to identify imaginatively with a particular evaluative point of view. Putnam </w:t>
      </w:r>
      <w:r w:rsidR="00A2225A">
        <w:rPr>
          <w:rFonts w:ascii="Garamond" w:hAnsi="Garamond"/>
          <w:sz w:val="24"/>
          <w:szCs w:val="24"/>
        </w:rPr>
        <w:t xml:space="preserve">therefore </w:t>
      </w:r>
      <w:r w:rsidR="00016049" w:rsidRPr="00461D74">
        <w:rPr>
          <w:rFonts w:ascii="Garamond" w:hAnsi="Garamond"/>
          <w:sz w:val="24"/>
          <w:szCs w:val="24"/>
        </w:rPr>
        <w:t xml:space="preserve">argues that in the case of thick concepts like </w:t>
      </w:r>
      <w:r w:rsidR="00182203" w:rsidRPr="00461D74">
        <w:rPr>
          <w:rFonts w:ascii="Garamond" w:hAnsi="Garamond"/>
          <w:sz w:val="24"/>
          <w:szCs w:val="24"/>
        </w:rPr>
        <w:t>‘</w:t>
      </w:r>
      <w:r w:rsidR="00016049" w:rsidRPr="00461D74">
        <w:rPr>
          <w:rFonts w:ascii="Garamond" w:hAnsi="Garamond"/>
          <w:sz w:val="24"/>
          <w:szCs w:val="24"/>
        </w:rPr>
        <w:t>cruel</w:t>
      </w:r>
      <w:r w:rsidR="00A2225A">
        <w:rPr>
          <w:rFonts w:ascii="Garamond" w:hAnsi="Garamond"/>
          <w:sz w:val="24"/>
          <w:szCs w:val="24"/>
        </w:rPr>
        <w:t>,</w:t>
      </w:r>
      <w:r w:rsidR="00182203" w:rsidRPr="00461D74">
        <w:rPr>
          <w:rFonts w:ascii="Garamond" w:hAnsi="Garamond"/>
          <w:sz w:val="24"/>
          <w:szCs w:val="24"/>
        </w:rPr>
        <w:t>’</w:t>
      </w:r>
      <w:r w:rsidR="00016049" w:rsidRPr="00461D74">
        <w:rPr>
          <w:rFonts w:ascii="Garamond" w:hAnsi="Garamond"/>
          <w:sz w:val="24"/>
          <w:szCs w:val="24"/>
        </w:rPr>
        <w:t xml:space="preserve"> the descriptive component is parasitic on the evaluative component. It </w:t>
      </w:r>
      <w:r w:rsidR="00A2225A">
        <w:rPr>
          <w:rFonts w:ascii="Garamond" w:hAnsi="Garamond"/>
          <w:sz w:val="24"/>
          <w:szCs w:val="24"/>
        </w:rPr>
        <w:t xml:space="preserve">then </w:t>
      </w:r>
      <w:r w:rsidR="00016049" w:rsidRPr="00461D74">
        <w:rPr>
          <w:rFonts w:ascii="Garamond" w:hAnsi="Garamond"/>
          <w:sz w:val="24"/>
          <w:szCs w:val="24"/>
        </w:rPr>
        <w:t xml:space="preserve">becomes impossible to </w:t>
      </w:r>
      <w:r w:rsidR="002D48E7">
        <w:rPr>
          <w:rFonts w:ascii="Garamond" w:hAnsi="Garamond"/>
          <w:sz w:val="24"/>
          <w:szCs w:val="24"/>
        </w:rPr>
        <w:t xml:space="preserve">coherently </w:t>
      </w:r>
      <w:r w:rsidR="00016049" w:rsidRPr="00461D74">
        <w:rPr>
          <w:rFonts w:ascii="Garamond" w:hAnsi="Garamond"/>
          <w:sz w:val="24"/>
          <w:szCs w:val="24"/>
        </w:rPr>
        <w:t>disentangle thick term</w:t>
      </w:r>
      <w:r w:rsidR="00A2225A">
        <w:rPr>
          <w:rFonts w:ascii="Garamond" w:hAnsi="Garamond"/>
          <w:sz w:val="24"/>
          <w:szCs w:val="24"/>
        </w:rPr>
        <w:t>s</w:t>
      </w:r>
      <w:r w:rsidR="00016049" w:rsidRPr="00461D74">
        <w:rPr>
          <w:rFonts w:ascii="Garamond" w:hAnsi="Garamond"/>
          <w:sz w:val="24"/>
          <w:szCs w:val="24"/>
        </w:rPr>
        <w:t xml:space="preserve"> into </w:t>
      </w:r>
      <w:r w:rsidR="00731B0A">
        <w:rPr>
          <w:rFonts w:ascii="Garamond" w:hAnsi="Garamond"/>
          <w:sz w:val="24"/>
          <w:szCs w:val="24"/>
        </w:rPr>
        <w:t>clearly</w:t>
      </w:r>
      <w:r w:rsidR="002D48E7">
        <w:rPr>
          <w:rFonts w:ascii="Garamond" w:hAnsi="Garamond"/>
          <w:sz w:val="24"/>
          <w:szCs w:val="24"/>
        </w:rPr>
        <w:t xml:space="preserve"> distinct</w:t>
      </w:r>
      <w:r w:rsidR="00A2225A" w:rsidRPr="00461D74">
        <w:rPr>
          <w:rFonts w:ascii="Garamond" w:hAnsi="Garamond"/>
          <w:sz w:val="24"/>
          <w:szCs w:val="24"/>
        </w:rPr>
        <w:t xml:space="preserve"> </w:t>
      </w:r>
      <w:r w:rsidR="00016049" w:rsidRPr="00461D74">
        <w:rPr>
          <w:rFonts w:ascii="Garamond" w:hAnsi="Garamond"/>
          <w:sz w:val="24"/>
          <w:szCs w:val="24"/>
        </w:rPr>
        <w:t>descriptive and evaluative component</w:t>
      </w:r>
      <w:r w:rsidR="002D48E7">
        <w:rPr>
          <w:rFonts w:ascii="Garamond" w:hAnsi="Garamond"/>
          <w:sz w:val="24"/>
          <w:szCs w:val="24"/>
        </w:rPr>
        <w:t>s</w:t>
      </w:r>
      <w:r w:rsidR="00016049" w:rsidRPr="00461D74">
        <w:rPr>
          <w:rFonts w:ascii="Garamond" w:hAnsi="Garamond"/>
          <w:sz w:val="24"/>
          <w:szCs w:val="24"/>
        </w:rPr>
        <w:t>.</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Putnam </w:t>
      </w:r>
      <w:r w:rsidR="000B1EF1">
        <w:rPr>
          <w:rFonts w:ascii="Garamond" w:hAnsi="Garamond"/>
          <w:sz w:val="24"/>
          <w:szCs w:val="24"/>
        </w:rPr>
        <w:t>claims</w:t>
      </w:r>
      <w:r w:rsidR="000B1EF1" w:rsidRPr="00461D74">
        <w:rPr>
          <w:rFonts w:ascii="Garamond" w:hAnsi="Garamond"/>
          <w:sz w:val="24"/>
          <w:szCs w:val="24"/>
        </w:rPr>
        <w:t xml:space="preserve"> </w:t>
      </w:r>
      <w:r w:rsidRPr="00461D74">
        <w:rPr>
          <w:rFonts w:ascii="Garamond" w:hAnsi="Garamond"/>
          <w:sz w:val="24"/>
          <w:szCs w:val="24"/>
        </w:rPr>
        <w:t xml:space="preserve">that </w:t>
      </w:r>
      <w:r w:rsidR="000B1EF1">
        <w:rPr>
          <w:rFonts w:ascii="Garamond" w:hAnsi="Garamond"/>
          <w:sz w:val="24"/>
          <w:szCs w:val="24"/>
        </w:rPr>
        <w:t xml:space="preserve">the current status of </w:t>
      </w:r>
      <w:r w:rsidRPr="00461D74">
        <w:rPr>
          <w:rFonts w:ascii="Garamond" w:hAnsi="Garamond"/>
          <w:sz w:val="24"/>
          <w:szCs w:val="24"/>
        </w:rPr>
        <w:t xml:space="preserve">this debate </w:t>
      </w:r>
      <w:r w:rsidR="000B1EF1">
        <w:rPr>
          <w:rFonts w:ascii="Garamond" w:hAnsi="Garamond"/>
          <w:sz w:val="24"/>
          <w:szCs w:val="24"/>
        </w:rPr>
        <w:t xml:space="preserve">has led </w:t>
      </w:r>
      <w:r w:rsidRPr="00461D74">
        <w:rPr>
          <w:rFonts w:ascii="Garamond" w:hAnsi="Garamond"/>
          <w:sz w:val="24"/>
          <w:szCs w:val="24"/>
        </w:rPr>
        <w:t xml:space="preserve">many of the defenders of the strong </w:t>
      </w:r>
      <w:r w:rsidR="00456918" w:rsidRPr="00461D74">
        <w:rPr>
          <w:rFonts w:ascii="Garamond" w:hAnsi="Garamond"/>
          <w:sz w:val="24"/>
          <w:szCs w:val="24"/>
        </w:rPr>
        <w:t>‘fact/value’</w:t>
      </w:r>
      <w:r w:rsidRPr="00461D74">
        <w:rPr>
          <w:rFonts w:ascii="Garamond" w:hAnsi="Garamond"/>
          <w:sz w:val="24"/>
          <w:szCs w:val="24"/>
        </w:rPr>
        <w:t xml:space="preserve"> distinction </w:t>
      </w:r>
      <w:r w:rsidR="000B1EF1">
        <w:rPr>
          <w:rFonts w:ascii="Garamond" w:hAnsi="Garamond"/>
          <w:sz w:val="24"/>
          <w:szCs w:val="24"/>
        </w:rPr>
        <w:t>to</w:t>
      </w:r>
      <w:r w:rsidR="000B1EF1" w:rsidRPr="00461D74">
        <w:rPr>
          <w:rFonts w:ascii="Garamond" w:hAnsi="Garamond"/>
          <w:sz w:val="24"/>
          <w:szCs w:val="24"/>
        </w:rPr>
        <w:t xml:space="preserve"> </w:t>
      </w:r>
      <w:r w:rsidRPr="00461D74">
        <w:rPr>
          <w:rFonts w:ascii="Garamond" w:hAnsi="Garamond"/>
          <w:sz w:val="24"/>
          <w:szCs w:val="24"/>
        </w:rPr>
        <w:t xml:space="preserve">agree that entanglement </w:t>
      </w:r>
      <w:r w:rsidR="000B1EF1">
        <w:rPr>
          <w:rFonts w:ascii="Garamond" w:hAnsi="Garamond"/>
          <w:sz w:val="24"/>
          <w:szCs w:val="24"/>
        </w:rPr>
        <w:t xml:space="preserve">between ‘fact/value’ </w:t>
      </w:r>
      <w:r w:rsidRPr="00461D74">
        <w:rPr>
          <w:rFonts w:ascii="Garamond" w:hAnsi="Garamond"/>
          <w:sz w:val="24"/>
          <w:szCs w:val="24"/>
        </w:rPr>
        <w:t xml:space="preserve">indeed poses a </w:t>
      </w:r>
      <w:r w:rsidR="00731B0A">
        <w:rPr>
          <w:rFonts w:ascii="Garamond" w:hAnsi="Garamond"/>
          <w:sz w:val="24"/>
          <w:szCs w:val="24"/>
        </w:rPr>
        <w:t>recognisable</w:t>
      </w:r>
      <w:r w:rsidR="000B1EF1">
        <w:rPr>
          <w:rFonts w:ascii="Garamond" w:hAnsi="Garamond"/>
          <w:sz w:val="24"/>
          <w:szCs w:val="24"/>
        </w:rPr>
        <w:t xml:space="preserve">, and not easily </w:t>
      </w:r>
      <w:r w:rsidR="00731B0A">
        <w:rPr>
          <w:rFonts w:ascii="Garamond" w:hAnsi="Garamond"/>
          <w:sz w:val="24"/>
          <w:szCs w:val="24"/>
        </w:rPr>
        <w:t>dismissible</w:t>
      </w:r>
      <w:r w:rsidR="000B1EF1">
        <w:rPr>
          <w:rFonts w:ascii="Garamond" w:hAnsi="Garamond"/>
          <w:sz w:val="24"/>
          <w:szCs w:val="24"/>
        </w:rPr>
        <w:t xml:space="preserve">, </w:t>
      </w:r>
      <w:r w:rsidRPr="00461D74">
        <w:rPr>
          <w:rFonts w:ascii="Garamond" w:hAnsi="Garamond"/>
          <w:sz w:val="24"/>
          <w:szCs w:val="24"/>
        </w:rPr>
        <w:t>problem</w:t>
      </w:r>
      <w:r w:rsidR="000B1EF1">
        <w:rPr>
          <w:rFonts w:ascii="Garamond" w:hAnsi="Garamond"/>
          <w:sz w:val="24"/>
          <w:szCs w:val="24"/>
        </w:rPr>
        <w:t>,</w:t>
      </w:r>
      <w:r w:rsidRPr="00461D74">
        <w:rPr>
          <w:rFonts w:ascii="Garamond" w:hAnsi="Garamond"/>
          <w:sz w:val="24"/>
          <w:szCs w:val="24"/>
        </w:rPr>
        <w:t xml:space="preserve"> and that factoring does not always work. Nonetheless, </w:t>
      </w:r>
      <w:r w:rsidR="000B1EF1">
        <w:rPr>
          <w:rFonts w:ascii="Garamond" w:hAnsi="Garamond"/>
          <w:sz w:val="24"/>
          <w:szCs w:val="24"/>
        </w:rPr>
        <w:t xml:space="preserve">he argues that </w:t>
      </w:r>
      <w:r w:rsidRPr="00461D74">
        <w:rPr>
          <w:rFonts w:ascii="Garamond" w:hAnsi="Garamond"/>
          <w:sz w:val="24"/>
          <w:szCs w:val="24"/>
        </w:rPr>
        <w:t xml:space="preserve">the defenders of the </w:t>
      </w:r>
      <w:r w:rsidR="00456918" w:rsidRPr="00461D74">
        <w:rPr>
          <w:rFonts w:ascii="Garamond" w:hAnsi="Garamond"/>
          <w:sz w:val="24"/>
          <w:szCs w:val="24"/>
        </w:rPr>
        <w:t>‘fact/value’</w:t>
      </w:r>
      <w:r w:rsidRPr="00461D74">
        <w:rPr>
          <w:rFonts w:ascii="Garamond" w:hAnsi="Garamond"/>
          <w:sz w:val="24"/>
          <w:szCs w:val="24"/>
        </w:rPr>
        <w:t xml:space="preserve"> dichotomy </w:t>
      </w:r>
      <w:r w:rsidR="000B1EF1">
        <w:rPr>
          <w:rFonts w:ascii="Garamond" w:hAnsi="Garamond"/>
          <w:sz w:val="24"/>
          <w:szCs w:val="24"/>
        </w:rPr>
        <w:t>continue to</w:t>
      </w:r>
      <w:r w:rsidR="000B1EF1" w:rsidRPr="00461D74">
        <w:rPr>
          <w:rFonts w:ascii="Garamond" w:hAnsi="Garamond"/>
          <w:sz w:val="24"/>
          <w:szCs w:val="24"/>
        </w:rPr>
        <w:t xml:space="preserve"> </w:t>
      </w:r>
      <w:r w:rsidRPr="00461D74">
        <w:rPr>
          <w:rFonts w:ascii="Garamond" w:hAnsi="Garamond"/>
          <w:sz w:val="24"/>
          <w:szCs w:val="24"/>
        </w:rPr>
        <w:t xml:space="preserve">defend it </w:t>
      </w:r>
      <w:r w:rsidR="000B1EF1">
        <w:rPr>
          <w:rFonts w:ascii="Garamond" w:hAnsi="Garamond"/>
          <w:sz w:val="24"/>
          <w:szCs w:val="24"/>
        </w:rPr>
        <w:t>by employing</w:t>
      </w:r>
      <w:r w:rsidR="000B1EF1" w:rsidRPr="00461D74">
        <w:rPr>
          <w:rFonts w:ascii="Garamond" w:hAnsi="Garamond"/>
          <w:sz w:val="24"/>
          <w:szCs w:val="24"/>
        </w:rPr>
        <w:t xml:space="preserve"> </w:t>
      </w:r>
      <w:r w:rsidRPr="00461D74">
        <w:rPr>
          <w:rFonts w:ascii="Garamond" w:hAnsi="Garamond"/>
          <w:sz w:val="24"/>
          <w:szCs w:val="24"/>
        </w:rPr>
        <w:t xml:space="preserve">some version of </w:t>
      </w:r>
      <w:proofErr w:type="spellStart"/>
      <w:r w:rsidRPr="00461D74">
        <w:rPr>
          <w:rFonts w:ascii="Garamond" w:hAnsi="Garamond"/>
          <w:sz w:val="24"/>
          <w:szCs w:val="24"/>
        </w:rPr>
        <w:t>physicalism</w:t>
      </w:r>
      <w:proofErr w:type="spellEnd"/>
      <w:r w:rsidRPr="00461D74">
        <w:rPr>
          <w:rFonts w:ascii="Garamond" w:hAnsi="Garamond"/>
          <w:sz w:val="24"/>
          <w:szCs w:val="24"/>
        </w:rPr>
        <w:t xml:space="preserve">. </w:t>
      </w:r>
      <w:proofErr w:type="spellStart"/>
      <w:r w:rsidRPr="00461D74">
        <w:rPr>
          <w:rFonts w:ascii="Garamond" w:hAnsi="Garamond"/>
          <w:sz w:val="24"/>
          <w:szCs w:val="24"/>
        </w:rPr>
        <w:t>Physicalism</w:t>
      </w:r>
      <w:proofErr w:type="spellEnd"/>
      <w:r w:rsidRPr="00461D74">
        <w:rPr>
          <w:rFonts w:ascii="Garamond" w:hAnsi="Garamond"/>
          <w:sz w:val="24"/>
          <w:szCs w:val="24"/>
        </w:rPr>
        <w:t xml:space="preserve"> is the position that everything which exists is no more extensive than its physical properties – that is, everything that fundamentally exists are physical substances.</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Bernard Williams offers a sophisticated example of such a defence. He argues for a </w:t>
      </w:r>
      <w:r w:rsidR="001E2A31">
        <w:rPr>
          <w:rFonts w:ascii="Garamond" w:hAnsi="Garamond"/>
          <w:sz w:val="24"/>
          <w:szCs w:val="24"/>
        </w:rPr>
        <w:t xml:space="preserve">more general </w:t>
      </w:r>
      <w:r w:rsidRPr="00461D74">
        <w:rPr>
          <w:rFonts w:ascii="Garamond" w:hAnsi="Garamond"/>
          <w:sz w:val="24"/>
          <w:szCs w:val="24"/>
        </w:rPr>
        <w:t xml:space="preserve">distinction between </w:t>
      </w:r>
      <w:r w:rsidR="00456918" w:rsidRPr="00461D74">
        <w:rPr>
          <w:rFonts w:ascii="Garamond" w:hAnsi="Garamond"/>
          <w:sz w:val="24"/>
          <w:szCs w:val="24"/>
        </w:rPr>
        <w:t>‘fact/value’</w:t>
      </w:r>
      <w:r w:rsidRPr="00461D74">
        <w:rPr>
          <w:rFonts w:ascii="Garamond" w:hAnsi="Garamond"/>
          <w:sz w:val="24"/>
          <w:szCs w:val="24"/>
        </w:rPr>
        <w:t xml:space="preserve"> </w:t>
      </w:r>
      <w:r w:rsidR="001E2A31">
        <w:rPr>
          <w:rFonts w:ascii="Garamond" w:hAnsi="Garamond"/>
          <w:sz w:val="24"/>
          <w:szCs w:val="24"/>
        </w:rPr>
        <w:t xml:space="preserve">that is </w:t>
      </w:r>
      <w:r w:rsidRPr="00461D74">
        <w:rPr>
          <w:rFonts w:ascii="Garamond" w:hAnsi="Garamond"/>
          <w:sz w:val="24"/>
          <w:szCs w:val="24"/>
        </w:rPr>
        <w:t>based on a distinction between local fact</w:t>
      </w:r>
      <w:r w:rsidR="001E2A31">
        <w:rPr>
          <w:rFonts w:ascii="Garamond" w:hAnsi="Garamond"/>
          <w:sz w:val="24"/>
          <w:szCs w:val="24"/>
        </w:rPr>
        <w:t>s,</w:t>
      </w:r>
      <w:r w:rsidRPr="00461D74">
        <w:rPr>
          <w:rFonts w:ascii="Garamond" w:hAnsi="Garamond"/>
          <w:sz w:val="24"/>
          <w:szCs w:val="24"/>
        </w:rPr>
        <w:t xml:space="preserve"> and an absolute conception of the world of a </w:t>
      </w:r>
      <w:r w:rsidRPr="00461D74">
        <w:rPr>
          <w:rFonts w:ascii="Garamond" w:hAnsi="Garamond"/>
          <w:sz w:val="24"/>
          <w:szCs w:val="24"/>
        </w:rPr>
        <w:lastRenderedPageBreak/>
        <w:t>completed science. While the absolute conception of the world is independent of any local perspective, a local fact fo</w:t>
      </w:r>
      <w:r w:rsidR="00BC25F9" w:rsidRPr="00461D74">
        <w:rPr>
          <w:rFonts w:ascii="Garamond" w:hAnsi="Garamond"/>
          <w:sz w:val="24"/>
          <w:szCs w:val="24"/>
        </w:rPr>
        <w:t>r Williams is a correct assertion</w:t>
      </w:r>
      <w:r w:rsidRPr="00461D74">
        <w:rPr>
          <w:rFonts w:ascii="Garamond" w:hAnsi="Garamond"/>
          <w:sz w:val="24"/>
          <w:szCs w:val="24"/>
        </w:rPr>
        <w:t xml:space="preserve"> in a local language game.</w:t>
      </w:r>
      <w:r w:rsidR="004B1615" w:rsidRPr="00461D74">
        <w:rPr>
          <w:rStyle w:val="FootnoteReference"/>
          <w:rFonts w:ascii="Garamond" w:hAnsi="Garamond"/>
          <w:sz w:val="24"/>
          <w:szCs w:val="24"/>
        </w:rPr>
        <w:footnoteReference w:id="283"/>
      </w:r>
      <w:r w:rsidR="004B1615" w:rsidRPr="00461D74">
        <w:rPr>
          <w:rFonts w:ascii="Garamond" w:hAnsi="Garamond"/>
          <w:sz w:val="24"/>
          <w:szCs w:val="24"/>
        </w:rPr>
        <w:t xml:space="preserve"> </w:t>
      </w:r>
      <w:r w:rsidRPr="00461D74">
        <w:rPr>
          <w:rFonts w:ascii="Garamond" w:hAnsi="Garamond"/>
          <w:sz w:val="24"/>
          <w:szCs w:val="24"/>
        </w:rPr>
        <w:t xml:space="preserve">For example if I identify the colour of my shirt as blue, I am stating a local fact, and not an absolute fact – </w:t>
      </w:r>
      <w:r w:rsidR="00961320">
        <w:rPr>
          <w:rFonts w:ascii="Garamond" w:hAnsi="Garamond"/>
          <w:sz w:val="24"/>
          <w:szCs w:val="24"/>
        </w:rPr>
        <w:t xml:space="preserve">that is, </w:t>
      </w:r>
      <w:r w:rsidRPr="00461D74">
        <w:rPr>
          <w:rFonts w:ascii="Garamond" w:hAnsi="Garamond"/>
          <w:sz w:val="24"/>
          <w:szCs w:val="24"/>
        </w:rPr>
        <w:t>a fact about the world independent of any and all particular perspectives.</w:t>
      </w:r>
    </w:p>
    <w:p w:rsidR="00665157" w:rsidRDefault="00016049">
      <w:pPr>
        <w:spacing w:line="360" w:lineRule="auto"/>
        <w:ind w:left="1440"/>
        <w:jc w:val="both"/>
        <w:rPr>
          <w:rFonts w:ascii="Garamond" w:hAnsi="Garamond"/>
        </w:rPr>
      </w:pPr>
      <w:r w:rsidRPr="00461D74">
        <w:rPr>
          <w:rFonts w:ascii="Garamond" w:hAnsi="Garamond"/>
        </w:rPr>
        <w:t>“</w:t>
      </w:r>
      <w:proofErr w:type="gramStart"/>
      <w:r w:rsidRPr="00461D74">
        <w:rPr>
          <w:rFonts w:ascii="Garamond" w:hAnsi="Garamond"/>
        </w:rPr>
        <w:t>the</w:t>
      </w:r>
      <w:proofErr w:type="gramEnd"/>
      <w:r w:rsidRPr="00461D74">
        <w:rPr>
          <w:rFonts w:ascii="Garamond" w:hAnsi="Garamond"/>
        </w:rPr>
        <w:t xml:space="preserve"> world as it is in itself, independent of all observers, can be described using only such scientific terms, according to Williams. A fact, in what Williams calls an absolute sense, is something that can be described in the vocabulary that science is destined to </w:t>
      </w:r>
      <w:r w:rsidR="00182203" w:rsidRPr="00461D74">
        <w:rPr>
          <w:rFonts w:ascii="Garamond" w:hAnsi="Garamond"/>
        </w:rPr>
        <w:t>‘</w:t>
      </w:r>
      <w:r w:rsidRPr="00461D74">
        <w:rPr>
          <w:rFonts w:ascii="Garamond" w:hAnsi="Garamond"/>
        </w:rPr>
        <w:t>converge</w:t>
      </w:r>
      <w:r w:rsidR="00182203" w:rsidRPr="00461D74">
        <w:rPr>
          <w:rFonts w:ascii="Garamond" w:hAnsi="Garamond"/>
        </w:rPr>
        <w:t>’</w:t>
      </w:r>
      <w:r w:rsidRPr="00461D74">
        <w:rPr>
          <w:rFonts w:ascii="Garamond" w:hAnsi="Garamond"/>
        </w:rPr>
        <w:t xml:space="preserve"> upon in its indefinitely continued inquiry…it will be the vocabulary of (an improved and perfected) </w:t>
      </w:r>
      <w:r w:rsidRPr="00461D74">
        <w:rPr>
          <w:rFonts w:ascii="Garamond" w:hAnsi="Garamond"/>
          <w:i/>
        </w:rPr>
        <w:t>physics</w:t>
      </w:r>
      <w:r w:rsidRPr="00461D74">
        <w:rPr>
          <w:rFonts w:ascii="Garamond" w:hAnsi="Garamond"/>
        </w:rPr>
        <w:t xml:space="preserve">, a physics that describes the world in terms of </w:t>
      </w:r>
      <w:r w:rsidRPr="00461D74">
        <w:rPr>
          <w:rFonts w:ascii="Garamond" w:hAnsi="Garamond"/>
          <w:i/>
        </w:rPr>
        <w:t>primary qualities</w:t>
      </w:r>
      <w:r w:rsidRPr="00461D74">
        <w:rPr>
          <w:rFonts w:ascii="Garamond" w:hAnsi="Garamond"/>
        </w:rPr>
        <w:t xml:space="preserve"> alone.”</w:t>
      </w:r>
      <w:r w:rsidR="00313075" w:rsidRPr="00461D74">
        <w:rPr>
          <w:rStyle w:val="FootnoteReference"/>
          <w:rFonts w:ascii="Garamond" w:hAnsi="Garamond"/>
        </w:rPr>
        <w:footnoteReference w:id="284"/>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Putnam argues that what follows from Williams</w:t>
      </w:r>
      <w:r w:rsidR="00182203" w:rsidRPr="00461D74">
        <w:rPr>
          <w:rFonts w:ascii="Garamond" w:hAnsi="Garamond"/>
          <w:sz w:val="24"/>
          <w:szCs w:val="24"/>
        </w:rPr>
        <w:t>’</w:t>
      </w:r>
      <w:r w:rsidRPr="00461D74">
        <w:rPr>
          <w:rFonts w:ascii="Garamond" w:hAnsi="Garamond"/>
          <w:sz w:val="24"/>
          <w:szCs w:val="24"/>
        </w:rPr>
        <w:t xml:space="preserve"> account is not a strong </w:t>
      </w:r>
      <w:r w:rsidR="00456918" w:rsidRPr="00461D74">
        <w:rPr>
          <w:rFonts w:ascii="Garamond" w:hAnsi="Garamond"/>
          <w:sz w:val="24"/>
          <w:szCs w:val="24"/>
        </w:rPr>
        <w:t>‘fact/value’</w:t>
      </w:r>
      <w:r w:rsidRPr="00461D74">
        <w:rPr>
          <w:rFonts w:ascii="Garamond" w:hAnsi="Garamond"/>
          <w:sz w:val="24"/>
          <w:szCs w:val="24"/>
        </w:rPr>
        <w:t xml:space="preserve"> distinction, but a distinction between absolute facts that are independent of any observer, and facts that are local – namely, relative to one or another observer. </w:t>
      </w:r>
      <w:r w:rsidR="000A4058">
        <w:rPr>
          <w:rFonts w:ascii="Garamond" w:hAnsi="Garamond"/>
          <w:sz w:val="24"/>
          <w:szCs w:val="24"/>
        </w:rPr>
        <w:t xml:space="preserve">Placing Putnam’s objection aside for a moment, even if there is way to read </w:t>
      </w:r>
      <w:r w:rsidRPr="00461D74">
        <w:rPr>
          <w:rFonts w:ascii="Garamond" w:hAnsi="Garamond"/>
          <w:sz w:val="24"/>
          <w:szCs w:val="24"/>
        </w:rPr>
        <w:t xml:space="preserve">Williams’ distinction between absolute and local facts </w:t>
      </w:r>
      <w:r w:rsidR="000A4058">
        <w:rPr>
          <w:rFonts w:ascii="Garamond" w:hAnsi="Garamond"/>
          <w:sz w:val="24"/>
          <w:szCs w:val="24"/>
        </w:rPr>
        <w:t>as</w:t>
      </w:r>
      <w:r w:rsidR="000A4058" w:rsidRPr="00461D74">
        <w:rPr>
          <w:rFonts w:ascii="Garamond" w:hAnsi="Garamond"/>
          <w:sz w:val="24"/>
          <w:szCs w:val="24"/>
        </w:rPr>
        <w:t xml:space="preserve"> </w:t>
      </w:r>
      <w:r w:rsidRPr="00461D74">
        <w:rPr>
          <w:rFonts w:ascii="Garamond" w:hAnsi="Garamond"/>
          <w:sz w:val="24"/>
          <w:szCs w:val="24"/>
        </w:rPr>
        <w:t>support</w:t>
      </w:r>
      <w:r w:rsidR="000A4058">
        <w:rPr>
          <w:rFonts w:ascii="Garamond" w:hAnsi="Garamond"/>
          <w:sz w:val="24"/>
          <w:szCs w:val="24"/>
        </w:rPr>
        <w:t>ing</w:t>
      </w:r>
      <w:r w:rsidRPr="00461D74">
        <w:rPr>
          <w:rFonts w:ascii="Garamond" w:hAnsi="Garamond"/>
          <w:sz w:val="24"/>
          <w:szCs w:val="24"/>
        </w:rPr>
        <w:t xml:space="preserve"> a strong </w:t>
      </w:r>
      <w:r w:rsidR="00456918" w:rsidRPr="00461D74">
        <w:rPr>
          <w:rFonts w:ascii="Garamond" w:hAnsi="Garamond"/>
          <w:sz w:val="24"/>
          <w:szCs w:val="24"/>
        </w:rPr>
        <w:t>‘fact/value’</w:t>
      </w:r>
      <w:r w:rsidRPr="00461D74">
        <w:rPr>
          <w:rFonts w:ascii="Garamond" w:hAnsi="Garamond"/>
          <w:sz w:val="24"/>
          <w:szCs w:val="24"/>
        </w:rPr>
        <w:t xml:space="preserve"> distinction, it seems that it isn’t </w:t>
      </w:r>
      <w:r w:rsidR="000A4058">
        <w:rPr>
          <w:rFonts w:ascii="Garamond" w:hAnsi="Garamond"/>
          <w:sz w:val="24"/>
          <w:szCs w:val="24"/>
        </w:rPr>
        <w:t xml:space="preserve">altogether </w:t>
      </w:r>
      <w:r w:rsidRPr="00461D74">
        <w:rPr>
          <w:rFonts w:ascii="Garamond" w:hAnsi="Garamond"/>
          <w:sz w:val="24"/>
          <w:szCs w:val="24"/>
        </w:rPr>
        <w:t xml:space="preserve">clear that </w:t>
      </w:r>
      <w:r w:rsidR="000A4058">
        <w:rPr>
          <w:rFonts w:ascii="Garamond" w:hAnsi="Garamond"/>
          <w:sz w:val="24"/>
          <w:szCs w:val="24"/>
        </w:rPr>
        <w:t xml:space="preserve">this </w:t>
      </w:r>
      <w:r w:rsidRPr="00461D74">
        <w:rPr>
          <w:rFonts w:ascii="Garamond" w:hAnsi="Garamond"/>
          <w:sz w:val="24"/>
          <w:szCs w:val="24"/>
        </w:rPr>
        <w:t xml:space="preserve">new distinction </w:t>
      </w:r>
      <w:r w:rsidR="000A4058">
        <w:rPr>
          <w:rFonts w:ascii="Garamond" w:hAnsi="Garamond"/>
          <w:sz w:val="24"/>
          <w:szCs w:val="24"/>
        </w:rPr>
        <w:t>remains</w:t>
      </w:r>
      <w:r w:rsidR="000A4058" w:rsidRPr="00461D74">
        <w:rPr>
          <w:rFonts w:ascii="Garamond" w:hAnsi="Garamond"/>
          <w:sz w:val="24"/>
          <w:szCs w:val="24"/>
        </w:rPr>
        <w:t xml:space="preserve"> </w:t>
      </w:r>
      <w:r w:rsidRPr="00461D74">
        <w:rPr>
          <w:rFonts w:ascii="Garamond" w:hAnsi="Garamond"/>
          <w:sz w:val="24"/>
          <w:szCs w:val="24"/>
        </w:rPr>
        <w:t xml:space="preserve">desirable for those whose want to usefully maintain a strong form of the </w:t>
      </w:r>
      <w:r w:rsidR="00456918" w:rsidRPr="00461D74">
        <w:rPr>
          <w:rFonts w:ascii="Garamond" w:hAnsi="Garamond"/>
          <w:sz w:val="24"/>
          <w:szCs w:val="24"/>
        </w:rPr>
        <w:t>‘fact/value’</w:t>
      </w:r>
      <w:r w:rsidRPr="00461D74">
        <w:rPr>
          <w:rFonts w:ascii="Garamond" w:hAnsi="Garamond"/>
          <w:sz w:val="24"/>
          <w:szCs w:val="24"/>
        </w:rPr>
        <w:t xml:space="preserve"> distinction. </w:t>
      </w:r>
      <w:r w:rsidR="00F4000B">
        <w:rPr>
          <w:rFonts w:ascii="Garamond" w:hAnsi="Garamond"/>
          <w:sz w:val="24"/>
          <w:szCs w:val="24"/>
        </w:rPr>
        <w:t>T</w:t>
      </w:r>
      <w:r w:rsidRPr="00461D74">
        <w:rPr>
          <w:rFonts w:ascii="Garamond" w:hAnsi="Garamond"/>
          <w:sz w:val="24"/>
          <w:szCs w:val="24"/>
        </w:rPr>
        <w:t>he problem</w:t>
      </w:r>
      <w:r w:rsidR="00F4000B">
        <w:rPr>
          <w:rFonts w:ascii="Garamond" w:hAnsi="Garamond"/>
          <w:sz w:val="24"/>
          <w:szCs w:val="24"/>
        </w:rPr>
        <w:t xml:space="preserve"> Williams’ distinction poses for the defenders of the strong distinction between ‘fact’ and ‘value’ is </w:t>
      </w:r>
      <w:r w:rsidRPr="00461D74">
        <w:rPr>
          <w:rFonts w:ascii="Garamond" w:hAnsi="Garamond"/>
          <w:sz w:val="24"/>
          <w:szCs w:val="24"/>
        </w:rPr>
        <w:t xml:space="preserve">that Williams ends up casting a very small net. </w:t>
      </w:r>
      <w:r w:rsidR="00060EC5">
        <w:rPr>
          <w:rFonts w:ascii="Garamond" w:hAnsi="Garamond"/>
          <w:sz w:val="24"/>
          <w:szCs w:val="24"/>
        </w:rPr>
        <w:t>What I mean to say is that</w:t>
      </w:r>
      <w:r w:rsidRPr="00461D74">
        <w:rPr>
          <w:rFonts w:ascii="Garamond" w:hAnsi="Garamond"/>
          <w:sz w:val="24"/>
          <w:szCs w:val="24"/>
        </w:rPr>
        <w:t xml:space="preserve"> in </w:t>
      </w:r>
      <w:r w:rsidR="00F4000B">
        <w:rPr>
          <w:rFonts w:ascii="Garamond" w:hAnsi="Garamond"/>
          <w:sz w:val="24"/>
          <w:szCs w:val="24"/>
        </w:rPr>
        <w:t xml:space="preserve">stark </w:t>
      </w:r>
      <w:r w:rsidRPr="00461D74">
        <w:rPr>
          <w:rFonts w:ascii="Garamond" w:hAnsi="Garamond"/>
          <w:sz w:val="24"/>
          <w:szCs w:val="24"/>
        </w:rPr>
        <w:t xml:space="preserve">contrast to </w:t>
      </w:r>
      <w:r w:rsidR="00F4000B">
        <w:rPr>
          <w:rFonts w:ascii="Garamond" w:hAnsi="Garamond"/>
          <w:sz w:val="24"/>
          <w:szCs w:val="24"/>
        </w:rPr>
        <w:t>the normal or common usage of the distinction between facts and values in our ordinary use of natural language</w:t>
      </w:r>
      <w:r w:rsidRPr="00461D74">
        <w:rPr>
          <w:rFonts w:ascii="Garamond" w:hAnsi="Garamond"/>
          <w:sz w:val="24"/>
          <w:szCs w:val="24"/>
        </w:rPr>
        <w:t xml:space="preserve">, very few facts will figure into the absolute conception of the world; </w:t>
      </w:r>
      <w:r w:rsidR="00F4000B">
        <w:rPr>
          <w:rFonts w:ascii="Garamond" w:hAnsi="Garamond"/>
          <w:sz w:val="24"/>
          <w:szCs w:val="24"/>
        </w:rPr>
        <w:t xml:space="preserve">therefore, </w:t>
      </w:r>
      <w:r w:rsidR="00060EC5">
        <w:rPr>
          <w:rFonts w:ascii="Garamond" w:hAnsi="Garamond"/>
          <w:sz w:val="24"/>
          <w:szCs w:val="24"/>
        </w:rPr>
        <w:t xml:space="preserve">genuine </w:t>
      </w:r>
      <w:r w:rsidRPr="00461D74">
        <w:rPr>
          <w:rFonts w:ascii="Garamond" w:hAnsi="Garamond"/>
          <w:sz w:val="24"/>
          <w:szCs w:val="24"/>
        </w:rPr>
        <w:t xml:space="preserve">facts </w:t>
      </w:r>
      <w:r w:rsidR="00F4000B">
        <w:rPr>
          <w:rFonts w:ascii="Garamond" w:hAnsi="Garamond"/>
          <w:sz w:val="24"/>
          <w:szCs w:val="24"/>
        </w:rPr>
        <w:t xml:space="preserve">will only end up figuring in </w:t>
      </w:r>
      <w:r w:rsidR="00060EC5">
        <w:rPr>
          <w:rFonts w:ascii="Garamond" w:hAnsi="Garamond"/>
          <w:sz w:val="24"/>
          <w:szCs w:val="24"/>
        </w:rPr>
        <w:t xml:space="preserve">the </w:t>
      </w:r>
      <w:r w:rsidR="00F4000B">
        <w:rPr>
          <w:rFonts w:ascii="Garamond" w:hAnsi="Garamond"/>
          <w:sz w:val="24"/>
          <w:szCs w:val="24"/>
        </w:rPr>
        <w:lastRenderedPageBreak/>
        <w:t xml:space="preserve">discussions between theoretical </w:t>
      </w:r>
      <w:r w:rsidRPr="00461D74">
        <w:rPr>
          <w:rFonts w:ascii="Garamond" w:hAnsi="Garamond"/>
          <w:sz w:val="24"/>
          <w:szCs w:val="24"/>
        </w:rPr>
        <w:t>physicists</w:t>
      </w:r>
      <w:r w:rsidR="00060EC5">
        <w:rPr>
          <w:rFonts w:ascii="Garamond" w:hAnsi="Garamond"/>
          <w:sz w:val="24"/>
          <w:szCs w:val="24"/>
        </w:rPr>
        <w:t xml:space="preserve"> and local facts together with values, will fall on the wrong side of the distinction between facts and values</w:t>
      </w:r>
      <w:r w:rsidRPr="00461D74">
        <w:rPr>
          <w:rFonts w:ascii="Garamond" w:hAnsi="Garamond"/>
          <w:sz w:val="24"/>
          <w:szCs w:val="24"/>
        </w:rPr>
        <w:t>.</w:t>
      </w:r>
    </w:p>
    <w:p w:rsidR="00AC5957" w:rsidRDefault="00060EC5">
      <w:pPr>
        <w:spacing w:line="360" w:lineRule="auto"/>
        <w:ind w:firstLine="720"/>
        <w:jc w:val="both"/>
        <w:rPr>
          <w:rFonts w:ascii="Garamond" w:hAnsi="Garamond"/>
          <w:sz w:val="24"/>
          <w:szCs w:val="24"/>
        </w:rPr>
      </w:pPr>
      <w:r>
        <w:rPr>
          <w:rFonts w:ascii="Garamond" w:hAnsi="Garamond"/>
          <w:sz w:val="24"/>
          <w:szCs w:val="24"/>
        </w:rPr>
        <w:t xml:space="preserve">Furthermore, </w:t>
      </w:r>
      <w:r w:rsidR="00016049" w:rsidRPr="00461D74">
        <w:rPr>
          <w:rFonts w:ascii="Garamond" w:hAnsi="Garamond"/>
          <w:sz w:val="24"/>
          <w:szCs w:val="24"/>
        </w:rPr>
        <w:t xml:space="preserve">Williams’ argument appears to remove the possibility of making sense of many ordinary factual claims that we would ordinarily categorise as facts. For example, the claim that “grass is green” falls on the wrong side of the distinction since it isn’t independent of any local perspective, and so wouldn’t belong to </w:t>
      </w:r>
      <w:r w:rsidR="00D93F72">
        <w:rPr>
          <w:rFonts w:ascii="Garamond" w:hAnsi="Garamond"/>
          <w:sz w:val="24"/>
          <w:szCs w:val="24"/>
        </w:rPr>
        <w:t>the class of facts that figure into the</w:t>
      </w:r>
      <w:r w:rsidR="00D93F72" w:rsidRPr="00461D74">
        <w:rPr>
          <w:rFonts w:ascii="Garamond" w:hAnsi="Garamond"/>
          <w:sz w:val="24"/>
          <w:szCs w:val="24"/>
        </w:rPr>
        <w:t xml:space="preserve"> </w:t>
      </w:r>
      <w:r w:rsidR="00016049" w:rsidRPr="00461D74">
        <w:rPr>
          <w:rFonts w:ascii="Garamond" w:hAnsi="Garamond"/>
          <w:sz w:val="24"/>
          <w:szCs w:val="24"/>
        </w:rPr>
        <w:t xml:space="preserve">absolute conception of the world. Needless to say, ethical claims do not figure in </w:t>
      </w:r>
      <w:r w:rsidR="00D93F72">
        <w:rPr>
          <w:rFonts w:ascii="Garamond" w:hAnsi="Garamond"/>
          <w:sz w:val="24"/>
          <w:szCs w:val="24"/>
        </w:rPr>
        <w:t>the</w:t>
      </w:r>
      <w:r w:rsidR="00D93F72" w:rsidRPr="00461D74">
        <w:rPr>
          <w:rFonts w:ascii="Garamond" w:hAnsi="Garamond"/>
          <w:sz w:val="24"/>
          <w:szCs w:val="24"/>
        </w:rPr>
        <w:t xml:space="preserve"> </w:t>
      </w:r>
      <w:r w:rsidR="00016049" w:rsidRPr="00461D74">
        <w:rPr>
          <w:rFonts w:ascii="Garamond" w:hAnsi="Garamond"/>
          <w:sz w:val="24"/>
          <w:szCs w:val="24"/>
        </w:rPr>
        <w:t>absolute conception of the world; the claim that “murder is wrong” can only be a local fact, local to some particular social context or other.</w:t>
      </w:r>
    </w:p>
    <w:p w:rsidR="00665157" w:rsidRDefault="00D93F72">
      <w:pPr>
        <w:spacing w:line="360" w:lineRule="auto"/>
        <w:ind w:firstLine="720"/>
        <w:jc w:val="both"/>
        <w:rPr>
          <w:rFonts w:ascii="Garamond" w:hAnsi="Garamond"/>
          <w:sz w:val="24"/>
          <w:szCs w:val="24"/>
        </w:rPr>
      </w:pPr>
      <w:r>
        <w:rPr>
          <w:rFonts w:ascii="Garamond" w:hAnsi="Garamond"/>
          <w:sz w:val="24"/>
          <w:szCs w:val="24"/>
        </w:rPr>
        <w:t>Now</w:t>
      </w:r>
      <w:r w:rsidR="00016049" w:rsidRPr="00461D74">
        <w:rPr>
          <w:rFonts w:ascii="Garamond" w:hAnsi="Garamond"/>
          <w:sz w:val="24"/>
          <w:szCs w:val="24"/>
        </w:rPr>
        <w:t xml:space="preserve">, </w:t>
      </w:r>
      <w:r w:rsidR="00E426A6">
        <w:rPr>
          <w:rFonts w:ascii="Garamond" w:hAnsi="Garamond"/>
          <w:sz w:val="24"/>
          <w:szCs w:val="24"/>
        </w:rPr>
        <w:t>i</w:t>
      </w:r>
      <w:r>
        <w:rPr>
          <w:rFonts w:ascii="Garamond" w:hAnsi="Garamond"/>
          <w:sz w:val="24"/>
          <w:szCs w:val="24"/>
        </w:rPr>
        <w:t xml:space="preserve">n my view, </w:t>
      </w:r>
      <w:r w:rsidR="00016049" w:rsidRPr="00461D74">
        <w:rPr>
          <w:rFonts w:ascii="Garamond" w:hAnsi="Garamond"/>
          <w:sz w:val="24"/>
          <w:szCs w:val="24"/>
        </w:rPr>
        <w:t xml:space="preserve">Williams’ distinction between local facts, and facts </w:t>
      </w:r>
      <w:r>
        <w:rPr>
          <w:rFonts w:ascii="Garamond" w:hAnsi="Garamond"/>
          <w:sz w:val="24"/>
          <w:szCs w:val="24"/>
        </w:rPr>
        <w:t xml:space="preserve">that underwrite the </w:t>
      </w:r>
      <w:r w:rsidR="00016049" w:rsidRPr="00461D74">
        <w:rPr>
          <w:rFonts w:ascii="Garamond" w:hAnsi="Garamond"/>
          <w:sz w:val="24"/>
          <w:szCs w:val="24"/>
        </w:rPr>
        <w:t xml:space="preserve">absolute conception of the world, isn’t a good argument for a strong </w:t>
      </w:r>
      <w:r w:rsidR="00456918" w:rsidRPr="00461D74">
        <w:rPr>
          <w:rFonts w:ascii="Garamond" w:hAnsi="Garamond"/>
          <w:sz w:val="24"/>
          <w:szCs w:val="24"/>
        </w:rPr>
        <w:t>‘fact/value’</w:t>
      </w:r>
      <w:r w:rsidR="00016049" w:rsidRPr="00461D74">
        <w:rPr>
          <w:rFonts w:ascii="Garamond" w:hAnsi="Garamond"/>
          <w:sz w:val="24"/>
          <w:szCs w:val="24"/>
        </w:rPr>
        <w:t xml:space="preserve"> distinction, since many of those statements that users of the strong </w:t>
      </w:r>
      <w:r w:rsidR="00456918" w:rsidRPr="00461D74">
        <w:rPr>
          <w:rFonts w:ascii="Garamond" w:hAnsi="Garamond"/>
          <w:sz w:val="24"/>
          <w:szCs w:val="24"/>
        </w:rPr>
        <w:t>‘fact/value’</w:t>
      </w:r>
      <w:r w:rsidR="00016049" w:rsidRPr="00461D74">
        <w:rPr>
          <w:rFonts w:ascii="Garamond" w:hAnsi="Garamond"/>
          <w:sz w:val="24"/>
          <w:szCs w:val="24"/>
        </w:rPr>
        <w:t xml:space="preserve"> distinction would normally identify as facts, would now be classified as local facts. Thus, those who defended the strong </w:t>
      </w:r>
      <w:r w:rsidR="00456918" w:rsidRPr="00461D74">
        <w:rPr>
          <w:rFonts w:ascii="Garamond" w:hAnsi="Garamond"/>
          <w:sz w:val="24"/>
          <w:szCs w:val="24"/>
        </w:rPr>
        <w:t>‘fact/value’</w:t>
      </w:r>
      <w:r w:rsidR="00016049" w:rsidRPr="00461D74">
        <w:rPr>
          <w:rFonts w:ascii="Garamond" w:hAnsi="Garamond"/>
          <w:sz w:val="24"/>
          <w:szCs w:val="24"/>
        </w:rPr>
        <w:t xml:space="preserve"> distinction </w:t>
      </w:r>
      <w:r>
        <w:rPr>
          <w:rFonts w:ascii="Garamond" w:hAnsi="Garamond"/>
          <w:sz w:val="24"/>
          <w:szCs w:val="24"/>
        </w:rPr>
        <w:t>on the basis o</w:t>
      </w:r>
      <w:r w:rsidR="009C4C57">
        <w:rPr>
          <w:rFonts w:ascii="Garamond" w:hAnsi="Garamond"/>
          <w:sz w:val="24"/>
          <w:szCs w:val="24"/>
        </w:rPr>
        <w:t>f some substantive or metaphysical ground, which seeks to distinguish facts from values</w:t>
      </w:r>
      <w:r w:rsidR="00016049" w:rsidRPr="00461D74">
        <w:rPr>
          <w:rFonts w:ascii="Garamond" w:hAnsi="Garamond"/>
          <w:sz w:val="24"/>
          <w:szCs w:val="24"/>
        </w:rPr>
        <w:t xml:space="preserve"> more generally, will end up having very few facts to count on that could be classified as facts with respect to an absolute conception of the world</w:t>
      </w:r>
      <w:r w:rsidR="009C4C57">
        <w:rPr>
          <w:rFonts w:ascii="Garamond" w:hAnsi="Garamond"/>
          <w:sz w:val="24"/>
          <w:szCs w:val="24"/>
        </w:rPr>
        <w:t>; hence,</w:t>
      </w:r>
      <w:r w:rsidR="00016049" w:rsidRPr="00461D74">
        <w:rPr>
          <w:rFonts w:ascii="Garamond" w:hAnsi="Garamond"/>
          <w:sz w:val="24"/>
          <w:szCs w:val="24"/>
        </w:rPr>
        <w:t xml:space="preserve"> the number of statements that would fall into the </w:t>
      </w:r>
      <w:r w:rsidR="009C4C57">
        <w:rPr>
          <w:rFonts w:ascii="Garamond" w:hAnsi="Garamond"/>
          <w:sz w:val="24"/>
          <w:szCs w:val="24"/>
        </w:rPr>
        <w:t>‘local fact-</w:t>
      </w:r>
      <w:r w:rsidR="00016049" w:rsidRPr="00461D74">
        <w:rPr>
          <w:rFonts w:ascii="Garamond" w:hAnsi="Garamond"/>
          <w:sz w:val="24"/>
          <w:szCs w:val="24"/>
        </w:rPr>
        <w:t>value</w:t>
      </w:r>
      <w:r w:rsidR="009C4C57">
        <w:rPr>
          <w:rFonts w:ascii="Garamond" w:hAnsi="Garamond"/>
          <w:sz w:val="24"/>
          <w:szCs w:val="24"/>
        </w:rPr>
        <w:t>’</w:t>
      </w:r>
      <w:r w:rsidR="00016049" w:rsidRPr="00461D74">
        <w:rPr>
          <w:rFonts w:ascii="Garamond" w:hAnsi="Garamond"/>
          <w:sz w:val="24"/>
          <w:szCs w:val="24"/>
        </w:rPr>
        <w:t xml:space="preserve"> side of the distinction would turn out to be enormous. </w:t>
      </w:r>
      <w:r w:rsidR="00AC5957">
        <w:rPr>
          <w:rFonts w:ascii="Garamond" w:hAnsi="Garamond"/>
          <w:sz w:val="24"/>
          <w:szCs w:val="24"/>
        </w:rPr>
        <w:t>Here</w:t>
      </w:r>
      <w:r w:rsidR="00840602">
        <w:rPr>
          <w:rFonts w:ascii="Garamond" w:hAnsi="Garamond"/>
          <w:sz w:val="24"/>
          <w:szCs w:val="24"/>
        </w:rPr>
        <w:t>, t</w:t>
      </w:r>
      <w:r w:rsidR="00840602" w:rsidRPr="00461D74">
        <w:rPr>
          <w:rFonts w:ascii="Garamond" w:hAnsi="Garamond"/>
          <w:sz w:val="24"/>
          <w:szCs w:val="24"/>
        </w:rPr>
        <w:t xml:space="preserve">he users of the </w:t>
      </w:r>
      <w:r w:rsidR="00840602">
        <w:rPr>
          <w:rFonts w:ascii="Garamond" w:hAnsi="Garamond"/>
          <w:sz w:val="24"/>
          <w:szCs w:val="24"/>
        </w:rPr>
        <w:t xml:space="preserve">strong </w:t>
      </w:r>
      <w:r w:rsidR="00840602" w:rsidRPr="00461D74">
        <w:rPr>
          <w:rFonts w:ascii="Garamond" w:hAnsi="Garamond"/>
          <w:sz w:val="24"/>
          <w:szCs w:val="24"/>
        </w:rPr>
        <w:t>‘fact/value’ distinction would have to place many descriptive statements on the ‘</w:t>
      </w:r>
      <w:r w:rsidR="00536E30">
        <w:rPr>
          <w:rFonts w:ascii="Garamond" w:hAnsi="Garamond"/>
          <w:sz w:val="24"/>
          <w:szCs w:val="24"/>
        </w:rPr>
        <w:t>local fact-</w:t>
      </w:r>
      <w:r w:rsidR="00840602" w:rsidRPr="00461D74">
        <w:rPr>
          <w:rFonts w:ascii="Garamond" w:hAnsi="Garamond"/>
          <w:sz w:val="24"/>
          <w:szCs w:val="24"/>
        </w:rPr>
        <w:t xml:space="preserve">value’ side of the dichotomy; </w:t>
      </w:r>
      <w:r w:rsidR="00535091">
        <w:rPr>
          <w:rFonts w:ascii="Garamond" w:hAnsi="Garamond"/>
          <w:sz w:val="24"/>
          <w:szCs w:val="24"/>
        </w:rPr>
        <w:t xml:space="preserve">on the other hand, what takes up residence on </w:t>
      </w:r>
      <w:r w:rsidR="00840602" w:rsidRPr="00461D74">
        <w:rPr>
          <w:rFonts w:ascii="Garamond" w:hAnsi="Garamond"/>
          <w:sz w:val="24"/>
          <w:szCs w:val="24"/>
        </w:rPr>
        <w:t xml:space="preserve">the </w:t>
      </w:r>
      <w:r w:rsidR="00536E30">
        <w:rPr>
          <w:rFonts w:ascii="Garamond" w:hAnsi="Garamond"/>
          <w:sz w:val="24"/>
          <w:szCs w:val="24"/>
        </w:rPr>
        <w:t xml:space="preserve">bona fide </w:t>
      </w:r>
      <w:r w:rsidR="00840602" w:rsidRPr="00461D74">
        <w:rPr>
          <w:rFonts w:ascii="Garamond" w:hAnsi="Garamond"/>
          <w:sz w:val="24"/>
          <w:szCs w:val="24"/>
        </w:rPr>
        <w:t>‘fact’ side of the dichotomy are only those things that are described in the language of a completed physics.</w:t>
      </w:r>
      <w:r w:rsidR="00840602">
        <w:rPr>
          <w:rFonts w:ascii="Garamond" w:hAnsi="Garamond"/>
          <w:sz w:val="24"/>
          <w:szCs w:val="24"/>
        </w:rPr>
        <w:t xml:space="preserve"> </w:t>
      </w:r>
      <w:r w:rsidR="009C4C57">
        <w:rPr>
          <w:rFonts w:ascii="Garamond" w:hAnsi="Garamond"/>
          <w:sz w:val="24"/>
          <w:szCs w:val="24"/>
        </w:rPr>
        <w:t xml:space="preserve">It </w:t>
      </w:r>
      <w:r w:rsidR="00E426A6">
        <w:rPr>
          <w:rFonts w:ascii="Garamond" w:hAnsi="Garamond"/>
          <w:sz w:val="24"/>
          <w:szCs w:val="24"/>
        </w:rPr>
        <w:t xml:space="preserve">then </w:t>
      </w:r>
      <w:r w:rsidR="009C4C57">
        <w:rPr>
          <w:rFonts w:ascii="Garamond" w:hAnsi="Garamond"/>
          <w:sz w:val="24"/>
          <w:szCs w:val="24"/>
        </w:rPr>
        <w:t xml:space="preserve">seems reasonable to conclude that we </w:t>
      </w:r>
      <w:r w:rsidR="00E426A6">
        <w:rPr>
          <w:rFonts w:ascii="Garamond" w:hAnsi="Garamond"/>
          <w:sz w:val="24"/>
          <w:szCs w:val="24"/>
        </w:rPr>
        <w:t xml:space="preserve">now </w:t>
      </w:r>
      <w:r w:rsidR="009C4C57">
        <w:rPr>
          <w:rFonts w:ascii="Garamond" w:hAnsi="Garamond"/>
          <w:sz w:val="24"/>
          <w:szCs w:val="24"/>
        </w:rPr>
        <w:t xml:space="preserve">have very few </w:t>
      </w:r>
      <w:r w:rsidR="00840602">
        <w:rPr>
          <w:rFonts w:ascii="Garamond" w:hAnsi="Garamond"/>
          <w:sz w:val="24"/>
          <w:szCs w:val="24"/>
        </w:rPr>
        <w:t xml:space="preserve">(if any) </w:t>
      </w:r>
      <w:r w:rsidR="009C4C57">
        <w:rPr>
          <w:rFonts w:ascii="Garamond" w:hAnsi="Garamond"/>
          <w:sz w:val="24"/>
          <w:szCs w:val="24"/>
        </w:rPr>
        <w:t xml:space="preserve">genuine facts to refer to in </w:t>
      </w:r>
      <w:r w:rsidR="00840602">
        <w:rPr>
          <w:rFonts w:ascii="Garamond" w:hAnsi="Garamond"/>
          <w:sz w:val="24"/>
          <w:szCs w:val="24"/>
        </w:rPr>
        <w:t>the</w:t>
      </w:r>
      <w:r w:rsidR="009C4C57">
        <w:rPr>
          <w:rFonts w:ascii="Garamond" w:hAnsi="Garamond"/>
          <w:sz w:val="24"/>
          <w:szCs w:val="24"/>
        </w:rPr>
        <w:t xml:space="preserve"> </w:t>
      </w:r>
      <w:r w:rsidR="00840602">
        <w:rPr>
          <w:rFonts w:ascii="Garamond" w:hAnsi="Garamond"/>
          <w:sz w:val="24"/>
          <w:szCs w:val="24"/>
        </w:rPr>
        <w:t xml:space="preserve">normal </w:t>
      </w:r>
      <w:r w:rsidR="009C4C57">
        <w:rPr>
          <w:rFonts w:ascii="Garamond" w:hAnsi="Garamond"/>
          <w:sz w:val="24"/>
          <w:szCs w:val="24"/>
        </w:rPr>
        <w:t>discourse</w:t>
      </w:r>
      <w:r w:rsidR="00840602">
        <w:rPr>
          <w:rFonts w:ascii="Garamond" w:hAnsi="Garamond"/>
          <w:sz w:val="24"/>
          <w:szCs w:val="24"/>
        </w:rPr>
        <w:t xml:space="preserve"> between non physicists – owing to Williams’ industrial scale inflation of the ‘local fact-value’ side of this distinction –</w:t>
      </w:r>
      <w:r w:rsidR="009C4C57">
        <w:rPr>
          <w:rFonts w:ascii="Garamond" w:hAnsi="Garamond"/>
          <w:sz w:val="24"/>
          <w:szCs w:val="24"/>
        </w:rPr>
        <w:t xml:space="preserve"> we </w:t>
      </w:r>
      <w:r w:rsidR="00840602">
        <w:rPr>
          <w:rFonts w:ascii="Garamond" w:hAnsi="Garamond"/>
          <w:sz w:val="24"/>
          <w:szCs w:val="24"/>
        </w:rPr>
        <w:t xml:space="preserve">have in effect undermined and diluted the force of </w:t>
      </w:r>
      <w:r w:rsidR="00016049" w:rsidRPr="00461D74">
        <w:rPr>
          <w:rFonts w:ascii="Garamond" w:hAnsi="Garamond"/>
          <w:sz w:val="24"/>
          <w:szCs w:val="24"/>
        </w:rPr>
        <w:t>the distinction between fact and value.</w:t>
      </w:r>
    </w:p>
    <w:p w:rsidR="00665157" w:rsidRDefault="00016049" w:rsidP="00903587">
      <w:pPr>
        <w:spacing w:line="360" w:lineRule="auto"/>
        <w:ind w:firstLine="720"/>
        <w:jc w:val="both"/>
        <w:rPr>
          <w:rFonts w:ascii="Garamond" w:hAnsi="Garamond"/>
          <w:sz w:val="24"/>
          <w:szCs w:val="24"/>
        </w:rPr>
      </w:pPr>
      <w:r w:rsidRPr="00461D74">
        <w:rPr>
          <w:rFonts w:ascii="Garamond" w:hAnsi="Garamond"/>
          <w:sz w:val="24"/>
          <w:szCs w:val="24"/>
        </w:rPr>
        <w:lastRenderedPageBreak/>
        <w:t>But there is another problem</w:t>
      </w:r>
      <w:r w:rsidR="00535091">
        <w:rPr>
          <w:rFonts w:ascii="Garamond" w:hAnsi="Garamond"/>
          <w:sz w:val="24"/>
          <w:szCs w:val="24"/>
        </w:rPr>
        <w:t xml:space="preserve"> with Williams’ view</w:t>
      </w:r>
      <w:r w:rsidRPr="00461D74">
        <w:rPr>
          <w:rFonts w:ascii="Garamond" w:hAnsi="Garamond"/>
          <w:sz w:val="24"/>
          <w:szCs w:val="24"/>
        </w:rPr>
        <w:t xml:space="preserve">. Putnam argues that the view of physics that Williams espouses – namely, that science converges on a singular explanatory framework for the universe – is </w:t>
      </w:r>
      <w:r w:rsidR="00535091">
        <w:rPr>
          <w:rFonts w:ascii="Garamond" w:hAnsi="Garamond"/>
          <w:sz w:val="24"/>
          <w:szCs w:val="24"/>
        </w:rPr>
        <w:t xml:space="preserve">at least thus far, demonstratively </w:t>
      </w:r>
      <w:r w:rsidRPr="00461D74">
        <w:rPr>
          <w:rFonts w:ascii="Garamond" w:hAnsi="Garamond"/>
          <w:sz w:val="24"/>
          <w:szCs w:val="24"/>
        </w:rPr>
        <w:t>incorrect</w:t>
      </w:r>
      <w:r w:rsidR="003231B9" w:rsidRPr="00461D74">
        <w:rPr>
          <w:rFonts w:ascii="Garamond" w:hAnsi="Garamond"/>
          <w:sz w:val="24"/>
          <w:szCs w:val="24"/>
        </w:rPr>
        <w:t>,</w:t>
      </w:r>
      <w:r w:rsidRPr="00461D74">
        <w:rPr>
          <w:rStyle w:val="FootnoteReference"/>
          <w:rFonts w:ascii="Garamond" w:hAnsi="Garamond"/>
          <w:sz w:val="24"/>
          <w:szCs w:val="24"/>
        </w:rPr>
        <w:footnoteReference w:id="285"/>
      </w:r>
      <w:r w:rsidRPr="00461D74">
        <w:rPr>
          <w:rFonts w:ascii="Garamond" w:hAnsi="Garamond"/>
          <w:sz w:val="24"/>
          <w:szCs w:val="24"/>
        </w:rPr>
        <w:t xml:space="preserve"> </w:t>
      </w:r>
      <w:r w:rsidR="003231B9" w:rsidRPr="00461D74">
        <w:rPr>
          <w:rFonts w:ascii="Garamond" w:hAnsi="Garamond"/>
          <w:sz w:val="24"/>
          <w:szCs w:val="24"/>
        </w:rPr>
        <w:t xml:space="preserve">and </w:t>
      </w:r>
      <w:r w:rsidRPr="00461D74">
        <w:rPr>
          <w:rFonts w:ascii="Garamond" w:hAnsi="Garamond"/>
          <w:sz w:val="24"/>
          <w:szCs w:val="24"/>
        </w:rPr>
        <w:t xml:space="preserve">that Williams’ picture of science </w:t>
      </w:r>
      <w:r w:rsidR="003231B9" w:rsidRPr="00461D74">
        <w:rPr>
          <w:rFonts w:ascii="Garamond" w:hAnsi="Garamond"/>
          <w:sz w:val="24"/>
          <w:szCs w:val="24"/>
        </w:rPr>
        <w:t xml:space="preserve">does not </w:t>
      </w:r>
      <w:r w:rsidR="006F44BE">
        <w:rPr>
          <w:rFonts w:ascii="Garamond" w:hAnsi="Garamond"/>
          <w:sz w:val="24"/>
          <w:szCs w:val="24"/>
        </w:rPr>
        <w:t>accurately account</w:t>
      </w:r>
      <w:r w:rsidR="006F44BE" w:rsidRPr="00461D74">
        <w:rPr>
          <w:rFonts w:ascii="Garamond" w:hAnsi="Garamond"/>
          <w:sz w:val="24"/>
          <w:szCs w:val="24"/>
        </w:rPr>
        <w:t xml:space="preserve"> </w:t>
      </w:r>
      <w:r w:rsidR="006F44BE">
        <w:rPr>
          <w:rFonts w:ascii="Garamond" w:hAnsi="Garamond"/>
          <w:sz w:val="24"/>
          <w:szCs w:val="24"/>
        </w:rPr>
        <w:t>for the way in which science converges on inferences that figure into our the description of the world</w:t>
      </w:r>
      <w:r w:rsidR="00670EB0">
        <w:rPr>
          <w:rFonts w:ascii="Garamond" w:hAnsi="Garamond"/>
          <w:sz w:val="24"/>
          <w:szCs w:val="24"/>
        </w:rPr>
        <w:t xml:space="preserve">; hence, we do not have compelling reasons to argue that physics will </w:t>
      </w:r>
      <w:r w:rsidR="00356651">
        <w:rPr>
          <w:rFonts w:ascii="Garamond" w:hAnsi="Garamond"/>
          <w:sz w:val="24"/>
          <w:szCs w:val="24"/>
        </w:rPr>
        <w:t xml:space="preserve">ultimately afford </w:t>
      </w:r>
      <w:r w:rsidR="00670EB0">
        <w:rPr>
          <w:rFonts w:ascii="Garamond" w:hAnsi="Garamond"/>
          <w:sz w:val="24"/>
          <w:szCs w:val="24"/>
        </w:rPr>
        <w:t xml:space="preserve">us </w:t>
      </w:r>
      <w:r w:rsidR="00356651">
        <w:rPr>
          <w:rFonts w:ascii="Garamond" w:hAnsi="Garamond"/>
          <w:sz w:val="24"/>
          <w:szCs w:val="24"/>
        </w:rPr>
        <w:t>a description of</w:t>
      </w:r>
      <w:r w:rsidR="00670EB0">
        <w:rPr>
          <w:rFonts w:ascii="Garamond" w:hAnsi="Garamond"/>
          <w:sz w:val="24"/>
          <w:szCs w:val="24"/>
        </w:rPr>
        <w:t xml:space="preserve"> the universe using a single theory, or theoretical framework</w:t>
      </w:r>
      <w:r w:rsidRPr="00461D74">
        <w:rPr>
          <w:rFonts w:ascii="Garamond" w:hAnsi="Garamond"/>
          <w:sz w:val="24"/>
          <w:szCs w:val="24"/>
        </w:rPr>
        <w:t>. For example, depending on the conditions of a quantum mechanical state, we could describe the state of a system in terms of particles, or alternately in terms of waves – this is the famous wave-particle duality.  In theoretical physics space-time geometry we can identify space-time points as individual points or simply as limits. In both of these examples</w:t>
      </w:r>
      <w:r w:rsidR="00670EB0">
        <w:rPr>
          <w:rFonts w:ascii="Garamond" w:hAnsi="Garamond"/>
          <w:sz w:val="24"/>
          <w:szCs w:val="24"/>
        </w:rPr>
        <w:t>,</w:t>
      </w:r>
      <w:r w:rsidRPr="00461D74">
        <w:rPr>
          <w:rFonts w:ascii="Garamond" w:hAnsi="Garamond"/>
          <w:sz w:val="24"/>
          <w:szCs w:val="24"/>
        </w:rPr>
        <w:t xml:space="preserve"> </w:t>
      </w:r>
      <w:r w:rsidR="00670EB0">
        <w:rPr>
          <w:rFonts w:ascii="Garamond" w:hAnsi="Garamond"/>
          <w:sz w:val="24"/>
          <w:szCs w:val="24"/>
        </w:rPr>
        <w:t xml:space="preserve">not only do </w:t>
      </w:r>
      <w:r w:rsidRPr="00461D74">
        <w:rPr>
          <w:rFonts w:ascii="Garamond" w:hAnsi="Garamond"/>
          <w:sz w:val="24"/>
          <w:szCs w:val="24"/>
        </w:rPr>
        <w:t xml:space="preserve">we </w:t>
      </w:r>
      <w:r w:rsidR="00670EB0">
        <w:rPr>
          <w:rFonts w:ascii="Garamond" w:hAnsi="Garamond"/>
          <w:sz w:val="24"/>
          <w:szCs w:val="24"/>
        </w:rPr>
        <w:t>possess</w:t>
      </w:r>
      <w:r w:rsidR="00670EB0" w:rsidRPr="00461D74">
        <w:rPr>
          <w:rFonts w:ascii="Garamond" w:hAnsi="Garamond"/>
          <w:sz w:val="24"/>
          <w:szCs w:val="24"/>
        </w:rPr>
        <w:t xml:space="preserve"> </w:t>
      </w:r>
      <w:r w:rsidRPr="00461D74">
        <w:rPr>
          <w:rFonts w:ascii="Garamond" w:hAnsi="Garamond"/>
          <w:sz w:val="24"/>
          <w:szCs w:val="24"/>
        </w:rPr>
        <w:t xml:space="preserve">more than one description to describe </w:t>
      </w:r>
      <w:r w:rsidR="00051812">
        <w:rPr>
          <w:rFonts w:ascii="Garamond" w:hAnsi="Garamond"/>
          <w:sz w:val="24"/>
          <w:szCs w:val="24"/>
        </w:rPr>
        <w:t xml:space="preserve">one </w:t>
      </w:r>
      <w:r w:rsidR="00670EB0">
        <w:rPr>
          <w:rFonts w:ascii="Garamond" w:hAnsi="Garamond"/>
          <w:sz w:val="24"/>
          <w:szCs w:val="24"/>
        </w:rPr>
        <w:t>particular</w:t>
      </w:r>
      <w:r w:rsidR="00670EB0" w:rsidRPr="00461D74">
        <w:rPr>
          <w:rFonts w:ascii="Garamond" w:hAnsi="Garamond"/>
          <w:sz w:val="24"/>
          <w:szCs w:val="24"/>
        </w:rPr>
        <w:t xml:space="preserve"> </w:t>
      </w:r>
      <w:r w:rsidRPr="00461D74">
        <w:rPr>
          <w:rFonts w:ascii="Garamond" w:hAnsi="Garamond"/>
          <w:sz w:val="24"/>
          <w:szCs w:val="24"/>
        </w:rPr>
        <w:t>phenomenon</w:t>
      </w:r>
      <w:r w:rsidR="00670EB0">
        <w:rPr>
          <w:rFonts w:ascii="Garamond" w:hAnsi="Garamond"/>
          <w:sz w:val="24"/>
          <w:szCs w:val="24"/>
        </w:rPr>
        <w:t>,</w:t>
      </w:r>
      <w:r w:rsidRPr="00461D74">
        <w:rPr>
          <w:rFonts w:ascii="Garamond" w:hAnsi="Garamond"/>
          <w:sz w:val="24"/>
          <w:szCs w:val="24"/>
        </w:rPr>
        <w:t xml:space="preserve"> </w:t>
      </w:r>
      <w:r w:rsidR="00E426A6">
        <w:rPr>
          <w:rFonts w:ascii="Garamond" w:hAnsi="Garamond"/>
          <w:sz w:val="24"/>
          <w:szCs w:val="24"/>
        </w:rPr>
        <w:t xml:space="preserve">but also </w:t>
      </w:r>
      <w:r w:rsidRPr="00461D74">
        <w:rPr>
          <w:rFonts w:ascii="Garamond" w:hAnsi="Garamond"/>
          <w:sz w:val="24"/>
          <w:szCs w:val="24"/>
        </w:rPr>
        <w:t>those descriptions are</w:t>
      </w:r>
      <w:r w:rsidR="00FD1846">
        <w:rPr>
          <w:rFonts w:ascii="Garamond" w:hAnsi="Garamond"/>
          <w:sz w:val="24"/>
          <w:szCs w:val="24"/>
        </w:rPr>
        <w:t xml:space="preserve"> </w:t>
      </w:r>
      <w:r w:rsidRPr="00461D74">
        <w:rPr>
          <w:rFonts w:ascii="Garamond" w:hAnsi="Garamond"/>
          <w:sz w:val="24"/>
          <w:szCs w:val="24"/>
        </w:rPr>
        <w:t xml:space="preserve">accompanied by different </w:t>
      </w:r>
      <w:proofErr w:type="spellStart"/>
      <w:r w:rsidRPr="00461D74">
        <w:rPr>
          <w:rFonts w:ascii="Garamond" w:hAnsi="Garamond"/>
          <w:sz w:val="24"/>
          <w:szCs w:val="24"/>
        </w:rPr>
        <w:t>ontologies</w:t>
      </w:r>
      <w:proofErr w:type="spellEnd"/>
      <w:r w:rsidRPr="00461D74">
        <w:rPr>
          <w:rFonts w:ascii="Garamond" w:hAnsi="Garamond"/>
          <w:sz w:val="24"/>
          <w:szCs w:val="24"/>
        </w:rPr>
        <w:t>.</w:t>
      </w:r>
    </w:p>
    <w:p w:rsidR="00665157" w:rsidRDefault="00670EB0">
      <w:pPr>
        <w:spacing w:line="360" w:lineRule="auto"/>
        <w:ind w:firstLine="720"/>
        <w:jc w:val="both"/>
        <w:rPr>
          <w:rFonts w:ascii="Garamond" w:hAnsi="Garamond"/>
          <w:sz w:val="24"/>
          <w:szCs w:val="24"/>
        </w:rPr>
      </w:pPr>
      <w:r>
        <w:rPr>
          <w:rFonts w:ascii="Garamond" w:hAnsi="Garamond"/>
          <w:sz w:val="24"/>
          <w:szCs w:val="24"/>
        </w:rPr>
        <w:t>More than that</w:t>
      </w:r>
      <w:r w:rsidR="00E426A6">
        <w:rPr>
          <w:rFonts w:ascii="Garamond" w:hAnsi="Garamond"/>
          <w:sz w:val="24"/>
          <w:szCs w:val="24"/>
        </w:rPr>
        <w:t>,</w:t>
      </w:r>
      <w:r w:rsidR="00084BAA">
        <w:rPr>
          <w:rFonts w:ascii="Garamond" w:hAnsi="Garamond"/>
          <w:sz w:val="24"/>
          <w:szCs w:val="24"/>
        </w:rPr>
        <w:t xml:space="preserve"> the locus of scientific activity is its explanatory and descriptive basis; and this framework has often meant that scientists have had to endure extensive modifications and in some cases wholesale transformations of the </w:t>
      </w:r>
      <w:r w:rsidR="00016049" w:rsidRPr="00461D74">
        <w:rPr>
          <w:rFonts w:ascii="Garamond" w:hAnsi="Garamond"/>
          <w:sz w:val="24"/>
          <w:szCs w:val="24"/>
        </w:rPr>
        <w:t>theoretical paradigm</w:t>
      </w:r>
      <w:r w:rsidR="00084BAA">
        <w:rPr>
          <w:rFonts w:ascii="Garamond" w:hAnsi="Garamond"/>
          <w:sz w:val="24"/>
          <w:szCs w:val="24"/>
        </w:rPr>
        <w:t>, as part of the continuing activity and developments in science</w:t>
      </w:r>
      <w:r w:rsidR="00016049" w:rsidRPr="00461D74">
        <w:rPr>
          <w:rFonts w:ascii="Garamond" w:hAnsi="Garamond"/>
          <w:sz w:val="24"/>
          <w:szCs w:val="24"/>
        </w:rPr>
        <w:t xml:space="preserve">. </w:t>
      </w:r>
      <w:r w:rsidR="00084BAA">
        <w:rPr>
          <w:rFonts w:ascii="Garamond" w:hAnsi="Garamond"/>
          <w:sz w:val="24"/>
          <w:szCs w:val="24"/>
        </w:rPr>
        <w:t>For example, t</w:t>
      </w:r>
      <w:r w:rsidR="00016049" w:rsidRPr="00461D74">
        <w:rPr>
          <w:rFonts w:ascii="Garamond" w:hAnsi="Garamond"/>
          <w:sz w:val="24"/>
          <w:szCs w:val="24"/>
        </w:rPr>
        <w:t>he equation in Newtonian gravitational theory, under certain conditions, offers a correct account of the gravitational fields of a body. But we also know that Einstein’s general relativity has altered that picture dramatically and superseded the Newtonian paradigm. Even now, advances in theoretical physics specifically in quantum field theory are undermining Einstein’s picture of relativity.</w:t>
      </w:r>
    </w:p>
    <w:p w:rsidR="00665157" w:rsidRDefault="00016049">
      <w:pPr>
        <w:spacing w:line="360" w:lineRule="auto"/>
        <w:ind w:left="1440"/>
        <w:jc w:val="both"/>
        <w:rPr>
          <w:rFonts w:ascii="Garamond" w:hAnsi="Garamond"/>
        </w:rPr>
      </w:pPr>
      <w:r w:rsidRPr="00461D74">
        <w:rPr>
          <w:rFonts w:ascii="Garamond" w:hAnsi="Garamond"/>
        </w:rPr>
        <w:lastRenderedPageBreak/>
        <w:t xml:space="preserve">“Not only do single theories have a bewildering variety of alternative rational reconstructions (with quite different </w:t>
      </w:r>
      <w:proofErr w:type="spellStart"/>
      <w:r w:rsidRPr="00461D74">
        <w:rPr>
          <w:rFonts w:ascii="Garamond" w:hAnsi="Garamond"/>
        </w:rPr>
        <w:t>ontologies</w:t>
      </w:r>
      <w:proofErr w:type="spellEnd"/>
      <w:r w:rsidRPr="00461D74">
        <w:rPr>
          <w:rFonts w:ascii="Garamond" w:hAnsi="Garamond"/>
        </w:rPr>
        <w:t xml:space="preserve">); but there is no evidence at all for the claim (which is essential to </w:t>
      </w:r>
      <w:proofErr w:type="spellStart"/>
      <w:r w:rsidRPr="00461D74">
        <w:rPr>
          <w:rFonts w:ascii="Garamond" w:hAnsi="Garamond"/>
        </w:rPr>
        <w:t>Williams’s</w:t>
      </w:r>
      <w:proofErr w:type="spellEnd"/>
      <w:r w:rsidRPr="00461D74">
        <w:rPr>
          <w:rFonts w:ascii="Garamond" w:hAnsi="Garamond"/>
        </w:rPr>
        <w:t xml:space="preserve"> belief in an ‘absolute conception of the world’) that science converges to a single theory</w:t>
      </w:r>
      <w:r w:rsidR="008C2654" w:rsidRPr="00461D74">
        <w:rPr>
          <w:rFonts w:ascii="Garamond" w:hAnsi="Garamond"/>
        </w:rPr>
        <w:t xml:space="preserve">. I do not doubt that there is some convergence in scientific knowledge, and not just at the observational level. We know, for example, that certain equations are approximately correct descriptions of certain phenomena. Under certain conditions, the Poisson equation of Newtonian gravitational theory gives an approximately correct description of the gravitational field of a body. But the theoretical picture of Newtonian mechanics has been utterly changed by General Relativity; and the theoretical picture of General Relativity may in turn be utterly replaced by </w:t>
      </w:r>
      <w:proofErr w:type="spellStart"/>
      <w:r w:rsidR="008C2654" w:rsidRPr="00461D74">
        <w:rPr>
          <w:rFonts w:ascii="Garamond" w:hAnsi="Garamond"/>
        </w:rPr>
        <w:t>Supergravitation</w:t>
      </w:r>
      <w:proofErr w:type="spellEnd"/>
      <w:r w:rsidR="008C2654" w:rsidRPr="00461D74">
        <w:rPr>
          <w:rFonts w:ascii="Garamond" w:hAnsi="Garamond"/>
        </w:rPr>
        <w:t xml:space="preserve"> theory, or by some theory not yet imagined. </w:t>
      </w:r>
      <w:r w:rsidRPr="00461D74">
        <w:rPr>
          <w:rFonts w:ascii="Garamond" w:hAnsi="Garamond"/>
        </w:rPr>
        <w:t xml:space="preserve">We simply do not have the evidence to justify speculation as to whether or not science is ‘destined’ to converge to </w:t>
      </w:r>
      <w:proofErr w:type="spellStart"/>
      <w:r w:rsidRPr="00461D74">
        <w:rPr>
          <w:rFonts w:ascii="Garamond" w:hAnsi="Garamond"/>
        </w:rPr>
        <w:t>some one</w:t>
      </w:r>
      <w:proofErr w:type="spellEnd"/>
      <w:r w:rsidRPr="00461D74">
        <w:rPr>
          <w:rFonts w:ascii="Garamond" w:hAnsi="Garamond"/>
        </w:rPr>
        <w:t xml:space="preserve"> definite theoretical picture.”</w:t>
      </w:r>
      <w:r w:rsidR="008C2654" w:rsidRPr="00461D74">
        <w:rPr>
          <w:rStyle w:val="FootnoteReference"/>
          <w:rFonts w:ascii="Garamond" w:hAnsi="Garamond"/>
        </w:rPr>
        <w:footnoteReference w:id="286"/>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Thus, if we reject the </w:t>
      </w:r>
      <w:r w:rsidR="00084BAA">
        <w:rPr>
          <w:rFonts w:ascii="Garamond" w:hAnsi="Garamond"/>
          <w:sz w:val="24"/>
          <w:szCs w:val="24"/>
        </w:rPr>
        <w:t xml:space="preserve">as of yet unsupported and </w:t>
      </w:r>
      <w:r w:rsidR="008C2654" w:rsidRPr="00461D74">
        <w:rPr>
          <w:rFonts w:ascii="Garamond" w:hAnsi="Garamond"/>
          <w:sz w:val="24"/>
          <w:szCs w:val="24"/>
        </w:rPr>
        <w:t xml:space="preserve">unwarranted </w:t>
      </w:r>
      <w:r w:rsidRPr="00461D74">
        <w:rPr>
          <w:rFonts w:ascii="Garamond" w:hAnsi="Garamond"/>
          <w:sz w:val="24"/>
          <w:szCs w:val="24"/>
        </w:rPr>
        <w:t xml:space="preserve">assumption that science is </w:t>
      </w:r>
      <w:r w:rsidR="00182203" w:rsidRPr="00461D74">
        <w:rPr>
          <w:rFonts w:ascii="Garamond" w:hAnsi="Garamond"/>
          <w:sz w:val="24"/>
          <w:szCs w:val="24"/>
        </w:rPr>
        <w:t>‘</w:t>
      </w:r>
      <w:r w:rsidRPr="00461D74">
        <w:rPr>
          <w:rFonts w:ascii="Garamond" w:hAnsi="Garamond"/>
          <w:sz w:val="24"/>
          <w:szCs w:val="24"/>
        </w:rPr>
        <w:t>destined</w:t>
      </w:r>
      <w:r w:rsidR="00182203" w:rsidRPr="00461D74">
        <w:rPr>
          <w:rFonts w:ascii="Garamond" w:hAnsi="Garamond"/>
          <w:sz w:val="24"/>
          <w:szCs w:val="24"/>
        </w:rPr>
        <w:t>’</w:t>
      </w:r>
      <w:r w:rsidRPr="00461D74">
        <w:rPr>
          <w:rFonts w:ascii="Garamond" w:hAnsi="Garamond"/>
          <w:sz w:val="24"/>
          <w:szCs w:val="24"/>
        </w:rPr>
        <w:t xml:space="preserve"> to converge on a single theory with a distinct ontology, </w:t>
      </w:r>
      <w:r w:rsidR="008C2654" w:rsidRPr="00461D74">
        <w:rPr>
          <w:rFonts w:ascii="Garamond" w:hAnsi="Garamond"/>
          <w:sz w:val="24"/>
          <w:szCs w:val="24"/>
        </w:rPr>
        <w:t xml:space="preserve">the foundation for </w:t>
      </w:r>
      <w:r w:rsidRPr="00461D74">
        <w:rPr>
          <w:rFonts w:ascii="Garamond" w:hAnsi="Garamond"/>
          <w:sz w:val="24"/>
          <w:szCs w:val="24"/>
        </w:rPr>
        <w:t xml:space="preserve">Williams’ absolute conception of the world </w:t>
      </w:r>
      <w:r w:rsidR="008C2654" w:rsidRPr="00461D74">
        <w:rPr>
          <w:rFonts w:ascii="Garamond" w:hAnsi="Garamond"/>
          <w:sz w:val="24"/>
          <w:szCs w:val="24"/>
        </w:rPr>
        <w:t xml:space="preserve">becomes </w:t>
      </w:r>
      <w:r w:rsidR="00084BAA">
        <w:rPr>
          <w:rFonts w:ascii="Garamond" w:hAnsi="Garamond"/>
          <w:sz w:val="24"/>
          <w:szCs w:val="24"/>
        </w:rPr>
        <w:t xml:space="preserve">more and more </w:t>
      </w:r>
      <w:r w:rsidR="008C2654" w:rsidRPr="00461D74">
        <w:rPr>
          <w:rFonts w:ascii="Garamond" w:hAnsi="Garamond"/>
          <w:sz w:val="24"/>
          <w:szCs w:val="24"/>
        </w:rPr>
        <w:t>doubtful</w:t>
      </w:r>
      <w:r w:rsidR="00C5691D">
        <w:rPr>
          <w:rFonts w:ascii="Garamond" w:hAnsi="Garamond"/>
          <w:sz w:val="24"/>
          <w:szCs w:val="24"/>
        </w:rPr>
        <w:t>.</w:t>
      </w:r>
      <w:r w:rsidR="00E426A6">
        <w:rPr>
          <w:rFonts w:ascii="Garamond" w:hAnsi="Garamond"/>
          <w:sz w:val="24"/>
          <w:szCs w:val="24"/>
        </w:rPr>
        <w:t xml:space="preserve"> It therefore follows that </w:t>
      </w:r>
      <w:r w:rsidR="008C2654" w:rsidRPr="00461D74">
        <w:rPr>
          <w:rFonts w:ascii="Garamond" w:hAnsi="Garamond"/>
          <w:sz w:val="24"/>
          <w:szCs w:val="24"/>
        </w:rPr>
        <w:t xml:space="preserve">the </w:t>
      </w:r>
      <w:proofErr w:type="spellStart"/>
      <w:r w:rsidR="008C2654" w:rsidRPr="00461D74">
        <w:rPr>
          <w:rFonts w:ascii="Garamond" w:hAnsi="Garamond"/>
          <w:sz w:val="24"/>
          <w:szCs w:val="24"/>
        </w:rPr>
        <w:t>physicalist</w:t>
      </w:r>
      <w:proofErr w:type="spellEnd"/>
      <w:r w:rsidR="008C2654" w:rsidRPr="00461D74">
        <w:rPr>
          <w:rFonts w:ascii="Garamond" w:hAnsi="Garamond"/>
          <w:sz w:val="24"/>
          <w:szCs w:val="24"/>
        </w:rPr>
        <w:t xml:space="preserve"> argument </w:t>
      </w:r>
      <w:r w:rsidRPr="00461D74">
        <w:rPr>
          <w:rFonts w:ascii="Garamond" w:hAnsi="Garamond"/>
          <w:sz w:val="24"/>
          <w:szCs w:val="24"/>
        </w:rPr>
        <w:t xml:space="preserve">can no longer </w:t>
      </w:r>
      <w:r w:rsidR="00C5691D">
        <w:rPr>
          <w:rFonts w:ascii="Garamond" w:hAnsi="Garamond"/>
          <w:sz w:val="24"/>
          <w:szCs w:val="24"/>
        </w:rPr>
        <w:t xml:space="preserve">form the basis of </w:t>
      </w:r>
      <w:r w:rsidRPr="00461D74">
        <w:rPr>
          <w:rFonts w:ascii="Garamond" w:hAnsi="Garamond"/>
          <w:sz w:val="24"/>
          <w:szCs w:val="24"/>
        </w:rPr>
        <w:t>a strong (or</w:t>
      </w:r>
      <w:r w:rsidR="008C2654" w:rsidRPr="00461D74">
        <w:rPr>
          <w:rFonts w:ascii="Garamond" w:hAnsi="Garamond"/>
          <w:sz w:val="24"/>
          <w:szCs w:val="24"/>
        </w:rPr>
        <w:t xml:space="preserve"> metaphysical) </w:t>
      </w:r>
      <w:r w:rsidR="00C5691D" w:rsidRPr="00461D74">
        <w:rPr>
          <w:rFonts w:ascii="Garamond" w:hAnsi="Garamond"/>
          <w:sz w:val="24"/>
          <w:szCs w:val="24"/>
        </w:rPr>
        <w:t xml:space="preserve">distinction </w:t>
      </w:r>
      <w:r w:rsidR="00C5691D">
        <w:rPr>
          <w:rFonts w:ascii="Garamond" w:hAnsi="Garamond"/>
          <w:sz w:val="24"/>
          <w:szCs w:val="24"/>
        </w:rPr>
        <w:t>between ‘fact’ and ‘value.’</w:t>
      </w:r>
    </w:p>
    <w:p w:rsidR="00665157" w:rsidRDefault="00016049">
      <w:pPr>
        <w:spacing w:line="360" w:lineRule="auto"/>
        <w:ind w:firstLine="720"/>
        <w:jc w:val="both"/>
        <w:rPr>
          <w:rFonts w:ascii="Garamond" w:hAnsi="Garamond"/>
          <w:sz w:val="24"/>
          <w:szCs w:val="24"/>
        </w:rPr>
      </w:pPr>
      <w:r w:rsidRPr="00461D74">
        <w:rPr>
          <w:rFonts w:ascii="Garamond" w:hAnsi="Garamond"/>
          <w:sz w:val="24"/>
          <w:szCs w:val="24"/>
        </w:rPr>
        <w:t xml:space="preserve">In our discussion thus far, we have considered the main objection </w:t>
      </w:r>
      <w:r w:rsidR="00C5691D">
        <w:rPr>
          <w:rFonts w:ascii="Garamond" w:hAnsi="Garamond"/>
          <w:sz w:val="24"/>
          <w:szCs w:val="24"/>
        </w:rPr>
        <w:t xml:space="preserve">posed </w:t>
      </w:r>
      <w:r w:rsidRPr="00461D74">
        <w:rPr>
          <w:rFonts w:ascii="Garamond" w:hAnsi="Garamond"/>
          <w:sz w:val="24"/>
          <w:szCs w:val="24"/>
        </w:rPr>
        <w:t xml:space="preserve">by the defenders of the </w:t>
      </w:r>
      <w:r w:rsidR="00456918" w:rsidRPr="00461D74">
        <w:rPr>
          <w:rFonts w:ascii="Garamond" w:hAnsi="Garamond"/>
          <w:sz w:val="24"/>
          <w:szCs w:val="24"/>
        </w:rPr>
        <w:t>‘fact/value’</w:t>
      </w:r>
      <w:r w:rsidRPr="00461D74">
        <w:rPr>
          <w:rFonts w:ascii="Garamond" w:hAnsi="Garamond"/>
          <w:sz w:val="24"/>
          <w:szCs w:val="24"/>
        </w:rPr>
        <w:t xml:space="preserve"> dichotomy</w:t>
      </w:r>
      <w:r w:rsidR="00C5691D">
        <w:rPr>
          <w:rFonts w:ascii="Garamond" w:hAnsi="Garamond"/>
          <w:sz w:val="24"/>
          <w:szCs w:val="24"/>
        </w:rPr>
        <w:t xml:space="preserve"> –</w:t>
      </w:r>
      <w:r w:rsidRPr="00461D74">
        <w:rPr>
          <w:rFonts w:ascii="Garamond" w:hAnsi="Garamond"/>
          <w:sz w:val="24"/>
          <w:szCs w:val="24"/>
        </w:rPr>
        <w:t xml:space="preserve"> namely, that we can reduce thick concepts into descriptive and evaluative components </w:t>
      </w:r>
      <w:r w:rsidR="00C5691D">
        <w:rPr>
          <w:rFonts w:ascii="Garamond" w:hAnsi="Garamond"/>
          <w:sz w:val="24"/>
          <w:szCs w:val="24"/>
        </w:rPr>
        <w:t xml:space="preserve">– and </w:t>
      </w:r>
      <w:r w:rsidR="00E426A6">
        <w:rPr>
          <w:rFonts w:ascii="Garamond" w:hAnsi="Garamond"/>
          <w:sz w:val="24"/>
          <w:szCs w:val="24"/>
        </w:rPr>
        <w:t>we have seen that this position proves</w:t>
      </w:r>
      <w:r w:rsidRPr="00461D74">
        <w:rPr>
          <w:rFonts w:ascii="Garamond" w:hAnsi="Garamond"/>
          <w:sz w:val="24"/>
          <w:szCs w:val="24"/>
        </w:rPr>
        <w:t xml:space="preserve"> unsatisfactory. In addition, </w:t>
      </w:r>
      <w:r w:rsidR="00E426A6">
        <w:rPr>
          <w:rFonts w:ascii="Garamond" w:hAnsi="Garamond"/>
          <w:sz w:val="24"/>
          <w:szCs w:val="24"/>
        </w:rPr>
        <w:t xml:space="preserve">we </w:t>
      </w:r>
      <w:r w:rsidR="008B72ED">
        <w:rPr>
          <w:rFonts w:ascii="Garamond" w:hAnsi="Garamond"/>
          <w:sz w:val="24"/>
          <w:szCs w:val="24"/>
        </w:rPr>
        <w:t>observed</w:t>
      </w:r>
      <w:r w:rsidR="00E426A6">
        <w:rPr>
          <w:rFonts w:ascii="Garamond" w:hAnsi="Garamond"/>
          <w:sz w:val="24"/>
          <w:szCs w:val="24"/>
        </w:rPr>
        <w:t xml:space="preserve"> </w:t>
      </w:r>
      <w:r w:rsidR="008B72ED">
        <w:rPr>
          <w:rFonts w:ascii="Garamond" w:hAnsi="Garamond"/>
          <w:sz w:val="24"/>
          <w:szCs w:val="24"/>
        </w:rPr>
        <w:t xml:space="preserve">that </w:t>
      </w:r>
      <w:r w:rsidR="00E426A6">
        <w:rPr>
          <w:rFonts w:ascii="Garamond" w:hAnsi="Garamond"/>
          <w:sz w:val="24"/>
          <w:szCs w:val="24"/>
        </w:rPr>
        <w:t>Putnam argue</w:t>
      </w:r>
      <w:r w:rsidR="008B72ED">
        <w:rPr>
          <w:rFonts w:ascii="Garamond" w:hAnsi="Garamond"/>
          <w:sz w:val="24"/>
          <w:szCs w:val="24"/>
        </w:rPr>
        <w:t>s</w:t>
      </w:r>
      <w:r w:rsidR="00E426A6">
        <w:rPr>
          <w:rFonts w:ascii="Garamond" w:hAnsi="Garamond"/>
          <w:sz w:val="24"/>
          <w:szCs w:val="24"/>
        </w:rPr>
        <w:t xml:space="preserve"> that </w:t>
      </w:r>
      <w:r w:rsidRPr="00461D74">
        <w:rPr>
          <w:rFonts w:ascii="Garamond" w:hAnsi="Garamond"/>
          <w:sz w:val="24"/>
          <w:szCs w:val="24"/>
        </w:rPr>
        <w:t xml:space="preserve">the </w:t>
      </w:r>
      <w:proofErr w:type="spellStart"/>
      <w:r w:rsidRPr="00461D74">
        <w:rPr>
          <w:rFonts w:ascii="Garamond" w:hAnsi="Garamond"/>
          <w:sz w:val="24"/>
          <w:szCs w:val="24"/>
        </w:rPr>
        <w:t>physicalist</w:t>
      </w:r>
      <w:proofErr w:type="spellEnd"/>
      <w:r w:rsidRPr="00461D74">
        <w:rPr>
          <w:rFonts w:ascii="Garamond" w:hAnsi="Garamond"/>
          <w:sz w:val="24"/>
          <w:szCs w:val="24"/>
        </w:rPr>
        <w:t xml:space="preserve"> view defended by Williams</w:t>
      </w:r>
      <w:r w:rsidR="0079179F">
        <w:rPr>
          <w:rFonts w:ascii="Garamond" w:hAnsi="Garamond"/>
          <w:sz w:val="24"/>
          <w:szCs w:val="24"/>
        </w:rPr>
        <w:t>,</w:t>
      </w:r>
      <w:r w:rsidR="00E426A6">
        <w:rPr>
          <w:rFonts w:ascii="Garamond" w:hAnsi="Garamond"/>
          <w:sz w:val="24"/>
          <w:szCs w:val="24"/>
        </w:rPr>
        <w:t xml:space="preserve"> </w:t>
      </w:r>
      <w:r w:rsidR="008B72ED">
        <w:rPr>
          <w:rFonts w:ascii="Garamond" w:hAnsi="Garamond"/>
          <w:sz w:val="24"/>
          <w:szCs w:val="24"/>
        </w:rPr>
        <w:t>remains un</w:t>
      </w:r>
      <w:r w:rsidRPr="00461D74">
        <w:rPr>
          <w:rFonts w:ascii="Garamond" w:hAnsi="Garamond"/>
          <w:sz w:val="24"/>
          <w:szCs w:val="24"/>
        </w:rPr>
        <w:t xml:space="preserve">successful as an argument </w:t>
      </w:r>
      <w:r w:rsidR="00E426A6">
        <w:rPr>
          <w:rFonts w:ascii="Garamond" w:hAnsi="Garamond"/>
          <w:sz w:val="24"/>
          <w:szCs w:val="24"/>
        </w:rPr>
        <w:t>in support of the</w:t>
      </w:r>
      <w:r w:rsidRPr="00461D74">
        <w:rPr>
          <w:rFonts w:ascii="Garamond" w:hAnsi="Garamond"/>
          <w:sz w:val="24"/>
          <w:szCs w:val="24"/>
        </w:rPr>
        <w:t xml:space="preserve"> </w:t>
      </w:r>
      <w:r w:rsidR="00456918" w:rsidRPr="00461D74">
        <w:rPr>
          <w:rFonts w:ascii="Garamond" w:hAnsi="Garamond"/>
          <w:sz w:val="24"/>
          <w:szCs w:val="24"/>
        </w:rPr>
        <w:t>‘fact/value’</w:t>
      </w:r>
      <w:r w:rsidRPr="00461D74">
        <w:rPr>
          <w:rFonts w:ascii="Garamond" w:hAnsi="Garamond"/>
          <w:sz w:val="24"/>
          <w:szCs w:val="24"/>
        </w:rPr>
        <w:t xml:space="preserve"> dichotomy. Why? Because Williams’ </w:t>
      </w:r>
      <w:proofErr w:type="spellStart"/>
      <w:r w:rsidRPr="00461D74">
        <w:rPr>
          <w:rFonts w:ascii="Garamond" w:hAnsi="Garamond"/>
          <w:sz w:val="24"/>
          <w:szCs w:val="24"/>
        </w:rPr>
        <w:t>physicalist</w:t>
      </w:r>
      <w:proofErr w:type="spellEnd"/>
      <w:r w:rsidRPr="00461D74">
        <w:rPr>
          <w:rFonts w:ascii="Garamond" w:hAnsi="Garamond"/>
          <w:sz w:val="24"/>
          <w:szCs w:val="24"/>
        </w:rPr>
        <w:t xml:space="preserve"> argument isn’t really an argument for a</w:t>
      </w:r>
      <w:r w:rsidR="00C5691D">
        <w:rPr>
          <w:rFonts w:ascii="Garamond" w:hAnsi="Garamond"/>
          <w:sz w:val="24"/>
          <w:szCs w:val="24"/>
        </w:rPr>
        <w:t xml:space="preserve"> strong</w:t>
      </w:r>
      <w:r w:rsidRPr="00461D74">
        <w:rPr>
          <w:rFonts w:ascii="Garamond" w:hAnsi="Garamond"/>
          <w:sz w:val="24"/>
          <w:szCs w:val="24"/>
        </w:rPr>
        <w:t xml:space="preserve"> </w:t>
      </w:r>
      <w:r w:rsidR="00456918" w:rsidRPr="00461D74">
        <w:rPr>
          <w:rFonts w:ascii="Garamond" w:hAnsi="Garamond"/>
          <w:sz w:val="24"/>
          <w:szCs w:val="24"/>
        </w:rPr>
        <w:t>‘fact/value’</w:t>
      </w:r>
      <w:r w:rsidRPr="00461D74">
        <w:rPr>
          <w:rFonts w:ascii="Garamond" w:hAnsi="Garamond"/>
          <w:sz w:val="24"/>
          <w:szCs w:val="24"/>
        </w:rPr>
        <w:t xml:space="preserve"> dichotomy</w:t>
      </w:r>
      <w:r w:rsidR="00C5691D">
        <w:rPr>
          <w:rFonts w:ascii="Garamond" w:hAnsi="Garamond"/>
          <w:sz w:val="24"/>
          <w:szCs w:val="24"/>
        </w:rPr>
        <w:t>;</w:t>
      </w:r>
      <w:r w:rsidRPr="00461D74">
        <w:rPr>
          <w:rFonts w:ascii="Garamond" w:hAnsi="Garamond"/>
          <w:sz w:val="24"/>
          <w:szCs w:val="24"/>
        </w:rPr>
        <w:t xml:space="preserve"> </w:t>
      </w:r>
      <w:r w:rsidR="00C5691D">
        <w:rPr>
          <w:rFonts w:ascii="Garamond" w:hAnsi="Garamond"/>
          <w:sz w:val="24"/>
          <w:szCs w:val="24"/>
        </w:rPr>
        <w:t xml:space="preserve">instead, it </w:t>
      </w:r>
      <w:r w:rsidR="00C5691D">
        <w:rPr>
          <w:rFonts w:ascii="Garamond" w:hAnsi="Garamond"/>
          <w:sz w:val="24"/>
          <w:szCs w:val="24"/>
        </w:rPr>
        <w:lastRenderedPageBreak/>
        <w:t>seems to be</w:t>
      </w:r>
      <w:r w:rsidR="00C5691D" w:rsidRPr="00461D74">
        <w:rPr>
          <w:rFonts w:ascii="Garamond" w:hAnsi="Garamond"/>
          <w:sz w:val="24"/>
          <w:szCs w:val="24"/>
        </w:rPr>
        <w:t xml:space="preserve"> </w:t>
      </w:r>
      <w:r w:rsidRPr="00461D74">
        <w:rPr>
          <w:rFonts w:ascii="Garamond" w:hAnsi="Garamond"/>
          <w:sz w:val="24"/>
          <w:szCs w:val="24"/>
        </w:rPr>
        <w:t>an argument for a distinction between local facts, and absolute facts. I then argued</w:t>
      </w:r>
      <w:r w:rsidR="00C5691D">
        <w:rPr>
          <w:rFonts w:ascii="Garamond" w:hAnsi="Garamond"/>
          <w:sz w:val="24"/>
          <w:szCs w:val="24"/>
        </w:rPr>
        <w:t>, nevertheless,</w:t>
      </w:r>
      <w:r w:rsidRPr="00461D74">
        <w:rPr>
          <w:rFonts w:ascii="Garamond" w:hAnsi="Garamond"/>
          <w:sz w:val="24"/>
          <w:szCs w:val="24"/>
        </w:rPr>
        <w:t xml:space="preserve"> that a distinction between local and absolute fact isn’t really a</w:t>
      </w:r>
      <w:r w:rsidR="00C5691D">
        <w:rPr>
          <w:rFonts w:ascii="Garamond" w:hAnsi="Garamond"/>
          <w:sz w:val="24"/>
          <w:szCs w:val="24"/>
        </w:rPr>
        <w:t>n attractive</w:t>
      </w:r>
      <w:r w:rsidRPr="00461D74">
        <w:rPr>
          <w:rFonts w:ascii="Garamond" w:hAnsi="Garamond"/>
          <w:sz w:val="24"/>
          <w:szCs w:val="24"/>
        </w:rPr>
        <w:t xml:space="preserve"> option for </w:t>
      </w:r>
      <w:r w:rsidR="00C5691D">
        <w:rPr>
          <w:rFonts w:ascii="Garamond" w:hAnsi="Garamond"/>
          <w:sz w:val="24"/>
          <w:szCs w:val="24"/>
        </w:rPr>
        <w:t>the</w:t>
      </w:r>
      <w:r w:rsidRPr="00461D74">
        <w:rPr>
          <w:rFonts w:ascii="Garamond" w:hAnsi="Garamond"/>
          <w:sz w:val="24"/>
          <w:szCs w:val="24"/>
        </w:rPr>
        <w:t xml:space="preserve"> defend</w:t>
      </w:r>
      <w:r w:rsidR="00C5691D">
        <w:rPr>
          <w:rFonts w:ascii="Garamond" w:hAnsi="Garamond"/>
          <w:sz w:val="24"/>
          <w:szCs w:val="24"/>
        </w:rPr>
        <w:t>ers of</w:t>
      </w:r>
      <w:r w:rsidRPr="00461D74">
        <w:rPr>
          <w:rFonts w:ascii="Garamond" w:hAnsi="Garamond"/>
          <w:sz w:val="24"/>
          <w:szCs w:val="24"/>
        </w:rPr>
        <w:t xml:space="preserve"> the </w:t>
      </w:r>
      <w:r w:rsidR="00456918" w:rsidRPr="00461D74">
        <w:rPr>
          <w:rFonts w:ascii="Garamond" w:hAnsi="Garamond"/>
          <w:sz w:val="24"/>
          <w:szCs w:val="24"/>
        </w:rPr>
        <w:t>‘fact/value’</w:t>
      </w:r>
      <w:r w:rsidRPr="00461D74">
        <w:rPr>
          <w:rFonts w:ascii="Garamond" w:hAnsi="Garamond"/>
          <w:sz w:val="24"/>
          <w:szCs w:val="24"/>
        </w:rPr>
        <w:t xml:space="preserve"> dichotomy</w:t>
      </w:r>
      <w:r w:rsidR="00C5691D">
        <w:rPr>
          <w:rFonts w:ascii="Garamond" w:hAnsi="Garamond"/>
          <w:sz w:val="24"/>
          <w:szCs w:val="24"/>
        </w:rPr>
        <w:t xml:space="preserve">. </w:t>
      </w:r>
      <w:r w:rsidR="00EA1230">
        <w:rPr>
          <w:rFonts w:ascii="Garamond" w:hAnsi="Garamond"/>
          <w:sz w:val="24"/>
          <w:szCs w:val="24"/>
        </w:rPr>
        <w:t>T</w:t>
      </w:r>
      <w:r w:rsidR="00C5691D">
        <w:rPr>
          <w:rFonts w:ascii="Garamond" w:hAnsi="Garamond"/>
          <w:sz w:val="24"/>
          <w:szCs w:val="24"/>
        </w:rPr>
        <w:t xml:space="preserve">he reason for this is that when we </w:t>
      </w:r>
      <w:r w:rsidR="00EA1230">
        <w:rPr>
          <w:rFonts w:ascii="Garamond" w:hAnsi="Garamond"/>
          <w:sz w:val="24"/>
          <w:szCs w:val="24"/>
        </w:rPr>
        <w:t>carefully</w:t>
      </w:r>
      <w:r w:rsidR="00C5691D">
        <w:rPr>
          <w:rFonts w:ascii="Garamond" w:hAnsi="Garamond"/>
          <w:sz w:val="24"/>
          <w:szCs w:val="24"/>
        </w:rPr>
        <w:t xml:space="preserve"> </w:t>
      </w:r>
      <w:r w:rsidR="00EA1230">
        <w:rPr>
          <w:rFonts w:ascii="Garamond" w:hAnsi="Garamond"/>
          <w:sz w:val="24"/>
          <w:szCs w:val="24"/>
        </w:rPr>
        <w:t>consider the consequences that follow from</w:t>
      </w:r>
      <w:r w:rsidR="00C5691D">
        <w:rPr>
          <w:rFonts w:ascii="Garamond" w:hAnsi="Garamond"/>
          <w:sz w:val="24"/>
          <w:szCs w:val="24"/>
        </w:rPr>
        <w:t xml:space="preserve"> </w:t>
      </w:r>
      <w:r w:rsidRPr="00461D74">
        <w:rPr>
          <w:rFonts w:ascii="Garamond" w:hAnsi="Garamond"/>
          <w:sz w:val="24"/>
          <w:szCs w:val="24"/>
        </w:rPr>
        <w:t>Williams’ distinction</w:t>
      </w:r>
      <w:r w:rsidR="00EA1230">
        <w:rPr>
          <w:rFonts w:ascii="Garamond" w:hAnsi="Garamond"/>
          <w:sz w:val="24"/>
          <w:szCs w:val="24"/>
        </w:rPr>
        <w:t xml:space="preserve"> between local facts and absolute facts as a way of </w:t>
      </w:r>
      <w:r w:rsidR="00E426A6">
        <w:rPr>
          <w:rFonts w:ascii="Garamond" w:hAnsi="Garamond"/>
          <w:sz w:val="24"/>
          <w:szCs w:val="24"/>
        </w:rPr>
        <w:t>upholding</w:t>
      </w:r>
      <w:r w:rsidRPr="00461D74">
        <w:rPr>
          <w:rFonts w:ascii="Garamond" w:hAnsi="Garamond"/>
          <w:sz w:val="24"/>
          <w:szCs w:val="24"/>
        </w:rPr>
        <w:t xml:space="preserve"> the </w:t>
      </w:r>
      <w:r w:rsidR="00456918" w:rsidRPr="00461D74">
        <w:rPr>
          <w:rFonts w:ascii="Garamond" w:hAnsi="Garamond"/>
          <w:sz w:val="24"/>
          <w:szCs w:val="24"/>
        </w:rPr>
        <w:t>‘fact/value’</w:t>
      </w:r>
      <w:r w:rsidRPr="00461D74">
        <w:rPr>
          <w:rFonts w:ascii="Garamond" w:hAnsi="Garamond"/>
          <w:sz w:val="24"/>
          <w:szCs w:val="24"/>
        </w:rPr>
        <w:t xml:space="preserve"> dichotomy</w:t>
      </w:r>
      <w:r w:rsidR="00EA1230">
        <w:rPr>
          <w:rFonts w:ascii="Garamond" w:hAnsi="Garamond"/>
          <w:sz w:val="24"/>
          <w:szCs w:val="24"/>
        </w:rPr>
        <w:t>, it becomes painfully obvious that we end up</w:t>
      </w:r>
      <w:r w:rsidR="00C5691D">
        <w:rPr>
          <w:rFonts w:ascii="Garamond" w:hAnsi="Garamond"/>
          <w:sz w:val="24"/>
          <w:szCs w:val="24"/>
        </w:rPr>
        <w:t xml:space="preserve"> </w:t>
      </w:r>
      <w:r w:rsidRPr="00461D74">
        <w:rPr>
          <w:rFonts w:ascii="Garamond" w:hAnsi="Garamond"/>
          <w:sz w:val="24"/>
          <w:szCs w:val="24"/>
        </w:rPr>
        <w:t>greatly expand</w:t>
      </w:r>
      <w:r w:rsidR="00C5691D">
        <w:rPr>
          <w:rFonts w:ascii="Garamond" w:hAnsi="Garamond"/>
          <w:sz w:val="24"/>
          <w:szCs w:val="24"/>
        </w:rPr>
        <w:t>ing</w:t>
      </w:r>
      <w:r w:rsidRPr="00461D74">
        <w:rPr>
          <w:rFonts w:ascii="Garamond" w:hAnsi="Garamond"/>
          <w:sz w:val="24"/>
          <w:szCs w:val="24"/>
        </w:rPr>
        <w:t xml:space="preserve"> one side of the </w:t>
      </w:r>
      <w:r w:rsidR="00456918" w:rsidRPr="00461D74">
        <w:rPr>
          <w:rFonts w:ascii="Garamond" w:hAnsi="Garamond"/>
          <w:sz w:val="24"/>
          <w:szCs w:val="24"/>
        </w:rPr>
        <w:t>‘fact/value’</w:t>
      </w:r>
      <w:r w:rsidRPr="00461D74">
        <w:rPr>
          <w:rFonts w:ascii="Garamond" w:hAnsi="Garamond"/>
          <w:sz w:val="24"/>
          <w:szCs w:val="24"/>
        </w:rPr>
        <w:t xml:space="preserve"> dichotomy</w:t>
      </w:r>
      <w:r w:rsidR="00EA1230">
        <w:rPr>
          <w:rFonts w:ascii="Garamond" w:hAnsi="Garamond"/>
          <w:sz w:val="24"/>
          <w:szCs w:val="24"/>
        </w:rPr>
        <w:t xml:space="preserve"> –</w:t>
      </w:r>
      <w:r w:rsidR="00D2289A">
        <w:rPr>
          <w:rFonts w:ascii="Garamond" w:hAnsi="Garamond"/>
          <w:sz w:val="24"/>
          <w:szCs w:val="24"/>
        </w:rPr>
        <w:t xml:space="preserve"> </w:t>
      </w:r>
      <w:r w:rsidRPr="00461D74">
        <w:rPr>
          <w:rFonts w:ascii="Garamond" w:hAnsi="Garamond"/>
          <w:sz w:val="24"/>
          <w:szCs w:val="24"/>
        </w:rPr>
        <w:t>the value side</w:t>
      </w:r>
      <w:r w:rsidR="00493EDE">
        <w:rPr>
          <w:rFonts w:ascii="Garamond" w:hAnsi="Garamond"/>
          <w:sz w:val="24"/>
          <w:szCs w:val="24"/>
        </w:rPr>
        <w:t>, since local facts are observer/context dependent, and hence can no longer count as genuine facts</w:t>
      </w:r>
      <w:r w:rsidR="00EA1230">
        <w:rPr>
          <w:rFonts w:ascii="Garamond" w:hAnsi="Garamond"/>
          <w:sz w:val="24"/>
          <w:szCs w:val="24"/>
        </w:rPr>
        <w:t xml:space="preserve"> –</w:t>
      </w:r>
      <w:r w:rsidRPr="00461D74">
        <w:rPr>
          <w:rFonts w:ascii="Garamond" w:hAnsi="Garamond"/>
          <w:sz w:val="24"/>
          <w:szCs w:val="24"/>
        </w:rPr>
        <w:t xml:space="preserve"> to </w:t>
      </w:r>
      <w:r w:rsidR="00EA1230">
        <w:rPr>
          <w:rFonts w:ascii="Garamond" w:hAnsi="Garamond"/>
          <w:sz w:val="24"/>
          <w:szCs w:val="24"/>
        </w:rPr>
        <w:t xml:space="preserve">such </w:t>
      </w:r>
      <w:r w:rsidRPr="00461D74">
        <w:rPr>
          <w:rFonts w:ascii="Garamond" w:hAnsi="Garamond"/>
          <w:sz w:val="24"/>
          <w:szCs w:val="24"/>
        </w:rPr>
        <w:t>a degree that</w:t>
      </w:r>
      <w:r w:rsidR="00E426A6">
        <w:rPr>
          <w:rFonts w:ascii="Garamond" w:hAnsi="Garamond"/>
          <w:sz w:val="24"/>
          <w:szCs w:val="24"/>
        </w:rPr>
        <w:t xml:space="preserve"> it </w:t>
      </w:r>
      <w:r w:rsidR="00EA1230">
        <w:rPr>
          <w:rFonts w:ascii="Garamond" w:hAnsi="Garamond"/>
          <w:sz w:val="24"/>
          <w:szCs w:val="24"/>
        </w:rPr>
        <w:t xml:space="preserve">altogether </w:t>
      </w:r>
      <w:r w:rsidRPr="00461D74">
        <w:rPr>
          <w:rFonts w:ascii="Garamond" w:hAnsi="Garamond"/>
          <w:sz w:val="24"/>
          <w:szCs w:val="24"/>
        </w:rPr>
        <w:t>weaken</w:t>
      </w:r>
      <w:r w:rsidR="00EA1230">
        <w:rPr>
          <w:rFonts w:ascii="Garamond" w:hAnsi="Garamond"/>
          <w:sz w:val="24"/>
          <w:szCs w:val="24"/>
        </w:rPr>
        <w:t>s</w:t>
      </w:r>
      <w:r w:rsidRPr="00461D74">
        <w:rPr>
          <w:rFonts w:ascii="Garamond" w:hAnsi="Garamond"/>
          <w:sz w:val="24"/>
          <w:szCs w:val="24"/>
        </w:rPr>
        <w:t xml:space="preserve"> </w:t>
      </w:r>
      <w:r w:rsidR="00EA1230">
        <w:rPr>
          <w:rFonts w:ascii="Garamond" w:hAnsi="Garamond"/>
          <w:sz w:val="24"/>
          <w:szCs w:val="24"/>
        </w:rPr>
        <w:t>the</w:t>
      </w:r>
      <w:r w:rsidR="00EA1230" w:rsidRPr="00461D74">
        <w:rPr>
          <w:rFonts w:ascii="Garamond" w:hAnsi="Garamond"/>
          <w:sz w:val="24"/>
          <w:szCs w:val="24"/>
        </w:rPr>
        <w:t xml:space="preserve"> </w:t>
      </w:r>
      <w:r w:rsidR="00EA1230">
        <w:rPr>
          <w:rFonts w:ascii="Garamond" w:hAnsi="Garamond"/>
          <w:sz w:val="24"/>
          <w:szCs w:val="24"/>
        </w:rPr>
        <w:t>relevance and strength of the dichotomy</w:t>
      </w:r>
      <w:r w:rsidRPr="00461D74">
        <w:rPr>
          <w:rFonts w:ascii="Garamond" w:hAnsi="Garamond"/>
          <w:sz w:val="24"/>
          <w:szCs w:val="24"/>
        </w:rPr>
        <w:t>.</w:t>
      </w:r>
    </w:p>
    <w:p w:rsidR="00665157" w:rsidRDefault="00EA1230">
      <w:pPr>
        <w:spacing w:line="360" w:lineRule="auto"/>
        <w:ind w:firstLine="720"/>
        <w:jc w:val="both"/>
        <w:rPr>
          <w:rFonts w:ascii="Garamond" w:hAnsi="Garamond"/>
          <w:sz w:val="24"/>
          <w:szCs w:val="24"/>
        </w:rPr>
      </w:pPr>
      <w:r>
        <w:rPr>
          <w:rFonts w:ascii="Garamond" w:hAnsi="Garamond"/>
          <w:sz w:val="24"/>
          <w:szCs w:val="24"/>
        </w:rPr>
        <w:t>In the above discussion</w:t>
      </w:r>
      <w:r w:rsidR="00016049" w:rsidRPr="00461D74">
        <w:rPr>
          <w:rFonts w:ascii="Garamond" w:hAnsi="Garamond"/>
          <w:sz w:val="24"/>
          <w:szCs w:val="24"/>
        </w:rPr>
        <w:t xml:space="preserve">, I have utilised Putnam’s argument to show how entanglement between descriptive and normative components of thick concepts makes the whole enterprise of positing a strong </w:t>
      </w:r>
      <w:r w:rsidR="00456918" w:rsidRPr="00461D74">
        <w:rPr>
          <w:rFonts w:ascii="Garamond" w:hAnsi="Garamond"/>
          <w:sz w:val="24"/>
          <w:szCs w:val="24"/>
        </w:rPr>
        <w:t>‘fact/value’</w:t>
      </w:r>
      <w:r w:rsidR="00016049" w:rsidRPr="00461D74">
        <w:rPr>
          <w:rFonts w:ascii="Garamond" w:hAnsi="Garamond"/>
          <w:sz w:val="24"/>
          <w:szCs w:val="24"/>
        </w:rPr>
        <w:t xml:space="preserve"> distinction suspect. </w:t>
      </w:r>
      <w:r w:rsidR="00AB447D">
        <w:rPr>
          <w:rFonts w:ascii="Garamond" w:hAnsi="Garamond"/>
          <w:sz w:val="24"/>
          <w:szCs w:val="24"/>
        </w:rPr>
        <w:t>Now f</w:t>
      </w:r>
      <w:r w:rsidR="00AB447D" w:rsidRPr="00461D74">
        <w:rPr>
          <w:rFonts w:ascii="Garamond" w:hAnsi="Garamond"/>
          <w:sz w:val="24"/>
          <w:szCs w:val="24"/>
        </w:rPr>
        <w:t xml:space="preserve">or my purposes, I will accept that Putnam’s account is largely correct. The upshot of his arguments is that it is not reasonable to maintain a strong ‘fact/value’ distinction, because descriptive and evaluative terms are often entangled. </w:t>
      </w:r>
      <w:r w:rsidR="00016049" w:rsidRPr="00461D74">
        <w:rPr>
          <w:rFonts w:ascii="Garamond" w:hAnsi="Garamond"/>
          <w:sz w:val="24"/>
          <w:szCs w:val="24"/>
        </w:rPr>
        <w:t>Therefore</w:t>
      </w:r>
      <w:r w:rsidR="00AB447D">
        <w:rPr>
          <w:rFonts w:ascii="Garamond" w:hAnsi="Garamond"/>
          <w:sz w:val="24"/>
          <w:szCs w:val="24"/>
        </w:rPr>
        <w:t>,</w:t>
      </w:r>
      <w:r w:rsidR="00016049" w:rsidRPr="00461D74">
        <w:rPr>
          <w:rFonts w:ascii="Garamond" w:hAnsi="Garamond"/>
          <w:sz w:val="24"/>
          <w:szCs w:val="24"/>
        </w:rPr>
        <w:t xml:space="preserve"> if </w:t>
      </w:r>
      <w:r w:rsidR="00AB447D">
        <w:rPr>
          <w:rFonts w:ascii="Garamond" w:hAnsi="Garamond"/>
          <w:sz w:val="24"/>
          <w:szCs w:val="24"/>
        </w:rPr>
        <w:t>I have correctly used</w:t>
      </w:r>
      <w:r w:rsidR="00016049" w:rsidRPr="00461D74">
        <w:rPr>
          <w:rFonts w:ascii="Garamond" w:hAnsi="Garamond"/>
          <w:sz w:val="24"/>
          <w:szCs w:val="24"/>
        </w:rPr>
        <w:t xml:space="preserve"> Putnam </w:t>
      </w:r>
      <w:r w:rsidR="00AB447D">
        <w:rPr>
          <w:rFonts w:ascii="Garamond" w:hAnsi="Garamond"/>
          <w:sz w:val="24"/>
          <w:szCs w:val="24"/>
        </w:rPr>
        <w:t xml:space="preserve">in my effort </w:t>
      </w:r>
      <w:r w:rsidR="00016049" w:rsidRPr="00461D74">
        <w:rPr>
          <w:rFonts w:ascii="Garamond" w:hAnsi="Garamond"/>
          <w:sz w:val="24"/>
          <w:szCs w:val="24"/>
        </w:rPr>
        <w:t xml:space="preserve">to undermine </w:t>
      </w:r>
      <w:r w:rsidR="00AB447D">
        <w:rPr>
          <w:rFonts w:ascii="Garamond" w:hAnsi="Garamond"/>
          <w:sz w:val="24"/>
          <w:szCs w:val="24"/>
        </w:rPr>
        <w:t xml:space="preserve">the basis for </w:t>
      </w:r>
      <w:r w:rsidR="00016049" w:rsidRPr="00461D74">
        <w:rPr>
          <w:rFonts w:ascii="Garamond" w:hAnsi="Garamond"/>
          <w:sz w:val="24"/>
          <w:szCs w:val="24"/>
        </w:rPr>
        <w:t xml:space="preserve">a strong </w:t>
      </w:r>
      <w:r w:rsidR="00456918" w:rsidRPr="00461D74">
        <w:rPr>
          <w:rFonts w:ascii="Garamond" w:hAnsi="Garamond"/>
          <w:sz w:val="24"/>
          <w:szCs w:val="24"/>
        </w:rPr>
        <w:t>‘fact/value’</w:t>
      </w:r>
      <w:r w:rsidR="00016049" w:rsidRPr="00461D74">
        <w:rPr>
          <w:rFonts w:ascii="Garamond" w:hAnsi="Garamond"/>
          <w:sz w:val="24"/>
          <w:szCs w:val="24"/>
        </w:rPr>
        <w:t xml:space="preserve"> and </w:t>
      </w:r>
      <w:r w:rsidR="00456918" w:rsidRPr="00461D74">
        <w:rPr>
          <w:rFonts w:ascii="Garamond" w:hAnsi="Garamond"/>
          <w:sz w:val="24"/>
          <w:szCs w:val="24"/>
        </w:rPr>
        <w:t>‘science/ethics’</w:t>
      </w:r>
      <w:r w:rsidR="00016049" w:rsidRPr="00461D74">
        <w:rPr>
          <w:rFonts w:ascii="Garamond" w:hAnsi="Garamond"/>
          <w:sz w:val="24"/>
          <w:szCs w:val="24"/>
        </w:rPr>
        <w:t xml:space="preserve"> distinction, then</w:t>
      </w:r>
      <w:r w:rsidR="00893D40">
        <w:rPr>
          <w:rFonts w:ascii="Garamond" w:hAnsi="Garamond"/>
          <w:sz w:val="24"/>
          <w:szCs w:val="24"/>
        </w:rPr>
        <w:t xml:space="preserve"> (as Dewey suggests)</w:t>
      </w:r>
      <w:r w:rsidR="00016049" w:rsidRPr="00461D74">
        <w:rPr>
          <w:rFonts w:ascii="Garamond" w:hAnsi="Garamond"/>
          <w:sz w:val="24"/>
          <w:szCs w:val="24"/>
        </w:rPr>
        <w:t xml:space="preserve"> </w:t>
      </w:r>
      <w:r w:rsidR="00AB447D">
        <w:rPr>
          <w:rFonts w:ascii="Garamond" w:hAnsi="Garamond"/>
          <w:sz w:val="24"/>
          <w:szCs w:val="24"/>
        </w:rPr>
        <w:t xml:space="preserve">it seems </w:t>
      </w:r>
      <w:r w:rsidR="00016049" w:rsidRPr="00461D74">
        <w:rPr>
          <w:rFonts w:ascii="Garamond" w:hAnsi="Garamond"/>
          <w:sz w:val="24"/>
          <w:szCs w:val="24"/>
        </w:rPr>
        <w:t>we can utilise method</w:t>
      </w:r>
      <w:r w:rsidR="00AB447D">
        <w:rPr>
          <w:rFonts w:ascii="Garamond" w:hAnsi="Garamond"/>
          <w:sz w:val="24"/>
          <w:szCs w:val="24"/>
        </w:rPr>
        <w:t>s</w:t>
      </w:r>
      <w:r w:rsidR="00016049" w:rsidRPr="00461D74">
        <w:rPr>
          <w:rFonts w:ascii="Garamond" w:hAnsi="Garamond"/>
          <w:sz w:val="24"/>
          <w:szCs w:val="24"/>
        </w:rPr>
        <w:t xml:space="preserve"> of </w:t>
      </w:r>
      <w:r w:rsidR="00893D40">
        <w:rPr>
          <w:rFonts w:ascii="Garamond" w:hAnsi="Garamond"/>
          <w:sz w:val="24"/>
          <w:szCs w:val="24"/>
        </w:rPr>
        <w:t xml:space="preserve">rational </w:t>
      </w:r>
      <w:r w:rsidR="00016049" w:rsidRPr="00461D74">
        <w:rPr>
          <w:rFonts w:ascii="Garamond" w:hAnsi="Garamond"/>
          <w:sz w:val="24"/>
          <w:szCs w:val="24"/>
        </w:rPr>
        <w:t>inquiry</w:t>
      </w:r>
      <w:r w:rsidR="00AB447D">
        <w:rPr>
          <w:rFonts w:ascii="Garamond" w:hAnsi="Garamond"/>
          <w:sz w:val="24"/>
          <w:szCs w:val="24"/>
        </w:rPr>
        <w:t xml:space="preserve"> in areas outside science</w:t>
      </w:r>
      <w:r w:rsidR="00016049" w:rsidRPr="00461D74">
        <w:rPr>
          <w:rFonts w:ascii="Garamond" w:hAnsi="Garamond"/>
          <w:sz w:val="24"/>
          <w:szCs w:val="24"/>
        </w:rPr>
        <w:t>.</w:t>
      </w:r>
    </w:p>
    <w:p w:rsidR="00665157" w:rsidRDefault="00665157">
      <w:pPr>
        <w:spacing w:line="360" w:lineRule="auto"/>
        <w:ind w:firstLine="720"/>
        <w:jc w:val="both"/>
        <w:rPr>
          <w:rFonts w:ascii="Garamond" w:hAnsi="Garamond" w:cs="Arial"/>
          <w:iCs/>
          <w:color w:val="2C221F"/>
          <w:sz w:val="24"/>
          <w:szCs w:val="24"/>
        </w:rPr>
      </w:pPr>
    </w:p>
    <w:p w:rsidR="00665157" w:rsidRDefault="001C62D0">
      <w:pPr>
        <w:pStyle w:val="Heading2"/>
        <w:spacing w:line="360" w:lineRule="auto"/>
        <w:jc w:val="both"/>
        <w:rPr>
          <w:rFonts w:cstheme="majorHAnsi"/>
        </w:rPr>
      </w:pPr>
      <w:bookmarkStart w:id="31" w:name="_Toc528077813"/>
      <w:r>
        <w:rPr>
          <w:rFonts w:cstheme="majorHAnsi"/>
        </w:rPr>
        <w:t>7</w:t>
      </w:r>
      <w:r w:rsidR="0035042F" w:rsidRPr="00331208">
        <w:rPr>
          <w:rFonts w:cstheme="majorHAnsi"/>
        </w:rPr>
        <w:t>. Concluding Remarks</w:t>
      </w:r>
      <w:bookmarkEnd w:id="31"/>
    </w:p>
    <w:p w:rsidR="00665157" w:rsidRDefault="00665157">
      <w:pPr>
        <w:spacing w:line="360" w:lineRule="auto"/>
        <w:jc w:val="both"/>
        <w:rPr>
          <w:rFonts w:ascii="Garamond" w:hAnsi="Garamond"/>
          <w:lang w:val="en-GB" w:eastAsia="en-US"/>
        </w:rPr>
      </w:pPr>
    </w:p>
    <w:p w:rsidR="003519B2" w:rsidRDefault="00654AB4" w:rsidP="003519B2">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 xml:space="preserve">In </w:t>
      </w:r>
      <w:r w:rsidR="00153C35" w:rsidRPr="00461D74">
        <w:rPr>
          <w:rFonts w:ascii="Garamond" w:hAnsi="Garamond" w:cstheme="minorHAnsi"/>
          <w:sz w:val="24"/>
          <w:szCs w:val="24"/>
          <w:lang w:val="en-GB"/>
        </w:rPr>
        <w:t xml:space="preserve">this </w:t>
      </w:r>
      <w:r w:rsidRPr="00461D74">
        <w:rPr>
          <w:rFonts w:ascii="Garamond" w:hAnsi="Garamond" w:cstheme="minorHAnsi"/>
          <w:sz w:val="24"/>
          <w:szCs w:val="24"/>
          <w:lang w:val="en-GB"/>
        </w:rPr>
        <w:t>chapter</w:t>
      </w:r>
      <w:r w:rsidR="00153C35" w:rsidRPr="00461D74">
        <w:rPr>
          <w:rFonts w:ascii="Garamond" w:hAnsi="Garamond" w:cstheme="minorHAnsi"/>
          <w:sz w:val="24"/>
          <w:szCs w:val="24"/>
          <w:lang w:val="en-GB"/>
        </w:rPr>
        <w:t>,</w:t>
      </w:r>
      <w:r w:rsidRPr="00461D74">
        <w:rPr>
          <w:rFonts w:ascii="Garamond" w:hAnsi="Garamond" w:cstheme="minorHAnsi"/>
          <w:sz w:val="24"/>
          <w:szCs w:val="24"/>
          <w:lang w:val="en-GB"/>
        </w:rPr>
        <w:t xml:space="preserve"> I </w:t>
      </w:r>
      <w:r w:rsidR="00405A84" w:rsidRPr="00461D74">
        <w:rPr>
          <w:rFonts w:ascii="Garamond" w:hAnsi="Garamond" w:cstheme="minorHAnsi"/>
          <w:sz w:val="24"/>
          <w:szCs w:val="24"/>
          <w:lang w:val="en-GB"/>
        </w:rPr>
        <w:t xml:space="preserve">first argued that since MacIntyre’s explanation for the wrongful decline of Thomism isn’t persuasive, the lack of a viable teleology poses a major dilemma for his position. I </w:t>
      </w:r>
      <w:r w:rsidR="00513415" w:rsidRPr="00461D74">
        <w:rPr>
          <w:rFonts w:ascii="Garamond" w:hAnsi="Garamond" w:cstheme="minorHAnsi"/>
          <w:sz w:val="24"/>
          <w:szCs w:val="24"/>
          <w:lang w:val="en-GB"/>
        </w:rPr>
        <w:t>argued</w:t>
      </w:r>
      <w:r w:rsidR="00405A84" w:rsidRPr="00461D74">
        <w:rPr>
          <w:rFonts w:ascii="Garamond" w:hAnsi="Garamond" w:cstheme="minorHAnsi"/>
          <w:sz w:val="24"/>
          <w:szCs w:val="24"/>
          <w:lang w:val="en-GB"/>
        </w:rPr>
        <w:t xml:space="preserve"> that Dewey’s </w:t>
      </w:r>
      <w:r w:rsidR="003725DD" w:rsidRPr="00461D74">
        <w:rPr>
          <w:rFonts w:ascii="Garamond" w:hAnsi="Garamond" w:cstheme="minorHAnsi"/>
          <w:sz w:val="24"/>
          <w:szCs w:val="24"/>
          <w:lang w:val="en-GB"/>
        </w:rPr>
        <w:t xml:space="preserve">idea of </w:t>
      </w:r>
      <w:r w:rsidR="00405A84" w:rsidRPr="00461D74">
        <w:rPr>
          <w:rFonts w:ascii="Garamond" w:hAnsi="Garamond" w:cstheme="minorHAnsi"/>
          <w:sz w:val="24"/>
          <w:szCs w:val="24"/>
          <w:lang w:val="en-GB"/>
        </w:rPr>
        <w:t xml:space="preserve">democracy as a way of life </w:t>
      </w:r>
      <w:r w:rsidR="00253193">
        <w:rPr>
          <w:rFonts w:ascii="Garamond" w:hAnsi="Garamond" w:cstheme="minorHAnsi"/>
          <w:sz w:val="24"/>
          <w:szCs w:val="24"/>
          <w:lang w:val="en-GB"/>
        </w:rPr>
        <w:t>can be fruitfully read</w:t>
      </w:r>
      <w:r w:rsidR="00513415" w:rsidRPr="00461D74">
        <w:rPr>
          <w:rFonts w:ascii="Garamond" w:hAnsi="Garamond" w:cstheme="minorHAnsi"/>
          <w:sz w:val="24"/>
          <w:szCs w:val="24"/>
          <w:lang w:val="en-GB"/>
        </w:rPr>
        <w:t xml:space="preserve"> as a form of social-</w:t>
      </w:r>
      <w:r w:rsidR="00405A84" w:rsidRPr="00461D74">
        <w:rPr>
          <w:rFonts w:ascii="Garamond" w:hAnsi="Garamond" w:cstheme="minorHAnsi"/>
          <w:sz w:val="24"/>
          <w:szCs w:val="24"/>
          <w:lang w:val="en-GB"/>
        </w:rPr>
        <w:t>political conception</w:t>
      </w:r>
      <w:r w:rsidR="00253193">
        <w:rPr>
          <w:rFonts w:ascii="Garamond" w:hAnsi="Garamond" w:cstheme="minorHAnsi"/>
          <w:sz w:val="24"/>
          <w:szCs w:val="24"/>
          <w:lang w:val="en-GB"/>
        </w:rPr>
        <w:t xml:space="preserve"> that amounts to a distinctive conception</w:t>
      </w:r>
      <w:r w:rsidR="00405A84" w:rsidRPr="00461D74">
        <w:rPr>
          <w:rFonts w:ascii="Garamond" w:hAnsi="Garamond" w:cstheme="minorHAnsi"/>
          <w:sz w:val="24"/>
          <w:szCs w:val="24"/>
          <w:lang w:val="en-GB"/>
        </w:rPr>
        <w:t xml:space="preserve"> of flourishing</w:t>
      </w:r>
      <w:r w:rsidR="00253193">
        <w:rPr>
          <w:rFonts w:ascii="Garamond" w:hAnsi="Garamond" w:cstheme="minorHAnsi"/>
          <w:sz w:val="24"/>
          <w:szCs w:val="24"/>
          <w:lang w:val="en-GB"/>
        </w:rPr>
        <w:t xml:space="preserve">. Now, the implication here is that Deweyan </w:t>
      </w:r>
      <w:r w:rsidR="00253193">
        <w:rPr>
          <w:rFonts w:ascii="Garamond" w:hAnsi="Garamond" w:cstheme="minorHAnsi"/>
          <w:sz w:val="24"/>
          <w:szCs w:val="24"/>
          <w:lang w:val="en-GB"/>
        </w:rPr>
        <w:lastRenderedPageBreak/>
        <w:t>democracy</w:t>
      </w:r>
      <w:r w:rsidR="00253193" w:rsidRPr="00461D74">
        <w:rPr>
          <w:rFonts w:ascii="Garamond" w:hAnsi="Garamond" w:cstheme="minorHAnsi"/>
          <w:sz w:val="24"/>
          <w:szCs w:val="24"/>
          <w:lang w:val="en-GB"/>
        </w:rPr>
        <w:t xml:space="preserve"> </w:t>
      </w:r>
      <w:r w:rsidR="00253193">
        <w:rPr>
          <w:rFonts w:ascii="Garamond" w:hAnsi="Garamond" w:cstheme="minorHAnsi"/>
          <w:sz w:val="24"/>
          <w:szCs w:val="24"/>
          <w:lang w:val="en-GB"/>
        </w:rPr>
        <w:t>affords</w:t>
      </w:r>
      <w:r w:rsidR="00253193" w:rsidRPr="00461D74">
        <w:rPr>
          <w:rFonts w:ascii="Garamond" w:hAnsi="Garamond" w:cstheme="minorHAnsi"/>
          <w:sz w:val="24"/>
          <w:szCs w:val="24"/>
          <w:lang w:val="en-GB"/>
        </w:rPr>
        <w:t xml:space="preserve"> </w:t>
      </w:r>
      <w:r w:rsidR="00253193">
        <w:rPr>
          <w:rFonts w:ascii="Garamond" w:hAnsi="Garamond" w:cstheme="minorHAnsi"/>
          <w:sz w:val="24"/>
          <w:szCs w:val="24"/>
          <w:lang w:val="en-GB"/>
        </w:rPr>
        <w:t xml:space="preserve">us the basis for </w:t>
      </w:r>
      <w:r w:rsidR="00405A84" w:rsidRPr="00461D74">
        <w:rPr>
          <w:rFonts w:ascii="Garamond" w:hAnsi="Garamond" w:cstheme="minorHAnsi"/>
          <w:sz w:val="24"/>
          <w:szCs w:val="24"/>
          <w:lang w:val="en-GB"/>
        </w:rPr>
        <w:t xml:space="preserve">a teleological framework, and </w:t>
      </w:r>
      <w:r w:rsidR="00B008D5">
        <w:rPr>
          <w:rFonts w:ascii="Garamond" w:hAnsi="Garamond" w:cstheme="minorHAnsi"/>
          <w:sz w:val="24"/>
          <w:szCs w:val="24"/>
          <w:lang w:val="en-GB"/>
        </w:rPr>
        <w:t xml:space="preserve">that </w:t>
      </w:r>
      <w:r w:rsidR="00253193">
        <w:rPr>
          <w:rFonts w:ascii="Garamond" w:hAnsi="Garamond" w:cstheme="minorHAnsi"/>
          <w:sz w:val="24"/>
          <w:szCs w:val="24"/>
          <w:lang w:val="en-GB"/>
        </w:rPr>
        <w:t xml:space="preserve">his </w:t>
      </w:r>
      <w:r w:rsidR="00405A84" w:rsidRPr="00461D74">
        <w:rPr>
          <w:rFonts w:ascii="Garamond" w:hAnsi="Garamond" w:cstheme="minorHAnsi"/>
          <w:sz w:val="24"/>
          <w:szCs w:val="24"/>
          <w:lang w:val="en-GB"/>
        </w:rPr>
        <w:t>account</w:t>
      </w:r>
      <w:r w:rsidR="00B008D5">
        <w:rPr>
          <w:rFonts w:ascii="Garamond" w:hAnsi="Garamond" w:cstheme="minorHAnsi"/>
          <w:sz w:val="24"/>
          <w:szCs w:val="24"/>
          <w:lang w:val="en-GB"/>
        </w:rPr>
        <w:t>,</w:t>
      </w:r>
      <w:r w:rsidR="00405A84" w:rsidRPr="00461D74">
        <w:rPr>
          <w:rFonts w:ascii="Garamond" w:hAnsi="Garamond" w:cstheme="minorHAnsi"/>
          <w:sz w:val="24"/>
          <w:szCs w:val="24"/>
          <w:lang w:val="en-GB"/>
        </w:rPr>
        <w:t xml:space="preserve"> is well placed to fill </w:t>
      </w:r>
      <w:r w:rsidR="00253193">
        <w:rPr>
          <w:rFonts w:ascii="Garamond" w:hAnsi="Garamond" w:cstheme="minorHAnsi"/>
          <w:sz w:val="24"/>
          <w:szCs w:val="24"/>
          <w:lang w:val="en-GB"/>
        </w:rPr>
        <w:t>a</w:t>
      </w:r>
      <w:r w:rsidR="00253193" w:rsidRPr="00461D74">
        <w:rPr>
          <w:rFonts w:ascii="Garamond" w:hAnsi="Garamond" w:cstheme="minorHAnsi"/>
          <w:sz w:val="24"/>
          <w:szCs w:val="24"/>
          <w:lang w:val="en-GB"/>
        </w:rPr>
        <w:t xml:space="preserve"> </w:t>
      </w:r>
      <w:r w:rsidR="00405A84" w:rsidRPr="00461D74">
        <w:rPr>
          <w:rFonts w:ascii="Garamond" w:hAnsi="Garamond" w:cstheme="minorHAnsi"/>
          <w:sz w:val="24"/>
          <w:szCs w:val="24"/>
          <w:lang w:val="en-GB"/>
        </w:rPr>
        <w:t xml:space="preserve">critical gap in MacIntyre’s </w:t>
      </w:r>
      <w:r w:rsidR="00B008D5">
        <w:rPr>
          <w:rFonts w:ascii="Garamond" w:hAnsi="Garamond" w:cstheme="minorHAnsi"/>
          <w:sz w:val="24"/>
          <w:szCs w:val="24"/>
          <w:lang w:val="en-GB"/>
        </w:rPr>
        <w:t>project</w:t>
      </w:r>
      <w:r w:rsidR="00405A84" w:rsidRPr="00461D74">
        <w:rPr>
          <w:rFonts w:ascii="Garamond" w:hAnsi="Garamond" w:cstheme="minorHAnsi"/>
          <w:sz w:val="24"/>
          <w:szCs w:val="24"/>
          <w:lang w:val="en-GB"/>
        </w:rPr>
        <w:t>.</w:t>
      </w:r>
    </w:p>
    <w:p w:rsidR="00665157" w:rsidRDefault="00513415">
      <w:pPr>
        <w:spacing w:line="360" w:lineRule="auto"/>
        <w:ind w:firstLine="720"/>
        <w:jc w:val="both"/>
        <w:rPr>
          <w:rFonts w:ascii="Garamond" w:hAnsi="Garamond"/>
          <w:sz w:val="24"/>
          <w:szCs w:val="24"/>
        </w:rPr>
      </w:pPr>
      <w:r w:rsidRPr="00461D74">
        <w:rPr>
          <w:rFonts w:ascii="Garamond" w:hAnsi="Garamond"/>
          <w:sz w:val="24"/>
          <w:szCs w:val="24"/>
        </w:rPr>
        <w:t xml:space="preserve">In considering Deweyan democracy, we observed that Dewey’s method of cooperative inquiry implicit in democracy as a way of life aims at creating the conditions under which members of the community participate as co-equal interlocutors in order to ameliorate social problems. Therefore, a Deweyan form of inquiry in ethics, viewed as a problem solving methodology with respect to social and normative problems, appears to be plausible. Here, the amelioration of normative/social problems through democratic cooperative inquiry renders Dewey’s conception of </w:t>
      </w:r>
      <w:r w:rsidR="00893D40">
        <w:rPr>
          <w:rFonts w:ascii="Garamond" w:hAnsi="Garamond"/>
          <w:sz w:val="24"/>
          <w:szCs w:val="24"/>
        </w:rPr>
        <w:t>g</w:t>
      </w:r>
      <w:r w:rsidRPr="00461D74">
        <w:rPr>
          <w:rFonts w:ascii="Garamond" w:hAnsi="Garamond"/>
          <w:sz w:val="24"/>
          <w:szCs w:val="24"/>
        </w:rPr>
        <w:t xml:space="preserve">rowth and flourishing coherent. We can then make sense of Dewey’s teleology and his conception of </w:t>
      </w:r>
      <w:r w:rsidR="00893D40">
        <w:rPr>
          <w:rFonts w:ascii="Garamond" w:hAnsi="Garamond"/>
          <w:sz w:val="24"/>
          <w:szCs w:val="24"/>
        </w:rPr>
        <w:t>g</w:t>
      </w:r>
      <w:r w:rsidRPr="00461D74">
        <w:rPr>
          <w:rFonts w:ascii="Garamond" w:hAnsi="Garamond"/>
          <w:sz w:val="24"/>
          <w:szCs w:val="24"/>
        </w:rPr>
        <w:t xml:space="preserve">rowth, precisely because </w:t>
      </w:r>
      <w:r w:rsidR="00893D40">
        <w:rPr>
          <w:rFonts w:ascii="Garamond" w:hAnsi="Garamond"/>
          <w:sz w:val="24"/>
          <w:szCs w:val="24"/>
        </w:rPr>
        <w:t>g</w:t>
      </w:r>
      <w:r w:rsidRPr="00461D74">
        <w:rPr>
          <w:rFonts w:ascii="Garamond" w:hAnsi="Garamond"/>
          <w:sz w:val="24"/>
          <w:szCs w:val="24"/>
        </w:rPr>
        <w:t>rowth is generated and reinforced through democratic cooperative activity for the sake of resolving social problems</w:t>
      </w:r>
      <w:r w:rsidR="00322822">
        <w:rPr>
          <w:rFonts w:ascii="Garamond" w:hAnsi="Garamond"/>
          <w:sz w:val="24"/>
          <w:szCs w:val="24"/>
        </w:rPr>
        <w:t xml:space="preserve"> –</w:t>
      </w:r>
      <w:r w:rsidRPr="00461D74">
        <w:rPr>
          <w:rFonts w:ascii="Garamond" w:hAnsi="Garamond"/>
          <w:sz w:val="24"/>
          <w:szCs w:val="24"/>
        </w:rPr>
        <w:t xml:space="preserve"> problems that stand as obstacle in realising </w:t>
      </w:r>
      <w:r w:rsidR="00893D40">
        <w:rPr>
          <w:rFonts w:ascii="Garamond" w:hAnsi="Garamond"/>
          <w:sz w:val="24"/>
          <w:szCs w:val="24"/>
        </w:rPr>
        <w:t>g</w:t>
      </w:r>
      <w:r w:rsidRPr="00461D74">
        <w:rPr>
          <w:rFonts w:ascii="Garamond" w:hAnsi="Garamond"/>
          <w:sz w:val="24"/>
          <w:szCs w:val="24"/>
        </w:rPr>
        <w:t>rowth.</w:t>
      </w:r>
    </w:p>
    <w:p w:rsidR="00665157" w:rsidRDefault="00513415">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Next, </w:t>
      </w:r>
      <w:r w:rsidR="00405A84" w:rsidRPr="00461D74">
        <w:rPr>
          <w:rFonts w:ascii="Garamond" w:hAnsi="Garamond" w:cstheme="minorHAnsi"/>
          <w:sz w:val="24"/>
          <w:szCs w:val="24"/>
          <w:lang w:val="en-GB"/>
        </w:rPr>
        <w:t xml:space="preserve">I </w:t>
      </w:r>
      <w:r w:rsidRPr="00461D74">
        <w:rPr>
          <w:rFonts w:ascii="Garamond" w:hAnsi="Garamond" w:cstheme="minorHAnsi"/>
          <w:sz w:val="24"/>
          <w:szCs w:val="24"/>
          <w:lang w:val="en-GB"/>
        </w:rPr>
        <w:t>explored</w:t>
      </w:r>
      <w:r w:rsidR="009C798D" w:rsidRPr="00461D74">
        <w:rPr>
          <w:rFonts w:ascii="Garamond" w:hAnsi="Garamond" w:cstheme="minorHAnsi"/>
          <w:sz w:val="24"/>
          <w:szCs w:val="24"/>
          <w:lang w:val="en-GB"/>
        </w:rPr>
        <w:t xml:space="preserve"> a number of </w:t>
      </w:r>
      <w:r w:rsidRPr="00461D74">
        <w:rPr>
          <w:rFonts w:ascii="Garamond" w:hAnsi="Garamond" w:cstheme="minorHAnsi"/>
          <w:sz w:val="24"/>
          <w:szCs w:val="24"/>
          <w:lang w:val="en-GB"/>
        </w:rPr>
        <w:t xml:space="preserve">possible </w:t>
      </w:r>
      <w:r w:rsidR="009C798D" w:rsidRPr="00461D74">
        <w:rPr>
          <w:rFonts w:ascii="Garamond" w:hAnsi="Garamond" w:cstheme="minorHAnsi"/>
          <w:sz w:val="24"/>
          <w:szCs w:val="24"/>
          <w:lang w:val="en-GB"/>
        </w:rPr>
        <w:t xml:space="preserve">objections </w:t>
      </w:r>
      <w:r w:rsidRPr="00461D74">
        <w:rPr>
          <w:rFonts w:ascii="Garamond" w:hAnsi="Garamond" w:cstheme="minorHAnsi"/>
          <w:sz w:val="24"/>
          <w:szCs w:val="24"/>
          <w:lang w:val="en-GB"/>
        </w:rPr>
        <w:t xml:space="preserve">that could potentially undermine my interpretation of Deweyan democracy, as a form of teleology.  </w:t>
      </w:r>
      <w:r w:rsidR="00654AB4" w:rsidRPr="00461D74">
        <w:rPr>
          <w:rFonts w:ascii="Garamond" w:hAnsi="Garamond" w:cstheme="minorHAnsi"/>
          <w:sz w:val="24"/>
          <w:szCs w:val="24"/>
          <w:lang w:val="en-GB"/>
        </w:rPr>
        <w:t xml:space="preserve">First, I </w:t>
      </w:r>
      <w:r w:rsidR="0063269F" w:rsidRPr="00461D74">
        <w:rPr>
          <w:rFonts w:ascii="Garamond" w:hAnsi="Garamond" w:cstheme="minorHAnsi"/>
          <w:sz w:val="24"/>
          <w:szCs w:val="24"/>
          <w:lang w:val="en-GB"/>
        </w:rPr>
        <w:t>examined</w:t>
      </w:r>
      <w:r w:rsidR="00654AB4" w:rsidRPr="00461D74">
        <w:rPr>
          <w:rFonts w:ascii="Garamond" w:hAnsi="Garamond" w:cstheme="minorHAnsi"/>
          <w:sz w:val="24"/>
          <w:szCs w:val="24"/>
          <w:lang w:val="en-GB"/>
        </w:rPr>
        <w:t xml:space="preserve"> whether the Dewey’s </w:t>
      </w:r>
      <w:r w:rsidR="009C798D" w:rsidRPr="00461D74">
        <w:rPr>
          <w:rFonts w:ascii="Garamond" w:hAnsi="Garamond" w:cstheme="minorHAnsi"/>
          <w:sz w:val="24"/>
          <w:szCs w:val="24"/>
          <w:lang w:val="en-GB"/>
        </w:rPr>
        <w:t>social-political teleology</w:t>
      </w:r>
      <w:r w:rsidR="003725DD" w:rsidRPr="00461D74">
        <w:rPr>
          <w:rFonts w:ascii="Garamond" w:hAnsi="Garamond" w:cstheme="minorHAnsi"/>
          <w:sz w:val="24"/>
          <w:szCs w:val="24"/>
          <w:lang w:val="en-GB"/>
        </w:rPr>
        <w:t xml:space="preserve"> </w:t>
      </w:r>
      <w:r w:rsidR="00654AB4" w:rsidRPr="00461D74">
        <w:rPr>
          <w:rFonts w:ascii="Garamond" w:hAnsi="Garamond" w:cstheme="minorHAnsi"/>
          <w:sz w:val="24"/>
          <w:szCs w:val="24"/>
          <w:lang w:val="en-GB"/>
        </w:rPr>
        <w:t>–</w:t>
      </w:r>
      <w:r w:rsidR="003725DD" w:rsidRPr="00461D74">
        <w:rPr>
          <w:rFonts w:ascii="Garamond" w:hAnsi="Garamond" w:cstheme="minorHAnsi"/>
          <w:sz w:val="24"/>
          <w:szCs w:val="24"/>
          <w:lang w:val="en-GB"/>
        </w:rPr>
        <w:t xml:space="preserve"> </w:t>
      </w:r>
      <w:r w:rsidR="009C798D" w:rsidRPr="00461D74">
        <w:rPr>
          <w:rFonts w:ascii="Garamond" w:hAnsi="Garamond" w:cstheme="minorHAnsi"/>
          <w:sz w:val="24"/>
          <w:szCs w:val="24"/>
          <w:lang w:val="en-GB"/>
        </w:rPr>
        <w:t xml:space="preserve">namely, </w:t>
      </w:r>
      <w:r w:rsidR="00654AB4" w:rsidRPr="00461D74">
        <w:rPr>
          <w:rFonts w:ascii="Garamond" w:hAnsi="Garamond" w:cstheme="minorHAnsi"/>
          <w:sz w:val="24"/>
          <w:szCs w:val="24"/>
          <w:lang w:val="en-GB"/>
        </w:rPr>
        <w:t>democracy as a way of life</w:t>
      </w:r>
      <w:r w:rsidR="003725DD" w:rsidRPr="00461D74">
        <w:rPr>
          <w:rFonts w:ascii="Garamond" w:hAnsi="Garamond" w:cstheme="minorHAnsi"/>
          <w:sz w:val="24"/>
          <w:szCs w:val="24"/>
          <w:lang w:val="en-GB"/>
        </w:rPr>
        <w:t xml:space="preserve"> </w:t>
      </w:r>
      <w:r w:rsidR="00654AB4" w:rsidRPr="00461D74">
        <w:rPr>
          <w:rFonts w:ascii="Garamond" w:hAnsi="Garamond" w:cstheme="minorHAnsi"/>
          <w:sz w:val="24"/>
          <w:szCs w:val="24"/>
          <w:lang w:val="en-GB"/>
        </w:rPr>
        <w:t>–</w:t>
      </w:r>
      <w:r w:rsidR="003725DD" w:rsidRPr="00461D74">
        <w:rPr>
          <w:rFonts w:ascii="Garamond" w:hAnsi="Garamond" w:cstheme="minorHAnsi"/>
          <w:sz w:val="24"/>
          <w:szCs w:val="24"/>
          <w:lang w:val="en-GB"/>
        </w:rPr>
        <w:t xml:space="preserve"> </w:t>
      </w:r>
      <w:r w:rsidR="00654AB4" w:rsidRPr="00461D74">
        <w:rPr>
          <w:rFonts w:ascii="Garamond" w:hAnsi="Garamond" w:cstheme="minorHAnsi"/>
          <w:sz w:val="24"/>
          <w:szCs w:val="24"/>
          <w:lang w:val="en-GB"/>
        </w:rPr>
        <w:t xml:space="preserve">is sufficiently </w:t>
      </w:r>
      <w:r w:rsidR="00FF7760">
        <w:rPr>
          <w:rFonts w:ascii="Garamond" w:hAnsi="Garamond" w:cstheme="minorHAnsi"/>
          <w:sz w:val="24"/>
          <w:szCs w:val="24"/>
          <w:lang w:val="en-GB"/>
        </w:rPr>
        <w:t xml:space="preserve">non-instrumental (or </w:t>
      </w:r>
      <w:r w:rsidR="00654AB4" w:rsidRPr="00461D74">
        <w:rPr>
          <w:rFonts w:ascii="Garamond" w:hAnsi="Garamond"/>
          <w:sz w:val="24"/>
          <w:szCs w:val="24"/>
        </w:rPr>
        <w:t>substantive</w:t>
      </w:r>
      <w:r w:rsidR="00FF7760">
        <w:rPr>
          <w:rFonts w:ascii="Garamond" w:hAnsi="Garamond"/>
          <w:sz w:val="24"/>
          <w:szCs w:val="24"/>
        </w:rPr>
        <w:t>)</w:t>
      </w:r>
      <w:r w:rsidR="00654AB4" w:rsidRPr="00461D74">
        <w:rPr>
          <w:rFonts w:ascii="Garamond" w:hAnsi="Garamond"/>
          <w:sz w:val="24"/>
          <w:szCs w:val="24"/>
        </w:rPr>
        <w:t xml:space="preserve"> to generate a distinctive conception of flourishing. </w:t>
      </w:r>
      <w:r w:rsidR="0063269F" w:rsidRPr="00461D74">
        <w:rPr>
          <w:rFonts w:ascii="Garamond" w:hAnsi="Garamond"/>
          <w:sz w:val="24"/>
          <w:szCs w:val="24"/>
        </w:rPr>
        <w:t xml:space="preserve">Utilising arguments offered by Talisse, </w:t>
      </w:r>
      <w:r w:rsidR="00654AB4" w:rsidRPr="00461D74">
        <w:rPr>
          <w:rFonts w:ascii="Garamond" w:hAnsi="Garamond"/>
          <w:sz w:val="24"/>
          <w:szCs w:val="24"/>
        </w:rPr>
        <w:t>I</w:t>
      </w:r>
      <w:r w:rsidR="009C798D" w:rsidRPr="00461D74">
        <w:rPr>
          <w:rFonts w:ascii="Garamond" w:hAnsi="Garamond"/>
          <w:sz w:val="24"/>
          <w:szCs w:val="24"/>
        </w:rPr>
        <w:t xml:space="preserve"> suggested that Dewey’s account is </w:t>
      </w:r>
      <w:r w:rsidR="0063269F" w:rsidRPr="00461D74">
        <w:rPr>
          <w:rFonts w:ascii="Garamond" w:hAnsi="Garamond"/>
          <w:sz w:val="24"/>
          <w:szCs w:val="24"/>
        </w:rPr>
        <w:t xml:space="preserve">adequately </w:t>
      </w:r>
      <w:r w:rsidR="009C798D" w:rsidRPr="00461D74">
        <w:rPr>
          <w:rFonts w:ascii="Garamond" w:hAnsi="Garamond"/>
          <w:sz w:val="24"/>
          <w:szCs w:val="24"/>
        </w:rPr>
        <w:t>substantive</w:t>
      </w:r>
      <w:r w:rsidR="0063269F" w:rsidRPr="00461D74">
        <w:rPr>
          <w:rFonts w:ascii="Garamond" w:hAnsi="Garamond"/>
          <w:sz w:val="24"/>
          <w:szCs w:val="24"/>
        </w:rPr>
        <w:t>,</w:t>
      </w:r>
      <w:r w:rsidR="009C798D" w:rsidRPr="00461D74">
        <w:rPr>
          <w:rFonts w:ascii="Garamond" w:hAnsi="Garamond"/>
          <w:sz w:val="24"/>
          <w:szCs w:val="24"/>
        </w:rPr>
        <w:t xml:space="preserve"> and therefore</w:t>
      </w:r>
      <w:r w:rsidR="0063269F" w:rsidRPr="00461D74">
        <w:rPr>
          <w:rFonts w:ascii="Garamond" w:hAnsi="Garamond"/>
          <w:sz w:val="24"/>
          <w:szCs w:val="24"/>
        </w:rPr>
        <w:t>,</w:t>
      </w:r>
      <w:r w:rsidR="009C798D" w:rsidRPr="00461D74">
        <w:rPr>
          <w:rFonts w:ascii="Garamond" w:hAnsi="Garamond"/>
          <w:sz w:val="24"/>
          <w:szCs w:val="24"/>
        </w:rPr>
        <w:t xml:space="preserve"> remains capable of generating</w:t>
      </w:r>
      <w:r w:rsidR="00654AB4" w:rsidRPr="00461D74">
        <w:rPr>
          <w:rFonts w:ascii="Garamond" w:hAnsi="Garamond"/>
          <w:sz w:val="24"/>
          <w:szCs w:val="24"/>
        </w:rPr>
        <w:t xml:space="preserve"> a </w:t>
      </w:r>
      <w:r w:rsidR="009C798D" w:rsidRPr="00461D74">
        <w:rPr>
          <w:rFonts w:ascii="Garamond" w:hAnsi="Garamond"/>
          <w:sz w:val="24"/>
          <w:szCs w:val="24"/>
        </w:rPr>
        <w:t xml:space="preserve">distinct </w:t>
      </w:r>
      <w:r w:rsidR="00654AB4" w:rsidRPr="00461D74">
        <w:rPr>
          <w:rFonts w:ascii="Garamond" w:hAnsi="Garamond"/>
          <w:sz w:val="24"/>
          <w:szCs w:val="24"/>
        </w:rPr>
        <w:t xml:space="preserve">conception of human </w:t>
      </w:r>
      <w:r w:rsidR="0063269F" w:rsidRPr="00461D74">
        <w:rPr>
          <w:rFonts w:ascii="Garamond" w:hAnsi="Garamond"/>
          <w:sz w:val="24"/>
          <w:szCs w:val="24"/>
        </w:rPr>
        <w:t>flourishing</w:t>
      </w:r>
      <w:r w:rsidR="003725DD" w:rsidRPr="00461D74">
        <w:rPr>
          <w:rFonts w:ascii="Garamond" w:hAnsi="Garamond"/>
          <w:sz w:val="24"/>
          <w:szCs w:val="24"/>
        </w:rPr>
        <w:t xml:space="preserve"> </w:t>
      </w:r>
      <w:r w:rsidR="009C798D" w:rsidRPr="00461D74">
        <w:rPr>
          <w:rFonts w:ascii="Garamond" w:hAnsi="Garamond"/>
          <w:sz w:val="24"/>
          <w:szCs w:val="24"/>
        </w:rPr>
        <w:t>–</w:t>
      </w:r>
      <w:r w:rsidR="003725DD" w:rsidRPr="00461D74">
        <w:rPr>
          <w:rFonts w:ascii="Garamond" w:hAnsi="Garamond"/>
          <w:sz w:val="24"/>
          <w:szCs w:val="24"/>
        </w:rPr>
        <w:t xml:space="preserve"> </w:t>
      </w:r>
      <w:r w:rsidR="009C798D" w:rsidRPr="00461D74">
        <w:rPr>
          <w:rFonts w:ascii="Garamond" w:hAnsi="Garamond"/>
          <w:sz w:val="24"/>
          <w:szCs w:val="24"/>
        </w:rPr>
        <w:t xml:space="preserve">namely, </w:t>
      </w:r>
      <w:r w:rsidR="00893D40">
        <w:rPr>
          <w:rFonts w:ascii="Garamond" w:hAnsi="Garamond"/>
          <w:sz w:val="24"/>
          <w:szCs w:val="24"/>
        </w:rPr>
        <w:t>g</w:t>
      </w:r>
      <w:r w:rsidR="009C798D" w:rsidRPr="00461D74">
        <w:rPr>
          <w:rFonts w:ascii="Garamond" w:hAnsi="Garamond"/>
          <w:sz w:val="24"/>
          <w:szCs w:val="24"/>
        </w:rPr>
        <w:t>rowth</w:t>
      </w:r>
      <w:r w:rsidR="00654AB4" w:rsidRPr="00461D74">
        <w:rPr>
          <w:rFonts w:ascii="Garamond" w:hAnsi="Garamond"/>
          <w:sz w:val="24"/>
          <w:szCs w:val="24"/>
        </w:rPr>
        <w:t>.</w:t>
      </w:r>
    </w:p>
    <w:p w:rsidR="00665157" w:rsidRDefault="0063269F">
      <w:pPr>
        <w:spacing w:line="360" w:lineRule="auto"/>
        <w:ind w:firstLine="720"/>
        <w:jc w:val="both"/>
        <w:rPr>
          <w:rFonts w:ascii="Garamond" w:hAnsi="Garamond"/>
          <w:sz w:val="24"/>
          <w:szCs w:val="24"/>
        </w:rPr>
      </w:pPr>
      <w:r w:rsidRPr="00461D74">
        <w:rPr>
          <w:rFonts w:ascii="Garamond" w:hAnsi="Garamond"/>
          <w:sz w:val="24"/>
          <w:szCs w:val="24"/>
        </w:rPr>
        <w:t xml:space="preserve">I then </w:t>
      </w:r>
      <w:r w:rsidR="0082267C">
        <w:rPr>
          <w:rFonts w:ascii="Garamond" w:hAnsi="Garamond"/>
          <w:sz w:val="24"/>
          <w:szCs w:val="24"/>
        </w:rPr>
        <w:t>examined</w:t>
      </w:r>
      <w:r w:rsidR="0082267C" w:rsidRPr="00461D74">
        <w:rPr>
          <w:rFonts w:ascii="Garamond" w:hAnsi="Garamond"/>
          <w:sz w:val="24"/>
          <w:szCs w:val="24"/>
        </w:rPr>
        <w:t xml:space="preserve"> </w:t>
      </w:r>
      <w:r w:rsidRPr="00461D74">
        <w:rPr>
          <w:rFonts w:ascii="Garamond" w:hAnsi="Garamond"/>
          <w:sz w:val="24"/>
          <w:szCs w:val="24"/>
        </w:rPr>
        <w:t xml:space="preserve">whether the Deweyan conception of flourishing can defend </w:t>
      </w:r>
      <w:r w:rsidR="00F14451" w:rsidRPr="00461D74">
        <w:rPr>
          <w:rFonts w:ascii="Garamond" w:hAnsi="Garamond"/>
          <w:sz w:val="24"/>
          <w:szCs w:val="24"/>
        </w:rPr>
        <w:t xml:space="preserve">itself </w:t>
      </w:r>
      <w:r w:rsidRPr="00461D74">
        <w:rPr>
          <w:rFonts w:ascii="Garamond" w:hAnsi="Garamond"/>
          <w:sz w:val="24"/>
          <w:szCs w:val="24"/>
        </w:rPr>
        <w:t xml:space="preserve">against the kinds of paradigmatic criticism raised against MacIntyre’s social teleology in </w:t>
      </w:r>
      <w:r w:rsidRPr="00461D74">
        <w:rPr>
          <w:rFonts w:ascii="Garamond" w:hAnsi="Garamond"/>
          <w:i/>
          <w:sz w:val="24"/>
          <w:szCs w:val="24"/>
        </w:rPr>
        <w:t>After Virtue</w:t>
      </w:r>
      <w:r w:rsidRPr="00461D74">
        <w:rPr>
          <w:rFonts w:ascii="Garamond" w:hAnsi="Garamond"/>
          <w:sz w:val="24"/>
          <w:szCs w:val="24"/>
        </w:rPr>
        <w:t xml:space="preserve">, by the likes of Bernstein and </w:t>
      </w:r>
      <w:proofErr w:type="spellStart"/>
      <w:r w:rsidRPr="00461D74">
        <w:rPr>
          <w:rFonts w:ascii="Garamond" w:hAnsi="Garamond"/>
          <w:sz w:val="24"/>
          <w:szCs w:val="24"/>
        </w:rPr>
        <w:t>Schneewind</w:t>
      </w:r>
      <w:proofErr w:type="spellEnd"/>
      <w:r w:rsidRPr="00461D74">
        <w:rPr>
          <w:rFonts w:ascii="Garamond" w:hAnsi="Garamond"/>
          <w:sz w:val="24"/>
          <w:szCs w:val="24"/>
        </w:rPr>
        <w:t xml:space="preserve">. I argued that Dewey’s democracy as a way of life can answer those kinds of worries. </w:t>
      </w:r>
      <w:r w:rsidR="00BF4034" w:rsidRPr="00461D74">
        <w:rPr>
          <w:rFonts w:ascii="Garamond" w:hAnsi="Garamond"/>
          <w:sz w:val="24"/>
          <w:szCs w:val="24"/>
        </w:rPr>
        <w:t xml:space="preserve">I </w:t>
      </w:r>
      <w:r w:rsidR="004A67E5">
        <w:rPr>
          <w:rFonts w:ascii="Garamond" w:hAnsi="Garamond"/>
          <w:sz w:val="24"/>
          <w:szCs w:val="24"/>
        </w:rPr>
        <w:t>proposed</w:t>
      </w:r>
      <w:r w:rsidR="004A67E5" w:rsidRPr="00461D74">
        <w:rPr>
          <w:rFonts w:ascii="Garamond" w:hAnsi="Garamond"/>
          <w:sz w:val="24"/>
          <w:szCs w:val="24"/>
        </w:rPr>
        <w:t xml:space="preserve"> </w:t>
      </w:r>
      <w:r w:rsidR="00BF4034" w:rsidRPr="00461D74">
        <w:rPr>
          <w:rFonts w:ascii="Garamond" w:hAnsi="Garamond"/>
          <w:sz w:val="24"/>
          <w:szCs w:val="24"/>
        </w:rPr>
        <w:t>that we can effectively address those kinds of worries,</w:t>
      </w:r>
      <w:r w:rsidRPr="00461D74">
        <w:rPr>
          <w:rFonts w:ascii="Garamond" w:hAnsi="Garamond"/>
          <w:sz w:val="24"/>
          <w:szCs w:val="24"/>
        </w:rPr>
        <w:t xml:space="preserve"> </w:t>
      </w:r>
      <w:r w:rsidR="00694534" w:rsidRPr="00461D74">
        <w:rPr>
          <w:rFonts w:ascii="Garamond" w:hAnsi="Garamond"/>
          <w:sz w:val="24"/>
          <w:szCs w:val="24"/>
        </w:rPr>
        <w:t>partly</w:t>
      </w:r>
      <w:r w:rsidRPr="00461D74">
        <w:rPr>
          <w:rFonts w:ascii="Garamond" w:hAnsi="Garamond"/>
          <w:sz w:val="24"/>
          <w:szCs w:val="24"/>
        </w:rPr>
        <w:t xml:space="preserve"> because </w:t>
      </w:r>
      <w:r w:rsidR="00694534" w:rsidRPr="00461D74">
        <w:rPr>
          <w:rFonts w:ascii="Garamond" w:hAnsi="Garamond"/>
          <w:sz w:val="24"/>
          <w:szCs w:val="24"/>
        </w:rPr>
        <w:t>(</w:t>
      </w:r>
      <w:proofErr w:type="spellStart"/>
      <w:r w:rsidR="00694534" w:rsidRPr="00461D74">
        <w:rPr>
          <w:rFonts w:ascii="Garamond" w:hAnsi="Garamond"/>
          <w:sz w:val="24"/>
          <w:szCs w:val="24"/>
        </w:rPr>
        <w:t>i</w:t>
      </w:r>
      <w:proofErr w:type="spellEnd"/>
      <w:r w:rsidR="00694534" w:rsidRPr="00461D74">
        <w:rPr>
          <w:rFonts w:ascii="Garamond" w:hAnsi="Garamond"/>
          <w:sz w:val="24"/>
          <w:szCs w:val="24"/>
        </w:rPr>
        <w:t xml:space="preserve">) </w:t>
      </w:r>
      <w:r w:rsidRPr="00461D74">
        <w:rPr>
          <w:rFonts w:ascii="Garamond" w:hAnsi="Garamond"/>
          <w:sz w:val="24"/>
          <w:szCs w:val="24"/>
        </w:rPr>
        <w:t xml:space="preserve">Bernstein acknowledges the strength of Dewey’s </w:t>
      </w:r>
      <w:r w:rsidR="00BF4034" w:rsidRPr="00461D74">
        <w:rPr>
          <w:rFonts w:ascii="Garamond" w:hAnsi="Garamond"/>
          <w:sz w:val="24"/>
          <w:szCs w:val="24"/>
        </w:rPr>
        <w:t>conception of democracy as a way of life</w:t>
      </w:r>
      <w:r w:rsidR="005B0407" w:rsidRPr="00461D74">
        <w:rPr>
          <w:rFonts w:ascii="Garamond" w:hAnsi="Garamond"/>
          <w:sz w:val="24"/>
          <w:szCs w:val="24"/>
        </w:rPr>
        <w:t>,</w:t>
      </w:r>
      <w:r w:rsidR="00BF4034" w:rsidRPr="00461D74">
        <w:rPr>
          <w:rFonts w:ascii="Garamond" w:hAnsi="Garamond"/>
          <w:sz w:val="24"/>
          <w:szCs w:val="24"/>
        </w:rPr>
        <w:t xml:space="preserve"> </w:t>
      </w:r>
      <w:r w:rsidR="00893D40">
        <w:rPr>
          <w:rFonts w:ascii="Garamond" w:hAnsi="Garamond"/>
          <w:sz w:val="24"/>
          <w:szCs w:val="24"/>
        </w:rPr>
        <w:t>insofar as</w:t>
      </w:r>
      <w:r w:rsidR="00BF4034" w:rsidRPr="00461D74">
        <w:rPr>
          <w:rFonts w:ascii="Garamond" w:hAnsi="Garamond"/>
          <w:sz w:val="24"/>
          <w:szCs w:val="24"/>
        </w:rPr>
        <w:t xml:space="preserve"> it offers a </w:t>
      </w:r>
      <w:r w:rsidR="004A67E5">
        <w:rPr>
          <w:rFonts w:ascii="Garamond" w:hAnsi="Garamond"/>
          <w:sz w:val="24"/>
          <w:szCs w:val="24"/>
        </w:rPr>
        <w:t xml:space="preserve">(moderate) </w:t>
      </w:r>
      <w:r w:rsidR="00BF4034" w:rsidRPr="00461D74">
        <w:rPr>
          <w:rFonts w:ascii="Garamond" w:hAnsi="Garamond"/>
          <w:sz w:val="24"/>
          <w:szCs w:val="24"/>
        </w:rPr>
        <w:t xml:space="preserve">non-instrumentalist conception of the </w:t>
      </w:r>
      <w:r w:rsidR="00BF4034" w:rsidRPr="00461D74">
        <w:rPr>
          <w:rFonts w:ascii="Garamond" w:hAnsi="Garamond"/>
          <w:sz w:val="24"/>
          <w:szCs w:val="24"/>
        </w:rPr>
        <w:lastRenderedPageBreak/>
        <w:t xml:space="preserve">good; </w:t>
      </w:r>
      <w:r w:rsidR="00694534" w:rsidRPr="00461D74">
        <w:rPr>
          <w:rFonts w:ascii="Garamond" w:hAnsi="Garamond"/>
          <w:sz w:val="24"/>
          <w:szCs w:val="24"/>
        </w:rPr>
        <w:t xml:space="preserve">(ii) </w:t>
      </w:r>
      <w:r w:rsidR="00BF4034" w:rsidRPr="00461D74">
        <w:rPr>
          <w:rFonts w:ascii="Garamond" w:hAnsi="Garamond"/>
          <w:sz w:val="24"/>
          <w:szCs w:val="24"/>
        </w:rPr>
        <w:t xml:space="preserve">Dewey’s </w:t>
      </w:r>
      <w:r w:rsidR="005B0407" w:rsidRPr="00461D74">
        <w:rPr>
          <w:rFonts w:ascii="Garamond" w:hAnsi="Garamond"/>
          <w:sz w:val="24"/>
          <w:szCs w:val="24"/>
        </w:rPr>
        <w:t>conception of the good</w:t>
      </w:r>
      <w:r w:rsidR="003725DD" w:rsidRPr="00461D74">
        <w:rPr>
          <w:rFonts w:ascii="Garamond" w:hAnsi="Garamond"/>
          <w:sz w:val="24"/>
          <w:szCs w:val="24"/>
        </w:rPr>
        <w:t xml:space="preserve"> </w:t>
      </w:r>
      <w:r w:rsidR="005B0407" w:rsidRPr="00461D74">
        <w:rPr>
          <w:rFonts w:ascii="Garamond" w:hAnsi="Garamond"/>
          <w:sz w:val="24"/>
          <w:szCs w:val="24"/>
        </w:rPr>
        <w:t>–</w:t>
      </w:r>
      <w:r w:rsidR="003725DD" w:rsidRPr="00461D74">
        <w:rPr>
          <w:rFonts w:ascii="Garamond" w:hAnsi="Garamond"/>
          <w:sz w:val="24"/>
          <w:szCs w:val="24"/>
        </w:rPr>
        <w:t xml:space="preserve"> </w:t>
      </w:r>
      <w:r w:rsidR="005B0407" w:rsidRPr="00461D74">
        <w:rPr>
          <w:rFonts w:ascii="Garamond" w:hAnsi="Garamond"/>
          <w:sz w:val="24"/>
          <w:szCs w:val="24"/>
        </w:rPr>
        <w:t xml:space="preserve">namely, </w:t>
      </w:r>
      <w:r w:rsidR="00893D40">
        <w:rPr>
          <w:rFonts w:ascii="Garamond" w:hAnsi="Garamond"/>
          <w:sz w:val="24"/>
          <w:szCs w:val="24"/>
        </w:rPr>
        <w:t>g</w:t>
      </w:r>
      <w:r w:rsidR="005B0407" w:rsidRPr="00461D74">
        <w:rPr>
          <w:rFonts w:ascii="Garamond" w:hAnsi="Garamond"/>
          <w:sz w:val="24"/>
          <w:szCs w:val="24"/>
        </w:rPr>
        <w:t>rowth</w:t>
      </w:r>
      <w:r w:rsidR="003725DD" w:rsidRPr="00461D74">
        <w:rPr>
          <w:rFonts w:ascii="Garamond" w:hAnsi="Garamond"/>
          <w:sz w:val="24"/>
          <w:szCs w:val="24"/>
        </w:rPr>
        <w:t xml:space="preserve"> </w:t>
      </w:r>
      <w:r w:rsidR="005B0407" w:rsidRPr="00461D74">
        <w:rPr>
          <w:rFonts w:ascii="Garamond" w:hAnsi="Garamond"/>
          <w:sz w:val="24"/>
          <w:szCs w:val="24"/>
        </w:rPr>
        <w:t>–</w:t>
      </w:r>
      <w:r w:rsidR="003725DD" w:rsidRPr="00461D74">
        <w:rPr>
          <w:rFonts w:ascii="Garamond" w:hAnsi="Garamond"/>
          <w:sz w:val="24"/>
          <w:szCs w:val="24"/>
        </w:rPr>
        <w:t xml:space="preserve"> </w:t>
      </w:r>
      <w:r w:rsidR="00BF4034" w:rsidRPr="00461D74">
        <w:rPr>
          <w:rFonts w:ascii="Garamond" w:hAnsi="Garamond"/>
          <w:sz w:val="24"/>
          <w:szCs w:val="24"/>
        </w:rPr>
        <w:t>while</w:t>
      </w:r>
      <w:r w:rsidR="005B0407" w:rsidRPr="00461D74">
        <w:rPr>
          <w:rFonts w:ascii="Garamond" w:hAnsi="Garamond"/>
          <w:sz w:val="24"/>
          <w:szCs w:val="24"/>
        </w:rPr>
        <w:t xml:space="preserve"> it remains multiply realisable, </w:t>
      </w:r>
      <w:r w:rsidR="00694534" w:rsidRPr="00461D74">
        <w:rPr>
          <w:rFonts w:ascii="Garamond" w:hAnsi="Garamond"/>
          <w:sz w:val="24"/>
          <w:szCs w:val="24"/>
        </w:rPr>
        <w:t>remains</w:t>
      </w:r>
      <w:r w:rsidR="00BF4034" w:rsidRPr="00461D74">
        <w:rPr>
          <w:rFonts w:ascii="Garamond" w:hAnsi="Garamond"/>
          <w:sz w:val="24"/>
          <w:szCs w:val="24"/>
        </w:rPr>
        <w:t xml:space="preserve"> grounded </w:t>
      </w:r>
      <w:r w:rsidR="005B0407" w:rsidRPr="00461D74">
        <w:rPr>
          <w:rFonts w:ascii="Garamond" w:hAnsi="Garamond"/>
          <w:sz w:val="24"/>
          <w:szCs w:val="24"/>
        </w:rPr>
        <w:t xml:space="preserve">in the </w:t>
      </w:r>
      <w:r w:rsidR="00694534" w:rsidRPr="00461D74">
        <w:rPr>
          <w:rFonts w:ascii="Garamond" w:hAnsi="Garamond"/>
          <w:sz w:val="24"/>
          <w:szCs w:val="24"/>
        </w:rPr>
        <w:t>reasonable assumption</w:t>
      </w:r>
      <w:r w:rsidR="005B0407" w:rsidRPr="00461D74">
        <w:rPr>
          <w:rFonts w:ascii="Garamond" w:hAnsi="Garamond"/>
          <w:sz w:val="24"/>
          <w:szCs w:val="24"/>
        </w:rPr>
        <w:t xml:space="preserve"> that human beings are </w:t>
      </w:r>
      <w:r w:rsidR="00694534" w:rsidRPr="00461D74">
        <w:rPr>
          <w:rFonts w:ascii="Garamond" w:hAnsi="Garamond"/>
          <w:sz w:val="24"/>
          <w:szCs w:val="24"/>
        </w:rPr>
        <w:t xml:space="preserve">fundamentally </w:t>
      </w:r>
      <w:r w:rsidR="00DB00EA" w:rsidRPr="00DB00EA">
        <w:rPr>
          <w:rFonts w:ascii="Garamond" w:hAnsi="Garamond"/>
          <w:i/>
          <w:sz w:val="24"/>
          <w:szCs w:val="24"/>
        </w:rPr>
        <w:t>social</w:t>
      </w:r>
      <w:r w:rsidR="005B0407" w:rsidRPr="00461D74">
        <w:rPr>
          <w:rFonts w:ascii="Garamond" w:hAnsi="Garamond"/>
          <w:sz w:val="24"/>
          <w:szCs w:val="24"/>
        </w:rPr>
        <w:t xml:space="preserve"> </w:t>
      </w:r>
      <w:r w:rsidR="00DB00EA" w:rsidRPr="00DB00EA">
        <w:rPr>
          <w:rFonts w:ascii="Garamond" w:hAnsi="Garamond"/>
          <w:i/>
          <w:sz w:val="24"/>
          <w:szCs w:val="24"/>
        </w:rPr>
        <w:t>problem-solving</w:t>
      </w:r>
      <w:r w:rsidR="005B0407" w:rsidRPr="00461D74">
        <w:rPr>
          <w:rFonts w:ascii="Garamond" w:hAnsi="Garamond"/>
          <w:sz w:val="24"/>
          <w:szCs w:val="24"/>
        </w:rPr>
        <w:t xml:space="preserve"> animals; an</w:t>
      </w:r>
      <w:r w:rsidR="00694534" w:rsidRPr="00461D74">
        <w:rPr>
          <w:rFonts w:ascii="Garamond" w:hAnsi="Garamond"/>
          <w:sz w:val="24"/>
          <w:szCs w:val="24"/>
        </w:rPr>
        <w:t xml:space="preserve">d </w:t>
      </w:r>
      <w:r w:rsidR="005B0407" w:rsidRPr="00461D74">
        <w:rPr>
          <w:rFonts w:ascii="Garamond" w:hAnsi="Garamond"/>
          <w:sz w:val="24"/>
          <w:szCs w:val="24"/>
        </w:rPr>
        <w:t xml:space="preserve">in part </w:t>
      </w:r>
      <w:r w:rsidR="00694534" w:rsidRPr="00461D74">
        <w:rPr>
          <w:rFonts w:ascii="Garamond" w:hAnsi="Garamond"/>
          <w:sz w:val="24"/>
          <w:szCs w:val="24"/>
        </w:rPr>
        <w:t xml:space="preserve">because (iii) we can measure the </w:t>
      </w:r>
      <w:r w:rsidR="004A67E5">
        <w:rPr>
          <w:rFonts w:ascii="Garamond" w:hAnsi="Garamond"/>
          <w:sz w:val="24"/>
          <w:szCs w:val="24"/>
        </w:rPr>
        <w:t>pace</w:t>
      </w:r>
      <w:r w:rsidR="004A67E5" w:rsidRPr="00461D74">
        <w:rPr>
          <w:rFonts w:ascii="Garamond" w:hAnsi="Garamond"/>
          <w:sz w:val="24"/>
          <w:szCs w:val="24"/>
        </w:rPr>
        <w:t xml:space="preserve"> </w:t>
      </w:r>
      <w:r w:rsidR="00694534" w:rsidRPr="00461D74">
        <w:rPr>
          <w:rFonts w:ascii="Garamond" w:hAnsi="Garamond"/>
          <w:sz w:val="24"/>
          <w:szCs w:val="24"/>
        </w:rPr>
        <w:t xml:space="preserve">of </w:t>
      </w:r>
      <w:r w:rsidR="00893D40">
        <w:rPr>
          <w:rFonts w:ascii="Garamond" w:hAnsi="Garamond"/>
          <w:sz w:val="24"/>
          <w:szCs w:val="24"/>
        </w:rPr>
        <w:t>g</w:t>
      </w:r>
      <w:r w:rsidR="00694534" w:rsidRPr="00461D74">
        <w:rPr>
          <w:rFonts w:ascii="Garamond" w:hAnsi="Garamond"/>
          <w:sz w:val="24"/>
          <w:szCs w:val="24"/>
        </w:rPr>
        <w:t xml:space="preserve">rowth </w:t>
      </w:r>
      <w:r w:rsidR="004A67E5">
        <w:rPr>
          <w:rFonts w:ascii="Garamond" w:hAnsi="Garamond"/>
          <w:sz w:val="24"/>
          <w:szCs w:val="24"/>
        </w:rPr>
        <w:t>by the degree in which</w:t>
      </w:r>
      <w:r w:rsidR="00694534" w:rsidRPr="00461D74">
        <w:rPr>
          <w:rFonts w:ascii="Garamond" w:hAnsi="Garamond"/>
          <w:sz w:val="24"/>
          <w:szCs w:val="24"/>
        </w:rPr>
        <w:t xml:space="preserve"> individual</w:t>
      </w:r>
      <w:r w:rsidR="004A67E5">
        <w:rPr>
          <w:rFonts w:ascii="Garamond" w:hAnsi="Garamond"/>
          <w:sz w:val="24"/>
          <w:szCs w:val="24"/>
        </w:rPr>
        <w:t>s</w:t>
      </w:r>
      <w:r w:rsidR="00694534" w:rsidRPr="00461D74">
        <w:rPr>
          <w:rFonts w:ascii="Garamond" w:hAnsi="Garamond"/>
          <w:sz w:val="24"/>
          <w:szCs w:val="24"/>
        </w:rPr>
        <w:t xml:space="preserve"> </w:t>
      </w:r>
      <w:r w:rsidR="004A67E5">
        <w:rPr>
          <w:rFonts w:ascii="Garamond" w:hAnsi="Garamond"/>
          <w:sz w:val="24"/>
          <w:szCs w:val="24"/>
        </w:rPr>
        <w:t xml:space="preserve">in a </w:t>
      </w:r>
      <w:r w:rsidR="00694534" w:rsidRPr="00461D74">
        <w:rPr>
          <w:rFonts w:ascii="Garamond" w:hAnsi="Garamond"/>
          <w:sz w:val="24"/>
          <w:szCs w:val="24"/>
        </w:rPr>
        <w:t xml:space="preserve">society </w:t>
      </w:r>
      <w:r w:rsidR="004A67E5">
        <w:rPr>
          <w:rFonts w:ascii="Garamond" w:hAnsi="Garamond"/>
          <w:sz w:val="24"/>
          <w:szCs w:val="24"/>
        </w:rPr>
        <w:t>cooperate</w:t>
      </w:r>
      <w:r w:rsidR="00694534" w:rsidRPr="00461D74">
        <w:rPr>
          <w:rFonts w:ascii="Garamond" w:hAnsi="Garamond"/>
          <w:sz w:val="24"/>
          <w:szCs w:val="24"/>
        </w:rPr>
        <w:t xml:space="preserve"> for the sake of solving </w:t>
      </w:r>
      <w:r w:rsidR="00DB00EA" w:rsidRPr="00DB00EA">
        <w:rPr>
          <w:rFonts w:ascii="Garamond" w:hAnsi="Garamond"/>
          <w:i/>
          <w:sz w:val="24"/>
          <w:szCs w:val="24"/>
        </w:rPr>
        <w:t>particular</w:t>
      </w:r>
      <w:r w:rsidR="004A67E5">
        <w:rPr>
          <w:rFonts w:ascii="Garamond" w:hAnsi="Garamond"/>
          <w:sz w:val="24"/>
          <w:szCs w:val="24"/>
        </w:rPr>
        <w:t xml:space="preserve"> </w:t>
      </w:r>
      <w:r w:rsidR="00694534" w:rsidRPr="00461D74">
        <w:rPr>
          <w:rFonts w:ascii="Garamond" w:hAnsi="Garamond"/>
          <w:sz w:val="24"/>
          <w:szCs w:val="24"/>
        </w:rPr>
        <w:t xml:space="preserve">social problems </w:t>
      </w:r>
      <w:r w:rsidR="004A67E5">
        <w:rPr>
          <w:rFonts w:ascii="Garamond" w:hAnsi="Garamond"/>
          <w:sz w:val="24"/>
          <w:szCs w:val="24"/>
        </w:rPr>
        <w:t xml:space="preserve">under </w:t>
      </w:r>
      <w:r w:rsidR="00DB00EA" w:rsidRPr="00DB00EA">
        <w:rPr>
          <w:rFonts w:ascii="Garamond" w:hAnsi="Garamond"/>
          <w:i/>
          <w:sz w:val="24"/>
          <w:szCs w:val="24"/>
        </w:rPr>
        <w:t>particular</w:t>
      </w:r>
      <w:r w:rsidR="004A67E5">
        <w:rPr>
          <w:rFonts w:ascii="Garamond" w:hAnsi="Garamond"/>
          <w:sz w:val="24"/>
          <w:szCs w:val="24"/>
        </w:rPr>
        <w:t xml:space="preserve"> conditions, </w:t>
      </w:r>
      <w:r w:rsidR="00694534" w:rsidRPr="00461D74">
        <w:rPr>
          <w:rFonts w:ascii="Garamond" w:hAnsi="Garamond"/>
          <w:sz w:val="24"/>
          <w:szCs w:val="24"/>
        </w:rPr>
        <w:t xml:space="preserve">using the pragmatist method of intelligent </w:t>
      </w:r>
      <w:r w:rsidR="004A67E5">
        <w:rPr>
          <w:rFonts w:ascii="Garamond" w:hAnsi="Garamond"/>
          <w:sz w:val="24"/>
          <w:szCs w:val="24"/>
        </w:rPr>
        <w:t xml:space="preserve">cooperative </w:t>
      </w:r>
      <w:r w:rsidR="00694534" w:rsidRPr="00461D74">
        <w:rPr>
          <w:rFonts w:ascii="Garamond" w:hAnsi="Garamond"/>
          <w:sz w:val="24"/>
          <w:szCs w:val="24"/>
        </w:rPr>
        <w:t>democratic inquiry.</w:t>
      </w:r>
    </w:p>
    <w:p w:rsidR="00665157" w:rsidRDefault="00694534">
      <w:pPr>
        <w:spacing w:line="360" w:lineRule="auto"/>
        <w:ind w:firstLine="720"/>
        <w:jc w:val="both"/>
        <w:rPr>
          <w:rFonts w:ascii="Garamond" w:hAnsi="Garamond"/>
          <w:sz w:val="24"/>
          <w:szCs w:val="24"/>
        </w:rPr>
      </w:pPr>
      <w:r w:rsidRPr="00461D74">
        <w:rPr>
          <w:rFonts w:ascii="Garamond" w:hAnsi="Garamond"/>
          <w:sz w:val="24"/>
          <w:szCs w:val="24"/>
        </w:rPr>
        <w:t>I then advanced a third objection</w:t>
      </w:r>
      <w:r w:rsidR="003725DD" w:rsidRPr="00461D74">
        <w:rPr>
          <w:rFonts w:ascii="Garamond" w:hAnsi="Garamond"/>
          <w:sz w:val="24"/>
          <w:szCs w:val="24"/>
        </w:rPr>
        <w:t xml:space="preserve"> </w:t>
      </w:r>
      <w:r w:rsidRPr="00461D74">
        <w:rPr>
          <w:rFonts w:ascii="Garamond" w:hAnsi="Garamond"/>
          <w:sz w:val="24"/>
          <w:szCs w:val="24"/>
        </w:rPr>
        <w:t>–</w:t>
      </w:r>
      <w:r w:rsidR="003725DD" w:rsidRPr="00461D74">
        <w:rPr>
          <w:rFonts w:ascii="Garamond" w:hAnsi="Garamond"/>
          <w:sz w:val="24"/>
          <w:szCs w:val="24"/>
        </w:rPr>
        <w:t xml:space="preserve"> </w:t>
      </w:r>
      <w:r w:rsidRPr="00461D74">
        <w:rPr>
          <w:rFonts w:ascii="Garamond" w:hAnsi="Garamond"/>
          <w:sz w:val="24"/>
          <w:szCs w:val="24"/>
        </w:rPr>
        <w:t xml:space="preserve">namely, that </w:t>
      </w:r>
      <w:r w:rsidR="00654AB4" w:rsidRPr="00461D74">
        <w:rPr>
          <w:rFonts w:ascii="Garamond" w:hAnsi="Garamond"/>
          <w:sz w:val="24"/>
          <w:szCs w:val="24"/>
        </w:rPr>
        <w:t xml:space="preserve">Dewey’s non-instrumentalist account does not sit well with MacIntyre’s </w:t>
      </w:r>
      <w:r w:rsidRPr="00461D74">
        <w:rPr>
          <w:rFonts w:ascii="Garamond" w:hAnsi="Garamond"/>
          <w:sz w:val="24"/>
          <w:szCs w:val="24"/>
        </w:rPr>
        <w:t>later adoption of Thomism</w:t>
      </w:r>
      <w:r w:rsidR="00654AB4" w:rsidRPr="00461D74">
        <w:rPr>
          <w:rFonts w:ascii="Garamond" w:hAnsi="Garamond"/>
          <w:sz w:val="24"/>
          <w:szCs w:val="24"/>
        </w:rPr>
        <w:t xml:space="preserve">. While I </w:t>
      </w:r>
      <w:r w:rsidR="002F10EA" w:rsidRPr="00461D74">
        <w:rPr>
          <w:rFonts w:ascii="Garamond" w:hAnsi="Garamond"/>
          <w:sz w:val="24"/>
          <w:szCs w:val="24"/>
        </w:rPr>
        <w:t xml:space="preserve">agree </w:t>
      </w:r>
      <w:r w:rsidR="00654AB4" w:rsidRPr="00461D74">
        <w:rPr>
          <w:rFonts w:ascii="Garamond" w:hAnsi="Garamond"/>
          <w:sz w:val="24"/>
          <w:szCs w:val="24"/>
        </w:rPr>
        <w:t xml:space="preserve">that Dewey’s </w:t>
      </w:r>
      <w:r w:rsidR="002F10EA" w:rsidRPr="00461D74">
        <w:rPr>
          <w:rFonts w:ascii="Garamond" w:hAnsi="Garamond"/>
          <w:sz w:val="24"/>
          <w:szCs w:val="24"/>
        </w:rPr>
        <w:t xml:space="preserve">social-political teleology isn’t perhaps convincing enough to sway </w:t>
      </w:r>
      <w:r w:rsidR="00654AB4" w:rsidRPr="00461D74">
        <w:rPr>
          <w:rFonts w:ascii="Garamond" w:hAnsi="Garamond"/>
          <w:sz w:val="24"/>
          <w:szCs w:val="24"/>
        </w:rPr>
        <w:t xml:space="preserve">the later MacIntyre, it </w:t>
      </w:r>
      <w:r w:rsidR="002B6BAD">
        <w:rPr>
          <w:rFonts w:ascii="Garamond" w:hAnsi="Garamond"/>
          <w:sz w:val="24"/>
          <w:szCs w:val="24"/>
        </w:rPr>
        <w:t>remains</w:t>
      </w:r>
      <w:r w:rsidR="002B6BAD" w:rsidRPr="00461D74">
        <w:rPr>
          <w:rFonts w:ascii="Garamond" w:hAnsi="Garamond"/>
          <w:sz w:val="24"/>
          <w:szCs w:val="24"/>
        </w:rPr>
        <w:t xml:space="preserve"> nonetheless </w:t>
      </w:r>
      <w:r w:rsidR="00654AB4" w:rsidRPr="00461D74">
        <w:rPr>
          <w:rFonts w:ascii="Garamond" w:hAnsi="Garamond"/>
          <w:sz w:val="24"/>
          <w:szCs w:val="24"/>
        </w:rPr>
        <w:t xml:space="preserve">a serious contender for </w:t>
      </w:r>
      <w:r w:rsidR="002B6BAD">
        <w:rPr>
          <w:rFonts w:ascii="Garamond" w:hAnsi="Garamond"/>
          <w:sz w:val="24"/>
          <w:szCs w:val="24"/>
        </w:rPr>
        <w:t>successfully attending to</w:t>
      </w:r>
      <w:r w:rsidR="002B6BAD" w:rsidRPr="00461D74">
        <w:rPr>
          <w:rFonts w:ascii="Garamond" w:hAnsi="Garamond"/>
          <w:sz w:val="24"/>
          <w:szCs w:val="24"/>
        </w:rPr>
        <w:t xml:space="preserve"> </w:t>
      </w:r>
      <w:r w:rsidR="00654AB4" w:rsidRPr="00461D74">
        <w:rPr>
          <w:rFonts w:ascii="Garamond" w:hAnsi="Garamond"/>
          <w:sz w:val="24"/>
          <w:szCs w:val="24"/>
        </w:rPr>
        <w:t xml:space="preserve">the </w:t>
      </w:r>
      <w:r w:rsidR="002B6BAD">
        <w:rPr>
          <w:rFonts w:ascii="Garamond" w:hAnsi="Garamond"/>
          <w:sz w:val="24"/>
          <w:szCs w:val="24"/>
        </w:rPr>
        <w:t>distinctive</w:t>
      </w:r>
      <w:r w:rsidR="002B6BAD" w:rsidRPr="00461D74">
        <w:rPr>
          <w:rFonts w:ascii="Garamond" w:hAnsi="Garamond"/>
          <w:sz w:val="24"/>
          <w:szCs w:val="24"/>
        </w:rPr>
        <w:t xml:space="preserve"> </w:t>
      </w:r>
      <w:r w:rsidR="00654AB4" w:rsidRPr="00461D74">
        <w:rPr>
          <w:rFonts w:ascii="Garamond" w:hAnsi="Garamond"/>
          <w:sz w:val="24"/>
          <w:szCs w:val="24"/>
        </w:rPr>
        <w:t xml:space="preserve">problem that </w:t>
      </w:r>
      <w:r w:rsidR="007E2A87">
        <w:rPr>
          <w:rFonts w:ascii="Garamond" w:hAnsi="Garamond"/>
          <w:sz w:val="24"/>
          <w:szCs w:val="24"/>
        </w:rPr>
        <w:t>plagued</w:t>
      </w:r>
      <w:r w:rsidR="002B6BAD" w:rsidRPr="00461D74">
        <w:rPr>
          <w:rFonts w:ascii="Garamond" w:hAnsi="Garamond"/>
          <w:sz w:val="24"/>
          <w:szCs w:val="24"/>
        </w:rPr>
        <w:t xml:space="preserve"> </w:t>
      </w:r>
      <w:r w:rsidR="002F10EA" w:rsidRPr="00461D74">
        <w:rPr>
          <w:rFonts w:ascii="Garamond" w:hAnsi="Garamond"/>
          <w:sz w:val="24"/>
          <w:szCs w:val="24"/>
        </w:rPr>
        <w:t>MacIntyre’s three-fold account of the virtues</w:t>
      </w:r>
      <w:r w:rsidR="003725DD" w:rsidRPr="00461D74">
        <w:rPr>
          <w:rFonts w:ascii="Garamond" w:hAnsi="Garamond"/>
          <w:sz w:val="24"/>
          <w:szCs w:val="24"/>
        </w:rPr>
        <w:t xml:space="preserve"> </w:t>
      </w:r>
      <w:r w:rsidR="002F10EA" w:rsidRPr="00461D74">
        <w:rPr>
          <w:rFonts w:ascii="Garamond" w:hAnsi="Garamond"/>
          <w:sz w:val="24"/>
          <w:szCs w:val="24"/>
        </w:rPr>
        <w:t>–</w:t>
      </w:r>
      <w:r w:rsidR="003725DD" w:rsidRPr="00461D74">
        <w:rPr>
          <w:rFonts w:ascii="Garamond" w:hAnsi="Garamond"/>
          <w:sz w:val="24"/>
          <w:szCs w:val="24"/>
        </w:rPr>
        <w:t xml:space="preserve"> </w:t>
      </w:r>
      <w:r w:rsidR="002F10EA" w:rsidRPr="00461D74">
        <w:rPr>
          <w:rFonts w:ascii="Garamond" w:hAnsi="Garamond"/>
          <w:sz w:val="24"/>
          <w:szCs w:val="24"/>
        </w:rPr>
        <w:t xml:space="preserve">namely, </w:t>
      </w:r>
      <w:r w:rsidR="007E2A87">
        <w:rPr>
          <w:rFonts w:ascii="Garamond" w:hAnsi="Garamond"/>
          <w:sz w:val="24"/>
          <w:szCs w:val="24"/>
        </w:rPr>
        <w:t xml:space="preserve">the lack of a meaningful conception of the good that is not only capable of underwriting </w:t>
      </w:r>
      <w:r w:rsidR="002F10EA" w:rsidRPr="00461D74">
        <w:rPr>
          <w:rFonts w:ascii="Garamond" w:hAnsi="Garamond"/>
          <w:sz w:val="24"/>
          <w:szCs w:val="24"/>
        </w:rPr>
        <w:t>his social teleology</w:t>
      </w:r>
      <w:r w:rsidR="003725DD" w:rsidRPr="00461D74">
        <w:rPr>
          <w:rFonts w:ascii="Garamond" w:hAnsi="Garamond"/>
          <w:sz w:val="24"/>
          <w:szCs w:val="24"/>
        </w:rPr>
        <w:t xml:space="preserve"> </w:t>
      </w:r>
      <w:r w:rsidR="00654AB4" w:rsidRPr="00461D74">
        <w:rPr>
          <w:rFonts w:ascii="Garamond" w:hAnsi="Garamond"/>
          <w:sz w:val="24"/>
          <w:szCs w:val="24"/>
        </w:rPr>
        <w:t xml:space="preserve">in </w:t>
      </w:r>
      <w:r w:rsidR="00654AB4" w:rsidRPr="00461D74">
        <w:rPr>
          <w:rFonts w:ascii="Garamond" w:hAnsi="Garamond"/>
          <w:i/>
          <w:sz w:val="24"/>
          <w:szCs w:val="24"/>
        </w:rPr>
        <w:t>After Virtue</w:t>
      </w:r>
      <w:r w:rsidR="007E2A87">
        <w:rPr>
          <w:rFonts w:ascii="Garamond" w:hAnsi="Garamond"/>
          <w:sz w:val="24"/>
          <w:szCs w:val="24"/>
        </w:rPr>
        <w:t xml:space="preserve">, but also </w:t>
      </w:r>
      <w:r w:rsidR="00893D40">
        <w:rPr>
          <w:rFonts w:ascii="Garamond" w:hAnsi="Garamond"/>
          <w:sz w:val="24"/>
          <w:szCs w:val="24"/>
        </w:rPr>
        <w:t xml:space="preserve">of </w:t>
      </w:r>
      <w:r w:rsidR="007E2A87">
        <w:rPr>
          <w:rFonts w:ascii="Garamond" w:hAnsi="Garamond"/>
          <w:sz w:val="24"/>
          <w:szCs w:val="24"/>
        </w:rPr>
        <w:t>allowing MacIntyre to consistently maintain those commitments that are born out of the contextualism-historicism, in his work.</w:t>
      </w:r>
    </w:p>
    <w:p w:rsidR="00665157" w:rsidRDefault="0023572F">
      <w:pPr>
        <w:spacing w:line="360" w:lineRule="auto"/>
        <w:ind w:firstLine="720"/>
        <w:jc w:val="both"/>
        <w:rPr>
          <w:rFonts w:ascii="Garamond" w:hAnsi="Garamond"/>
          <w:sz w:val="24"/>
          <w:szCs w:val="24"/>
        </w:rPr>
      </w:pPr>
      <w:r w:rsidRPr="00461D74">
        <w:rPr>
          <w:rFonts w:ascii="Garamond" w:hAnsi="Garamond"/>
          <w:sz w:val="24"/>
          <w:szCs w:val="24"/>
        </w:rPr>
        <w:t>Lastly</w:t>
      </w:r>
      <w:r w:rsidR="00654AB4" w:rsidRPr="00461D74">
        <w:rPr>
          <w:rFonts w:ascii="Garamond" w:hAnsi="Garamond"/>
          <w:sz w:val="24"/>
          <w:szCs w:val="24"/>
        </w:rPr>
        <w:t>, I consider</w:t>
      </w:r>
      <w:r w:rsidRPr="00461D74">
        <w:rPr>
          <w:rFonts w:ascii="Garamond" w:hAnsi="Garamond"/>
          <w:sz w:val="24"/>
          <w:szCs w:val="24"/>
        </w:rPr>
        <w:t>ed</w:t>
      </w:r>
      <w:r w:rsidR="00654AB4" w:rsidRPr="00461D74">
        <w:rPr>
          <w:rFonts w:ascii="Garamond" w:hAnsi="Garamond"/>
          <w:sz w:val="24"/>
          <w:szCs w:val="24"/>
        </w:rPr>
        <w:t xml:space="preserve"> a final objection: namely, </w:t>
      </w:r>
      <w:r w:rsidRPr="00461D74">
        <w:rPr>
          <w:rFonts w:ascii="Garamond" w:hAnsi="Garamond"/>
          <w:sz w:val="24"/>
          <w:szCs w:val="24"/>
        </w:rPr>
        <w:t xml:space="preserve">whether </w:t>
      </w:r>
      <w:r w:rsidR="00654AB4" w:rsidRPr="00461D74">
        <w:rPr>
          <w:rFonts w:ascii="Garamond" w:hAnsi="Garamond"/>
          <w:sz w:val="24"/>
          <w:szCs w:val="24"/>
        </w:rPr>
        <w:t>Dewey</w:t>
      </w:r>
      <w:r w:rsidRPr="00461D74">
        <w:rPr>
          <w:rFonts w:ascii="Garamond" w:hAnsi="Garamond"/>
          <w:sz w:val="24"/>
          <w:szCs w:val="24"/>
        </w:rPr>
        <w:t>’s</w:t>
      </w:r>
      <w:r w:rsidR="00654AB4" w:rsidRPr="00461D74">
        <w:rPr>
          <w:rFonts w:ascii="Garamond" w:hAnsi="Garamond"/>
          <w:sz w:val="24"/>
          <w:szCs w:val="24"/>
        </w:rPr>
        <w:t xml:space="preserve"> teleology</w:t>
      </w:r>
      <w:r w:rsidRPr="00461D74">
        <w:rPr>
          <w:rFonts w:ascii="Garamond" w:hAnsi="Garamond"/>
          <w:sz w:val="24"/>
          <w:szCs w:val="24"/>
        </w:rPr>
        <w:t xml:space="preserve">, or </w:t>
      </w:r>
      <w:r w:rsidR="00654AB4" w:rsidRPr="00461D74">
        <w:rPr>
          <w:rFonts w:ascii="Garamond" w:hAnsi="Garamond"/>
          <w:sz w:val="24"/>
          <w:szCs w:val="24"/>
        </w:rPr>
        <w:t>democracy as a way of life</w:t>
      </w:r>
      <w:r w:rsidRPr="00461D74">
        <w:rPr>
          <w:rFonts w:ascii="Garamond" w:hAnsi="Garamond"/>
          <w:sz w:val="24"/>
          <w:szCs w:val="24"/>
        </w:rPr>
        <w:t xml:space="preserve">, </w:t>
      </w:r>
      <w:r w:rsidR="00654AB4" w:rsidRPr="00461D74">
        <w:rPr>
          <w:rFonts w:ascii="Garamond" w:hAnsi="Garamond"/>
          <w:sz w:val="24"/>
          <w:szCs w:val="24"/>
        </w:rPr>
        <w:t>rests on the assumption that the pragmatist methodology of inquiry can just as well apply to moral inquiry as it does to other areas of inquiry, especially scientific forms of inquiry.</w:t>
      </w:r>
      <w:r w:rsidRPr="00461D74">
        <w:rPr>
          <w:rFonts w:ascii="Garamond" w:hAnsi="Garamond"/>
          <w:sz w:val="24"/>
          <w:szCs w:val="24"/>
        </w:rPr>
        <w:t xml:space="preserve"> Using the arguments offered by Hilary Putnam, I put for</w:t>
      </w:r>
      <w:r w:rsidR="00F14451" w:rsidRPr="00461D74">
        <w:rPr>
          <w:rFonts w:ascii="Garamond" w:hAnsi="Garamond"/>
          <w:sz w:val="24"/>
          <w:szCs w:val="24"/>
        </w:rPr>
        <w:t>ward</w:t>
      </w:r>
      <w:r w:rsidRPr="00461D74">
        <w:rPr>
          <w:rFonts w:ascii="Garamond" w:hAnsi="Garamond"/>
          <w:sz w:val="24"/>
          <w:szCs w:val="24"/>
        </w:rPr>
        <w:t xml:space="preserve"> a defense of the Deweyan conception of inquiry. </w:t>
      </w:r>
      <w:r w:rsidR="007606F9" w:rsidRPr="00461D74">
        <w:rPr>
          <w:rFonts w:ascii="Garamond" w:hAnsi="Garamond"/>
          <w:sz w:val="24"/>
          <w:szCs w:val="24"/>
        </w:rPr>
        <w:t>Using Putnam’s arguments</w:t>
      </w:r>
      <w:r w:rsidRPr="00461D74">
        <w:rPr>
          <w:rFonts w:ascii="Garamond" w:hAnsi="Garamond"/>
          <w:sz w:val="24"/>
          <w:szCs w:val="24"/>
        </w:rPr>
        <w:t xml:space="preserve">, I </w:t>
      </w:r>
      <w:r w:rsidR="00BD1135">
        <w:rPr>
          <w:rFonts w:ascii="Garamond" w:hAnsi="Garamond"/>
          <w:sz w:val="24"/>
          <w:szCs w:val="24"/>
        </w:rPr>
        <w:t>proposed</w:t>
      </w:r>
      <w:r w:rsidR="00BD1135" w:rsidRPr="00461D74">
        <w:rPr>
          <w:rFonts w:ascii="Garamond" w:hAnsi="Garamond"/>
          <w:sz w:val="24"/>
          <w:szCs w:val="24"/>
        </w:rPr>
        <w:t xml:space="preserve"> </w:t>
      </w:r>
      <w:r w:rsidRPr="00461D74">
        <w:rPr>
          <w:rFonts w:ascii="Garamond" w:hAnsi="Garamond"/>
          <w:sz w:val="24"/>
          <w:szCs w:val="24"/>
        </w:rPr>
        <w:t>that a hard and fast distinction between science and ethics, and facts and values, is not merited</w:t>
      </w:r>
      <w:r w:rsidR="00BD1135">
        <w:rPr>
          <w:rFonts w:ascii="Garamond" w:hAnsi="Garamond"/>
          <w:sz w:val="24"/>
          <w:szCs w:val="24"/>
        </w:rPr>
        <w:t>. Here, I argued that</w:t>
      </w:r>
      <w:r w:rsidRPr="00461D74">
        <w:rPr>
          <w:rFonts w:ascii="Garamond" w:hAnsi="Garamond"/>
          <w:sz w:val="24"/>
          <w:szCs w:val="24"/>
        </w:rPr>
        <w:t xml:space="preserve"> when we carefully consider </w:t>
      </w:r>
      <w:r w:rsidR="007606F9" w:rsidRPr="00461D74">
        <w:rPr>
          <w:rFonts w:ascii="Garamond" w:hAnsi="Garamond"/>
          <w:sz w:val="24"/>
          <w:szCs w:val="24"/>
        </w:rPr>
        <w:t xml:space="preserve">a number of </w:t>
      </w:r>
      <w:r w:rsidRPr="00461D74">
        <w:rPr>
          <w:rFonts w:ascii="Garamond" w:hAnsi="Garamond"/>
          <w:sz w:val="24"/>
          <w:szCs w:val="24"/>
        </w:rPr>
        <w:t xml:space="preserve">factual and evaluative </w:t>
      </w:r>
      <w:r w:rsidR="007606F9" w:rsidRPr="00461D74">
        <w:rPr>
          <w:rFonts w:ascii="Garamond" w:hAnsi="Garamond"/>
          <w:sz w:val="24"/>
          <w:szCs w:val="24"/>
        </w:rPr>
        <w:t>sentences</w:t>
      </w:r>
      <w:r w:rsidRPr="00461D74">
        <w:rPr>
          <w:rFonts w:ascii="Garamond" w:hAnsi="Garamond"/>
          <w:sz w:val="24"/>
          <w:szCs w:val="24"/>
        </w:rPr>
        <w:t xml:space="preserve">, </w:t>
      </w:r>
      <w:r w:rsidR="00BD1135">
        <w:rPr>
          <w:rFonts w:ascii="Garamond" w:hAnsi="Garamond"/>
          <w:sz w:val="24"/>
          <w:szCs w:val="24"/>
        </w:rPr>
        <w:t>it becomes obvious</w:t>
      </w:r>
      <w:r w:rsidRPr="00461D74">
        <w:rPr>
          <w:rFonts w:ascii="Garamond" w:hAnsi="Garamond"/>
          <w:sz w:val="24"/>
          <w:szCs w:val="24"/>
        </w:rPr>
        <w:t xml:space="preserve"> that factual and evaluative predicates</w:t>
      </w:r>
      <w:r w:rsidR="007606F9" w:rsidRPr="00461D74">
        <w:rPr>
          <w:rFonts w:ascii="Garamond" w:hAnsi="Garamond"/>
          <w:sz w:val="24"/>
          <w:szCs w:val="24"/>
        </w:rPr>
        <w:t>,</w:t>
      </w:r>
      <w:r w:rsidRPr="00461D74">
        <w:rPr>
          <w:rFonts w:ascii="Garamond" w:hAnsi="Garamond"/>
          <w:sz w:val="24"/>
          <w:szCs w:val="24"/>
        </w:rPr>
        <w:t xml:space="preserve"> </w:t>
      </w:r>
      <w:r w:rsidR="007606F9" w:rsidRPr="00461D74">
        <w:rPr>
          <w:rFonts w:ascii="Garamond" w:hAnsi="Garamond"/>
          <w:sz w:val="24"/>
          <w:szCs w:val="24"/>
        </w:rPr>
        <w:t xml:space="preserve">especially with regards to </w:t>
      </w:r>
      <w:r w:rsidR="00BD1135">
        <w:rPr>
          <w:rFonts w:ascii="Garamond" w:hAnsi="Garamond"/>
          <w:sz w:val="24"/>
          <w:szCs w:val="24"/>
        </w:rPr>
        <w:t>social-</w:t>
      </w:r>
      <w:r w:rsidR="007606F9" w:rsidRPr="00461D74">
        <w:rPr>
          <w:rFonts w:ascii="Garamond" w:hAnsi="Garamond"/>
          <w:sz w:val="24"/>
          <w:szCs w:val="24"/>
        </w:rPr>
        <w:t xml:space="preserve">practical facts, </w:t>
      </w:r>
      <w:r w:rsidRPr="00461D74">
        <w:rPr>
          <w:rFonts w:ascii="Garamond" w:hAnsi="Garamond"/>
          <w:sz w:val="24"/>
          <w:szCs w:val="24"/>
        </w:rPr>
        <w:t>are often entangled.</w:t>
      </w:r>
      <w:r w:rsidR="00AB4CB4" w:rsidRPr="00461D74">
        <w:rPr>
          <w:rFonts w:ascii="Garamond" w:hAnsi="Garamond"/>
          <w:sz w:val="24"/>
          <w:szCs w:val="24"/>
        </w:rPr>
        <w:t xml:space="preserve"> Finally, I rejected Bernard Williams’ argument that </w:t>
      </w:r>
      <w:r w:rsidR="009F3E8C" w:rsidRPr="00461D74">
        <w:rPr>
          <w:rFonts w:ascii="Garamond" w:hAnsi="Garamond"/>
          <w:sz w:val="24"/>
          <w:szCs w:val="24"/>
        </w:rPr>
        <w:t>‘</w:t>
      </w:r>
      <w:proofErr w:type="spellStart"/>
      <w:r w:rsidR="00AB4CB4" w:rsidRPr="00461D74">
        <w:rPr>
          <w:rFonts w:ascii="Garamond" w:hAnsi="Garamond"/>
          <w:sz w:val="24"/>
          <w:szCs w:val="24"/>
        </w:rPr>
        <w:t>physicalism</w:t>
      </w:r>
      <w:proofErr w:type="spellEnd"/>
      <w:r w:rsidR="009F3E8C" w:rsidRPr="00461D74">
        <w:rPr>
          <w:rFonts w:ascii="Garamond" w:hAnsi="Garamond"/>
          <w:sz w:val="24"/>
          <w:szCs w:val="24"/>
        </w:rPr>
        <w:t>’</w:t>
      </w:r>
      <w:r w:rsidR="00AB4CB4" w:rsidRPr="00461D74">
        <w:rPr>
          <w:rFonts w:ascii="Garamond" w:hAnsi="Garamond"/>
          <w:sz w:val="24"/>
          <w:szCs w:val="24"/>
        </w:rPr>
        <w:t xml:space="preserve"> justifies a strong distinction between facts and values.</w:t>
      </w:r>
      <w:r w:rsidR="009F3E8C" w:rsidRPr="00461D74">
        <w:rPr>
          <w:rFonts w:ascii="Garamond" w:hAnsi="Garamond"/>
          <w:sz w:val="24"/>
          <w:szCs w:val="24"/>
        </w:rPr>
        <w:t xml:space="preserve"> </w:t>
      </w:r>
      <w:r w:rsidR="007A20D5">
        <w:rPr>
          <w:rFonts w:ascii="Garamond" w:hAnsi="Garamond"/>
          <w:sz w:val="24"/>
          <w:szCs w:val="24"/>
        </w:rPr>
        <w:t>First, it seems that the</w:t>
      </w:r>
      <w:r w:rsidR="007A20D5" w:rsidRPr="00461D74">
        <w:rPr>
          <w:rFonts w:ascii="Garamond" w:hAnsi="Garamond"/>
          <w:sz w:val="24"/>
          <w:szCs w:val="24"/>
        </w:rPr>
        <w:t xml:space="preserve"> </w:t>
      </w:r>
      <w:r w:rsidR="009F3E8C" w:rsidRPr="00461D74">
        <w:rPr>
          <w:rFonts w:ascii="Garamond" w:hAnsi="Garamond"/>
          <w:sz w:val="24"/>
          <w:szCs w:val="24"/>
        </w:rPr>
        <w:t xml:space="preserve">upshot of Williams’ argument is not a strong distinction between </w:t>
      </w:r>
      <w:r w:rsidR="009F3E8C" w:rsidRPr="00461D74">
        <w:rPr>
          <w:rFonts w:ascii="Garamond" w:hAnsi="Garamond"/>
          <w:sz w:val="24"/>
          <w:szCs w:val="24"/>
        </w:rPr>
        <w:lastRenderedPageBreak/>
        <w:t>facts and values, rather a distinction between local facts and absolute facts.</w:t>
      </w:r>
      <w:r w:rsidR="007A20D5">
        <w:rPr>
          <w:rFonts w:ascii="Garamond" w:hAnsi="Garamond"/>
          <w:sz w:val="24"/>
          <w:szCs w:val="24"/>
        </w:rPr>
        <w:t xml:space="preserve"> Second, I argued that Williams’ distinction between local facts and absolute facts ultimately places a lot of ordinary factual claims on the wrong side of the distinction between ‘fact’ and ‘value.’ Therefore, Williams’ distinction isn’t altogether an attractive alternative for the defenders of the ‘fact/value’ dichotomy, if they want to meaningfully use the distinction in defence of ordinary descriptions in natural language, and not those descriptions that are located in the domain of theoretical </w:t>
      </w:r>
      <w:r w:rsidR="00E84651">
        <w:rPr>
          <w:rFonts w:ascii="Garamond" w:hAnsi="Garamond"/>
          <w:sz w:val="24"/>
          <w:szCs w:val="24"/>
        </w:rPr>
        <w:t>physic</w:t>
      </w:r>
      <w:r w:rsidR="007A20D5">
        <w:rPr>
          <w:rFonts w:ascii="Garamond" w:hAnsi="Garamond"/>
          <w:sz w:val="24"/>
          <w:szCs w:val="24"/>
        </w:rPr>
        <w:t>s.</w:t>
      </w:r>
    </w:p>
    <w:p w:rsidR="009B08FB" w:rsidRDefault="00467661" w:rsidP="00AC4A8C">
      <w:pPr>
        <w:spacing w:line="360" w:lineRule="auto"/>
        <w:ind w:firstLine="720"/>
        <w:jc w:val="both"/>
        <w:rPr>
          <w:rFonts w:ascii="Garamond" w:hAnsi="Garamond"/>
          <w:sz w:val="24"/>
          <w:szCs w:val="24"/>
        </w:rPr>
      </w:pPr>
      <w:r w:rsidRPr="00461D74">
        <w:rPr>
          <w:rFonts w:ascii="Garamond" w:hAnsi="Garamond"/>
          <w:sz w:val="24"/>
          <w:szCs w:val="24"/>
        </w:rPr>
        <w:t xml:space="preserve">Taken overall, therefore, I hope to have established that a broadly Deweyan approach can help MacIntyre deal with a fundamental difficulty we have raised for his project, by offering him a plausible alternative to the Aristotelian-Thomistic account of the human good, thereby enabling him to </w:t>
      </w:r>
      <w:r w:rsidR="00F14451" w:rsidRPr="00461D74">
        <w:rPr>
          <w:rFonts w:ascii="Garamond" w:hAnsi="Garamond"/>
          <w:sz w:val="24"/>
          <w:szCs w:val="24"/>
        </w:rPr>
        <w:t>offer a sufficiently substantive conception of this good on the one hand, while on the other hand escaping</w:t>
      </w:r>
      <w:r w:rsidRPr="00461D74">
        <w:rPr>
          <w:rFonts w:ascii="Garamond" w:hAnsi="Garamond"/>
          <w:sz w:val="24"/>
          <w:szCs w:val="24"/>
        </w:rPr>
        <w:t xml:space="preserve"> the difficult</w:t>
      </w:r>
      <w:r w:rsidR="00F14451" w:rsidRPr="00461D74">
        <w:rPr>
          <w:rFonts w:ascii="Garamond" w:hAnsi="Garamond"/>
          <w:sz w:val="24"/>
          <w:szCs w:val="24"/>
        </w:rPr>
        <w:t xml:space="preserve">y of attempting </w:t>
      </w:r>
      <w:r w:rsidRPr="00461D74">
        <w:rPr>
          <w:rFonts w:ascii="Garamond" w:hAnsi="Garamond"/>
          <w:sz w:val="24"/>
          <w:szCs w:val="24"/>
        </w:rPr>
        <w:t xml:space="preserve">to revive a position </w:t>
      </w:r>
      <w:r w:rsidR="00AC4A8C">
        <w:rPr>
          <w:rFonts w:ascii="Garamond" w:hAnsi="Garamond"/>
          <w:sz w:val="24"/>
          <w:szCs w:val="24"/>
        </w:rPr>
        <w:t xml:space="preserve">that on his own account, ought to be viewed </w:t>
      </w:r>
      <w:r w:rsidRPr="00461D74">
        <w:rPr>
          <w:rFonts w:ascii="Garamond" w:hAnsi="Garamond"/>
          <w:sz w:val="24"/>
          <w:szCs w:val="24"/>
        </w:rPr>
        <w:t xml:space="preserve">as surpassed. </w:t>
      </w:r>
      <w:r w:rsidR="00F14451" w:rsidRPr="00461D74">
        <w:rPr>
          <w:rFonts w:ascii="Garamond" w:hAnsi="Garamond"/>
          <w:sz w:val="24"/>
          <w:szCs w:val="24"/>
        </w:rPr>
        <w:t>In this way, I have shown how pragmatism can be used to complement MacIntyre’s work, in ways that he may have found surprising, but which (I have argued) he has good reasons not to resist if that work is to be rendered stable</w:t>
      </w:r>
      <w:r w:rsidR="00893D40">
        <w:rPr>
          <w:rFonts w:ascii="Garamond" w:hAnsi="Garamond"/>
          <w:sz w:val="24"/>
          <w:szCs w:val="24"/>
        </w:rPr>
        <w:t xml:space="preserve"> and coherent</w:t>
      </w:r>
      <w:r w:rsidR="00F14451" w:rsidRPr="00461D74">
        <w:rPr>
          <w:rFonts w:ascii="Garamond" w:hAnsi="Garamond"/>
          <w:sz w:val="24"/>
          <w:szCs w:val="24"/>
        </w:rPr>
        <w:t xml:space="preserve">. In turning now to the second central difficulty I raised for MacIntyre’s project, we will come to see that a similar turn to pragmatism </w:t>
      </w:r>
      <w:r w:rsidR="00E40483">
        <w:rPr>
          <w:rFonts w:ascii="Garamond" w:hAnsi="Garamond"/>
          <w:sz w:val="24"/>
          <w:szCs w:val="24"/>
        </w:rPr>
        <w:t>could likewise prove profitable</w:t>
      </w:r>
      <w:r w:rsidR="00F14451" w:rsidRPr="00461D74">
        <w:rPr>
          <w:rFonts w:ascii="Garamond" w:hAnsi="Garamond"/>
          <w:sz w:val="24"/>
          <w:szCs w:val="24"/>
        </w:rPr>
        <w:t>.</w:t>
      </w:r>
      <w:bookmarkStart w:id="32" w:name="_Toc318424032"/>
    </w:p>
    <w:p w:rsidR="00CF14C6" w:rsidRPr="00461D74" w:rsidRDefault="00CF14C6" w:rsidP="00AC4A8C">
      <w:pPr>
        <w:spacing w:line="360" w:lineRule="auto"/>
        <w:ind w:firstLine="720"/>
        <w:jc w:val="both"/>
        <w:sectPr w:rsidR="00CF14C6" w:rsidRPr="00461D74" w:rsidSect="003D0941">
          <w:footnotePr>
            <w:numRestart w:val="eachSect"/>
          </w:footnotePr>
          <w:pgSz w:w="12240" w:h="15840"/>
          <w:pgMar w:top="1985" w:right="2268" w:bottom="2268" w:left="2268" w:header="709" w:footer="709" w:gutter="0"/>
          <w:cols w:space="708"/>
          <w:docGrid w:linePitch="360"/>
        </w:sectPr>
      </w:pPr>
    </w:p>
    <w:p w:rsidR="00665157" w:rsidRDefault="00016049">
      <w:pPr>
        <w:pStyle w:val="Heading1"/>
        <w:spacing w:line="360" w:lineRule="auto"/>
        <w:jc w:val="both"/>
        <w:rPr>
          <w:rFonts w:cstheme="majorHAnsi"/>
        </w:rPr>
      </w:pPr>
      <w:bookmarkStart w:id="33" w:name="_Toc528077814"/>
      <w:r w:rsidRPr="00F03436">
        <w:rPr>
          <w:rFonts w:cstheme="majorHAnsi"/>
        </w:rPr>
        <w:lastRenderedPageBreak/>
        <w:t>Chapter 4: MacIntyre’s Political Philosophy: Historicity, modern political philosophy, and the Aristotelian Polis</w:t>
      </w:r>
      <w:bookmarkEnd w:id="32"/>
      <w:bookmarkEnd w:id="33"/>
    </w:p>
    <w:p w:rsidR="00665157" w:rsidRDefault="00665157">
      <w:pPr>
        <w:spacing w:line="360" w:lineRule="auto"/>
        <w:jc w:val="both"/>
        <w:rPr>
          <w:rFonts w:asciiTheme="majorHAnsi" w:hAnsiTheme="majorHAnsi" w:cstheme="majorHAnsi"/>
          <w:sz w:val="24"/>
          <w:szCs w:val="24"/>
          <w:u w:val="single"/>
        </w:rPr>
      </w:pPr>
    </w:p>
    <w:p w:rsidR="00665157" w:rsidRDefault="00BB6002" w:rsidP="00BB6002">
      <w:pPr>
        <w:pStyle w:val="Heading2"/>
        <w:spacing w:line="360" w:lineRule="auto"/>
        <w:jc w:val="both"/>
        <w:rPr>
          <w:rFonts w:cstheme="majorHAnsi"/>
          <w:sz w:val="24"/>
          <w:szCs w:val="24"/>
        </w:rPr>
      </w:pPr>
      <w:bookmarkStart w:id="34" w:name="_Toc318424033"/>
      <w:bookmarkStart w:id="35" w:name="_Toc528077815"/>
      <w:r>
        <w:rPr>
          <w:rFonts w:cstheme="majorHAnsi"/>
        </w:rPr>
        <w:t xml:space="preserve">1. </w:t>
      </w:r>
      <w:r w:rsidR="00016049" w:rsidRPr="00F03436">
        <w:rPr>
          <w:rFonts w:cstheme="majorHAnsi"/>
        </w:rPr>
        <w:t>Introduction</w:t>
      </w:r>
      <w:bookmarkEnd w:id="34"/>
      <w:bookmarkEnd w:id="35"/>
    </w:p>
    <w:p w:rsidR="00665157" w:rsidRDefault="00665157">
      <w:pPr>
        <w:spacing w:line="360" w:lineRule="auto"/>
        <w:jc w:val="both"/>
        <w:rPr>
          <w:rFonts w:ascii="Garamond" w:hAnsi="Garamond" w:cstheme="minorHAnsi"/>
          <w:sz w:val="24"/>
          <w:szCs w:val="24"/>
        </w:rPr>
      </w:pPr>
    </w:p>
    <w:p w:rsidR="000A17D9" w:rsidRDefault="00016049" w:rsidP="00BB3058">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w:t>
      </w:r>
      <w:r w:rsidR="00467661" w:rsidRPr="00461D74">
        <w:rPr>
          <w:rFonts w:ascii="Garamond" w:hAnsi="Garamond" w:cstheme="minorHAnsi"/>
          <w:sz w:val="24"/>
          <w:szCs w:val="24"/>
        </w:rPr>
        <w:t>C</w:t>
      </w:r>
      <w:r w:rsidRPr="00461D74">
        <w:rPr>
          <w:rFonts w:ascii="Garamond" w:hAnsi="Garamond" w:cstheme="minorHAnsi"/>
          <w:sz w:val="24"/>
          <w:szCs w:val="24"/>
        </w:rPr>
        <w:t>hapter</w:t>
      </w:r>
      <w:r w:rsidR="00C57D77" w:rsidRPr="00461D74">
        <w:rPr>
          <w:rFonts w:ascii="Garamond" w:hAnsi="Garamond" w:cstheme="minorHAnsi"/>
          <w:sz w:val="24"/>
          <w:szCs w:val="24"/>
        </w:rPr>
        <w:t xml:space="preserve"> </w:t>
      </w:r>
      <w:r w:rsidR="00467661" w:rsidRPr="00461D74">
        <w:rPr>
          <w:rFonts w:ascii="Garamond" w:hAnsi="Garamond" w:cstheme="minorHAnsi"/>
          <w:sz w:val="24"/>
          <w:szCs w:val="24"/>
        </w:rPr>
        <w:t>T</w:t>
      </w:r>
      <w:r w:rsidR="00C57D77" w:rsidRPr="00461D74">
        <w:rPr>
          <w:rFonts w:ascii="Garamond" w:hAnsi="Garamond" w:cstheme="minorHAnsi"/>
          <w:sz w:val="24"/>
          <w:szCs w:val="24"/>
        </w:rPr>
        <w:t>wo,</w:t>
      </w:r>
      <w:r w:rsidRPr="00461D74">
        <w:rPr>
          <w:rFonts w:ascii="Garamond" w:hAnsi="Garamond" w:cstheme="minorHAnsi"/>
          <w:sz w:val="24"/>
          <w:szCs w:val="24"/>
        </w:rPr>
        <w:t xml:space="preserve"> </w:t>
      </w:r>
      <w:r w:rsidR="00D2567C">
        <w:rPr>
          <w:rFonts w:ascii="Garamond" w:hAnsi="Garamond" w:cstheme="minorHAnsi"/>
          <w:sz w:val="24"/>
          <w:szCs w:val="24"/>
        </w:rPr>
        <w:t>I</w:t>
      </w:r>
      <w:r w:rsidR="00D2567C" w:rsidRPr="00461D74">
        <w:rPr>
          <w:rFonts w:ascii="Garamond" w:hAnsi="Garamond" w:cstheme="minorHAnsi"/>
          <w:sz w:val="24"/>
          <w:szCs w:val="24"/>
        </w:rPr>
        <w:t xml:space="preserve"> </w:t>
      </w:r>
      <w:r w:rsidRPr="00461D74">
        <w:rPr>
          <w:rFonts w:ascii="Garamond" w:hAnsi="Garamond" w:cstheme="minorHAnsi"/>
          <w:sz w:val="24"/>
          <w:szCs w:val="24"/>
        </w:rPr>
        <w:t xml:space="preserve">explored the tension between </w:t>
      </w:r>
      <w:r w:rsidR="00D2567C">
        <w:rPr>
          <w:rFonts w:ascii="Garamond" w:hAnsi="Garamond" w:cstheme="minorHAnsi"/>
          <w:sz w:val="24"/>
          <w:szCs w:val="24"/>
        </w:rPr>
        <w:t xml:space="preserve">the contextualist-historicist commitments that follow from </w:t>
      </w:r>
      <w:r w:rsidRPr="00461D74">
        <w:rPr>
          <w:rFonts w:ascii="Garamond" w:hAnsi="Garamond" w:cstheme="minorHAnsi"/>
          <w:sz w:val="24"/>
          <w:szCs w:val="24"/>
        </w:rPr>
        <w:t xml:space="preserve">MacIntyre’s </w:t>
      </w:r>
      <w:r w:rsidR="00D2567C">
        <w:rPr>
          <w:rFonts w:ascii="Garamond" w:hAnsi="Garamond" w:cstheme="minorHAnsi"/>
          <w:sz w:val="24"/>
          <w:szCs w:val="24"/>
        </w:rPr>
        <w:t>historical account of tradition-guided inquiry, against those claims that emerge from</w:t>
      </w:r>
      <w:r w:rsidR="00D2567C" w:rsidRPr="00461D74">
        <w:rPr>
          <w:rFonts w:ascii="Garamond" w:hAnsi="Garamond" w:cstheme="minorHAnsi"/>
          <w:sz w:val="24"/>
          <w:szCs w:val="24"/>
        </w:rPr>
        <w:t xml:space="preserve"> </w:t>
      </w:r>
      <w:r w:rsidRPr="00461D74">
        <w:rPr>
          <w:rFonts w:ascii="Garamond" w:hAnsi="Garamond" w:cstheme="minorHAnsi"/>
          <w:sz w:val="24"/>
          <w:szCs w:val="24"/>
        </w:rPr>
        <w:t xml:space="preserve">his </w:t>
      </w:r>
      <w:r w:rsidR="00D2567C">
        <w:rPr>
          <w:rFonts w:ascii="Garamond" w:hAnsi="Garamond" w:cstheme="minorHAnsi"/>
          <w:sz w:val="24"/>
          <w:szCs w:val="24"/>
        </w:rPr>
        <w:t>endorsement of Aristotelian-</w:t>
      </w:r>
      <w:r w:rsidRPr="00461D74">
        <w:rPr>
          <w:rFonts w:ascii="Garamond" w:hAnsi="Garamond" w:cstheme="minorHAnsi"/>
          <w:sz w:val="24"/>
          <w:szCs w:val="24"/>
        </w:rPr>
        <w:t>Thomis</w:t>
      </w:r>
      <w:r w:rsidR="00D2567C">
        <w:rPr>
          <w:rFonts w:ascii="Garamond" w:hAnsi="Garamond" w:cstheme="minorHAnsi"/>
          <w:sz w:val="24"/>
          <w:szCs w:val="24"/>
        </w:rPr>
        <w:t>m</w:t>
      </w:r>
      <w:r w:rsidRPr="00461D74">
        <w:rPr>
          <w:rFonts w:ascii="Garamond" w:hAnsi="Garamond" w:cstheme="minorHAnsi"/>
          <w:sz w:val="24"/>
          <w:szCs w:val="24"/>
        </w:rPr>
        <w:t xml:space="preserve">. We </w:t>
      </w:r>
      <w:r w:rsidR="00436A26">
        <w:rPr>
          <w:rFonts w:ascii="Garamond" w:hAnsi="Garamond" w:cstheme="minorHAnsi"/>
          <w:sz w:val="24"/>
          <w:szCs w:val="24"/>
        </w:rPr>
        <w:t>discovered</w:t>
      </w:r>
      <w:r w:rsidR="00436A26" w:rsidRPr="00461D74">
        <w:rPr>
          <w:rFonts w:ascii="Garamond" w:hAnsi="Garamond" w:cstheme="minorHAnsi"/>
          <w:sz w:val="24"/>
          <w:szCs w:val="24"/>
        </w:rPr>
        <w:t xml:space="preserve"> </w:t>
      </w:r>
      <w:r w:rsidRPr="00461D74">
        <w:rPr>
          <w:rFonts w:ascii="Garamond" w:hAnsi="Garamond" w:cstheme="minorHAnsi"/>
          <w:sz w:val="24"/>
          <w:szCs w:val="24"/>
        </w:rPr>
        <w:t xml:space="preserve">that MacIntyre’s </w:t>
      </w:r>
      <w:r w:rsidR="00D2567C">
        <w:rPr>
          <w:rFonts w:ascii="Garamond" w:hAnsi="Garamond" w:cstheme="minorHAnsi"/>
          <w:sz w:val="24"/>
          <w:szCs w:val="24"/>
        </w:rPr>
        <w:t>historical narrative of</w:t>
      </w:r>
      <w:r w:rsidRPr="00461D74">
        <w:rPr>
          <w:rFonts w:ascii="Garamond" w:hAnsi="Garamond" w:cstheme="minorHAnsi"/>
          <w:sz w:val="24"/>
          <w:szCs w:val="24"/>
        </w:rPr>
        <w:t xml:space="preserve"> tradition-guided moral inquiry </w:t>
      </w:r>
      <w:r w:rsidR="00D2567C">
        <w:rPr>
          <w:rFonts w:ascii="Garamond" w:hAnsi="Garamond" w:cstheme="minorHAnsi"/>
          <w:sz w:val="24"/>
          <w:szCs w:val="24"/>
        </w:rPr>
        <w:t xml:space="preserve">appears to </w:t>
      </w:r>
      <w:r w:rsidR="00436A26">
        <w:rPr>
          <w:rFonts w:ascii="Garamond" w:hAnsi="Garamond" w:cstheme="minorHAnsi"/>
          <w:sz w:val="24"/>
          <w:szCs w:val="24"/>
        </w:rPr>
        <w:t xml:space="preserve">highlight two distinct aspects of progress (or development) – an </w:t>
      </w:r>
      <w:r w:rsidR="000B4086">
        <w:rPr>
          <w:rFonts w:ascii="Garamond" w:hAnsi="Garamond" w:cstheme="minorHAnsi"/>
          <w:sz w:val="24"/>
          <w:szCs w:val="24"/>
        </w:rPr>
        <w:t>‘</w:t>
      </w:r>
      <w:r w:rsidR="00436A26">
        <w:rPr>
          <w:rFonts w:ascii="Garamond" w:hAnsi="Garamond" w:cstheme="minorHAnsi"/>
          <w:sz w:val="24"/>
          <w:szCs w:val="24"/>
        </w:rPr>
        <w:t>intellectual/rational</w:t>
      </w:r>
      <w:r w:rsidR="000B4086">
        <w:rPr>
          <w:rFonts w:ascii="Garamond" w:hAnsi="Garamond" w:cstheme="minorHAnsi"/>
          <w:sz w:val="24"/>
          <w:szCs w:val="24"/>
        </w:rPr>
        <w:t>’</w:t>
      </w:r>
      <w:r w:rsidR="00436A26">
        <w:rPr>
          <w:rFonts w:ascii="Garamond" w:hAnsi="Garamond" w:cstheme="minorHAnsi"/>
          <w:sz w:val="24"/>
          <w:szCs w:val="24"/>
        </w:rPr>
        <w:t xml:space="preserve"> </w:t>
      </w:r>
      <w:r w:rsidR="00FB2C57">
        <w:rPr>
          <w:rFonts w:ascii="Garamond" w:hAnsi="Garamond" w:cstheme="minorHAnsi"/>
          <w:sz w:val="24"/>
          <w:szCs w:val="24"/>
        </w:rPr>
        <w:t>aspect</w:t>
      </w:r>
      <w:r w:rsidR="00893D40">
        <w:rPr>
          <w:rFonts w:ascii="Garamond" w:hAnsi="Garamond" w:cstheme="minorHAnsi"/>
          <w:sz w:val="24"/>
          <w:szCs w:val="24"/>
        </w:rPr>
        <w:t xml:space="preserve">, </w:t>
      </w:r>
      <w:r w:rsidR="00FB2C57">
        <w:rPr>
          <w:rFonts w:ascii="Garamond" w:hAnsi="Garamond" w:cstheme="minorHAnsi"/>
          <w:sz w:val="24"/>
          <w:szCs w:val="24"/>
        </w:rPr>
        <w:t>as well as a</w:t>
      </w:r>
      <w:r w:rsidR="00893D40">
        <w:rPr>
          <w:rFonts w:ascii="Garamond" w:hAnsi="Garamond" w:cstheme="minorHAnsi"/>
          <w:sz w:val="24"/>
          <w:szCs w:val="24"/>
        </w:rPr>
        <w:t xml:space="preserve"> </w:t>
      </w:r>
      <w:r w:rsidR="000B4086">
        <w:rPr>
          <w:rFonts w:ascii="Garamond" w:hAnsi="Garamond" w:cstheme="minorHAnsi"/>
          <w:sz w:val="24"/>
          <w:szCs w:val="24"/>
        </w:rPr>
        <w:t>‘</w:t>
      </w:r>
      <w:r w:rsidR="00436A26">
        <w:rPr>
          <w:rFonts w:ascii="Garamond" w:hAnsi="Garamond" w:cstheme="minorHAnsi"/>
          <w:sz w:val="24"/>
          <w:szCs w:val="24"/>
        </w:rPr>
        <w:t>material</w:t>
      </w:r>
      <w:r w:rsidR="00FB2C57">
        <w:rPr>
          <w:rFonts w:ascii="Garamond" w:hAnsi="Garamond" w:cstheme="minorHAnsi"/>
          <w:sz w:val="24"/>
          <w:szCs w:val="24"/>
        </w:rPr>
        <w:t>’ aspect</w:t>
      </w:r>
      <w:r w:rsidR="000B4086">
        <w:rPr>
          <w:rFonts w:ascii="Garamond" w:hAnsi="Garamond" w:cstheme="minorHAnsi"/>
          <w:sz w:val="24"/>
          <w:szCs w:val="24"/>
        </w:rPr>
        <w:t>;</w:t>
      </w:r>
      <w:r w:rsidR="00436A26">
        <w:rPr>
          <w:rFonts w:ascii="Garamond" w:hAnsi="Garamond" w:cstheme="minorHAnsi"/>
          <w:sz w:val="24"/>
          <w:szCs w:val="24"/>
        </w:rPr>
        <w:t xml:space="preserve"> </w:t>
      </w:r>
      <w:r w:rsidR="000B4086">
        <w:rPr>
          <w:rFonts w:ascii="Garamond" w:hAnsi="Garamond" w:cstheme="minorHAnsi"/>
          <w:sz w:val="24"/>
          <w:szCs w:val="24"/>
        </w:rPr>
        <w:t>and</w:t>
      </w:r>
      <w:r w:rsidR="00436A26">
        <w:rPr>
          <w:rFonts w:ascii="Garamond" w:hAnsi="Garamond" w:cstheme="minorHAnsi"/>
          <w:sz w:val="24"/>
          <w:szCs w:val="24"/>
        </w:rPr>
        <w:t xml:space="preserve">, </w:t>
      </w:r>
      <w:r w:rsidR="000B4086">
        <w:rPr>
          <w:rFonts w:ascii="Garamond" w:hAnsi="Garamond" w:cstheme="minorHAnsi"/>
          <w:sz w:val="24"/>
          <w:szCs w:val="24"/>
        </w:rPr>
        <w:t xml:space="preserve">owing to the fact that </w:t>
      </w:r>
      <w:r w:rsidR="00436A26">
        <w:rPr>
          <w:rFonts w:ascii="Garamond" w:hAnsi="Garamond" w:cstheme="minorHAnsi"/>
          <w:sz w:val="24"/>
          <w:szCs w:val="24"/>
        </w:rPr>
        <w:t xml:space="preserve">these two aspects </w:t>
      </w:r>
      <w:r w:rsidR="00BA0091">
        <w:rPr>
          <w:rFonts w:ascii="Garamond" w:hAnsi="Garamond" w:cstheme="minorHAnsi"/>
          <w:sz w:val="24"/>
          <w:szCs w:val="24"/>
        </w:rPr>
        <w:t xml:space="preserve">are independent and do </w:t>
      </w:r>
      <w:r w:rsidR="00436A26">
        <w:rPr>
          <w:rFonts w:ascii="Garamond" w:hAnsi="Garamond" w:cstheme="minorHAnsi"/>
          <w:sz w:val="24"/>
          <w:szCs w:val="24"/>
        </w:rPr>
        <w:t xml:space="preserve">not </w:t>
      </w:r>
      <w:r w:rsidR="00BA0091">
        <w:rPr>
          <w:rFonts w:ascii="Garamond" w:hAnsi="Garamond" w:cstheme="minorHAnsi"/>
          <w:sz w:val="24"/>
          <w:szCs w:val="24"/>
        </w:rPr>
        <w:t>necessarily</w:t>
      </w:r>
      <w:r w:rsidR="00436A26">
        <w:rPr>
          <w:rFonts w:ascii="Garamond" w:hAnsi="Garamond" w:cstheme="minorHAnsi"/>
          <w:sz w:val="24"/>
          <w:szCs w:val="24"/>
        </w:rPr>
        <w:t xml:space="preserve"> align </w:t>
      </w:r>
      <w:r w:rsidR="00BA0091">
        <w:rPr>
          <w:rFonts w:ascii="Garamond" w:hAnsi="Garamond" w:cstheme="minorHAnsi"/>
          <w:sz w:val="24"/>
          <w:szCs w:val="24"/>
        </w:rPr>
        <w:t xml:space="preserve">with each other, </w:t>
      </w:r>
      <w:r w:rsidR="00893D40">
        <w:rPr>
          <w:rFonts w:ascii="Garamond" w:hAnsi="Garamond" w:cstheme="minorHAnsi"/>
          <w:sz w:val="24"/>
          <w:szCs w:val="24"/>
        </w:rPr>
        <w:t xml:space="preserve">this </w:t>
      </w:r>
      <w:r w:rsidR="00BA0091">
        <w:rPr>
          <w:rFonts w:ascii="Garamond" w:hAnsi="Garamond" w:cstheme="minorHAnsi"/>
          <w:sz w:val="24"/>
          <w:szCs w:val="24"/>
        </w:rPr>
        <w:t>means that they</w:t>
      </w:r>
      <w:r w:rsidR="00436A26">
        <w:rPr>
          <w:rFonts w:ascii="Garamond" w:hAnsi="Garamond" w:cstheme="minorHAnsi"/>
          <w:sz w:val="24"/>
          <w:szCs w:val="24"/>
        </w:rPr>
        <w:t xml:space="preserve"> </w:t>
      </w:r>
      <w:r w:rsidR="00BA0091">
        <w:rPr>
          <w:rFonts w:ascii="Garamond" w:hAnsi="Garamond" w:cstheme="minorHAnsi"/>
          <w:sz w:val="24"/>
          <w:szCs w:val="24"/>
        </w:rPr>
        <w:t>can potentially</w:t>
      </w:r>
      <w:r w:rsidR="000B4086">
        <w:rPr>
          <w:rFonts w:ascii="Garamond" w:hAnsi="Garamond" w:cstheme="minorHAnsi"/>
          <w:sz w:val="24"/>
          <w:szCs w:val="24"/>
        </w:rPr>
        <w:t xml:space="preserve"> come into conflict</w:t>
      </w:r>
      <w:r w:rsidR="00BA0091">
        <w:rPr>
          <w:rFonts w:ascii="Garamond" w:hAnsi="Garamond" w:cstheme="minorHAnsi"/>
          <w:sz w:val="24"/>
          <w:szCs w:val="24"/>
        </w:rPr>
        <w:t>. This</w:t>
      </w:r>
      <w:r w:rsidR="00561E56">
        <w:rPr>
          <w:rFonts w:ascii="Garamond" w:hAnsi="Garamond" w:cstheme="minorHAnsi"/>
          <w:sz w:val="24"/>
          <w:szCs w:val="24"/>
        </w:rPr>
        <w:t xml:space="preserve">, on my view, is </w:t>
      </w:r>
      <w:r w:rsidR="00BA0091">
        <w:rPr>
          <w:rFonts w:ascii="Garamond" w:hAnsi="Garamond" w:cstheme="minorHAnsi"/>
          <w:sz w:val="24"/>
          <w:szCs w:val="24"/>
        </w:rPr>
        <w:t>the locus of the first tension in MacIntyre’s account</w:t>
      </w:r>
      <w:r w:rsidR="00561E56">
        <w:rPr>
          <w:rFonts w:ascii="Garamond" w:hAnsi="Garamond" w:cstheme="minorHAnsi"/>
          <w:sz w:val="24"/>
          <w:szCs w:val="24"/>
        </w:rPr>
        <w:t xml:space="preserve">. Notwithstanding the potential conflict between these two aspects, I </w:t>
      </w:r>
      <w:r w:rsidR="00BB3058">
        <w:rPr>
          <w:rFonts w:ascii="Garamond" w:hAnsi="Garamond" w:cstheme="minorHAnsi"/>
          <w:sz w:val="24"/>
          <w:szCs w:val="24"/>
        </w:rPr>
        <w:t>nonetheless</w:t>
      </w:r>
      <w:r w:rsidR="00561E56">
        <w:rPr>
          <w:rFonts w:ascii="Garamond" w:hAnsi="Garamond" w:cstheme="minorHAnsi"/>
          <w:sz w:val="24"/>
          <w:szCs w:val="24"/>
        </w:rPr>
        <w:t xml:space="preserve"> argue</w:t>
      </w:r>
      <w:r w:rsidR="00BB3058">
        <w:rPr>
          <w:rFonts w:ascii="Garamond" w:hAnsi="Garamond" w:cstheme="minorHAnsi"/>
          <w:sz w:val="24"/>
          <w:szCs w:val="24"/>
        </w:rPr>
        <w:t>d</w:t>
      </w:r>
      <w:r w:rsidR="000A17D9">
        <w:rPr>
          <w:rFonts w:ascii="Garamond" w:hAnsi="Garamond" w:cstheme="minorHAnsi"/>
          <w:sz w:val="24"/>
          <w:szCs w:val="24"/>
        </w:rPr>
        <w:t xml:space="preserve"> that Aristotelian-Thomism was </w:t>
      </w:r>
      <w:r w:rsidR="00561E56">
        <w:rPr>
          <w:rFonts w:ascii="Garamond" w:hAnsi="Garamond" w:cstheme="minorHAnsi"/>
          <w:sz w:val="24"/>
          <w:szCs w:val="24"/>
        </w:rPr>
        <w:t xml:space="preserve">indeed displaced </w:t>
      </w:r>
      <w:r w:rsidR="00BB3058">
        <w:rPr>
          <w:rFonts w:ascii="Garamond" w:hAnsi="Garamond" w:cstheme="minorHAnsi"/>
          <w:sz w:val="24"/>
          <w:szCs w:val="24"/>
        </w:rPr>
        <w:t xml:space="preserve">and marginalised </w:t>
      </w:r>
      <w:r w:rsidR="00561E56">
        <w:rPr>
          <w:rFonts w:ascii="Garamond" w:hAnsi="Garamond" w:cstheme="minorHAnsi"/>
          <w:sz w:val="24"/>
          <w:szCs w:val="24"/>
        </w:rPr>
        <w:t xml:space="preserve">under both of these </w:t>
      </w:r>
      <w:r w:rsidR="00BB3058">
        <w:rPr>
          <w:rFonts w:ascii="Garamond" w:hAnsi="Garamond" w:cstheme="minorHAnsi"/>
          <w:sz w:val="24"/>
          <w:szCs w:val="24"/>
        </w:rPr>
        <w:t xml:space="preserve">different </w:t>
      </w:r>
      <w:r w:rsidR="00561E56">
        <w:rPr>
          <w:rFonts w:ascii="Garamond" w:hAnsi="Garamond" w:cstheme="minorHAnsi"/>
          <w:sz w:val="24"/>
          <w:szCs w:val="24"/>
        </w:rPr>
        <w:t>aspects</w:t>
      </w:r>
      <w:r w:rsidR="00274C29">
        <w:rPr>
          <w:rFonts w:ascii="Garamond" w:hAnsi="Garamond" w:cstheme="minorHAnsi"/>
          <w:sz w:val="24"/>
          <w:szCs w:val="24"/>
        </w:rPr>
        <w:t>. I then went on to consider a pragmatist proposal for removing this tension, by addressing it at its source</w:t>
      </w:r>
      <w:r w:rsidR="00FD790F">
        <w:rPr>
          <w:rFonts w:ascii="Garamond" w:hAnsi="Garamond" w:cstheme="minorHAnsi"/>
          <w:sz w:val="24"/>
          <w:szCs w:val="24"/>
        </w:rPr>
        <w:t xml:space="preserve"> – namely,</w:t>
      </w:r>
      <w:r w:rsidR="00274C29">
        <w:rPr>
          <w:rFonts w:ascii="Garamond" w:hAnsi="Garamond" w:cstheme="minorHAnsi"/>
          <w:sz w:val="24"/>
          <w:szCs w:val="24"/>
        </w:rPr>
        <w:t xml:space="preserve"> </w:t>
      </w:r>
      <w:r w:rsidR="00FD790F">
        <w:rPr>
          <w:rFonts w:ascii="Garamond" w:hAnsi="Garamond" w:cstheme="minorHAnsi"/>
          <w:sz w:val="24"/>
          <w:szCs w:val="24"/>
        </w:rPr>
        <w:t>through a resolution of</w:t>
      </w:r>
      <w:r w:rsidR="00274C29">
        <w:rPr>
          <w:rFonts w:ascii="Garamond" w:hAnsi="Garamond" w:cstheme="minorHAnsi"/>
          <w:sz w:val="24"/>
          <w:szCs w:val="24"/>
        </w:rPr>
        <w:t xml:space="preserve"> the conflict </w:t>
      </w:r>
      <w:r w:rsidR="00FD790F">
        <w:rPr>
          <w:rFonts w:ascii="Garamond" w:hAnsi="Garamond" w:cstheme="minorHAnsi"/>
          <w:sz w:val="24"/>
          <w:szCs w:val="24"/>
        </w:rPr>
        <w:t>that emerges</w:t>
      </w:r>
      <w:r w:rsidR="00274C29">
        <w:rPr>
          <w:rFonts w:ascii="Garamond" w:hAnsi="Garamond" w:cstheme="minorHAnsi"/>
          <w:sz w:val="24"/>
          <w:szCs w:val="24"/>
        </w:rPr>
        <w:t xml:space="preserve"> </w:t>
      </w:r>
      <w:r w:rsidR="00FD790F">
        <w:rPr>
          <w:rFonts w:ascii="Garamond" w:hAnsi="Garamond" w:cstheme="minorHAnsi"/>
          <w:sz w:val="24"/>
          <w:szCs w:val="24"/>
        </w:rPr>
        <w:t>owing to</w:t>
      </w:r>
      <w:r w:rsidR="00274C29">
        <w:rPr>
          <w:rFonts w:ascii="Garamond" w:hAnsi="Garamond" w:cstheme="minorHAnsi"/>
          <w:sz w:val="24"/>
          <w:szCs w:val="24"/>
        </w:rPr>
        <w:t xml:space="preserve"> MacIntyre’s </w:t>
      </w:r>
      <w:r w:rsidR="00FD790F">
        <w:rPr>
          <w:rFonts w:ascii="Garamond" w:hAnsi="Garamond" w:cstheme="minorHAnsi"/>
          <w:sz w:val="24"/>
          <w:szCs w:val="24"/>
        </w:rPr>
        <w:t xml:space="preserve">various </w:t>
      </w:r>
      <w:r w:rsidR="00274C29">
        <w:rPr>
          <w:rFonts w:ascii="Garamond" w:hAnsi="Garamond" w:cstheme="minorHAnsi"/>
          <w:sz w:val="24"/>
          <w:szCs w:val="24"/>
        </w:rPr>
        <w:t>contextualist-historicist commitments, in light of his later Thomistic turn</w:t>
      </w:r>
      <w:r w:rsidR="00561E56">
        <w:rPr>
          <w:rFonts w:ascii="Garamond" w:hAnsi="Garamond" w:cstheme="minorHAnsi"/>
          <w:sz w:val="24"/>
          <w:szCs w:val="24"/>
        </w:rPr>
        <w:t>.</w:t>
      </w:r>
    </w:p>
    <w:p w:rsidR="00216008" w:rsidRDefault="00FD790F" w:rsidP="008D7E69">
      <w:pPr>
        <w:spacing w:line="360" w:lineRule="auto"/>
        <w:ind w:firstLine="720"/>
        <w:jc w:val="both"/>
        <w:rPr>
          <w:rFonts w:ascii="Garamond" w:hAnsi="Garamond" w:cstheme="minorHAnsi"/>
          <w:sz w:val="24"/>
          <w:szCs w:val="24"/>
        </w:rPr>
      </w:pPr>
      <w:r>
        <w:rPr>
          <w:rFonts w:ascii="Garamond" w:hAnsi="Garamond" w:cstheme="minorHAnsi"/>
          <w:sz w:val="24"/>
          <w:szCs w:val="24"/>
        </w:rPr>
        <w:t>Now, in</w:t>
      </w:r>
      <w:r w:rsidRPr="00461D74">
        <w:rPr>
          <w:rFonts w:ascii="Garamond" w:hAnsi="Garamond" w:cstheme="minorHAnsi"/>
          <w:sz w:val="24"/>
          <w:szCs w:val="24"/>
        </w:rPr>
        <w:t xml:space="preserve"> </w:t>
      </w:r>
      <w:r w:rsidR="00C57D77" w:rsidRPr="00461D74">
        <w:rPr>
          <w:rFonts w:ascii="Garamond" w:hAnsi="Garamond" w:cstheme="minorHAnsi"/>
          <w:sz w:val="24"/>
          <w:szCs w:val="24"/>
        </w:rPr>
        <w:t xml:space="preserve">our discussion of </w:t>
      </w:r>
      <w:r w:rsidR="00725EA8" w:rsidRPr="00461D74">
        <w:rPr>
          <w:rFonts w:ascii="Garamond" w:hAnsi="Garamond" w:cstheme="minorHAnsi"/>
          <w:sz w:val="24"/>
          <w:szCs w:val="24"/>
        </w:rPr>
        <w:t>the</w:t>
      </w:r>
      <w:r w:rsidR="00016049" w:rsidRPr="00461D74">
        <w:rPr>
          <w:rFonts w:ascii="Garamond" w:hAnsi="Garamond" w:cstheme="minorHAnsi"/>
          <w:sz w:val="24"/>
          <w:szCs w:val="24"/>
        </w:rPr>
        <w:t xml:space="preserve"> first tension </w:t>
      </w:r>
      <w:r w:rsidR="00C57D77" w:rsidRPr="00461D74">
        <w:rPr>
          <w:rFonts w:ascii="Garamond" w:hAnsi="Garamond" w:cstheme="minorHAnsi"/>
          <w:sz w:val="24"/>
          <w:szCs w:val="24"/>
        </w:rPr>
        <w:t xml:space="preserve">we </w:t>
      </w:r>
      <w:r w:rsidR="00725EA8" w:rsidRPr="00461D74">
        <w:rPr>
          <w:rFonts w:ascii="Garamond" w:hAnsi="Garamond" w:cstheme="minorHAnsi"/>
          <w:sz w:val="24"/>
          <w:szCs w:val="24"/>
        </w:rPr>
        <w:t xml:space="preserve">therefore </w:t>
      </w:r>
      <w:r w:rsidR="00C57D77" w:rsidRPr="00461D74">
        <w:rPr>
          <w:rFonts w:ascii="Garamond" w:hAnsi="Garamond" w:cstheme="minorHAnsi"/>
          <w:sz w:val="24"/>
          <w:szCs w:val="24"/>
        </w:rPr>
        <w:t xml:space="preserve">considered </w:t>
      </w:r>
      <w:r w:rsidR="00016049" w:rsidRPr="00461D74">
        <w:rPr>
          <w:rFonts w:ascii="Garamond" w:hAnsi="Garamond" w:cstheme="minorHAnsi"/>
          <w:sz w:val="24"/>
          <w:szCs w:val="24"/>
        </w:rPr>
        <w:t xml:space="preserve">the historical-cum-philosophical </w:t>
      </w:r>
      <w:r w:rsidR="008D7E69">
        <w:rPr>
          <w:rFonts w:ascii="Garamond" w:hAnsi="Garamond" w:cstheme="minorHAnsi"/>
          <w:sz w:val="24"/>
          <w:szCs w:val="24"/>
        </w:rPr>
        <w:t>character</w:t>
      </w:r>
      <w:r w:rsidR="008D7E69" w:rsidRPr="00461D74">
        <w:rPr>
          <w:rFonts w:ascii="Garamond" w:hAnsi="Garamond" w:cstheme="minorHAnsi"/>
          <w:sz w:val="24"/>
          <w:szCs w:val="24"/>
        </w:rPr>
        <w:t xml:space="preserve"> </w:t>
      </w:r>
      <w:r w:rsidR="00016049" w:rsidRPr="00461D74">
        <w:rPr>
          <w:rFonts w:ascii="Garamond" w:hAnsi="Garamond" w:cstheme="minorHAnsi"/>
          <w:sz w:val="24"/>
          <w:szCs w:val="24"/>
        </w:rPr>
        <w:t>of th</w:t>
      </w:r>
      <w:r w:rsidR="00725EA8" w:rsidRPr="00461D74">
        <w:rPr>
          <w:rFonts w:ascii="Garamond" w:hAnsi="Garamond" w:cstheme="minorHAnsi"/>
          <w:sz w:val="24"/>
          <w:szCs w:val="24"/>
        </w:rPr>
        <w:t>e</w:t>
      </w:r>
      <w:r w:rsidR="00016049" w:rsidRPr="00461D74">
        <w:rPr>
          <w:rFonts w:ascii="Garamond" w:hAnsi="Garamond" w:cstheme="minorHAnsi"/>
          <w:sz w:val="24"/>
          <w:szCs w:val="24"/>
        </w:rPr>
        <w:t xml:space="preserve"> instability</w:t>
      </w:r>
      <w:r w:rsidR="00514D75" w:rsidRPr="00461D74">
        <w:rPr>
          <w:rFonts w:ascii="Garamond" w:hAnsi="Garamond" w:cstheme="minorHAnsi"/>
          <w:sz w:val="24"/>
          <w:szCs w:val="24"/>
        </w:rPr>
        <w:t xml:space="preserve"> </w:t>
      </w:r>
      <w:r w:rsidR="00725EA8" w:rsidRPr="00461D74">
        <w:rPr>
          <w:rFonts w:ascii="Garamond" w:hAnsi="Garamond" w:cstheme="minorHAnsi"/>
          <w:sz w:val="24"/>
          <w:szCs w:val="24"/>
        </w:rPr>
        <w:t>in his account</w:t>
      </w:r>
      <w:r w:rsidR="008D7E69">
        <w:rPr>
          <w:rFonts w:ascii="Garamond" w:hAnsi="Garamond" w:cstheme="minorHAnsi"/>
          <w:sz w:val="24"/>
          <w:szCs w:val="24"/>
        </w:rPr>
        <w:t>,</w:t>
      </w:r>
      <w:r w:rsidR="00725EA8" w:rsidRPr="00461D74">
        <w:rPr>
          <w:rFonts w:ascii="Garamond" w:hAnsi="Garamond" w:cstheme="minorHAnsi"/>
          <w:sz w:val="24"/>
          <w:szCs w:val="24"/>
        </w:rPr>
        <w:t xml:space="preserve"> </w:t>
      </w:r>
      <w:r w:rsidR="008D7E69">
        <w:rPr>
          <w:rFonts w:ascii="Garamond" w:hAnsi="Garamond" w:cstheme="minorHAnsi"/>
          <w:sz w:val="24"/>
          <w:szCs w:val="24"/>
        </w:rPr>
        <w:t>which then</w:t>
      </w:r>
      <w:r w:rsidR="008D7E69" w:rsidRPr="00461D74">
        <w:rPr>
          <w:rFonts w:ascii="Garamond" w:hAnsi="Garamond" w:cstheme="minorHAnsi"/>
          <w:sz w:val="24"/>
          <w:szCs w:val="24"/>
        </w:rPr>
        <w:t xml:space="preserve"> </w:t>
      </w:r>
      <w:r w:rsidR="008D7E69">
        <w:rPr>
          <w:rFonts w:ascii="Garamond" w:hAnsi="Garamond" w:cstheme="minorHAnsi"/>
          <w:sz w:val="24"/>
          <w:szCs w:val="24"/>
        </w:rPr>
        <w:t>implied a degree of incoherence attached to</w:t>
      </w:r>
      <w:r w:rsidR="00514D75" w:rsidRPr="00461D74">
        <w:rPr>
          <w:rFonts w:ascii="Garamond" w:hAnsi="Garamond" w:cstheme="minorHAnsi"/>
          <w:sz w:val="24"/>
          <w:szCs w:val="24"/>
        </w:rPr>
        <w:t xml:space="preserve"> </w:t>
      </w:r>
      <w:r w:rsidR="00016049" w:rsidRPr="00461D74">
        <w:rPr>
          <w:rFonts w:ascii="Garamond" w:hAnsi="Garamond" w:cstheme="minorHAnsi"/>
          <w:sz w:val="24"/>
          <w:szCs w:val="24"/>
        </w:rPr>
        <w:t>MacIntyre’s project.</w:t>
      </w:r>
      <w:r w:rsidR="00411E46"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this chapter I look to explore what I take to be the second tension in MacIntyre’s position. </w:t>
      </w:r>
      <w:r w:rsidR="008D7E69">
        <w:rPr>
          <w:rFonts w:ascii="Garamond" w:hAnsi="Garamond" w:cstheme="minorHAnsi"/>
          <w:sz w:val="24"/>
          <w:szCs w:val="24"/>
        </w:rPr>
        <w:t xml:space="preserve">As I indicated earlier, this second tension </w:t>
      </w:r>
      <w:r w:rsidR="0060187D">
        <w:rPr>
          <w:rFonts w:ascii="Garamond" w:hAnsi="Garamond" w:cstheme="minorHAnsi"/>
          <w:sz w:val="24"/>
          <w:szCs w:val="24"/>
        </w:rPr>
        <w:t>is related to the first tension</w:t>
      </w:r>
      <w:r w:rsidR="000E0DB1">
        <w:rPr>
          <w:rFonts w:ascii="Garamond" w:hAnsi="Garamond" w:cstheme="minorHAnsi"/>
          <w:sz w:val="24"/>
          <w:szCs w:val="24"/>
        </w:rPr>
        <w:t>;</w:t>
      </w:r>
      <w:r w:rsidR="0060187D">
        <w:rPr>
          <w:rFonts w:ascii="Garamond" w:hAnsi="Garamond" w:cstheme="minorHAnsi"/>
          <w:sz w:val="24"/>
          <w:szCs w:val="24"/>
        </w:rPr>
        <w:t xml:space="preserve"> that is, it is </w:t>
      </w:r>
      <w:r w:rsidR="008D7E69">
        <w:rPr>
          <w:rFonts w:ascii="Garamond" w:hAnsi="Garamond" w:cstheme="minorHAnsi"/>
          <w:sz w:val="24"/>
          <w:szCs w:val="24"/>
        </w:rPr>
        <w:t xml:space="preserve">an implication of the first tension, </w:t>
      </w:r>
      <w:r w:rsidR="000E0DB1">
        <w:rPr>
          <w:rFonts w:ascii="Garamond" w:hAnsi="Garamond" w:cstheme="minorHAnsi"/>
          <w:sz w:val="24"/>
          <w:szCs w:val="24"/>
        </w:rPr>
        <w:t>but this implication</w:t>
      </w:r>
      <w:r w:rsidR="00E1033F">
        <w:rPr>
          <w:rFonts w:ascii="Garamond" w:hAnsi="Garamond" w:cstheme="minorHAnsi"/>
          <w:sz w:val="24"/>
          <w:szCs w:val="24"/>
        </w:rPr>
        <w:t xml:space="preserve"> (or upshot) </w:t>
      </w:r>
      <w:r w:rsidR="000E0DB1">
        <w:rPr>
          <w:rFonts w:ascii="Garamond" w:hAnsi="Garamond" w:cstheme="minorHAnsi"/>
          <w:sz w:val="24"/>
          <w:szCs w:val="24"/>
        </w:rPr>
        <w:t xml:space="preserve">is rendered more </w:t>
      </w:r>
      <w:r w:rsidR="000E0DB1">
        <w:rPr>
          <w:rFonts w:ascii="Garamond" w:hAnsi="Garamond" w:cstheme="minorHAnsi"/>
          <w:sz w:val="24"/>
          <w:szCs w:val="24"/>
        </w:rPr>
        <w:lastRenderedPageBreak/>
        <w:t>acute</w:t>
      </w:r>
      <w:r w:rsidR="008D7E69">
        <w:rPr>
          <w:rFonts w:ascii="Garamond" w:hAnsi="Garamond" w:cstheme="minorHAnsi"/>
          <w:sz w:val="24"/>
          <w:szCs w:val="24"/>
        </w:rPr>
        <w:t xml:space="preserve"> </w:t>
      </w:r>
      <w:r w:rsidR="000E0DB1">
        <w:rPr>
          <w:rFonts w:ascii="Garamond" w:hAnsi="Garamond" w:cstheme="minorHAnsi"/>
          <w:sz w:val="24"/>
          <w:szCs w:val="24"/>
        </w:rPr>
        <w:t>owing to</w:t>
      </w:r>
      <w:r w:rsidR="008D7E69">
        <w:rPr>
          <w:rFonts w:ascii="Garamond" w:hAnsi="Garamond" w:cstheme="minorHAnsi"/>
          <w:sz w:val="24"/>
          <w:szCs w:val="24"/>
        </w:rPr>
        <w:t xml:space="preserve"> MacIntyre </w:t>
      </w:r>
      <w:r w:rsidR="000E0DB1">
        <w:rPr>
          <w:rFonts w:ascii="Garamond" w:hAnsi="Garamond" w:cstheme="minorHAnsi"/>
          <w:sz w:val="24"/>
          <w:szCs w:val="24"/>
        </w:rPr>
        <w:t>explicit disavowal</w:t>
      </w:r>
      <w:r w:rsidR="008D7E69">
        <w:rPr>
          <w:rFonts w:ascii="Garamond" w:hAnsi="Garamond" w:cstheme="minorHAnsi"/>
          <w:sz w:val="24"/>
          <w:szCs w:val="24"/>
        </w:rPr>
        <w:t xml:space="preserve"> </w:t>
      </w:r>
      <w:r w:rsidR="000E0DB1">
        <w:rPr>
          <w:rFonts w:ascii="Garamond" w:hAnsi="Garamond" w:cstheme="minorHAnsi"/>
          <w:sz w:val="24"/>
          <w:szCs w:val="24"/>
        </w:rPr>
        <w:t xml:space="preserve">of </w:t>
      </w:r>
      <w:r w:rsidR="000B6C17">
        <w:rPr>
          <w:rFonts w:ascii="Garamond" w:hAnsi="Garamond" w:cstheme="minorHAnsi"/>
          <w:sz w:val="24"/>
          <w:szCs w:val="24"/>
        </w:rPr>
        <w:t xml:space="preserve">liberalism and </w:t>
      </w:r>
      <w:r w:rsidR="000E0DB1">
        <w:rPr>
          <w:rFonts w:ascii="Garamond" w:hAnsi="Garamond" w:cstheme="minorHAnsi"/>
          <w:sz w:val="24"/>
          <w:szCs w:val="24"/>
        </w:rPr>
        <w:t>its</w:t>
      </w:r>
      <w:r w:rsidR="000B6C17">
        <w:rPr>
          <w:rFonts w:ascii="Garamond" w:hAnsi="Garamond" w:cstheme="minorHAnsi"/>
          <w:sz w:val="24"/>
          <w:szCs w:val="24"/>
        </w:rPr>
        <w:t xml:space="preserve"> politics</w:t>
      </w:r>
      <w:r w:rsidR="000E0DB1">
        <w:rPr>
          <w:rFonts w:ascii="Garamond" w:hAnsi="Garamond" w:cstheme="minorHAnsi"/>
          <w:sz w:val="24"/>
          <w:szCs w:val="24"/>
        </w:rPr>
        <w:t>, especially any portion of it that involve</w:t>
      </w:r>
      <w:r w:rsidR="00893D40">
        <w:rPr>
          <w:rFonts w:ascii="Garamond" w:hAnsi="Garamond" w:cstheme="minorHAnsi"/>
          <w:sz w:val="24"/>
          <w:szCs w:val="24"/>
        </w:rPr>
        <w:t>s</w:t>
      </w:r>
      <w:r w:rsidR="000E0DB1">
        <w:rPr>
          <w:rFonts w:ascii="Garamond" w:hAnsi="Garamond" w:cstheme="minorHAnsi"/>
          <w:sz w:val="24"/>
          <w:szCs w:val="24"/>
        </w:rPr>
        <w:t xml:space="preserve"> a critical-cum-constructive engagement with the liberal state</w:t>
      </w:r>
      <w:r w:rsidR="000B6C17">
        <w:rPr>
          <w:rFonts w:ascii="Garamond" w:hAnsi="Garamond" w:cstheme="minorHAnsi"/>
          <w:sz w:val="24"/>
          <w:szCs w:val="24"/>
        </w:rPr>
        <w:t>.</w:t>
      </w:r>
      <w:r w:rsidR="008D7E69">
        <w:rPr>
          <w:rFonts w:ascii="Garamond" w:hAnsi="Garamond" w:cstheme="minorHAnsi"/>
          <w:sz w:val="24"/>
          <w:szCs w:val="24"/>
        </w:rPr>
        <w:t xml:space="preserve"> </w:t>
      </w:r>
      <w:r w:rsidR="000E0DB1">
        <w:rPr>
          <w:rFonts w:ascii="Garamond" w:hAnsi="Garamond" w:cstheme="minorHAnsi"/>
          <w:sz w:val="24"/>
          <w:szCs w:val="24"/>
        </w:rPr>
        <w:t xml:space="preserve">Now, the second difficulty (or tension) </w:t>
      </w:r>
      <w:r w:rsidR="00E1033F">
        <w:rPr>
          <w:rFonts w:ascii="Garamond" w:hAnsi="Garamond" w:cstheme="minorHAnsi"/>
          <w:sz w:val="24"/>
          <w:szCs w:val="24"/>
        </w:rPr>
        <w:t xml:space="preserve">emerges </w:t>
      </w:r>
      <w:r w:rsidR="000E0DB1">
        <w:rPr>
          <w:rFonts w:ascii="Garamond" w:hAnsi="Garamond" w:cstheme="minorHAnsi"/>
          <w:sz w:val="24"/>
          <w:szCs w:val="24"/>
        </w:rPr>
        <w:t>because while MacIntyre seems to agree that liberalism is in fact the dominant tradition</w:t>
      </w:r>
      <w:r w:rsidR="00CD6125">
        <w:rPr>
          <w:rFonts w:ascii="Garamond" w:hAnsi="Garamond" w:cstheme="minorHAnsi"/>
          <w:sz w:val="24"/>
          <w:szCs w:val="24"/>
        </w:rPr>
        <w:t xml:space="preserve"> and that it indeed epitomises social and cultural life under contemporary social-political conditions</w:t>
      </w:r>
      <w:r w:rsidR="000E0DB1">
        <w:rPr>
          <w:rFonts w:ascii="Garamond" w:hAnsi="Garamond" w:cstheme="minorHAnsi"/>
          <w:sz w:val="24"/>
          <w:szCs w:val="24"/>
        </w:rPr>
        <w:t xml:space="preserve">, he </w:t>
      </w:r>
      <w:r w:rsidR="00CD6125">
        <w:rPr>
          <w:rFonts w:ascii="Garamond" w:hAnsi="Garamond" w:cstheme="minorHAnsi"/>
          <w:sz w:val="24"/>
          <w:szCs w:val="24"/>
        </w:rPr>
        <w:t xml:space="preserve">also </w:t>
      </w:r>
      <w:r w:rsidR="000E0DB1">
        <w:rPr>
          <w:rFonts w:ascii="Garamond" w:hAnsi="Garamond" w:cstheme="minorHAnsi"/>
          <w:sz w:val="24"/>
          <w:szCs w:val="24"/>
        </w:rPr>
        <w:t>reject</w:t>
      </w:r>
      <w:r w:rsidR="00CD6125">
        <w:rPr>
          <w:rFonts w:ascii="Garamond" w:hAnsi="Garamond" w:cstheme="minorHAnsi"/>
          <w:sz w:val="24"/>
          <w:szCs w:val="24"/>
        </w:rPr>
        <w:t>s</w:t>
      </w:r>
      <w:r w:rsidR="000E0DB1">
        <w:rPr>
          <w:rFonts w:ascii="Garamond" w:hAnsi="Garamond" w:cstheme="minorHAnsi"/>
          <w:sz w:val="24"/>
          <w:szCs w:val="24"/>
        </w:rPr>
        <w:t xml:space="preserve"> liberalism and the liberal political order</w:t>
      </w:r>
      <w:r w:rsidR="00CD6125">
        <w:rPr>
          <w:rFonts w:ascii="Garamond" w:hAnsi="Garamond" w:cstheme="minorHAnsi"/>
          <w:sz w:val="24"/>
          <w:szCs w:val="24"/>
        </w:rPr>
        <w:t>,</w:t>
      </w:r>
      <w:r w:rsidR="000E0DB1">
        <w:rPr>
          <w:rFonts w:ascii="Garamond" w:hAnsi="Garamond" w:cstheme="minorHAnsi"/>
          <w:sz w:val="24"/>
          <w:szCs w:val="24"/>
        </w:rPr>
        <w:t xml:space="preserve"> and instead favors </w:t>
      </w:r>
      <w:r w:rsidR="00E1033F">
        <w:rPr>
          <w:rFonts w:ascii="Garamond" w:hAnsi="Garamond" w:cstheme="minorHAnsi"/>
          <w:sz w:val="24"/>
          <w:szCs w:val="24"/>
        </w:rPr>
        <w:t xml:space="preserve">what seems to be a communal Thomistic form of politics, as well as small-scale </w:t>
      </w:r>
      <w:r w:rsidR="00CD6125">
        <w:rPr>
          <w:rFonts w:ascii="Garamond" w:hAnsi="Garamond" w:cstheme="minorHAnsi"/>
          <w:sz w:val="24"/>
          <w:szCs w:val="24"/>
        </w:rPr>
        <w:t>social-</w:t>
      </w:r>
      <w:r w:rsidR="000E0DB1">
        <w:rPr>
          <w:rFonts w:ascii="Garamond" w:hAnsi="Garamond" w:cstheme="minorHAnsi"/>
          <w:sz w:val="24"/>
          <w:szCs w:val="24"/>
        </w:rPr>
        <w:t>political associations</w:t>
      </w:r>
      <w:r w:rsidR="00CD6125">
        <w:rPr>
          <w:rFonts w:ascii="Garamond" w:hAnsi="Garamond" w:cstheme="minorHAnsi"/>
          <w:sz w:val="24"/>
          <w:szCs w:val="24"/>
        </w:rPr>
        <w:t>.</w:t>
      </w:r>
    </w:p>
    <w:p w:rsidR="00665157" w:rsidRPr="00CD6125" w:rsidRDefault="00CD6125" w:rsidP="00CD6125">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Nevertheless, if </w:t>
      </w:r>
      <w:r w:rsidR="00EF1661" w:rsidRPr="00461D74">
        <w:rPr>
          <w:rFonts w:ascii="Garamond" w:hAnsi="Garamond" w:cstheme="minorHAnsi"/>
          <w:sz w:val="24"/>
          <w:szCs w:val="24"/>
        </w:rPr>
        <w:t xml:space="preserve">traditions of moral theory are always connected to the wider social-cultural-political context and </w:t>
      </w:r>
      <w:r w:rsidR="00467661" w:rsidRPr="00461D74">
        <w:rPr>
          <w:rFonts w:ascii="Garamond" w:hAnsi="Garamond" w:cstheme="minorHAnsi"/>
          <w:sz w:val="24"/>
          <w:szCs w:val="24"/>
        </w:rPr>
        <w:t>are</w:t>
      </w:r>
      <w:r w:rsidR="00EF1661" w:rsidRPr="00461D74">
        <w:rPr>
          <w:rFonts w:ascii="Garamond" w:hAnsi="Garamond" w:cstheme="minorHAnsi"/>
          <w:sz w:val="24"/>
          <w:szCs w:val="24"/>
        </w:rPr>
        <w:t xml:space="preserve"> essentially a conceptual formulation of socially embodied </w:t>
      </w:r>
      <w:r w:rsidR="00A64EDF" w:rsidRPr="00461D74">
        <w:rPr>
          <w:rFonts w:ascii="Garamond" w:hAnsi="Garamond" w:cstheme="minorHAnsi"/>
          <w:sz w:val="24"/>
          <w:szCs w:val="24"/>
        </w:rPr>
        <w:t>practices, a conclusion that his first four hypothesis seem to support,</w:t>
      </w:r>
      <w:r w:rsidR="00EF1661" w:rsidRPr="00461D74">
        <w:rPr>
          <w:rFonts w:ascii="Garamond" w:hAnsi="Garamond" w:cstheme="minorHAnsi"/>
          <w:sz w:val="24"/>
          <w:szCs w:val="24"/>
        </w:rPr>
        <w:t xml:space="preserve"> it seems that the liberal tradition </w:t>
      </w:r>
      <w:r w:rsidR="00A64EDF" w:rsidRPr="00461D74">
        <w:rPr>
          <w:rFonts w:ascii="Garamond" w:hAnsi="Garamond" w:cstheme="minorHAnsi"/>
          <w:sz w:val="24"/>
          <w:szCs w:val="24"/>
        </w:rPr>
        <w:t xml:space="preserve">is the dominant modern tradition and appears to be the outcome of a long run process of moral and political inquiry. Since </w:t>
      </w:r>
      <w:r w:rsidR="00EF1661" w:rsidRPr="00461D74">
        <w:rPr>
          <w:rFonts w:ascii="Garamond" w:hAnsi="Garamond"/>
          <w:sz w:val="24"/>
          <w:szCs w:val="24"/>
        </w:rPr>
        <w:t xml:space="preserve">MacIntyre </w:t>
      </w:r>
      <w:r w:rsidR="00A64EDF" w:rsidRPr="00461D74">
        <w:rPr>
          <w:rFonts w:ascii="Garamond" w:hAnsi="Garamond"/>
          <w:sz w:val="24"/>
          <w:szCs w:val="24"/>
        </w:rPr>
        <w:t xml:space="preserve">agrees that the liberal tradition is the dominant contemporary tradition, yet rejects it as problematic, he </w:t>
      </w:r>
      <w:r w:rsidR="00EF1661" w:rsidRPr="00461D74">
        <w:rPr>
          <w:rFonts w:ascii="Garamond" w:hAnsi="Garamond"/>
          <w:sz w:val="24"/>
          <w:szCs w:val="24"/>
        </w:rPr>
        <w:t>needs to show why liberalism as a moral and political tradition fails in a significant way</w:t>
      </w:r>
      <w:r w:rsidR="00A64EDF" w:rsidRPr="00461D74">
        <w:rPr>
          <w:rFonts w:ascii="Garamond" w:hAnsi="Garamond"/>
          <w:sz w:val="24"/>
          <w:szCs w:val="24"/>
        </w:rPr>
        <w:t xml:space="preserve">. </w:t>
      </w:r>
      <w:r w:rsidR="00315B67" w:rsidRPr="00461D74">
        <w:rPr>
          <w:rFonts w:ascii="Garamond" w:hAnsi="Garamond"/>
          <w:sz w:val="24"/>
          <w:szCs w:val="24"/>
        </w:rPr>
        <w:t xml:space="preserve">Moreover, </w:t>
      </w:r>
      <w:r w:rsidR="00EF1661" w:rsidRPr="00461D74">
        <w:rPr>
          <w:rFonts w:ascii="Garamond" w:hAnsi="Garamond"/>
          <w:sz w:val="24"/>
          <w:szCs w:val="24"/>
        </w:rPr>
        <w:t xml:space="preserve">under the historical contextualist account </w:t>
      </w:r>
      <w:r w:rsidR="00A64EDF" w:rsidRPr="00461D74">
        <w:rPr>
          <w:rFonts w:ascii="Garamond" w:hAnsi="Garamond"/>
          <w:sz w:val="24"/>
          <w:szCs w:val="24"/>
        </w:rPr>
        <w:t>MacIntyre</w:t>
      </w:r>
      <w:r w:rsidR="00EF1661" w:rsidRPr="00461D74">
        <w:rPr>
          <w:rFonts w:ascii="Garamond" w:hAnsi="Garamond"/>
          <w:sz w:val="24"/>
          <w:szCs w:val="24"/>
        </w:rPr>
        <w:t xml:space="preserve"> presents in </w:t>
      </w:r>
      <w:r w:rsidR="00EF1661" w:rsidRPr="00461D74">
        <w:rPr>
          <w:rFonts w:ascii="Garamond" w:hAnsi="Garamond"/>
          <w:i/>
          <w:sz w:val="24"/>
          <w:szCs w:val="24"/>
        </w:rPr>
        <w:t>After Virtue</w:t>
      </w:r>
      <w:r w:rsidR="00EF1661" w:rsidRPr="00461D74">
        <w:rPr>
          <w:rFonts w:ascii="Garamond" w:hAnsi="Garamond"/>
          <w:sz w:val="24"/>
          <w:szCs w:val="24"/>
        </w:rPr>
        <w:t xml:space="preserve"> and </w:t>
      </w:r>
      <w:r w:rsidR="00EF1661" w:rsidRPr="00461D74">
        <w:rPr>
          <w:rFonts w:ascii="Garamond" w:hAnsi="Garamond"/>
          <w:i/>
          <w:sz w:val="24"/>
          <w:szCs w:val="24"/>
        </w:rPr>
        <w:t>Whose Justice</w:t>
      </w:r>
      <w:r w:rsidR="00EF1661" w:rsidRPr="00461D74">
        <w:rPr>
          <w:rFonts w:ascii="Garamond" w:hAnsi="Garamond"/>
          <w:sz w:val="24"/>
          <w:szCs w:val="24"/>
        </w:rPr>
        <w:t xml:space="preserve">, moral theory in the context of traditions is </w:t>
      </w:r>
      <w:r w:rsidR="00A64EDF" w:rsidRPr="00461D74">
        <w:rPr>
          <w:rFonts w:ascii="Garamond" w:hAnsi="Garamond"/>
          <w:sz w:val="24"/>
          <w:szCs w:val="24"/>
        </w:rPr>
        <w:t xml:space="preserve">always </w:t>
      </w:r>
      <w:r w:rsidR="00EF1661" w:rsidRPr="00461D74">
        <w:rPr>
          <w:rFonts w:ascii="Garamond" w:hAnsi="Garamond"/>
          <w:sz w:val="24"/>
          <w:szCs w:val="24"/>
        </w:rPr>
        <w:t>connected to the wider socio-political context</w:t>
      </w:r>
      <w:r w:rsidR="00A64EDF" w:rsidRPr="00461D74">
        <w:rPr>
          <w:rFonts w:ascii="Garamond" w:hAnsi="Garamond"/>
          <w:sz w:val="24"/>
          <w:szCs w:val="24"/>
        </w:rPr>
        <w:t xml:space="preserve">; yet, it seems that our contemporary socio-political context is far removed from the social context of Aquinas and Aristotle. Therefore it is an open question whether Aristotelian-Thomism </w:t>
      </w:r>
      <w:r w:rsidR="00E5665C" w:rsidRPr="00461D74">
        <w:rPr>
          <w:rFonts w:ascii="Garamond" w:hAnsi="Garamond"/>
          <w:sz w:val="24"/>
          <w:szCs w:val="24"/>
        </w:rPr>
        <w:t xml:space="preserve">seen </w:t>
      </w:r>
      <w:r w:rsidR="00A64EDF" w:rsidRPr="00461D74">
        <w:rPr>
          <w:rFonts w:ascii="Garamond" w:hAnsi="Garamond"/>
          <w:sz w:val="24"/>
          <w:szCs w:val="24"/>
        </w:rPr>
        <w:t xml:space="preserve">as a tradition </w:t>
      </w:r>
      <w:r w:rsidR="00E5665C" w:rsidRPr="00461D74">
        <w:rPr>
          <w:rFonts w:ascii="Garamond" w:hAnsi="Garamond"/>
          <w:sz w:val="24"/>
          <w:szCs w:val="24"/>
        </w:rPr>
        <w:t xml:space="preserve">that best expressed moral claims for the medieval feudal social structure, could also </w:t>
      </w:r>
      <w:r w:rsidR="00A64EDF" w:rsidRPr="00461D74">
        <w:rPr>
          <w:rFonts w:ascii="Garamond" w:hAnsi="Garamond"/>
          <w:sz w:val="24"/>
          <w:szCs w:val="24"/>
        </w:rPr>
        <w:t xml:space="preserve">express </w:t>
      </w:r>
      <w:r w:rsidR="00E5665C" w:rsidRPr="00461D74">
        <w:rPr>
          <w:rFonts w:ascii="Garamond" w:hAnsi="Garamond"/>
          <w:sz w:val="24"/>
          <w:szCs w:val="24"/>
        </w:rPr>
        <w:t>and conceptually formulate</w:t>
      </w:r>
      <w:r w:rsidR="00EF1661" w:rsidRPr="00461D74">
        <w:rPr>
          <w:rFonts w:ascii="Garamond" w:hAnsi="Garamond"/>
          <w:sz w:val="24"/>
          <w:szCs w:val="24"/>
        </w:rPr>
        <w:t xml:space="preserve"> social norms </w:t>
      </w:r>
      <w:r w:rsidR="00E5665C" w:rsidRPr="00461D74">
        <w:rPr>
          <w:rFonts w:ascii="Garamond" w:hAnsi="Garamond"/>
          <w:sz w:val="24"/>
          <w:szCs w:val="24"/>
        </w:rPr>
        <w:t>and practices</w:t>
      </w:r>
      <w:r w:rsidR="00E17486">
        <w:rPr>
          <w:rFonts w:ascii="Garamond" w:hAnsi="Garamond"/>
          <w:sz w:val="24"/>
          <w:szCs w:val="24"/>
        </w:rPr>
        <w:t xml:space="preserve"> that are applicable to the contemporary </w:t>
      </w:r>
      <w:r w:rsidR="001E16E4">
        <w:rPr>
          <w:rFonts w:ascii="Garamond" w:hAnsi="Garamond"/>
          <w:sz w:val="24"/>
          <w:szCs w:val="24"/>
        </w:rPr>
        <w:t>socio-political context</w:t>
      </w:r>
      <w:r w:rsidR="00E5665C" w:rsidRPr="00461D74">
        <w:rPr>
          <w:rFonts w:ascii="Garamond" w:hAnsi="Garamond"/>
          <w:sz w:val="24"/>
          <w:szCs w:val="24"/>
        </w:rPr>
        <w:t>.</w:t>
      </w:r>
    </w:p>
    <w:p w:rsidR="00665157" w:rsidRDefault="009E0ED0">
      <w:pPr>
        <w:spacing w:line="360" w:lineRule="auto"/>
        <w:ind w:firstLine="720"/>
        <w:jc w:val="both"/>
        <w:rPr>
          <w:rFonts w:ascii="Garamond" w:hAnsi="Garamond" w:cstheme="minorHAnsi"/>
          <w:sz w:val="24"/>
          <w:szCs w:val="24"/>
        </w:rPr>
      </w:pPr>
      <w:r>
        <w:rPr>
          <w:rFonts w:ascii="Garamond" w:hAnsi="Garamond" w:cstheme="minorHAnsi"/>
          <w:sz w:val="24"/>
          <w:szCs w:val="24"/>
        </w:rPr>
        <w:t>While this</w:t>
      </w:r>
      <w:r w:rsidR="00016049" w:rsidRPr="00461D74">
        <w:rPr>
          <w:rFonts w:ascii="Garamond" w:hAnsi="Garamond" w:cstheme="minorHAnsi"/>
          <w:sz w:val="24"/>
          <w:szCs w:val="24"/>
        </w:rPr>
        <w:t xml:space="preserve"> </w:t>
      </w:r>
      <w:r w:rsidR="00321940">
        <w:rPr>
          <w:rFonts w:ascii="Garamond" w:hAnsi="Garamond" w:cstheme="minorHAnsi"/>
          <w:sz w:val="24"/>
          <w:szCs w:val="24"/>
        </w:rPr>
        <w:t xml:space="preserve">second </w:t>
      </w:r>
      <w:r w:rsidR="00016049" w:rsidRPr="00461D74">
        <w:rPr>
          <w:rFonts w:ascii="Garamond" w:hAnsi="Garamond" w:cstheme="minorHAnsi"/>
          <w:sz w:val="24"/>
          <w:szCs w:val="24"/>
        </w:rPr>
        <w:t xml:space="preserve">tension </w:t>
      </w:r>
      <w:r>
        <w:rPr>
          <w:rFonts w:ascii="Garamond" w:hAnsi="Garamond" w:cstheme="minorHAnsi"/>
          <w:sz w:val="24"/>
          <w:szCs w:val="24"/>
        </w:rPr>
        <w:t>ultimately</w:t>
      </w:r>
      <w:r w:rsidR="00016049" w:rsidRPr="00461D74">
        <w:rPr>
          <w:rFonts w:ascii="Garamond" w:hAnsi="Garamond" w:cstheme="minorHAnsi"/>
          <w:sz w:val="24"/>
          <w:szCs w:val="24"/>
        </w:rPr>
        <w:t xml:space="preserve"> </w:t>
      </w:r>
      <w:r w:rsidR="00321940">
        <w:rPr>
          <w:rFonts w:ascii="Garamond" w:hAnsi="Garamond" w:cstheme="minorHAnsi"/>
          <w:sz w:val="24"/>
          <w:szCs w:val="24"/>
        </w:rPr>
        <w:t>originates</w:t>
      </w:r>
      <w:r w:rsidR="00321940" w:rsidRPr="00461D74">
        <w:rPr>
          <w:rFonts w:ascii="Garamond" w:hAnsi="Garamond" w:cstheme="minorHAnsi"/>
          <w:sz w:val="24"/>
          <w:szCs w:val="24"/>
        </w:rPr>
        <w:t xml:space="preserve"> </w:t>
      </w:r>
      <w:r w:rsidR="00321940">
        <w:rPr>
          <w:rFonts w:ascii="Garamond" w:hAnsi="Garamond" w:cstheme="minorHAnsi"/>
          <w:sz w:val="24"/>
          <w:szCs w:val="24"/>
        </w:rPr>
        <w:t>in</w:t>
      </w:r>
      <w:r w:rsidR="00321940"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first tension, </w:t>
      </w:r>
      <w:r w:rsidR="00321940">
        <w:rPr>
          <w:rFonts w:ascii="Garamond" w:hAnsi="Garamond" w:cstheme="minorHAnsi"/>
          <w:sz w:val="24"/>
          <w:szCs w:val="24"/>
        </w:rPr>
        <w:t>it nevertheless speaks to a number of</w:t>
      </w:r>
      <w:r w:rsidR="00016049" w:rsidRPr="00461D74">
        <w:rPr>
          <w:rFonts w:ascii="Garamond" w:hAnsi="Garamond" w:cstheme="minorHAnsi"/>
          <w:sz w:val="24"/>
          <w:szCs w:val="24"/>
        </w:rPr>
        <w:t xml:space="preserve"> political-cum-philosophical themes of MacIntyre’s position.</w:t>
      </w:r>
      <w:r w:rsidR="00EF1661" w:rsidRPr="00461D74">
        <w:rPr>
          <w:rFonts w:ascii="Garamond" w:hAnsi="Garamond" w:cstheme="minorHAnsi"/>
          <w:sz w:val="24"/>
          <w:szCs w:val="24"/>
        </w:rPr>
        <w:t xml:space="preserve"> I will try to </w:t>
      </w:r>
      <w:r w:rsidR="00E5665C" w:rsidRPr="00461D74">
        <w:rPr>
          <w:rFonts w:ascii="Garamond" w:hAnsi="Garamond" w:cstheme="minorHAnsi"/>
          <w:sz w:val="24"/>
          <w:szCs w:val="24"/>
        </w:rPr>
        <w:t xml:space="preserve">briefly clarify </w:t>
      </w:r>
      <w:r w:rsidR="00EF1661" w:rsidRPr="00461D74">
        <w:rPr>
          <w:rFonts w:ascii="Garamond" w:hAnsi="Garamond" w:cstheme="minorHAnsi"/>
          <w:sz w:val="24"/>
          <w:szCs w:val="24"/>
        </w:rPr>
        <w:t>what I mean by this.</w:t>
      </w:r>
      <w:r w:rsidR="0013582E"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MacIntyre’s account, ethical practice is grounded within a shared conception of the goods </w:t>
      </w:r>
      <w:r w:rsidR="00016049" w:rsidRPr="00461D74">
        <w:rPr>
          <w:rFonts w:ascii="Garamond" w:hAnsi="Garamond" w:cstheme="minorHAnsi"/>
          <w:sz w:val="24"/>
          <w:szCs w:val="24"/>
        </w:rPr>
        <w:lastRenderedPageBreak/>
        <w:t xml:space="preserve">embedded in particular historically contingent communities, in their attendant culture, language and modes of socialization. More significantly, the shared conception of the good can only be achieved by engaging in the activity of politics, and </w:t>
      </w:r>
      <w:r w:rsidR="005C60A3">
        <w:rPr>
          <w:rFonts w:ascii="Garamond" w:hAnsi="Garamond" w:cstheme="minorHAnsi"/>
          <w:sz w:val="24"/>
          <w:szCs w:val="24"/>
        </w:rPr>
        <w:t>remains</w:t>
      </w:r>
      <w:r w:rsidR="005C60A3"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 necessary condition for the complete fulfilment of individual good and individual flourishing. This suggests at least two things: </w:t>
      </w:r>
      <w:r w:rsidR="00DB00EA" w:rsidRPr="00DB00EA">
        <w:rPr>
          <w:rFonts w:ascii="Garamond" w:hAnsi="Garamond" w:cstheme="minorHAnsi"/>
          <w:i/>
          <w:sz w:val="24"/>
          <w:szCs w:val="24"/>
        </w:rPr>
        <w:t>first</w:t>
      </w:r>
      <w:r w:rsidR="00016049" w:rsidRPr="00461D74">
        <w:rPr>
          <w:rFonts w:ascii="Garamond" w:hAnsi="Garamond" w:cstheme="minorHAnsi"/>
          <w:sz w:val="24"/>
          <w:szCs w:val="24"/>
        </w:rPr>
        <w:t>, that MacIntyre’s ethical account is historicist in some robust sense;</w:t>
      </w:r>
      <w:r w:rsidR="00134DBF" w:rsidRPr="00461D74">
        <w:rPr>
          <w:rStyle w:val="FootnoteReference"/>
          <w:rFonts w:ascii="Garamond" w:hAnsi="Garamond" w:cstheme="minorHAnsi"/>
          <w:sz w:val="24"/>
          <w:szCs w:val="24"/>
        </w:rPr>
        <w:footnoteReference w:id="287"/>
      </w:r>
      <w:r w:rsidR="00016049" w:rsidRPr="00461D74">
        <w:rPr>
          <w:rFonts w:ascii="Garamond" w:hAnsi="Garamond" w:cstheme="minorHAnsi"/>
          <w:sz w:val="24"/>
          <w:szCs w:val="24"/>
        </w:rPr>
        <w:t xml:space="preserve"> and </w:t>
      </w:r>
      <w:r w:rsidR="00DB00EA" w:rsidRPr="00DB00EA">
        <w:rPr>
          <w:rFonts w:ascii="Garamond" w:hAnsi="Garamond" w:cstheme="minorHAnsi"/>
          <w:i/>
          <w:sz w:val="24"/>
          <w:szCs w:val="24"/>
        </w:rPr>
        <w:t>second</w:t>
      </w:r>
      <w:r w:rsidR="00016049" w:rsidRPr="00461D74">
        <w:rPr>
          <w:rFonts w:ascii="Garamond" w:hAnsi="Garamond" w:cstheme="minorHAnsi"/>
          <w:sz w:val="24"/>
          <w:szCs w:val="24"/>
        </w:rPr>
        <w:t>, that there is some important continuity or interdependence between ethics and politics.</w:t>
      </w:r>
      <w:r w:rsidR="00134DBF" w:rsidRPr="00461D74">
        <w:rPr>
          <w:rStyle w:val="FootnoteReference"/>
          <w:rFonts w:ascii="Garamond" w:hAnsi="Garamond" w:cstheme="minorHAnsi"/>
          <w:sz w:val="24"/>
          <w:szCs w:val="24"/>
        </w:rPr>
        <w:footnoteReference w:id="288"/>
      </w:r>
      <w:r w:rsidR="00016049" w:rsidRPr="00461D74">
        <w:rPr>
          <w:rFonts w:ascii="Garamond" w:hAnsi="Garamond" w:cstheme="minorHAnsi"/>
          <w:sz w:val="24"/>
          <w:szCs w:val="24"/>
        </w:rPr>
        <w:t xml:space="preserve"> I will now explain these two points in more detail.</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If we accept the first claim, a problem </w:t>
      </w:r>
      <w:r w:rsidR="00361A89">
        <w:rPr>
          <w:rFonts w:ascii="Garamond" w:hAnsi="Garamond" w:cstheme="minorHAnsi"/>
          <w:sz w:val="24"/>
          <w:szCs w:val="24"/>
        </w:rPr>
        <w:t xml:space="preserve">that </w:t>
      </w:r>
      <w:r w:rsidR="00134DBF" w:rsidRPr="00461D74">
        <w:rPr>
          <w:rFonts w:ascii="Garamond" w:hAnsi="Garamond" w:cstheme="minorHAnsi"/>
          <w:sz w:val="24"/>
          <w:szCs w:val="24"/>
        </w:rPr>
        <w:t xml:space="preserve">emerges </w:t>
      </w:r>
      <w:r w:rsidRPr="00461D74">
        <w:rPr>
          <w:rFonts w:ascii="Garamond" w:hAnsi="Garamond" w:cstheme="minorHAnsi"/>
          <w:sz w:val="24"/>
          <w:szCs w:val="24"/>
        </w:rPr>
        <w:t>for MacIntyre</w:t>
      </w:r>
      <w:r w:rsidR="00B6735F" w:rsidRPr="00461D74">
        <w:rPr>
          <w:rFonts w:ascii="Garamond" w:hAnsi="Garamond" w:cstheme="minorHAnsi"/>
          <w:sz w:val="24"/>
          <w:szCs w:val="24"/>
        </w:rPr>
        <w:t xml:space="preserve">’s account </w:t>
      </w:r>
      <w:r w:rsidRPr="00461D74">
        <w:rPr>
          <w:rFonts w:ascii="Garamond" w:hAnsi="Garamond" w:cstheme="minorHAnsi"/>
          <w:sz w:val="24"/>
          <w:szCs w:val="24"/>
        </w:rPr>
        <w:t>is that Thomism, as a tradition that can inform our moral practice, is on MacIntyre’s own account a theoretical articulation of ethical standards and shared cultural practices of a historically contingent society. MacIntyre’s historicist account could not and in fact does not deny that contemporary society is the outcome of contingent socio-historical transformation</w:t>
      </w:r>
      <w:r w:rsidR="00B6735F" w:rsidRPr="00461D74">
        <w:rPr>
          <w:rFonts w:ascii="Garamond" w:hAnsi="Garamond" w:cstheme="minorHAnsi"/>
          <w:sz w:val="24"/>
          <w:szCs w:val="24"/>
        </w:rPr>
        <w:t>s</w:t>
      </w:r>
      <w:r w:rsidRPr="00461D74">
        <w:rPr>
          <w:rFonts w:ascii="Garamond" w:hAnsi="Garamond" w:cstheme="minorHAnsi"/>
          <w:sz w:val="24"/>
          <w:szCs w:val="24"/>
        </w:rPr>
        <w:t xml:space="preserve">. On this historicist thesis, we can </w:t>
      </w:r>
      <w:proofErr w:type="spellStart"/>
      <w:r w:rsidRPr="00461D74">
        <w:rPr>
          <w:rFonts w:ascii="Garamond" w:hAnsi="Garamond" w:cstheme="minorHAnsi"/>
          <w:sz w:val="24"/>
          <w:szCs w:val="24"/>
        </w:rPr>
        <w:t>uncontroversially</w:t>
      </w:r>
      <w:proofErr w:type="spellEnd"/>
      <w:r w:rsidRPr="00461D74">
        <w:rPr>
          <w:rFonts w:ascii="Garamond" w:hAnsi="Garamond" w:cstheme="minorHAnsi"/>
          <w:sz w:val="24"/>
          <w:szCs w:val="24"/>
        </w:rPr>
        <w:t xml:space="preserve"> accept that the transition from the Aristotelian-Thomist communities in the past to our contemporary society has generated large-scale changes in those features that constitute our contemporary social form, distinguishing it fundamentally from those features of historical societies to which Aquinas and Aristotle belonged.</w:t>
      </w:r>
    </w:p>
    <w:p w:rsidR="00692E41"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For MacIntyre, the soci</w:t>
      </w:r>
      <w:r w:rsidR="00B6735F" w:rsidRPr="00461D74">
        <w:rPr>
          <w:rFonts w:ascii="Garamond" w:hAnsi="Garamond" w:cstheme="minorHAnsi"/>
          <w:sz w:val="24"/>
          <w:szCs w:val="24"/>
        </w:rPr>
        <w:t>al</w:t>
      </w:r>
      <w:r w:rsidRPr="00461D74">
        <w:rPr>
          <w:rFonts w:ascii="Garamond" w:hAnsi="Garamond" w:cstheme="minorHAnsi"/>
          <w:sz w:val="24"/>
          <w:szCs w:val="24"/>
        </w:rPr>
        <w:t xml:space="preserve">-historical context of moral and political philosophy is not some auxiliary datum to be discarded by an abstract mode of philosophical inquiry; </w:t>
      </w:r>
      <w:r w:rsidR="008D5B5B">
        <w:rPr>
          <w:rFonts w:ascii="Garamond" w:hAnsi="Garamond" w:cstheme="minorHAnsi"/>
          <w:sz w:val="24"/>
          <w:szCs w:val="24"/>
        </w:rPr>
        <w:t>instead</w:t>
      </w:r>
      <w:r w:rsidR="00B6735F" w:rsidRPr="00461D74">
        <w:rPr>
          <w:rFonts w:ascii="Garamond" w:hAnsi="Garamond" w:cstheme="minorHAnsi"/>
          <w:sz w:val="24"/>
          <w:szCs w:val="24"/>
        </w:rPr>
        <w:t>, on his view, the</w:t>
      </w:r>
      <w:r w:rsidRPr="00461D74">
        <w:rPr>
          <w:rFonts w:ascii="Garamond" w:hAnsi="Garamond" w:cstheme="minorHAnsi"/>
          <w:sz w:val="24"/>
          <w:szCs w:val="24"/>
        </w:rPr>
        <w:t xml:space="preserve"> historicity of social forms</w:t>
      </w:r>
      <w:r w:rsidR="00B6735F" w:rsidRPr="00461D74">
        <w:rPr>
          <w:rFonts w:ascii="Garamond" w:hAnsi="Garamond" w:cstheme="minorHAnsi"/>
          <w:sz w:val="24"/>
          <w:szCs w:val="24"/>
        </w:rPr>
        <w:t>,</w:t>
      </w:r>
      <w:r w:rsidRPr="00461D74">
        <w:rPr>
          <w:rFonts w:ascii="Garamond" w:hAnsi="Garamond" w:cstheme="minorHAnsi"/>
          <w:sz w:val="24"/>
          <w:szCs w:val="24"/>
        </w:rPr>
        <w:t xml:space="preserve"> </w:t>
      </w:r>
      <w:r w:rsidR="00B6735F" w:rsidRPr="00461D74">
        <w:rPr>
          <w:rFonts w:ascii="Garamond" w:hAnsi="Garamond" w:cstheme="minorHAnsi"/>
          <w:sz w:val="24"/>
          <w:szCs w:val="24"/>
        </w:rPr>
        <w:t xml:space="preserve">and the kind of normativity they generate, </w:t>
      </w:r>
      <w:r w:rsidRPr="00461D74">
        <w:rPr>
          <w:rFonts w:ascii="Garamond" w:hAnsi="Garamond" w:cstheme="minorHAnsi"/>
          <w:sz w:val="24"/>
          <w:szCs w:val="24"/>
        </w:rPr>
        <w:t>is an important feature of any serious moral-cum-political philosophy.</w:t>
      </w:r>
      <w:r w:rsidR="00DE2B37" w:rsidRPr="00461D74">
        <w:rPr>
          <w:rFonts w:ascii="Garamond" w:hAnsi="Garamond" w:cstheme="minorHAnsi"/>
          <w:sz w:val="24"/>
          <w:szCs w:val="24"/>
        </w:rPr>
        <w:t xml:space="preserve"> </w:t>
      </w:r>
      <w:r w:rsidR="00B6735F" w:rsidRPr="00461D74">
        <w:rPr>
          <w:rFonts w:ascii="Garamond" w:hAnsi="Garamond" w:cstheme="minorHAnsi"/>
          <w:sz w:val="24"/>
          <w:szCs w:val="24"/>
        </w:rPr>
        <w:t>Thus</w:t>
      </w:r>
      <w:r w:rsidRPr="00461D74">
        <w:rPr>
          <w:rFonts w:ascii="Garamond" w:hAnsi="Garamond" w:cstheme="minorHAnsi"/>
          <w:sz w:val="24"/>
          <w:szCs w:val="24"/>
        </w:rPr>
        <w:t xml:space="preserve">, </w:t>
      </w:r>
      <w:r w:rsidR="00B6735F" w:rsidRPr="00461D74">
        <w:rPr>
          <w:rFonts w:ascii="Garamond" w:hAnsi="Garamond" w:cstheme="minorHAnsi"/>
          <w:sz w:val="24"/>
          <w:szCs w:val="24"/>
        </w:rPr>
        <w:t xml:space="preserve">on the historicist thesis, </w:t>
      </w:r>
      <w:r w:rsidRPr="00461D74">
        <w:rPr>
          <w:rFonts w:ascii="Garamond" w:hAnsi="Garamond" w:cstheme="minorHAnsi"/>
          <w:sz w:val="24"/>
          <w:szCs w:val="24"/>
        </w:rPr>
        <w:t xml:space="preserve">given the significant </w:t>
      </w:r>
      <w:r w:rsidRPr="00461D74">
        <w:rPr>
          <w:rFonts w:ascii="Garamond" w:hAnsi="Garamond" w:cstheme="minorHAnsi"/>
          <w:sz w:val="24"/>
          <w:szCs w:val="24"/>
        </w:rPr>
        <w:lastRenderedPageBreak/>
        <w:t xml:space="preserve">differences between </w:t>
      </w:r>
      <w:r w:rsidR="00A24255" w:rsidRPr="00461D74">
        <w:rPr>
          <w:rFonts w:ascii="Garamond" w:hAnsi="Garamond" w:cstheme="minorHAnsi"/>
          <w:sz w:val="24"/>
          <w:szCs w:val="24"/>
        </w:rPr>
        <w:t xml:space="preserve">on </w:t>
      </w:r>
      <w:r w:rsidRPr="00461D74">
        <w:rPr>
          <w:rFonts w:ascii="Garamond" w:hAnsi="Garamond" w:cstheme="minorHAnsi"/>
          <w:sz w:val="24"/>
          <w:szCs w:val="24"/>
        </w:rPr>
        <w:t xml:space="preserve">the </w:t>
      </w:r>
      <w:r w:rsidR="00A24255" w:rsidRPr="00461D74">
        <w:rPr>
          <w:rFonts w:ascii="Garamond" w:hAnsi="Garamond" w:cstheme="minorHAnsi"/>
          <w:sz w:val="24"/>
          <w:szCs w:val="24"/>
        </w:rPr>
        <w:t xml:space="preserve">one hand the </w:t>
      </w:r>
      <w:r w:rsidRPr="00461D74">
        <w:rPr>
          <w:rFonts w:ascii="Garamond" w:hAnsi="Garamond" w:cstheme="minorHAnsi"/>
          <w:sz w:val="24"/>
          <w:szCs w:val="24"/>
        </w:rPr>
        <w:t>soci</w:t>
      </w:r>
      <w:r w:rsidR="00DE2B37" w:rsidRPr="00461D74">
        <w:rPr>
          <w:rFonts w:ascii="Garamond" w:hAnsi="Garamond" w:cstheme="minorHAnsi"/>
          <w:sz w:val="24"/>
          <w:szCs w:val="24"/>
        </w:rPr>
        <w:t>o</w:t>
      </w:r>
      <w:r w:rsidRPr="00461D74">
        <w:rPr>
          <w:rFonts w:ascii="Garamond" w:hAnsi="Garamond" w:cstheme="minorHAnsi"/>
          <w:sz w:val="24"/>
          <w:szCs w:val="24"/>
        </w:rPr>
        <w:t xml:space="preserve">-historical context in which Thomism </w:t>
      </w:r>
      <w:r w:rsidR="00A24255" w:rsidRPr="00461D74">
        <w:rPr>
          <w:rFonts w:ascii="Garamond" w:hAnsi="Garamond" w:cstheme="minorHAnsi"/>
          <w:sz w:val="24"/>
          <w:szCs w:val="24"/>
        </w:rPr>
        <w:t>flourished</w:t>
      </w:r>
      <w:r w:rsidRPr="00461D74">
        <w:rPr>
          <w:rFonts w:ascii="Garamond" w:hAnsi="Garamond" w:cstheme="minorHAnsi"/>
          <w:sz w:val="24"/>
          <w:szCs w:val="24"/>
        </w:rPr>
        <w:t xml:space="preserve"> as a theoretical articulation of </w:t>
      </w:r>
      <w:r w:rsidR="00A24255" w:rsidRPr="00461D74">
        <w:rPr>
          <w:rFonts w:ascii="Garamond" w:hAnsi="Garamond" w:cstheme="minorHAnsi"/>
          <w:sz w:val="24"/>
          <w:szCs w:val="24"/>
        </w:rPr>
        <w:t>particular historical</w:t>
      </w:r>
      <w:r w:rsidRPr="00461D74">
        <w:rPr>
          <w:rFonts w:ascii="Garamond" w:hAnsi="Garamond" w:cstheme="minorHAnsi"/>
          <w:sz w:val="24"/>
          <w:szCs w:val="24"/>
        </w:rPr>
        <w:t xml:space="preserve"> cultural and </w:t>
      </w:r>
      <w:r w:rsidR="00A24255" w:rsidRPr="00461D74">
        <w:rPr>
          <w:rFonts w:ascii="Garamond" w:hAnsi="Garamond" w:cstheme="minorHAnsi"/>
          <w:sz w:val="24"/>
          <w:szCs w:val="24"/>
        </w:rPr>
        <w:t>social</w:t>
      </w:r>
      <w:r w:rsidRPr="00461D74">
        <w:rPr>
          <w:rFonts w:ascii="Garamond" w:hAnsi="Garamond" w:cstheme="minorHAnsi"/>
          <w:sz w:val="24"/>
          <w:szCs w:val="24"/>
        </w:rPr>
        <w:t xml:space="preserve"> practices</w:t>
      </w:r>
      <w:r w:rsidR="00A24255" w:rsidRPr="00461D74">
        <w:rPr>
          <w:rFonts w:ascii="Garamond" w:hAnsi="Garamond" w:cstheme="minorHAnsi"/>
          <w:sz w:val="24"/>
          <w:szCs w:val="24"/>
        </w:rPr>
        <w:t>,</w:t>
      </w:r>
      <w:r w:rsidRPr="00461D74">
        <w:rPr>
          <w:rFonts w:ascii="Garamond" w:hAnsi="Garamond" w:cstheme="minorHAnsi"/>
          <w:sz w:val="24"/>
          <w:szCs w:val="24"/>
        </w:rPr>
        <w:t xml:space="preserve"> </w:t>
      </w:r>
      <w:r w:rsidR="00A24255" w:rsidRPr="00461D74">
        <w:rPr>
          <w:rFonts w:ascii="Garamond" w:hAnsi="Garamond" w:cstheme="minorHAnsi"/>
          <w:sz w:val="24"/>
          <w:szCs w:val="24"/>
        </w:rPr>
        <w:t xml:space="preserve">and on the other, </w:t>
      </w:r>
      <w:r w:rsidRPr="00461D74">
        <w:rPr>
          <w:rFonts w:ascii="Garamond" w:hAnsi="Garamond" w:cstheme="minorHAnsi"/>
          <w:sz w:val="24"/>
          <w:szCs w:val="24"/>
        </w:rPr>
        <w:t xml:space="preserve">our modern contemporary </w:t>
      </w:r>
      <w:r w:rsidR="00A24255" w:rsidRPr="00461D74">
        <w:rPr>
          <w:rFonts w:ascii="Garamond" w:hAnsi="Garamond" w:cstheme="minorHAnsi"/>
          <w:sz w:val="24"/>
          <w:szCs w:val="24"/>
        </w:rPr>
        <w:t>social circumstance</w:t>
      </w:r>
      <w:r w:rsidRPr="00461D74">
        <w:rPr>
          <w:rFonts w:ascii="Garamond" w:hAnsi="Garamond" w:cstheme="minorHAnsi"/>
          <w:sz w:val="24"/>
          <w:szCs w:val="24"/>
        </w:rPr>
        <w:t>,</w:t>
      </w:r>
      <w:r w:rsidR="00B6735F" w:rsidRPr="00461D74">
        <w:rPr>
          <w:rFonts w:ascii="Garamond" w:hAnsi="Garamond" w:cstheme="minorHAnsi"/>
          <w:sz w:val="24"/>
          <w:szCs w:val="24"/>
        </w:rPr>
        <w:t xml:space="preserve"> </w:t>
      </w:r>
      <w:r w:rsidRPr="00461D74">
        <w:rPr>
          <w:rFonts w:ascii="Garamond" w:hAnsi="Garamond" w:cstheme="minorHAnsi"/>
          <w:sz w:val="24"/>
          <w:szCs w:val="24"/>
        </w:rPr>
        <w:t xml:space="preserve">it is not clear how </w:t>
      </w:r>
      <w:r w:rsidR="00A24255" w:rsidRPr="00461D74">
        <w:rPr>
          <w:rFonts w:ascii="Garamond" w:hAnsi="Garamond" w:cstheme="minorHAnsi"/>
          <w:sz w:val="24"/>
          <w:szCs w:val="24"/>
        </w:rPr>
        <w:t>the Thomistic</w:t>
      </w:r>
      <w:r w:rsidRPr="00461D74">
        <w:rPr>
          <w:rFonts w:ascii="Garamond" w:hAnsi="Garamond" w:cstheme="minorHAnsi"/>
          <w:sz w:val="24"/>
          <w:szCs w:val="24"/>
        </w:rPr>
        <w:t xml:space="preserve"> tradition </w:t>
      </w:r>
      <w:r w:rsidR="00A24255" w:rsidRPr="00461D74">
        <w:rPr>
          <w:rFonts w:ascii="Garamond" w:hAnsi="Garamond" w:cstheme="minorHAnsi"/>
          <w:sz w:val="24"/>
          <w:szCs w:val="24"/>
        </w:rPr>
        <w:t xml:space="preserve">can effectively articulate the social and cultural practices peculiar </w:t>
      </w:r>
      <w:r w:rsidR="00B6735F" w:rsidRPr="00461D74">
        <w:rPr>
          <w:rFonts w:ascii="Garamond" w:hAnsi="Garamond" w:cstheme="minorHAnsi"/>
          <w:sz w:val="24"/>
          <w:szCs w:val="24"/>
        </w:rPr>
        <w:t>to the modern context</w:t>
      </w:r>
      <w:r w:rsidRPr="00461D74">
        <w:rPr>
          <w:rFonts w:ascii="Garamond" w:hAnsi="Garamond" w:cstheme="minorHAnsi"/>
          <w:sz w:val="24"/>
          <w:szCs w:val="24"/>
        </w:rPr>
        <w:t>. Put differently, it is not clear that on the historicist thesis</w:t>
      </w:r>
      <w:r w:rsidR="00A45E9B" w:rsidRPr="00461D74">
        <w:rPr>
          <w:rFonts w:ascii="Garamond" w:hAnsi="Garamond" w:cstheme="minorHAnsi"/>
          <w:sz w:val="24"/>
          <w:szCs w:val="24"/>
        </w:rPr>
        <w:t>,</w:t>
      </w:r>
      <w:r w:rsidRPr="00461D74">
        <w:rPr>
          <w:rFonts w:ascii="Garamond" w:hAnsi="Garamond" w:cstheme="minorHAnsi"/>
          <w:sz w:val="24"/>
          <w:szCs w:val="24"/>
        </w:rPr>
        <w:t xml:space="preserve"> Thomism as a tradition is best able to give expression to a reconstituted moral and political framework – </w:t>
      </w:r>
      <w:r w:rsidR="00A24255" w:rsidRPr="00461D74">
        <w:rPr>
          <w:rFonts w:ascii="Garamond" w:hAnsi="Garamond" w:cstheme="minorHAnsi"/>
          <w:sz w:val="24"/>
          <w:szCs w:val="24"/>
        </w:rPr>
        <w:t>a framework</w:t>
      </w:r>
      <w:r w:rsidRPr="00461D74">
        <w:rPr>
          <w:rFonts w:ascii="Garamond" w:hAnsi="Garamond" w:cstheme="minorHAnsi"/>
          <w:sz w:val="24"/>
          <w:szCs w:val="24"/>
        </w:rPr>
        <w:t xml:space="preserve"> </w:t>
      </w:r>
      <w:r w:rsidR="00A24255" w:rsidRPr="00461D74">
        <w:rPr>
          <w:rFonts w:ascii="Garamond" w:hAnsi="Garamond" w:cstheme="minorHAnsi"/>
          <w:sz w:val="24"/>
          <w:szCs w:val="24"/>
        </w:rPr>
        <w:t>that can successfully integrate</w:t>
      </w:r>
      <w:r w:rsidRPr="00461D74">
        <w:rPr>
          <w:rFonts w:ascii="Garamond" w:hAnsi="Garamond" w:cstheme="minorHAnsi"/>
          <w:sz w:val="24"/>
          <w:szCs w:val="24"/>
        </w:rPr>
        <w:t xml:space="preserve"> within its confines </w:t>
      </w:r>
      <w:r w:rsidR="00A24255" w:rsidRPr="00461D74">
        <w:rPr>
          <w:rFonts w:ascii="Garamond" w:hAnsi="Garamond" w:cstheme="minorHAnsi"/>
          <w:sz w:val="24"/>
          <w:szCs w:val="24"/>
        </w:rPr>
        <w:t>important</w:t>
      </w:r>
      <w:r w:rsidRPr="00461D74">
        <w:rPr>
          <w:rFonts w:ascii="Garamond" w:hAnsi="Garamond" w:cstheme="minorHAnsi"/>
          <w:sz w:val="24"/>
          <w:szCs w:val="24"/>
        </w:rPr>
        <w:t xml:space="preserve"> features of the </w:t>
      </w:r>
      <w:r w:rsidR="00A24255" w:rsidRPr="00461D74">
        <w:rPr>
          <w:rFonts w:ascii="Garamond" w:hAnsi="Garamond" w:cstheme="minorHAnsi"/>
          <w:sz w:val="24"/>
          <w:szCs w:val="24"/>
        </w:rPr>
        <w:t>modern</w:t>
      </w:r>
      <w:r w:rsidRPr="00461D74">
        <w:rPr>
          <w:rFonts w:ascii="Garamond" w:hAnsi="Garamond" w:cstheme="minorHAnsi"/>
          <w:sz w:val="24"/>
          <w:szCs w:val="24"/>
        </w:rPr>
        <w:t xml:space="preserve"> social context.</w:t>
      </w:r>
    </w:p>
    <w:p w:rsidR="00665157" w:rsidRDefault="000C4A36">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Now, </w:t>
      </w:r>
      <w:r w:rsidR="00016049" w:rsidRPr="00461D74">
        <w:rPr>
          <w:rFonts w:ascii="Garamond" w:hAnsi="Garamond" w:cstheme="minorHAnsi"/>
          <w:sz w:val="24"/>
          <w:szCs w:val="24"/>
        </w:rPr>
        <w:t xml:space="preserve">MacIntyre maintains that the Thomistic tradition is a successful fusion of Aristotelian and Augustinian traditions; and his historicism </w:t>
      </w:r>
      <w:r w:rsidR="00240733" w:rsidRPr="00461D74">
        <w:rPr>
          <w:rFonts w:ascii="Garamond" w:hAnsi="Garamond" w:cstheme="minorHAnsi"/>
          <w:sz w:val="24"/>
          <w:szCs w:val="24"/>
        </w:rPr>
        <w:t xml:space="preserve">would mean that </w:t>
      </w:r>
      <w:r w:rsidR="00016049" w:rsidRPr="00461D74">
        <w:rPr>
          <w:rFonts w:ascii="Garamond" w:hAnsi="Garamond" w:cstheme="minorHAnsi"/>
          <w:sz w:val="24"/>
          <w:szCs w:val="24"/>
        </w:rPr>
        <w:t xml:space="preserve">Aquinas’ </w:t>
      </w:r>
      <w:r w:rsidR="00240733" w:rsidRPr="00461D74">
        <w:rPr>
          <w:rFonts w:ascii="Garamond" w:hAnsi="Garamond" w:cstheme="minorHAnsi"/>
          <w:sz w:val="24"/>
          <w:szCs w:val="24"/>
        </w:rPr>
        <w:t>ethical account is</w:t>
      </w:r>
      <w:r w:rsidR="00016049" w:rsidRPr="00461D74">
        <w:rPr>
          <w:rFonts w:ascii="Garamond" w:hAnsi="Garamond" w:cstheme="minorHAnsi"/>
          <w:sz w:val="24"/>
          <w:szCs w:val="24"/>
        </w:rPr>
        <w:t xml:space="preserve"> best understood as a theoretical </w:t>
      </w:r>
      <w:r w:rsidR="00240733" w:rsidRPr="00461D74">
        <w:rPr>
          <w:rFonts w:ascii="Garamond" w:hAnsi="Garamond" w:cstheme="minorHAnsi"/>
          <w:sz w:val="24"/>
          <w:szCs w:val="24"/>
        </w:rPr>
        <w:t xml:space="preserve">synthesis of Augustine and Aristotle, that was developed to </w:t>
      </w:r>
      <w:r w:rsidR="00315B67" w:rsidRPr="00461D74">
        <w:rPr>
          <w:rFonts w:ascii="Garamond" w:hAnsi="Garamond" w:cstheme="minorHAnsi"/>
          <w:sz w:val="24"/>
          <w:szCs w:val="24"/>
        </w:rPr>
        <w:t xml:space="preserve">meet </w:t>
      </w:r>
      <w:r w:rsidR="00240733" w:rsidRPr="00461D74">
        <w:rPr>
          <w:rFonts w:ascii="Garamond" w:hAnsi="Garamond" w:cstheme="minorHAnsi"/>
          <w:sz w:val="24"/>
          <w:szCs w:val="24"/>
        </w:rPr>
        <w:t>the needs of</w:t>
      </w:r>
      <w:r w:rsidR="00016049" w:rsidRPr="00461D74">
        <w:rPr>
          <w:rFonts w:ascii="Garamond" w:hAnsi="Garamond" w:cstheme="minorHAnsi"/>
          <w:sz w:val="24"/>
          <w:szCs w:val="24"/>
        </w:rPr>
        <w:t xml:space="preserve"> a contingent </w:t>
      </w:r>
      <w:r w:rsidR="00240733" w:rsidRPr="00461D74">
        <w:rPr>
          <w:rFonts w:ascii="Garamond" w:hAnsi="Garamond" w:cstheme="minorHAnsi"/>
          <w:sz w:val="24"/>
          <w:szCs w:val="24"/>
        </w:rPr>
        <w:t xml:space="preserve">(historical) </w:t>
      </w:r>
      <w:r w:rsidR="00016049" w:rsidRPr="00461D74">
        <w:rPr>
          <w:rFonts w:ascii="Garamond" w:hAnsi="Garamond" w:cstheme="minorHAnsi"/>
          <w:sz w:val="24"/>
          <w:szCs w:val="24"/>
        </w:rPr>
        <w:t>social context. Hence, Aquinas’ social context lends itself to a theoretical articulation of ethical enquiry grounded in a particular conception of community</w:t>
      </w:r>
      <w:r w:rsidR="00315B67" w:rsidRPr="00461D74">
        <w:rPr>
          <w:rFonts w:ascii="Garamond" w:hAnsi="Garamond" w:cstheme="minorHAnsi"/>
          <w:sz w:val="24"/>
          <w:szCs w:val="24"/>
        </w:rPr>
        <w:t xml:space="preserve"> </w:t>
      </w:r>
      <w:r w:rsidR="00016049" w:rsidRPr="00461D74">
        <w:rPr>
          <w:rFonts w:ascii="Garamond" w:hAnsi="Garamond" w:cstheme="minorHAnsi"/>
          <w:sz w:val="24"/>
          <w:szCs w:val="24"/>
        </w:rPr>
        <w:t>–</w:t>
      </w:r>
      <w:r w:rsidR="00315B67"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one peculiar to Aquinas. But </w:t>
      </w:r>
      <w:r w:rsidR="006779DE" w:rsidRPr="00461D74">
        <w:rPr>
          <w:rFonts w:ascii="Garamond" w:hAnsi="Garamond" w:cstheme="minorHAnsi"/>
          <w:sz w:val="24"/>
          <w:szCs w:val="24"/>
        </w:rPr>
        <w:t>the contemporary</w:t>
      </w:r>
      <w:r w:rsidR="00016049" w:rsidRPr="00461D74">
        <w:rPr>
          <w:rFonts w:ascii="Garamond" w:hAnsi="Garamond" w:cstheme="minorHAnsi"/>
          <w:sz w:val="24"/>
          <w:szCs w:val="24"/>
        </w:rPr>
        <w:t xml:space="preserve"> social context no longer </w:t>
      </w:r>
      <w:r w:rsidR="00240733" w:rsidRPr="00461D74">
        <w:rPr>
          <w:rFonts w:ascii="Garamond" w:hAnsi="Garamond" w:cstheme="minorHAnsi"/>
          <w:sz w:val="24"/>
          <w:szCs w:val="24"/>
        </w:rPr>
        <w:t xml:space="preserve">possesses </w:t>
      </w:r>
      <w:r w:rsidR="00016049" w:rsidRPr="00461D74">
        <w:rPr>
          <w:rFonts w:ascii="Garamond" w:hAnsi="Garamond" w:cstheme="minorHAnsi"/>
          <w:sz w:val="24"/>
          <w:szCs w:val="24"/>
        </w:rPr>
        <w:t xml:space="preserve">those features that </w:t>
      </w:r>
      <w:r w:rsidR="006779DE" w:rsidRPr="00461D74">
        <w:rPr>
          <w:rFonts w:ascii="Garamond" w:hAnsi="Garamond" w:cstheme="minorHAnsi"/>
          <w:sz w:val="24"/>
          <w:szCs w:val="24"/>
        </w:rPr>
        <w:t>characterised</w:t>
      </w:r>
      <w:r w:rsidR="00016049" w:rsidRPr="00461D74">
        <w:rPr>
          <w:rFonts w:ascii="Garamond" w:hAnsi="Garamond" w:cstheme="minorHAnsi"/>
          <w:sz w:val="24"/>
          <w:szCs w:val="24"/>
        </w:rPr>
        <w:t xml:space="preserve"> the Aristotelian </w:t>
      </w:r>
      <w:r w:rsidR="00016049" w:rsidRPr="00461D74">
        <w:rPr>
          <w:rFonts w:ascii="Garamond" w:hAnsi="Garamond" w:cstheme="minorHAnsi"/>
          <w:i/>
          <w:iCs/>
          <w:sz w:val="24"/>
          <w:szCs w:val="24"/>
        </w:rPr>
        <w:t>polis</w:t>
      </w:r>
      <w:r w:rsidR="00240733" w:rsidRPr="00461D74">
        <w:rPr>
          <w:rFonts w:ascii="Garamond" w:hAnsi="Garamond" w:cstheme="minorHAnsi"/>
          <w:sz w:val="24"/>
          <w:szCs w:val="24"/>
        </w:rPr>
        <w:t xml:space="preserve">, </w:t>
      </w:r>
      <w:proofErr w:type="gramStart"/>
      <w:r w:rsidR="00016049" w:rsidRPr="00461D74">
        <w:rPr>
          <w:rFonts w:ascii="Garamond" w:hAnsi="Garamond" w:cstheme="minorHAnsi"/>
          <w:sz w:val="24"/>
          <w:szCs w:val="24"/>
        </w:rPr>
        <w:t>nor</w:t>
      </w:r>
      <w:proofErr w:type="gramEnd"/>
      <w:r w:rsidR="00016049" w:rsidRPr="00461D74">
        <w:rPr>
          <w:rFonts w:ascii="Garamond" w:hAnsi="Garamond" w:cstheme="minorHAnsi"/>
          <w:sz w:val="24"/>
          <w:szCs w:val="24"/>
        </w:rPr>
        <w:t xml:space="preserve"> those </w:t>
      </w:r>
      <w:r w:rsidR="00130A6A" w:rsidRPr="00461D74">
        <w:rPr>
          <w:rFonts w:ascii="Garamond" w:hAnsi="Garamond" w:cstheme="minorHAnsi"/>
          <w:sz w:val="24"/>
          <w:szCs w:val="24"/>
        </w:rPr>
        <w:t xml:space="preserve">that distinguished </w:t>
      </w:r>
      <w:r w:rsidR="00277814" w:rsidRPr="00461D74">
        <w:rPr>
          <w:rFonts w:ascii="Garamond" w:hAnsi="Garamond" w:cstheme="minorHAnsi"/>
          <w:sz w:val="24"/>
          <w:szCs w:val="24"/>
        </w:rPr>
        <w:t>Aquinas’</w:t>
      </w:r>
      <w:r w:rsidR="00016049" w:rsidRPr="00461D74">
        <w:rPr>
          <w:rFonts w:ascii="Garamond" w:hAnsi="Garamond" w:cstheme="minorHAnsi"/>
          <w:sz w:val="24"/>
          <w:szCs w:val="24"/>
        </w:rPr>
        <w:t xml:space="preserve"> </w:t>
      </w:r>
      <w:r w:rsidR="00016049" w:rsidRPr="00461D74">
        <w:rPr>
          <w:rFonts w:ascii="Garamond" w:hAnsi="Garamond" w:cstheme="minorHAnsi"/>
          <w:i/>
          <w:iCs/>
          <w:sz w:val="24"/>
          <w:szCs w:val="24"/>
        </w:rPr>
        <w:t>feudal</w:t>
      </w:r>
      <w:r w:rsidR="00016049" w:rsidRPr="00461D74">
        <w:rPr>
          <w:rFonts w:ascii="Garamond" w:hAnsi="Garamond" w:cstheme="minorHAnsi"/>
          <w:sz w:val="24"/>
          <w:szCs w:val="24"/>
        </w:rPr>
        <w:t xml:space="preserve"> </w:t>
      </w:r>
      <w:r w:rsidR="00277814" w:rsidRPr="00461D74">
        <w:rPr>
          <w:rFonts w:ascii="Garamond" w:hAnsi="Garamond" w:cstheme="minorHAnsi"/>
          <w:sz w:val="24"/>
          <w:szCs w:val="24"/>
        </w:rPr>
        <w:t>community and way</w:t>
      </w:r>
      <w:r w:rsidR="00130A6A" w:rsidRPr="00461D74">
        <w:rPr>
          <w:rFonts w:ascii="Garamond" w:hAnsi="Garamond" w:cstheme="minorHAnsi"/>
          <w:sz w:val="24"/>
          <w:szCs w:val="24"/>
        </w:rPr>
        <w:t>s</w:t>
      </w:r>
      <w:r w:rsidR="00277814" w:rsidRPr="00461D74">
        <w:rPr>
          <w:rFonts w:ascii="Garamond" w:hAnsi="Garamond" w:cstheme="minorHAnsi"/>
          <w:sz w:val="24"/>
          <w:szCs w:val="24"/>
        </w:rPr>
        <w:t xml:space="preserve"> of life</w:t>
      </w:r>
      <w:r w:rsidR="00016049" w:rsidRPr="00461D74">
        <w:rPr>
          <w:rFonts w:ascii="Garamond" w:hAnsi="Garamond" w:cstheme="minorHAnsi"/>
          <w:sz w:val="24"/>
          <w:szCs w:val="24"/>
        </w:rPr>
        <w:t xml:space="preserve">. </w:t>
      </w:r>
      <w:proofErr w:type="gramStart"/>
      <w:r w:rsidR="00016049" w:rsidRPr="00461D74">
        <w:rPr>
          <w:rFonts w:ascii="Garamond" w:hAnsi="Garamond" w:cstheme="minorHAnsi"/>
          <w:sz w:val="24"/>
          <w:szCs w:val="24"/>
        </w:rPr>
        <w:t xml:space="preserve">Thus, if MacIntyre’s </w:t>
      </w:r>
      <w:r w:rsidR="00A45E9B" w:rsidRPr="00461D74">
        <w:rPr>
          <w:rFonts w:ascii="Garamond" w:hAnsi="Garamond" w:cstheme="minorHAnsi"/>
          <w:sz w:val="24"/>
          <w:szCs w:val="24"/>
        </w:rPr>
        <w:t xml:space="preserve">moral-cum-political </w:t>
      </w:r>
      <w:r w:rsidR="00016049" w:rsidRPr="00461D74">
        <w:rPr>
          <w:rFonts w:ascii="Garamond" w:hAnsi="Garamond" w:cstheme="minorHAnsi"/>
          <w:sz w:val="24"/>
          <w:szCs w:val="24"/>
        </w:rPr>
        <w:t xml:space="preserve">project is to be made consistent with his </w:t>
      </w:r>
      <w:r>
        <w:rPr>
          <w:rFonts w:ascii="Garamond" w:hAnsi="Garamond" w:cstheme="minorHAnsi"/>
          <w:sz w:val="24"/>
          <w:szCs w:val="24"/>
        </w:rPr>
        <w:t>contextualist-</w:t>
      </w:r>
      <w:r w:rsidR="00016049" w:rsidRPr="00461D74">
        <w:rPr>
          <w:rFonts w:ascii="Garamond" w:hAnsi="Garamond" w:cstheme="minorHAnsi"/>
          <w:sz w:val="24"/>
          <w:szCs w:val="24"/>
        </w:rPr>
        <w:t>historicist thesis,</w:t>
      </w:r>
      <w:r w:rsidR="00A45E9B" w:rsidRPr="00461D74">
        <w:rPr>
          <w:rStyle w:val="FootnoteReference"/>
          <w:rFonts w:ascii="Garamond" w:hAnsi="Garamond" w:cstheme="minorHAnsi"/>
          <w:sz w:val="24"/>
          <w:szCs w:val="24"/>
        </w:rPr>
        <w:t xml:space="preserve"> </w:t>
      </w:r>
      <w:r w:rsidR="00A45E9B" w:rsidRPr="00461D74">
        <w:rPr>
          <w:rStyle w:val="FootnoteReference"/>
          <w:rFonts w:ascii="Garamond" w:hAnsi="Garamond" w:cstheme="minorHAnsi"/>
          <w:sz w:val="24"/>
          <w:szCs w:val="24"/>
        </w:rPr>
        <w:footnoteReference w:id="289"/>
      </w:r>
      <w:r w:rsidR="00016049" w:rsidRPr="00461D74">
        <w:rPr>
          <w:rFonts w:ascii="Garamond" w:hAnsi="Garamond" w:cstheme="minorHAnsi"/>
          <w:sz w:val="24"/>
          <w:szCs w:val="24"/>
        </w:rPr>
        <w:t xml:space="preserve"> one that is deeply embedded in his overall account of tradition-guided inquiry, he c</w:t>
      </w:r>
      <w:r w:rsidR="00E17486">
        <w:rPr>
          <w:rFonts w:ascii="Garamond" w:hAnsi="Garamond" w:cstheme="minorHAnsi"/>
          <w:sz w:val="24"/>
          <w:szCs w:val="24"/>
        </w:rPr>
        <w:t>annot</w:t>
      </w:r>
      <w:r w:rsidR="00016049" w:rsidRPr="00461D74">
        <w:rPr>
          <w:rFonts w:ascii="Garamond" w:hAnsi="Garamond" w:cstheme="minorHAnsi"/>
          <w:sz w:val="24"/>
          <w:szCs w:val="24"/>
        </w:rPr>
        <w:t xml:space="preserve"> not ignore the objection that he himself is overlooking history by assuming the adequacy of a tradition that is the product of the thirteenth century.</w:t>
      </w:r>
      <w:proofErr w:type="gramEnd"/>
      <w:r w:rsidR="00016049" w:rsidRPr="00461D74">
        <w:rPr>
          <w:rFonts w:ascii="Garamond" w:hAnsi="Garamond" w:cstheme="minorHAnsi"/>
          <w:sz w:val="24"/>
          <w:szCs w:val="24"/>
        </w:rPr>
        <w:t xml:space="preserve"> This, then, is the second tension in MacIntyre’s project.</w:t>
      </w:r>
    </w:p>
    <w:p w:rsidR="00665157" w:rsidRDefault="006639CF">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Next, consider that </w:t>
      </w:r>
      <w:r w:rsidR="00016049" w:rsidRPr="00461D74">
        <w:rPr>
          <w:rFonts w:ascii="Garamond" w:hAnsi="Garamond" w:cstheme="minorHAnsi"/>
          <w:sz w:val="24"/>
          <w:szCs w:val="24"/>
        </w:rPr>
        <w:t xml:space="preserve">MacIntyre’s second claim </w:t>
      </w:r>
      <w:r w:rsidR="000C4A36">
        <w:rPr>
          <w:rFonts w:ascii="Garamond" w:hAnsi="Garamond" w:cstheme="minorHAnsi"/>
          <w:sz w:val="24"/>
          <w:szCs w:val="24"/>
        </w:rPr>
        <w:t>highlights</w:t>
      </w:r>
      <w:r w:rsidR="00016049" w:rsidRPr="00461D74">
        <w:rPr>
          <w:rFonts w:ascii="Garamond" w:hAnsi="Garamond" w:cstheme="minorHAnsi"/>
          <w:sz w:val="24"/>
          <w:szCs w:val="24"/>
        </w:rPr>
        <w:t xml:space="preserve"> an important continuity or connection between ethics and politics, since </w:t>
      </w:r>
      <w:r w:rsidR="000C4A36">
        <w:rPr>
          <w:rFonts w:ascii="Garamond" w:hAnsi="Garamond" w:cstheme="minorHAnsi"/>
          <w:sz w:val="24"/>
          <w:szCs w:val="24"/>
        </w:rPr>
        <w:t xml:space="preserve">the </w:t>
      </w:r>
      <w:r w:rsidR="00016049" w:rsidRPr="00461D74">
        <w:rPr>
          <w:rFonts w:ascii="Garamond" w:hAnsi="Garamond" w:cstheme="minorHAnsi"/>
          <w:sz w:val="24"/>
          <w:szCs w:val="24"/>
        </w:rPr>
        <w:t>human good cannot be achieved without engaging</w:t>
      </w:r>
      <w:r w:rsidR="0013582E" w:rsidRPr="00461D74">
        <w:rPr>
          <w:rFonts w:ascii="Garamond" w:hAnsi="Garamond" w:cstheme="minorHAnsi"/>
          <w:sz w:val="24"/>
          <w:szCs w:val="24"/>
        </w:rPr>
        <w:t xml:space="preserve"> fruitfully</w:t>
      </w:r>
      <w:r w:rsidR="00016049" w:rsidRPr="00461D74">
        <w:rPr>
          <w:rFonts w:ascii="Garamond" w:hAnsi="Garamond" w:cstheme="minorHAnsi"/>
          <w:sz w:val="24"/>
          <w:szCs w:val="24"/>
        </w:rPr>
        <w:t xml:space="preserve"> in politics</w:t>
      </w:r>
      <w:r w:rsidR="00E1246F">
        <w:rPr>
          <w:rFonts w:ascii="Garamond" w:hAnsi="Garamond" w:cstheme="minorHAnsi"/>
          <w:sz w:val="24"/>
          <w:szCs w:val="24"/>
        </w:rPr>
        <w:t>.</w:t>
      </w:r>
      <w:r w:rsidR="00016049" w:rsidRPr="00461D74">
        <w:rPr>
          <w:rFonts w:ascii="Garamond" w:hAnsi="Garamond" w:cstheme="minorHAnsi"/>
          <w:sz w:val="24"/>
          <w:szCs w:val="24"/>
        </w:rPr>
        <w:t xml:space="preserve"> </w:t>
      </w:r>
      <w:r w:rsidR="00E1246F">
        <w:rPr>
          <w:rFonts w:ascii="Garamond" w:hAnsi="Garamond" w:cstheme="minorHAnsi"/>
          <w:sz w:val="24"/>
          <w:szCs w:val="24"/>
        </w:rPr>
        <w:t>T</w:t>
      </w:r>
      <w:r w:rsidR="000C4A36">
        <w:rPr>
          <w:rFonts w:ascii="Garamond" w:hAnsi="Garamond" w:cstheme="minorHAnsi"/>
          <w:sz w:val="24"/>
          <w:szCs w:val="24"/>
        </w:rPr>
        <w:t>herefore</w:t>
      </w:r>
      <w:r w:rsidR="00016049" w:rsidRPr="00461D74">
        <w:rPr>
          <w:rFonts w:ascii="Garamond" w:hAnsi="Garamond" w:cstheme="minorHAnsi"/>
          <w:sz w:val="24"/>
          <w:szCs w:val="24"/>
        </w:rPr>
        <w:t xml:space="preserve">, ethics cannot be divorced from politics. </w:t>
      </w:r>
      <w:r w:rsidR="0013582E" w:rsidRPr="00461D74">
        <w:rPr>
          <w:rFonts w:ascii="Garamond" w:hAnsi="Garamond" w:cstheme="minorHAnsi"/>
          <w:sz w:val="24"/>
          <w:szCs w:val="24"/>
        </w:rPr>
        <w:t>For MacIntyre</w:t>
      </w:r>
      <w:r w:rsidR="00016049" w:rsidRPr="00461D74">
        <w:rPr>
          <w:rFonts w:ascii="Garamond" w:hAnsi="Garamond" w:cstheme="minorHAnsi"/>
          <w:sz w:val="24"/>
          <w:szCs w:val="24"/>
        </w:rPr>
        <w:t xml:space="preserve">, Aristotle’s </w:t>
      </w:r>
      <w:proofErr w:type="spellStart"/>
      <w:r w:rsidR="00016049" w:rsidRPr="00461D74">
        <w:rPr>
          <w:rFonts w:ascii="Garamond" w:hAnsi="Garamond" w:cstheme="minorHAnsi"/>
          <w:i/>
          <w:iCs/>
          <w:sz w:val="24"/>
          <w:szCs w:val="24"/>
        </w:rPr>
        <w:t>Nicomachean</w:t>
      </w:r>
      <w:proofErr w:type="spellEnd"/>
      <w:r w:rsidR="00016049" w:rsidRPr="00461D74">
        <w:rPr>
          <w:rFonts w:ascii="Garamond" w:hAnsi="Garamond" w:cstheme="minorHAnsi"/>
          <w:i/>
          <w:iCs/>
          <w:sz w:val="24"/>
          <w:szCs w:val="24"/>
        </w:rPr>
        <w:t xml:space="preserve"> </w:t>
      </w:r>
      <w:r w:rsidR="00315B67" w:rsidRPr="00461D74">
        <w:rPr>
          <w:rFonts w:ascii="Garamond" w:hAnsi="Garamond" w:cstheme="minorHAnsi"/>
          <w:i/>
          <w:iCs/>
          <w:sz w:val="24"/>
          <w:szCs w:val="24"/>
        </w:rPr>
        <w:t>E</w:t>
      </w:r>
      <w:r w:rsidR="00016049" w:rsidRPr="00461D74">
        <w:rPr>
          <w:rFonts w:ascii="Garamond" w:hAnsi="Garamond" w:cstheme="minorHAnsi"/>
          <w:i/>
          <w:iCs/>
          <w:sz w:val="24"/>
          <w:szCs w:val="24"/>
        </w:rPr>
        <w:t>thics</w:t>
      </w:r>
      <w:r w:rsidR="00016049" w:rsidRPr="00461D74">
        <w:rPr>
          <w:rFonts w:ascii="Garamond" w:hAnsi="Garamond" w:cstheme="minorHAnsi"/>
          <w:sz w:val="24"/>
          <w:szCs w:val="24"/>
        </w:rPr>
        <w:t xml:space="preserve"> cannot be </w:t>
      </w:r>
      <w:r w:rsidR="00016049" w:rsidRPr="00461D74">
        <w:rPr>
          <w:rFonts w:ascii="Garamond" w:hAnsi="Garamond" w:cstheme="minorHAnsi"/>
          <w:sz w:val="24"/>
          <w:szCs w:val="24"/>
        </w:rPr>
        <w:lastRenderedPageBreak/>
        <w:t xml:space="preserve">separated from Aristotle’s </w:t>
      </w:r>
      <w:r w:rsidR="00016049" w:rsidRPr="00461D74">
        <w:rPr>
          <w:rFonts w:ascii="Garamond" w:hAnsi="Garamond" w:cstheme="minorHAnsi"/>
          <w:i/>
          <w:iCs/>
          <w:sz w:val="24"/>
          <w:szCs w:val="24"/>
        </w:rPr>
        <w:t>Politics</w:t>
      </w:r>
      <w:r w:rsidR="00016049" w:rsidRPr="00461D74">
        <w:rPr>
          <w:rFonts w:ascii="Garamond" w:hAnsi="Garamond" w:cstheme="minorHAnsi"/>
          <w:sz w:val="24"/>
          <w:szCs w:val="24"/>
        </w:rPr>
        <w:t xml:space="preserve">. </w:t>
      </w:r>
      <w:r w:rsidR="0013582E" w:rsidRPr="00461D74">
        <w:rPr>
          <w:rFonts w:ascii="Garamond" w:hAnsi="Garamond" w:cstheme="minorHAnsi"/>
          <w:sz w:val="24"/>
          <w:szCs w:val="24"/>
        </w:rPr>
        <w:t>This means that</w:t>
      </w:r>
      <w:r w:rsidR="00016049" w:rsidRPr="00461D74">
        <w:rPr>
          <w:rFonts w:ascii="Garamond" w:hAnsi="Garamond" w:cstheme="minorHAnsi"/>
          <w:sz w:val="24"/>
          <w:szCs w:val="24"/>
        </w:rPr>
        <w:t xml:space="preserve"> </w:t>
      </w:r>
      <w:r w:rsidR="0013582E" w:rsidRPr="00461D74">
        <w:rPr>
          <w:rFonts w:ascii="Garamond" w:hAnsi="Garamond" w:cstheme="minorHAnsi"/>
          <w:sz w:val="24"/>
          <w:szCs w:val="24"/>
        </w:rPr>
        <w:t>o</w:t>
      </w:r>
      <w:r w:rsidR="00016049" w:rsidRPr="00461D74">
        <w:rPr>
          <w:rFonts w:ascii="Garamond" w:hAnsi="Garamond" w:cstheme="minorHAnsi"/>
          <w:sz w:val="24"/>
          <w:szCs w:val="24"/>
        </w:rPr>
        <w:t xml:space="preserve">n the Aristotelian account of moral philosophy, the individual is only able to truly flourish and achieve the virtues insofar as </w:t>
      </w:r>
      <w:r w:rsidR="00461272" w:rsidRPr="00461D74">
        <w:rPr>
          <w:rFonts w:ascii="Garamond" w:hAnsi="Garamond" w:cstheme="minorHAnsi"/>
          <w:sz w:val="24"/>
          <w:szCs w:val="24"/>
        </w:rPr>
        <w:t xml:space="preserve">that person </w:t>
      </w:r>
      <w:r w:rsidR="00016049" w:rsidRPr="00461D74">
        <w:rPr>
          <w:rFonts w:ascii="Garamond" w:hAnsi="Garamond" w:cstheme="minorHAnsi"/>
          <w:sz w:val="24"/>
          <w:szCs w:val="24"/>
        </w:rPr>
        <w:t xml:space="preserve">is situated in a political community, and actively participates in the polity </w:t>
      </w:r>
      <w:r w:rsidR="00CC1F61" w:rsidRPr="00461D74">
        <w:rPr>
          <w:rFonts w:ascii="Garamond" w:hAnsi="Garamond" w:cstheme="minorHAnsi"/>
          <w:sz w:val="24"/>
          <w:szCs w:val="24"/>
        </w:rPr>
        <w:t>for the sake of realising</w:t>
      </w:r>
      <w:r w:rsidR="00016049" w:rsidRPr="00461D74">
        <w:rPr>
          <w:rFonts w:ascii="Garamond" w:hAnsi="Garamond" w:cstheme="minorHAnsi"/>
          <w:sz w:val="24"/>
          <w:szCs w:val="24"/>
        </w:rPr>
        <w:t xml:space="preserve"> his</w:t>
      </w:r>
      <w:r w:rsidR="00CC1F61" w:rsidRPr="00461D74">
        <w:rPr>
          <w:rFonts w:ascii="Garamond" w:hAnsi="Garamond" w:cstheme="minorHAnsi"/>
          <w:sz w:val="24"/>
          <w:szCs w:val="24"/>
        </w:rPr>
        <w:t xml:space="preserve"> or </w:t>
      </w:r>
      <w:r w:rsidR="00016049" w:rsidRPr="00461D74">
        <w:rPr>
          <w:rFonts w:ascii="Garamond" w:hAnsi="Garamond" w:cstheme="minorHAnsi"/>
          <w:sz w:val="24"/>
          <w:szCs w:val="24"/>
        </w:rPr>
        <w:t xml:space="preserve">her individual good, </w:t>
      </w:r>
      <w:r w:rsidR="00CC1F61" w:rsidRPr="00461D74">
        <w:rPr>
          <w:rFonts w:ascii="Garamond" w:hAnsi="Garamond" w:cstheme="minorHAnsi"/>
          <w:sz w:val="24"/>
          <w:szCs w:val="24"/>
        </w:rPr>
        <w:t xml:space="preserve">as part of </w:t>
      </w:r>
      <w:r w:rsidR="00016049" w:rsidRPr="00461D74">
        <w:rPr>
          <w:rFonts w:ascii="Garamond" w:hAnsi="Garamond" w:cstheme="minorHAnsi"/>
          <w:sz w:val="24"/>
          <w:szCs w:val="24"/>
        </w:rPr>
        <w:t xml:space="preserve">the </w:t>
      </w:r>
      <w:r w:rsidR="00CC1F61" w:rsidRPr="00461D74">
        <w:rPr>
          <w:rFonts w:ascii="Garamond" w:hAnsi="Garamond" w:cstheme="minorHAnsi"/>
          <w:sz w:val="24"/>
          <w:szCs w:val="24"/>
        </w:rPr>
        <w:t xml:space="preserve">wider </w:t>
      </w:r>
      <w:r w:rsidR="00016049" w:rsidRPr="00461D74">
        <w:rPr>
          <w:rFonts w:ascii="Garamond" w:hAnsi="Garamond" w:cstheme="minorHAnsi"/>
          <w:sz w:val="24"/>
          <w:szCs w:val="24"/>
        </w:rPr>
        <w:t>common good. On this view, the individual good is not defined separately from the common good – that is, the individual’s good is continuous with the common good of the community</w:t>
      </w:r>
      <w:r w:rsidR="00E17486">
        <w:rPr>
          <w:rFonts w:ascii="Garamond" w:hAnsi="Garamond" w:cstheme="minorHAnsi"/>
          <w:sz w:val="24"/>
          <w:szCs w:val="24"/>
        </w:rPr>
        <w:t>;</w:t>
      </w:r>
      <w:r w:rsidR="00016049" w:rsidRPr="00461D74">
        <w:rPr>
          <w:rFonts w:ascii="Garamond" w:hAnsi="Garamond" w:cstheme="minorHAnsi"/>
          <w:sz w:val="24"/>
          <w:szCs w:val="24"/>
        </w:rPr>
        <w:t xml:space="preserve"> or put differently, the individual achieves her good insofar as she participates in social practices that are partially constitutive of the common good. Thus, following Aristotle, MacIntyre views ethics and politics as interdependent or continuous</w:t>
      </w:r>
      <w:r w:rsidR="007A4EAD" w:rsidRPr="00461D74">
        <w:rPr>
          <w:rFonts w:ascii="Garamond" w:hAnsi="Garamond" w:cstheme="minorHAnsi"/>
          <w:sz w:val="24"/>
          <w:szCs w:val="24"/>
        </w:rPr>
        <w:t>.</w:t>
      </w:r>
      <w:r w:rsidR="00E36867" w:rsidRPr="00461D74">
        <w:rPr>
          <w:rFonts w:ascii="Garamond" w:hAnsi="Garamond" w:cstheme="minorHAnsi"/>
          <w:sz w:val="24"/>
          <w:szCs w:val="24"/>
        </w:rPr>
        <w:t xml:space="preserve"> In fact, MacIntyre argues that </w:t>
      </w:r>
      <w:r w:rsidR="00016049" w:rsidRPr="00461D74">
        <w:rPr>
          <w:rFonts w:ascii="Garamond" w:hAnsi="Garamond" w:cstheme="minorHAnsi"/>
          <w:sz w:val="24"/>
          <w:szCs w:val="24"/>
        </w:rPr>
        <w:t xml:space="preserve">a principal mistake of contemporary </w:t>
      </w:r>
      <w:r w:rsidR="00E36867" w:rsidRPr="00461D74">
        <w:rPr>
          <w:rFonts w:ascii="Garamond" w:hAnsi="Garamond" w:cstheme="minorHAnsi"/>
          <w:sz w:val="24"/>
          <w:szCs w:val="24"/>
        </w:rPr>
        <w:t>moral</w:t>
      </w:r>
      <w:r w:rsidR="00016049" w:rsidRPr="00461D74">
        <w:rPr>
          <w:rFonts w:ascii="Garamond" w:hAnsi="Garamond" w:cstheme="minorHAnsi"/>
          <w:sz w:val="24"/>
          <w:szCs w:val="24"/>
        </w:rPr>
        <w:t xml:space="preserve"> discourse is </w:t>
      </w:r>
      <w:r w:rsidR="00E36867" w:rsidRPr="00461D74">
        <w:rPr>
          <w:rFonts w:ascii="Garamond" w:hAnsi="Garamond" w:cstheme="minorHAnsi"/>
          <w:sz w:val="24"/>
          <w:szCs w:val="24"/>
        </w:rPr>
        <w:t>that it often</w:t>
      </w:r>
      <w:r w:rsidR="00016049" w:rsidRPr="00461D74">
        <w:rPr>
          <w:rFonts w:ascii="Garamond" w:hAnsi="Garamond" w:cstheme="minorHAnsi"/>
          <w:sz w:val="24"/>
          <w:szCs w:val="24"/>
        </w:rPr>
        <w:t xml:space="preserve"> divorce</w:t>
      </w:r>
      <w:r w:rsidR="00E36867" w:rsidRPr="00461D74">
        <w:rPr>
          <w:rFonts w:ascii="Garamond" w:hAnsi="Garamond" w:cstheme="minorHAnsi"/>
          <w:sz w:val="24"/>
          <w:szCs w:val="24"/>
        </w:rPr>
        <w:t>s</w:t>
      </w:r>
      <w:r w:rsidR="00016049" w:rsidRPr="00461D74">
        <w:rPr>
          <w:rFonts w:ascii="Garamond" w:hAnsi="Garamond" w:cstheme="minorHAnsi"/>
          <w:sz w:val="24"/>
          <w:szCs w:val="24"/>
        </w:rPr>
        <w:t xml:space="preserve"> itself </w:t>
      </w:r>
      <w:r w:rsidR="00E36867" w:rsidRPr="00461D74">
        <w:rPr>
          <w:rFonts w:ascii="Garamond" w:hAnsi="Garamond" w:cstheme="minorHAnsi"/>
          <w:sz w:val="24"/>
          <w:szCs w:val="24"/>
        </w:rPr>
        <w:t>from political</w:t>
      </w:r>
      <w:r w:rsidR="00016049" w:rsidRPr="00461D74">
        <w:rPr>
          <w:rFonts w:ascii="Garamond" w:hAnsi="Garamond" w:cstheme="minorHAnsi"/>
          <w:sz w:val="24"/>
          <w:szCs w:val="24"/>
        </w:rPr>
        <w:t xml:space="preserve"> </w:t>
      </w:r>
      <w:r w:rsidR="00E36867" w:rsidRPr="00461D74">
        <w:rPr>
          <w:rFonts w:ascii="Garamond" w:hAnsi="Garamond" w:cstheme="minorHAnsi"/>
          <w:sz w:val="24"/>
          <w:szCs w:val="24"/>
        </w:rPr>
        <w:t>problems</w:t>
      </w:r>
      <w:r w:rsidR="00016049" w:rsidRPr="00461D74">
        <w:rPr>
          <w:rFonts w:ascii="Garamond" w:hAnsi="Garamond" w:cstheme="minorHAnsi"/>
          <w:sz w:val="24"/>
          <w:szCs w:val="24"/>
        </w:rPr>
        <w:t>.</w:t>
      </w:r>
      <w:r w:rsidR="00E36867" w:rsidRPr="00461D74">
        <w:rPr>
          <w:rStyle w:val="FootnoteReference"/>
          <w:rFonts w:ascii="Garamond" w:hAnsi="Garamond" w:cstheme="minorHAnsi"/>
          <w:sz w:val="24"/>
          <w:szCs w:val="24"/>
        </w:rPr>
        <w:footnoteReference w:id="290"/>
      </w:r>
    </w:p>
    <w:p w:rsidR="00FA268B"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This second claim is important since I believe it serves to strengthen the </w:t>
      </w:r>
      <w:r w:rsidR="007A4EAD" w:rsidRPr="00461D74">
        <w:rPr>
          <w:rFonts w:ascii="Garamond" w:hAnsi="Garamond" w:cstheme="minorHAnsi"/>
          <w:sz w:val="24"/>
          <w:szCs w:val="24"/>
        </w:rPr>
        <w:t xml:space="preserve">force of the second </w:t>
      </w:r>
      <w:r w:rsidRPr="00461D74">
        <w:rPr>
          <w:rFonts w:ascii="Garamond" w:hAnsi="Garamond" w:cstheme="minorHAnsi"/>
          <w:sz w:val="24"/>
          <w:szCs w:val="24"/>
        </w:rPr>
        <w:t xml:space="preserve">tension in </w:t>
      </w:r>
      <w:r w:rsidR="007A4EAD" w:rsidRPr="00461D74">
        <w:rPr>
          <w:rFonts w:ascii="Garamond" w:hAnsi="Garamond" w:cstheme="minorHAnsi"/>
          <w:sz w:val="24"/>
          <w:szCs w:val="24"/>
        </w:rPr>
        <w:t xml:space="preserve">MacIntyre’s </w:t>
      </w:r>
      <w:r w:rsidRPr="00461D74">
        <w:rPr>
          <w:rFonts w:ascii="Garamond" w:hAnsi="Garamond" w:cstheme="minorHAnsi"/>
          <w:sz w:val="24"/>
          <w:szCs w:val="24"/>
        </w:rPr>
        <w:t>account. Why is that? If the connection</w:t>
      </w:r>
      <w:r w:rsidR="004F44E1" w:rsidRPr="00461D74">
        <w:rPr>
          <w:rFonts w:ascii="Garamond" w:hAnsi="Garamond" w:cstheme="minorHAnsi"/>
          <w:sz w:val="24"/>
          <w:szCs w:val="24"/>
        </w:rPr>
        <w:t>s</w:t>
      </w:r>
      <w:r w:rsidRPr="00461D74">
        <w:rPr>
          <w:rFonts w:ascii="Garamond" w:hAnsi="Garamond" w:cstheme="minorHAnsi"/>
          <w:sz w:val="24"/>
          <w:szCs w:val="24"/>
        </w:rPr>
        <w:t xml:space="preserve"> between ethics and politics are close</w:t>
      </w:r>
      <w:r w:rsidR="004F44E1" w:rsidRPr="00461D74">
        <w:rPr>
          <w:rFonts w:ascii="Garamond" w:hAnsi="Garamond" w:cstheme="minorHAnsi"/>
          <w:sz w:val="24"/>
          <w:szCs w:val="24"/>
        </w:rPr>
        <w:t>,</w:t>
      </w:r>
      <w:r w:rsidRPr="00461D74">
        <w:rPr>
          <w:rFonts w:ascii="Garamond" w:hAnsi="Garamond" w:cstheme="minorHAnsi"/>
          <w:sz w:val="24"/>
          <w:szCs w:val="24"/>
        </w:rPr>
        <w:t xml:space="preserve"> such that without the delineation of a properly conceived politics, ethical inquiry fails altogether, then MacIntyre’s </w:t>
      </w:r>
      <w:r w:rsidR="00240F61" w:rsidRPr="00461D74">
        <w:rPr>
          <w:rFonts w:ascii="Garamond" w:hAnsi="Garamond" w:cstheme="minorHAnsi"/>
          <w:sz w:val="24"/>
          <w:szCs w:val="24"/>
        </w:rPr>
        <w:t xml:space="preserve">account requires in addition to a properly formulated </w:t>
      </w:r>
      <w:r w:rsidRPr="00461D74">
        <w:rPr>
          <w:rFonts w:ascii="Garamond" w:hAnsi="Garamond" w:cstheme="minorHAnsi"/>
          <w:sz w:val="24"/>
          <w:szCs w:val="24"/>
        </w:rPr>
        <w:t>ethics</w:t>
      </w:r>
      <w:r w:rsidR="00240F61"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240F61" w:rsidRPr="00461D74">
        <w:rPr>
          <w:rFonts w:ascii="Garamond" w:hAnsi="Garamond" w:cstheme="minorHAnsi"/>
          <w:sz w:val="24"/>
          <w:szCs w:val="24"/>
        </w:rPr>
        <w:t xml:space="preserve">positive </w:t>
      </w:r>
      <w:r w:rsidRPr="00461D74">
        <w:rPr>
          <w:rFonts w:ascii="Garamond" w:hAnsi="Garamond" w:cstheme="minorHAnsi"/>
          <w:sz w:val="24"/>
          <w:szCs w:val="24"/>
        </w:rPr>
        <w:t>politic</w:t>
      </w:r>
      <w:r w:rsidR="00240F61" w:rsidRPr="00461D74">
        <w:rPr>
          <w:rFonts w:ascii="Garamond" w:hAnsi="Garamond" w:cstheme="minorHAnsi"/>
          <w:sz w:val="24"/>
          <w:szCs w:val="24"/>
        </w:rPr>
        <w:t>al account</w:t>
      </w:r>
      <w:r w:rsidRPr="00461D74">
        <w:rPr>
          <w:rFonts w:ascii="Garamond" w:hAnsi="Garamond" w:cstheme="minorHAnsi"/>
          <w:sz w:val="24"/>
          <w:szCs w:val="24"/>
        </w:rPr>
        <w:t xml:space="preserve"> that synthesizes </w:t>
      </w:r>
      <w:r w:rsidR="00240F61" w:rsidRPr="00461D74">
        <w:rPr>
          <w:rFonts w:ascii="Garamond" w:hAnsi="Garamond" w:cstheme="minorHAnsi"/>
          <w:sz w:val="24"/>
          <w:szCs w:val="24"/>
        </w:rPr>
        <w:t xml:space="preserve">elements of </w:t>
      </w:r>
      <w:r w:rsidRPr="00461D74">
        <w:rPr>
          <w:rFonts w:ascii="Garamond" w:hAnsi="Garamond" w:cstheme="minorHAnsi"/>
          <w:sz w:val="24"/>
          <w:szCs w:val="24"/>
        </w:rPr>
        <w:t>Aristotelian-Thomism</w:t>
      </w:r>
      <w:r w:rsidR="00240F61" w:rsidRPr="00461D74">
        <w:rPr>
          <w:rFonts w:ascii="Garamond" w:hAnsi="Garamond" w:cstheme="minorHAnsi"/>
          <w:sz w:val="24"/>
          <w:szCs w:val="24"/>
        </w:rPr>
        <w:t>,</w:t>
      </w:r>
      <w:r w:rsidRPr="00461D74">
        <w:rPr>
          <w:rFonts w:ascii="Garamond" w:hAnsi="Garamond" w:cstheme="minorHAnsi"/>
          <w:sz w:val="24"/>
          <w:szCs w:val="24"/>
        </w:rPr>
        <w:t xml:space="preserve"> </w:t>
      </w:r>
      <w:r w:rsidR="00240F61" w:rsidRPr="00461D74">
        <w:rPr>
          <w:rFonts w:ascii="Garamond" w:hAnsi="Garamond" w:cstheme="minorHAnsi"/>
          <w:sz w:val="24"/>
          <w:szCs w:val="24"/>
        </w:rPr>
        <w:t xml:space="preserve">in a historically informed </w:t>
      </w:r>
      <w:r w:rsidR="00FD597B" w:rsidRPr="00461D74">
        <w:rPr>
          <w:rFonts w:ascii="Garamond" w:hAnsi="Garamond" w:cstheme="minorHAnsi"/>
          <w:sz w:val="24"/>
          <w:szCs w:val="24"/>
        </w:rPr>
        <w:t>manner</w:t>
      </w:r>
      <w:r w:rsidR="00240F61" w:rsidRPr="00461D74">
        <w:rPr>
          <w:rFonts w:ascii="Garamond" w:hAnsi="Garamond" w:cstheme="minorHAnsi"/>
          <w:sz w:val="24"/>
          <w:szCs w:val="24"/>
        </w:rPr>
        <w:t xml:space="preserve">, for use in </w:t>
      </w:r>
      <w:r w:rsidR="00FD597B" w:rsidRPr="00461D74">
        <w:rPr>
          <w:rFonts w:ascii="Garamond" w:hAnsi="Garamond" w:cstheme="minorHAnsi"/>
          <w:sz w:val="24"/>
          <w:szCs w:val="24"/>
        </w:rPr>
        <w:t>the</w:t>
      </w:r>
      <w:r w:rsidR="00240F61" w:rsidRPr="00461D74">
        <w:rPr>
          <w:rFonts w:ascii="Garamond" w:hAnsi="Garamond" w:cstheme="minorHAnsi"/>
          <w:sz w:val="24"/>
          <w:szCs w:val="24"/>
        </w:rPr>
        <w:t xml:space="preserve"> contemporary </w:t>
      </w:r>
      <w:r w:rsidR="00FD597B" w:rsidRPr="00461D74">
        <w:rPr>
          <w:rFonts w:ascii="Garamond" w:hAnsi="Garamond" w:cstheme="minorHAnsi"/>
          <w:sz w:val="24"/>
          <w:szCs w:val="24"/>
        </w:rPr>
        <w:t>social-</w:t>
      </w:r>
      <w:r w:rsidR="00240F61" w:rsidRPr="00461D74">
        <w:rPr>
          <w:rFonts w:ascii="Garamond" w:hAnsi="Garamond" w:cstheme="minorHAnsi"/>
          <w:sz w:val="24"/>
          <w:szCs w:val="24"/>
        </w:rPr>
        <w:t xml:space="preserve">cultural </w:t>
      </w:r>
      <w:r w:rsidRPr="00461D74">
        <w:rPr>
          <w:rFonts w:ascii="Garamond" w:hAnsi="Garamond" w:cstheme="minorHAnsi"/>
          <w:sz w:val="24"/>
          <w:szCs w:val="24"/>
        </w:rPr>
        <w:t>context.</w:t>
      </w:r>
    </w:p>
    <w:p w:rsidR="00E25466" w:rsidRDefault="00E25466" w:rsidP="00E25466">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Now, </w:t>
      </w:r>
      <w:r w:rsidR="00E548A9">
        <w:rPr>
          <w:rFonts w:ascii="Garamond" w:hAnsi="Garamond" w:cstheme="minorHAnsi"/>
          <w:sz w:val="24"/>
          <w:szCs w:val="24"/>
        </w:rPr>
        <w:t xml:space="preserve">I should </w:t>
      </w:r>
      <w:r>
        <w:rPr>
          <w:rFonts w:ascii="Garamond" w:hAnsi="Garamond" w:cstheme="minorHAnsi"/>
          <w:sz w:val="24"/>
          <w:szCs w:val="24"/>
        </w:rPr>
        <w:t>point out</w:t>
      </w:r>
      <w:r w:rsidR="00E548A9">
        <w:rPr>
          <w:rFonts w:ascii="Garamond" w:hAnsi="Garamond" w:cstheme="minorHAnsi"/>
          <w:sz w:val="24"/>
          <w:szCs w:val="24"/>
        </w:rPr>
        <w:t xml:space="preserve"> that </w:t>
      </w:r>
      <w:r w:rsidR="00016049" w:rsidRPr="00C84B33">
        <w:rPr>
          <w:rFonts w:ascii="Garamond" w:hAnsi="Garamond" w:cstheme="minorHAnsi"/>
          <w:sz w:val="24"/>
          <w:szCs w:val="24"/>
        </w:rPr>
        <w:t xml:space="preserve">MacIntyre </w:t>
      </w:r>
      <w:r w:rsidR="00E548A9">
        <w:rPr>
          <w:rFonts w:ascii="Garamond" w:hAnsi="Garamond" w:cstheme="minorHAnsi"/>
          <w:sz w:val="24"/>
          <w:szCs w:val="24"/>
        </w:rPr>
        <w:t>argues in support of</w:t>
      </w:r>
      <w:r w:rsidR="00CA3769" w:rsidRPr="00C84B33">
        <w:rPr>
          <w:rFonts w:ascii="Garamond" w:hAnsi="Garamond" w:cstheme="minorHAnsi"/>
          <w:sz w:val="24"/>
          <w:szCs w:val="24"/>
        </w:rPr>
        <w:t xml:space="preserve"> a communal form of Thomistic</w:t>
      </w:r>
      <w:r w:rsidR="00233388">
        <w:rPr>
          <w:rFonts w:ascii="Garamond" w:hAnsi="Garamond" w:cstheme="minorHAnsi"/>
          <w:sz w:val="24"/>
          <w:szCs w:val="24"/>
        </w:rPr>
        <w:t xml:space="preserve"> inspired</w:t>
      </w:r>
      <w:r w:rsidR="00CA3769" w:rsidRPr="00C84B33">
        <w:rPr>
          <w:rFonts w:ascii="Garamond" w:hAnsi="Garamond" w:cstheme="minorHAnsi"/>
          <w:sz w:val="24"/>
          <w:szCs w:val="24"/>
        </w:rPr>
        <w:t xml:space="preserve"> politics</w:t>
      </w:r>
      <w:r w:rsidR="00E548A9">
        <w:rPr>
          <w:rFonts w:ascii="Garamond" w:hAnsi="Garamond" w:cstheme="minorHAnsi"/>
          <w:sz w:val="24"/>
          <w:szCs w:val="24"/>
        </w:rPr>
        <w:t>,</w:t>
      </w:r>
      <w:r w:rsidR="00CA3769" w:rsidRPr="00C84B33">
        <w:rPr>
          <w:rFonts w:ascii="Garamond" w:hAnsi="Garamond" w:cstheme="minorHAnsi"/>
          <w:sz w:val="24"/>
          <w:szCs w:val="24"/>
        </w:rPr>
        <w:t xml:space="preserve"> defined in terms of </w:t>
      </w:r>
      <w:r w:rsidR="00E548A9">
        <w:rPr>
          <w:rFonts w:ascii="Garamond" w:hAnsi="Garamond" w:cstheme="minorHAnsi"/>
          <w:sz w:val="24"/>
          <w:szCs w:val="24"/>
        </w:rPr>
        <w:t>the</w:t>
      </w:r>
      <w:r w:rsidR="00016049" w:rsidRPr="00C84B33">
        <w:rPr>
          <w:rFonts w:ascii="Garamond" w:hAnsi="Garamond" w:cstheme="minorHAnsi"/>
          <w:sz w:val="24"/>
          <w:szCs w:val="24"/>
        </w:rPr>
        <w:t xml:space="preserve"> common good </w:t>
      </w:r>
      <w:r w:rsidR="00CA3769" w:rsidRPr="00C84B33">
        <w:rPr>
          <w:rFonts w:ascii="Garamond" w:hAnsi="Garamond" w:cstheme="minorHAnsi"/>
          <w:sz w:val="24"/>
          <w:szCs w:val="24"/>
        </w:rPr>
        <w:t xml:space="preserve">realisable </w:t>
      </w:r>
      <w:r w:rsidR="00016049" w:rsidRPr="00C84B33">
        <w:rPr>
          <w:rFonts w:ascii="Garamond" w:hAnsi="Garamond" w:cstheme="minorHAnsi"/>
          <w:sz w:val="24"/>
          <w:szCs w:val="24"/>
        </w:rPr>
        <w:t xml:space="preserve">in </w:t>
      </w:r>
      <w:r w:rsidR="00315B67" w:rsidRPr="00C84B33">
        <w:rPr>
          <w:rFonts w:ascii="Garamond" w:hAnsi="Garamond" w:cstheme="minorHAnsi"/>
          <w:sz w:val="24"/>
          <w:szCs w:val="24"/>
        </w:rPr>
        <w:t xml:space="preserve">the </w:t>
      </w:r>
      <w:r w:rsidR="00D9228E" w:rsidRPr="00C84B33">
        <w:rPr>
          <w:rFonts w:ascii="Garamond" w:hAnsi="Garamond" w:cstheme="minorHAnsi"/>
          <w:sz w:val="24"/>
          <w:szCs w:val="24"/>
        </w:rPr>
        <w:t>social life of small-scale c</w:t>
      </w:r>
      <w:r w:rsidR="00016049" w:rsidRPr="00C84B33">
        <w:rPr>
          <w:rFonts w:ascii="Garamond" w:hAnsi="Garamond" w:cstheme="minorHAnsi"/>
          <w:sz w:val="24"/>
          <w:szCs w:val="24"/>
        </w:rPr>
        <w:t>ommunities.</w:t>
      </w:r>
      <w:r w:rsidR="00977DF4">
        <w:rPr>
          <w:rStyle w:val="FootnoteReference"/>
          <w:rFonts w:ascii="Garamond" w:hAnsi="Garamond" w:cstheme="minorHAnsi"/>
          <w:sz w:val="24"/>
          <w:szCs w:val="24"/>
        </w:rPr>
        <w:footnoteReference w:id="291"/>
      </w:r>
      <w:r w:rsidR="00016049" w:rsidRPr="00C84B33">
        <w:rPr>
          <w:rFonts w:ascii="Garamond" w:hAnsi="Garamond" w:cstheme="minorHAnsi"/>
          <w:sz w:val="24"/>
          <w:szCs w:val="24"/>
        </w:rPr>
        <w:t xml:space="preserve"> </w:t>
      </w:r>
      <w:r w:rsidR="00CA3769" w:rsidRPr="00C84B33">
        <w:rPr>
          <w:rFonts w:ascii="Garamond" w:hAnsi="Garamond" w:cstheme="minorHAnsi"/>
          <w:sz w:val="24"/>
          <w:szCs w:val="24"/>
        </w:rPr>
        <w:t xml:space="preserve">However, MacIntyre </w:t>
      </w:r>
      <w:r w:rsidR="009841C0" w:rsidRPr="00C84B33">
        <w:rPr>
          <w:rFonts w:ascii="Garamond" w:hAnsi="Garamond" w:cstheme="minorHAnsi"/>
          <w:sz w:val="24"/>
          <w:szCs w:val="24"/>
        </w:rPr>
        <w:t xml:space="preserve">simultaneously argues that this sort of local politics is perpetually at the mercy of </w:t>
      </w:r>
      <w:r w:rsidR="009841C0" w:rsidRPr="00C84B33">
        <w:rPr>
          <w:rFonts w:ascii="Garamond" w:hAnsi="Garamond" w:cstheme="minorHAnsi"/>
          <w:sz w:val="24"/>
          <w:szCs w:val="24"/>
        </w:rPr>
        <w:lastRenderedPageBreak/>
        <w:t xml:space="preserve">large-scale political structures and institutions </w:t>
      </w:r>
      <w:r w:rsidR="00406125" w:rsidRPr="00C84B33">
        <w:rPr>
          <w:rFonts w:ascii="Garamond" w:hAnsi="Garamond" w:cstheme="minorHAnsi"/>
          <w:sz w:val="24"/>
          <w:szCs w:val="24"/>
        </w:rPr>
        <w:t>in the liberal state</w:t>
      </w:r>
      <w:r w:rsidR="009841C0" w:rsidRPr="00C84B33">
        <w:rPr>
          <w:rFonts w:ascii="Garamond" w:hAnsi="Garamond" w:cstheme="minorHAnsi"/>
          <w:sz w:val="24"/>
          <w:szCs w:val="24"/>
        </w:rPr>
        <w:t xml:space="preserve">, </w:t>
      </w:r>
      <w:r w:rsidR="00406125" w:rsidRPr="00C84B33">
        <w:rPr>
          <w:rFonts w:ascii="Garamond" w:hAnsi="Garamond" w:cstheme="minorHAnsi"/>
          <w:sz w:val="24"/>
          <w:szCs w:val="24"/>
        </w:rPr>
        <w:t>owing to their tendency to</w:t>
      </w:r>
      <w:r w:rsidR="009841C0" w:rsidRPr="00C84B33">
        <w:rPr>
          <w:rFonts w:ascii="Garamond" w:hAnsi="Garamond" w:cstheme="minorHAnsi"/>
          <w:sz w:val="24"/>
          <w:szCs w:val="24"/>
        </w:rPr>
        <w:t xml:space="preserve"> corrupt </w:t>
      </w:r>
      <w:r w:rsidR="00406125" w:rsidRPr="00C84B33">
        <w:rPr>
          <w:rFonts w:ascii="Garamond" w:hAnsi="Garamond" w:cstheme="minorHAnsi"/>
          <w:sz w:val="24"/>
          <w:szCs w:val="24"/>
        </w:rPr>
        <w:t>local communal forms of politics</w:t>
      </w:r>
      <w:r w:rsidR="009841C0" w:rsidRPr="00C84B33">
        <w:rPr>
          <w:rFonts w:ascii="Garamond" w:hAnsi="Garamond" w:cstheme="minorHAnsi"/>
          <w:sz w:val="24"/>
          <w:szCs w:val="24"/>
        </w:rPr>
        <w:t>.</w:t>
      </w:r>
      <w:r w:rsidR="00406125" w:rsidRPr="00C84B33">
        <w:rPr>
          <w:rFonts w:ascii="Garamond" w:hAnsi="Garamond" w:cstheme="minorHAnsi"/>
          <w:sz w:val="24"/>
          <w:szCs w:val="24"/>
        </w:rPr>
        <w:t xml:space="preserve"> </w:t>
      </w:r>
      <w:r w:rsidR="00D73ADE">
        <w:rPr>
          <w:rFonts w:ascii="Garamond" w:hAnsi="Garamond" w:cstheme="minorHAnsi"/>
          <w:sz w:val="24"/>
          <w:szCs w:val="24"/>
        </w:rPr>
        <w:t>Here</w:t>
      </w:r>
      <w:r w:rsidR="00A14061">
        <w:rPr>
          <w:rFonts w:ascii="Garamond" w:hAnsi="Garamond" w:cstheme="minorHAnsi"/>
          <w:sz w:val="24"/>
          <w:szCs w:val="24"/>
        </w:rPr>
        <w:t xml:space="preserve">, </w:t>
      </w:r>
      <w:r w:rsidR="00D73ADE">
        <w:rPr>
          <w:rFonts w:ascii="Garamond" w:hAnsi="Garamond" w:cstheme="minorHAnsi"/>
          <w:sz w:val="24"/>
          <w:szCs w:val="24"/>
        </w:rPr>
        <w:t>MacIntyre’s</w:t>
      </w:r>
      <w:r w:rsidR="00A14061">
        <w:rPr>
          <w:rFonts w:ascii="Garamond" w:hAnsi="Garamond" w:cstheme="minorHAnsi"/>
          <w:sz w:val="24"/>
          <w:szCs w:val="24"/>
        </w:rPr>
        <w:t xml:space="preserve"> description of our circumstance is </w:t>
      </w:r>
      <w:r w:rsidR="00E17486">
        <w:rPr>
          <w:rFonts w:ascii="Garamond" w:hAnsi="Garamond" w:cstheme="minorHAnsi"/>
          <w:sz w:val="24"/>
          <w:szCs w:val="24"/>
        </w:rPr>
        <w:t xml:space="preserve">very pessimistic, </w:t>
      </w:r>
      <w:r w:rsidR="00C84B33" w:rsidRPr="00C84B33">
        <w:rPr>
          <w:rFonts w:ascii="Garamond" w:hAnsi="Garamond" w:cstheme="minorHAnsi"/>
          <w:sz w:val="24"/>
          <w:szCs w:val="24"/>
        </w:rPr>
        <w:t>since</w:t>
      </w:r>
      <w:r w:rsidR="00406125" w:rsidRPr="00C84B33">
        <w:rPr>
          <w:rFonts w:ascii="Garamond" w:hAnsi="Garamond" w:cstheme="minorHAnsi"/>
          <w:sz w:val="24"/>
          <w:szCs w:val="24"/>
        </w:rPr>
        <w:t xml:space="preserve"> many of the examples </w:t>
      </w:r>
      <w:r w:rsidR="00A14061">
        <w:rPr>
          <w:rFonts w:ascii="Garamond" w:hAnsi="Garamond" w:cstheme="minorHAnsi"/>
          <w:sz w:val="24"/>
          <w:szCs w:val="24"/>
        </w:rPr>
        <w:t>of local</w:t>
      </w:r>
      <w:r w:rsidR="00406125" w:rsidRPr="00C84B33">
        <w:rPr>
          <w:rFonts w:ascii="Garamond" w:hAnsi="Garamond" w:cstheme="minorHAnsi"/>
          <w:sz w:val="24"/>
          <w:szCs w:val="24"/>
        </w:rPr>
        <w:t xml:space="preserve"> communal politics </w:t>
      </w:r>
      <w:r w:rsidR="00A14061">
        <w:rPr>
          <w:rFonts w:ascii="Garamond" w:hAnsi="Garamond" w:cstheme="minorHAnsi"/>
          <w:sz w:val="24"/>
          <w:szCs w:val="24"/>
        </w:rPr>
        <w:t>in his</w:t>
      </w:r>
      <w:r w:rsidR="00C84B33" w:rsidRPr="00C84B33">
        <w:rPr>
          <w:rFonts w:ascii="Garamond" w:hAnsi="Garamond" w:cstheme="minorHAnsi"/>
          <w:sz w:val="24"/>
          <w:szCs w:val="24"/>
        </w:rPr>
        <w:t xml:space="preserve"> discuss</w:t>
      </w:r>
      <w:r w:rsidR="00A14061">
        <w:rPr>
          <w:rFonts w:ascii="Garamond" w:hAnsi="Garamond" w:cstheme="minorHAnsi"/>
          <w:sz w:val="24"/>
          <w:szCs w:val="24"/>
        </w:rPr>
        <w:t>ion</w:t>
      </w:r>
      <w:r w:rsidR="00081479">
        <w:rPr>
          <w:rFonts w:ascii="Garamond" w:hAnsi="Garamond" w:cstheme="minorHAnsi"/>
          <w:sz w:val="24"/>
          <w:szCs w:val="24"/>
        </w:rPr>
        <w:t>s</w:t>
      </w:r>
      <w:r w:rsidR="00406125" w:rsidRPr="00C84B33">
        <w:rPr>
          <w:rFonts w:ascii="Garamond" w:hAnsi="Garamond" w:cstheme="minorHAnsi"/>
          <w:sz w:val="24"/>
          <w:szCs w:val="24"/>
        </w:rPr>
        <w:t xml:space="preserve"> </w:t>
      </w:r>
      <w:r w:rsidR="00C84B33" w:rsidRPr="00C84B33">
        <w:rPr>
          <w:rFonts w:ascii="Garamond" w:hAnsi="Garamond" w:cstheme="minorHAnsi"/>
          <w:sz w:val="24"/>
          <w:szCs w:val="24"/>
        </w:rPr>
        <w:t>are</w:t>
      </w:r>
      <w:r w:rsidR="00081479">
        <w:rPr>
          <w:rFonts w:ascii="Garamond" w:hAnsi="Garamond" w:cstheme="minorHAnsi"/>
          <w:sz w:val="24"/>
          <w:szCs w:val="24"/>
        </w:rPr>
        <w:t xml:space="preserve"> examples of</w:t>
      </w:r>
      <w:r w:rsidR="00406125" w:rsidRPr="00C84B33">
        <w:rPr>
          <w:rFonts w:ascii="Garamond" w:hAnsi="Garamond" w:cstheme="minorHAnsi"/>
          <w:sz w:val="24"/>
          <w:szCs w:val="24"/>
        </w:rPr>
        <w:t xml:space="preserve"> communities that have succumbed to the powerful forces </w:t>
      </w:r>
      <w:r w:rsidR="00081479">
        <w:rPr>
          <w:rFonts w:ascii="Garamond" w:hAnsi="Garamond" w:cstheme="minorHAnsi"/>
          <w:sz w:val="24"/>
          <w:szCs w:val="24"/>
        </w:rPr>
        <w:t>generated by</w:t>
      </w:r>
      <w:r w:rsidR="00C84B33" w:rsidRPr="00C84B33">
        <w:rPr>
          <w:rFonts w:ascii="Garamond" w:hAnsi="Garamond" w:cstheme="minorHAnsi"/>
          <w:sz w:val="24"/>
          <w:szCs w:val="24"/>
        </w:rPr>
        <w:t xml:space="preserve"> the</w:t>
      </w:r>
      <w:r w:rsidR="00406125" w:rsidRPr="00C84B33">
        <w:rPr>
          <w:rFonts w:ascii="Garamond" w:hAnsi="Garamond" w:cstheme="minorHAnsi"/>
          <w:sz w:val="24"/>
          <w:szCs w:val="24"/>
        </w:rPr>
        <w:t xml:space="preserve"> liberal political order.</w:t>
      </w:r>
      <w:r w:rsidR="00C84B33" w:rsidRPr="00C84B33">
        <w:rPr>
          <w:rFonts w:ascii="Garamond" w:hAnsi="Garamond" w:cstheme="minorHAnsi"/>
          <w:sz w:val="24"/>
          <w:szCs w:val="24"/>
        </w:rPr>
        <w:t xml:space="preserve"> </w:t>
      </w:r>
      <w:r>
        <w:rPr>
          <w:rFonts w:ascii="Garamond" w:hAnsi="Garamond" w:cstheme="minorHAnsi"/>
          <w:sz w:val="24"/>
          <w:szCs w:val="24"/>
        </w:rPr>
        <w:t>W</w:t>
      </w:r>
      <w:r w:rsidR="00C84B33" w:rsidRPr="00C84B33">
        <w:rPr>
          <w:rFonts w:ascii="Garamond" w:hAnsi="Garamond" w:cstheme="minorHAnsi"/>
          <w:sz w:val="24"/>
          <w:szCs w:val="24"/>
        </w:rPr>
        <w:t xml:space="preserve">e are </w:t>
      </w:r>
      <w:r>
        <w:rPr>
          <w:rFonts w:ascii="Garamond" w:hAnsi="Garamond" w:cstheme="minorHAnsi"/>
          <w:sz w:val="24"/>
          <w:szCs w:val="24"/>
        </w:rPr>
        <w:t xml:space="preserve">then </w:t>
      </w:r>
      <w:r w:rsidR="00081479">
        <w:rPr>
          <w:rFonts w:ascii="Garamond" w:hAnsi="Garamond" w:cstheme="minorHAnsi"/>
          <w:sz w:val="24"/>
          <w:szCs w:val="24"/>
        </w:rPr>
        <w:t xml:space="preserve">seemingly </w:t>
      </w:r>
      <w:r w:rsidR="00C84B33" w:rsidRPr="00C84B33">
        <w:rPr>
          <w:rFonts w:ascii="Garamond" w:hAnsi="Garamond" w:cstheme="minorHAnsi"/>
          <w:sz w:val="24"/>
          <w:szCs w:val="24"/>
        </w:rPr>
        <w:t>left</w:t>
      </w:r>
      <w:r w:rsidR="00016049" w:rsidRPr="00C84B33">
        <w:rPr>
          <w:rFonts w:ascii="Garamond" w:hAnsi="Garamond" w:cstheme="minorHAnsi"/>
          <w:sz w:val="24"/>
          <w:szCs w:val="24"/>
        </w:rPr>
        <w:t xml:space="preserve"> with a local politics of the common good</w:t>
      </w:r>
      <w:r w:rsidR="00FE2105" w:rsidRPr="00C84B33">
        <w:rPr>
          <w:rFonts w:ascii="Garamond" w:hAnsi="Garamond" w:cstheme="minorHAnsi"/>
          <w:sz w:val="24"/>
          <w:szCs w:val="24"/>
        </w:rPr>
        <w:t>,</w:t>
      </w:r>
      <w:r w:rsidR="00016049" w:rsidRPr="00C84B33">
        <w:rPr>
          <w:rFonts w:ascii="Garamond" w:hAnsi="Garamond" w:cstheme="minorHAnsi"/>
          <w:sz w:val="24"/>
          <w:szCs w:val="24"/>
        </w:rPr>
        <w:t xml:space="preserve"> </w:t>
      </w:r>
      <w:r w:rsidR="00FE2105" w:rsidRPr="00C84B33">
        <w:rPr>
          <w:rFonts w:ascii="Garamond" w:hAnsi="Garamond" w:cstheme="minorHAnsi"/>
          <w:sz w:val="24"/>
          <w:szCs w:val="24"/>
        </w:rPr>
        <w:t>which</w:t>
      </w:r>
      <w:r w:rsidR="00016049" w:rsidRPr="00C84B33">
        <w:rPr>
          <w:rFonts w:ascii="Garamond" w:hAnsi="Garamond" w:cstheme="minorHAnsi"/>
          <w:sz w:val="24"/>
          <w:szCs w:val="24"/>
        </w:rPr>
        <w:t xml:space="preserve"> </w:t>
      </w:r>
      <w:r w:rsidR="00FE2105" w:rsidRPr="00C84B33">
        <w:rPr>
          <w:rFonts w:ascii="Garamond" w:hAnsi="Garamond" w:cstheme="minorHAnsi"/>
          <w:sz w:val="24"/>
          <w:szCs w:val="24"/>
        </w:rPr>
        <w:t xml:space="preserve">even when read charitably, </w:t>
      </w:r>
      <w:r w:rsidR="002032E3">
        <w:rPr>
          <w:rFonts w:ascii="Garamond" w:hAnsi="Garamond" w:cstheme="minorHAnsi"/>
          <w:sz w:val="24"/>
          <w:szCs w:val="24"/>
        </w:rPr>
        <w:t>doesn’t</w:t>
      </w:r>
      <w:r w:rsidR="009A060E">
        <w:rPr>
          <w:rFonts w:ascii="Garamond" w:hAnsi="Garamond" w:cstheme="minorHAnsi"/>
          <w:sz w:val="24"/>
          <w:szCs w:val="24"/>
        </w:rPr>
        <w:t xml:space="preserve"> ultimately </w:t>
      </w:r>
      <w:r w:rsidR="00FE2105" w:rsidRPr="00C84B33">
        <w:rPr>
          <w:rFonts w:ascii="Garamond" w:hAnsi="Garamond" w:cstheme="minorHAnsi"/>
          <w:sz w:val="24"/>
          <w:szCs w:val="24"/>
        </w:rPr>
        <w:t xml:space="preserve">possess the kind of </w:t>
      </w:r>
      <w:r w:rsidR="00016049" w:rsidRPr="00C84B33">
        <w:rPr>
          <w:rFonts w:ascii="Garamond" w:hAnsi="Garamond" w:cstheme="minorHAnsi"/>
          <w:sz w:val="24"/>
          <w:szCs w:val="24"/>
        </w:rPr>
        <w:t>content</w:t>
      </w:r>
      <w:r w:rsidR="00433B20" w:rsidRPr="00C84B33">
        <w:rPr>
          <w:rFonts w:ascii="Garamond" w:hAnsi="Garamond" w:cstheme="minorHAnsi"/>
          <w:sz w:val="24"/>
          <w:szCs w:val="24"/>
        </w:rPr>
        <w:t xml:space="preserve"> that would </w:t>
      </w:r>
      <w:r w:rsidR="00050DCE" w:rsidRPr="00C84B33">
        <w:rPr>
          <w:rFonts w:ascii="Garamond" w:hAnsi="Garamond" w:cstheme="minorHAnsi"/>
          <w:sz w:val="24"/>
          <w:szCs w:val="24"/>
        </w:rPr>
        <w:t>permit a</w:t>
      </w:r>
      <w:r w:rsidR="00FE2105" w:rsidRPr="00C84B33">
        <w:rPr>
          <w:rFonts w:ascii="Garamond" w:hAnsi="Garamond" w:cstheme="minorHAnsi"/>
          <w:sz w:val="24"/>
          <w:szCs w:val="24"/>
        </w:rPr>
        <w:t xml:space="preserve"> sustained defense</w:t>
      </w:r>
      <w:r w:rsidR="00433B20" w:rsidRPr="00C84B33">
        <w:rPr>
          <w:rFonts w:ascii="Garamond" w:hAnsi="Garamond" w:cstheme="minorHAnsi"/>
          <w:sz w:val="24"/>
          <w:szCs w:val="24"/>
        </w:rPr>
        <w:t xml:space="preserve"> against what MacIntyre </w:t>
      </w:r>
      <w:r w:rsidR="00FE2105" w:rsidRPr="00C84B33">
        <w:rPr>
          <w:rFonts w:ascii="Garamond" w:hAnsi="Garamond" w:cstheme="minorHAnsi"/>
          <w:sz w:val="24"/>
          <w:szCs w:val="24"/>
        </w:rPr>
        <w:t>describes</w:t>
      </w:r>
      <w:r w:rsidR="00433B20" w:rsidRPr="00C84B33">
        <w:rPr>
          <w:rFonts w:ascii="Garamond" w:hAnsi="Garamond" w:cstheme="minorHAnsi"/>
          <w:sz w:val="24"/>
          <w:szCs w:val="24"/>
        </w:rPr>
        <w:t xml:space="preserve"> as </w:t>
      </w:r>
      <w:r w:rsidR="00016049" w:rsidRPr="00C84B33">
        <w:rPr>
          <w:rFonts w:ascii="Garamond" w:hAnsi="Garamond" w:cstheme="minorHAnsi"/>
          <w:sz w:val="24"/>
          <w:szCs w:val="24"/>
        </w:rPr>
        <w:t>the</w:t>
      </w:r>
      <w:r w:rsidR="00433B20" w:rsidRPr="00C84B33">
        <w:rPr>
          <w:rFonts w:ascii="Garamond" w:hAnsi="Garamond" w:cstheme="minorHAnsi"/>
          <w:sz w:val="24"/>
          <w:szCs w:val="24"/>
        </w:rPr>
        <w:t xml:space="preserve"> morally problematic</w:t>
      </w:r>
      <w:r w:rsidR="00016049" w:rsidRPr="00C84B33">
        <w:rPr>
          <w:rFonts w:ascii="Garamond" w:hAnsi="Garamond" w:cstheme="minorHAnsi"/>
          <w:sz w:val="24"/>
          <w:szCs w:val="24"/>
        </w:rPr>
        <w:t xml:space="preserve"> consequences of large-scale politics and political structures.</w:t>
      </w:r>
      <w:r>
        <w:rPr>
          <w:rFonts w:ascii="Garamond" w:hAnsi="Garamond" w:cstheme="minorHAnsi"/>
          <w:sz w:val="24"/>
          <w:szCs w:val="24"/>
        </w:rPr>
        <w:t xml:space="preserve"> </w:t>
      </w:r>
      <w:r w:rsidR="00D73ADE">
        <w:rPr>
          <w:rFonts w:ascii="Garamond" w:hAnsi="Garamond" w:cstheme="minorHAnsi"/>
          <w:sz w:val="24"/>
          <w:szCs w:val="24"/>
        </w:rPr>
        <w:t xml:space="preserve">And, </w:t>
      </w:r>
      <w:r w:rsidR="00016049" w:rsidRPr="00C84B33">
        <w:rPr>
          <w:rFonts w:ascii="Garamond" w:hAnsi="Garamond" w:cstheme="minorHAnsi"/>
          <w:sz w:val="24"/>
          <w:szCs w:val="24"/>
        </w:rPr>
        <w:t xml:space="preserve">given the social and historical transformation of modern society, and its distance from the Aristotelian polis and the </w:t>
      </w:r>
      <w:r w:rsidR="00E36867" w:rsidRPr="00C84B33">
        <w:rPr>
          <w:rFonts w:ascii="Garamond" w:hAnsi="Garamond" w:cstheme="minorHAnsi"/>
          <w:sz w:val="24"/>
          <w:szCs w:val="24"/>
        </w:rPr>
        <w:t xml:space="preserve">kinds of </w:t>
      </w:r>
      <w:r w:rsidR="00016049" w:rsidRPr="00C84B33">
        <w:rPr>
          <w:rFonts w:ascii="Garamond" w:hAnsi="Garamond" w:cstheme="minorHAnsi"/>
          <w:sz w:val="24"/>
          <w:szCs w:val="24"/>
        </w:rPr>
        <w:t xml:space="preserve">medieval communities </w:t>
      </w:r>
      <w:r w:rsidR="00E36867" w:rsidRPr="00C84B33">
        <w:rPr>
          <w:rFonts w:ascii="Garamond" w:hAnsi="Garamond" w:cstheme="minorHAnsi"/>
          <w:sz w:val="24"/>
          <w:szCs w:val="24"/>
        </w:rPr>
        <w:t xml:space="preserve">to which </w:t>
      </w:r>
      <w:r w:rsidR="00016049" w:rsidRPr="00C84B33">
        <w:rPr>
          <w:rFonts w:ascii="Garamond" w:hAnsi="Garamond" w:cstheme="minorHAnsi"/>
          <w:sz w:val="24"/>
          <w:szCs w:val="24"/>
        </w:rPr>
        <w:t>Aquinas</w:t>
      </w:r>
      <w:r w:rsidR="00E36867" w:rsidRPr="00C84B33">
        <w:rPr>
          <w:rFonts w:ascii="Garamond" w:hAnsi="Garamond" w:cstheme="minorHAnsi"/>
          <w:sz w:val="24"/>
          <w:szCs w:val="24"/>
        </w:rPr>
        <w:t xml:space="preserve"> belonged</w:t>
      </w:r>
      <w:r w:rsidR="00016049" w:rsidRPr="00C84B33">
        <w:rPr>
          <w:rFonts w:ascii="Garamond" w:hAnsi="Garamond" w:cstheme="minorHAnsi"/>
          <w:sz w:val="24"/>
          <w:szCs w:val="24"/>
        </w:rPr>
        <w:t>, it is not clear that a Thomist politics can avoid the second tension identified in our discussion.</w:t>
      </w:r>
    </w:p>
    <w:p w:rsidR="00665157" w:rsidRDefault="00016049" w:rsidP="00D73ADE">
      <w:pPr>
        <w:spacing w:line="360" w:lineRule="auto"/>
        <w:ind w:firstLine="720"/>
        <w:jc w:val="both"/>
        <w:rPr>
          <w:rFonts w:ascii="Garamond" w:hAnsi="Garamond" w:cstheme="minorHAnsi"/>
          <w:sz w:val="24"/>
          <w:szCs w:val="24"/>
        </w:rPr>
      </w:pPr>
      <w:r w:rsidRPr="00C84B33">
        <w:rPr>
          <w:rFonts w:ascii="Garamond" w:hAnsi="Garamond" w:cstheme="minorHAnsi"/>
          <w:sz w:val="24"/>
          <w:szCs w:val="24"/>
        </w:rPr>
        <w:t xml:space="preserve">However, at this point, it would be highly premature to conclude that MacIntyre doesn’t </w:t>
      </w:r>
      <w:r w:rsidR="00433B20" w:rsidRPr="00C84B33">
        <w:rPr>
          <w:rFonts w:ascii="Garamond" w:hAnsi="Garamond" w:cstheme="minorHAnsi"/>
          <w:sz w:val="24"/>
          <w:szCs w:val="24"/>
        </w:rPr>
        <w:t xml:space="preserve">have </w:t>
      </w:r>
      <w:r w:rsidRPr="00C84B33">
        <w:rPr>
          <w:rFonts w:ascii="Garamond" w:hAnsi="Garamond" w:cstheme="minorHAnsi"/>
          <w:sz w:val="24"/>
          <w:szCs w:val="24"/>
        </w:rPr>
        <w:t xml:space="preserve">the resources to rebut my criticism. It may be that he has formulated </w:t>
      </w:r>
      <w:r w:rsidR="00F73C87">
        <w:rPr>
          <w:rFonts w:ascii="Garamond" w:hAnsi="Garamond" w:cstheme="minorHAnsi"/>
          <w:sz w:val="24"/>
          <w:szCs w:val="24"/>
        </w:rPr>
        <w:t xml:space="preserve">a form of </w:t>
      </w:r>
      <w:r w:rsidRPr="00C84B33">
        <w:rPr>
          <w:rFonts w:ascii="Garamond" w:hAnsi="Garamond" w:cstheme="minorHAnsi"/>
          <w:sz w:val="24"/>
          <w:szCs w:val="24"/>
        </w:rPr>
        <w:t>Thomis</w:t>
      </w:r>
      <w:r w:rsidR="00F73C87">
        <w:rPr>
          <w:rFonts w:ascii="Garamond" w:hAnsi="Garamond" w:cstheme="minorHAnsi"/>
          <w:sz w:val="24"/>
          <w:szCs w:val="24"/>
        </w:rPr>
        <w:t xml:space="preserve">tic politics </w:t>
      </w:r>
      <w:r w:rsidRPr="00C84B33">
        <w:rPr>
          <w:rFonts w:ascii="Garamond" w:hAnsi="Garamond" w:cstheme="minorHAnsi"/>
          <w:sz w:val="24"/>
          <w:szCs w:val="24"/>
        </w:rPr>
        <w:t xml:space="preserve">that </w:t>
      </w:r>
      <w:r w:rsidR="00F73C87">
        <w:rPr>
          <w:rFonts w:ascii="Garamond" w:hAnsi="Garamond" w:cstheme="minorHAnsi"/>
          <w:sz w:val="24"/>
          <w:szCs w:val="24"/>
        </w:rPr>
        <w:t>escapes</w:t>
      </w:r>
      <w:r w:rsidRPr="00C84B33">
        <w:rPr>
          <w:rFonts w:ascii="Garamond" w:hAnsi="Garamond" w:cstheme="minorHAnsi"/>
          <w:sz w:val="24"/>
          <w:szCs w:val="24"/>
        </w:rPr>
        <w:t xml:space="preserve"> my criticism. Thus, we need to inquire whether MacIntyre has augmented the standard Thomist account</w:t>
      </w:r>
      <w:r w:rsidR="00433B20" w:rsidRPr="00C84B33">
        <w:rPr>
          <w:rFonts w:ascii="Garamond" w:hAnsi="Garamond" w:cstheme="minorHAnsi"/>
          <w:sz w:val="24"/>
          <w:szCs w:val="24"/>
        </w:rPr>
        <w:t xml:space="preserve">, and </w:t>
      </w:r>
      <w:r w:rsidR="00F73C87">
        <w:rPr>
          <w:rFonts w:ascii="Garamond" w:hAnsi="Garamond" w:cstheme="minorHAnsi"/>
          <w:sz w:val="24"/>
          <w:szCs w:val="24"/>
        </w:rPr>
        <w:t xml:space="preserve">by </w:t>
      </w:r>
      <w:r w:rsidR="00E17486">
        <w:rPr>
          <w:rFonts w:ascii="Garamond" w:hAnsi="Garamond" w:cstheme="minorHAnsi"/>
          <w:sz w:val="24"/>
          <w:szCs w:val="24"/>
        </w:rPr>
        <w:t xml:space="preserve">so </w:t>
      </w:r>
      <w:r w:rsidR="00F73C87">
        <w:rPr>
          <w:rFonts w:ascii="Garamond" w:hAnsi="Garamond" w:cstheme="minorHAnsi"/>
          <w:sz w:val="24"/>
          <w:szCs w:val="24"/>
        </w:rPr>
        <w:t>doing</w:t>
      </w:r>
      <w:r w:rsidR="00977DF4">
        <w:rPr>
          <w:rFonts w:ascii="Garamond" w:hAnsi="Garamond" w:cstheme="minorHAnsi"/>
          <w:sz w:val="24"/>
          <w:szCs w:val="24"/>
        </w:rPr>
        <w:t>,</w:t>
      </w:r>
      <w:r w:rsidR="00F73C87">
        <w:rPr>
          <w:rFonts w:ascii="Garamond" w:hAnsi="Garamond" w:cstheme="minorHAnsi"/>
          <w:sz w:val="24"/>
          <w:szCs w:val="24"/>
        </w:rPr>
        <w:t xml:space="preserve"> </w:t>
      </w:r>
      <w:r w:rsidR="00E25466">
        <w:rPr>
          <w:rFonts w:ascii="Garamond" w:hAnsi="Garamond" w:cstheme="minorHAnsi"/>
          <w:sz w:val="24"/>
          <w:szCs w:val="24"/>
        </w:rPr>
        <w:t>has</w:t>
      </w:r>
      <w:r w:rsidR="00DB0BB0" w:rsidRPr="00C84B33">
        <w:rPr>
          <w:rFonts w:ascii="Garamond" w:hAnsi="Garamond" w:cstheme="minorHAnsi"/>
          <w:sz w:val="24"/>
          <w:szCs w:val="24"/>
        </w:rPr>
        <w:t xml:space="preserve"> </w:t>
      </w:r>
      <w:r w:rsidR="00E17486">
        <w:rPr>
          <w:rFonts w:ascii="Garamond" w:hAnsi="Garamond" w:cstheme="minorHAnsi"/>
          <w:sz w:val="24"/>
          <w:szCs w:val="24"/>
        </w:rPr>
        <w:t xml:space="preserve">found </w:t>
      </w:r>
      <w:r w:rsidR="00977DF4">
        <w:rPr>
          <w:rFonts w:ascii="Garamond" w:hAnsi="Garamond" w:cstheme="minorHAnsi"/>
          <w:sz w:val="24"/>
          <w:szCs w:val="24"/>
        </w:rPr>
        <w:t>the resource</w:t>
      </w:r>
      <w:r w:rsidR="00AF16FB">
        <w:rPr>
          <w:rFonts w:ascii="Garamond" w:hAnsi="Garamond" w:cstheme="minorHAnsi"/>
          <w:sz w:val="24"/>
          <w:szCs w:val="24"/>
        </w:rPr>
        <w:t>s</w:t>
      </w:r>
      <w:r w:rsidR="00DB0BB0" w:rsidRPr="00C84B33">
        <w:rPr>
          <w:rFonts w:ascii="Garamond" w:hAnsi="Garamond" w:cstheme="minorHAnsi"/>
          <w:sz w:val="24"/>
          <w:szCs w:val="24"/>
        </w:rPr>
        <w:t xml:space="preserve"> </w:t>
      </w:r>
      <w:r w:rsidR="00977DF4">
        <w:rPr>
          <w:rFonts w:ascii="Garamond" w:hAnsi="Garamond" w:cstheme="minorHAnsi"/>
          <w:sz w:val="24"/>
          <w:szCs w:val="24"/>
        </w:rPr>
        <w:t xml:space="preserve">that permit him </w:t>
      </w:r>
      <w:r w:rsidR="00DB0BB0" w:rsidRPr="00C84B33">
        <w:rPr>
          <w:rFonts w:ascii="Garamond" w:hAnsi="Garamond" w:cstheme="minorHAnsi"/>
          <w:sz w:val="24"/>
          <w:szCs w:val="24"/>
        </w:rPr>
        <w:t xml:space="preserve">to </w:t>
      </w:r>
      <w:r w:rsidR="00433B20" w:rsidRPr="00C84B33">
        <w:rPr>
          <w:rFonts w:ascii="Garamond" w:hAnsi="Garamond" w:cstheme="minorHAnsi"/>
          <w:sz w:val="24"/>
          <w:szCs w:val="24"/>
        </w:rPr>
        <w:t xml:space="preserve">disarm the second </w:t>
      </w:r>
      <w:r w:rsidRPr="00C84B33">
        <w:rPr>
          <w:rFonts w:ascii="Garamond" w:hAnsi="Garamond" w:cstheme="minorHAnsi"/>
          <w:sz w:val="24"/>
          <w:szCs w:val="24"/>
        </w:rPr>
        <w:t>tension</w:t>
      </w:r>
      <w:r w:rsidR="00977DF4">
        <w:rPr>
          <w:rFonts w:ascii="Garamond" w:hAnsi="Garamond" w:cstheme="minorHAnsi"/>
          <w:sz w:val="24"/>
          <w:szCs w:val="24"/>
        </w:rPr>
        <w:t xml:space="preserve"> generated </w:t>
      </w:r>
      <w:r w:rsidR="00F17898">
        <w:rPr>
          <w:rFonts w:ascii="Garamond" w:hAnsi="Garamond" w:cstheme="minorHAnsi"/>
          <w:sz w:val="24"/>
          <w:szCs w:val="24"/>
        </w:rPr>
        <w:t xml:space="preserve">under </w:t>
      </w:r>
      <w:r w:rsidR="00977DF4">
        <w:rPr>
          <w:rFonts w:ascii="Garamond" w:hAnsi="Garamond" w:cstheme="minorHAnsi"/>
          <w:sz w:val="24"/>
          <w:szCs w:val="24"/>
        </w:rPr>
        <w:t>his account</w:t>
      </w:r>
      <w:r w:rsidRPr="00C84B33">
        <w:rPr>
          <w:rFonts w:ascii="Garamond" w:hAnsi="Garamond" w:cstheme="minorHAnsi"/>
          <w:sz w:val="24"/>
          <w:szCs w:val="24"/>
        </w:rPr>
        <w:t>.</w:t>
      </w:r>
      <w:r w:rsidR="00D73ADE">
        <w:rPr>
          <w:rFonts w:ascii="Garamond" w:hAnsi="Garamond" w:cstheme="minorHAnsi"/>
          <w:sz w:val="24"/>
          <w:szCs w:val="24"/>
        </w:rPr>
        <w:t xml:space="preserve"> I</w:t>
      </w:r>
      <w:r w:rsidRPr="00461D74">
        <w:rPr>
          <w:rFonts w:ascii="Garamond" w:hAnsi="Garamond" w:cstheme="minorHAnsi"/>
          <w:sz w:val="24"/>
          <w:szCs w:val="24"/>
        </w:rPr>
        <w:t>n the next section</w:t>
      </w:r>
      <w:r w:rsidR="00E25466">
        <w:rPr>
          <w:rFonts w:ascii="Garamond" w:hAnsi="Garamond" w:cstheme="minorHAnsi"/>
          <w:sz w:val="24"/>
          <w:szCs w:val="24"/>
        </w:rPr>
        <w:t>,</w:t>
      </w:r>
      <w:r w:rsidRPr="00461D74">
        <w:rPr>
          <w:rFonts w:ascii="Garamond" w:hAnsi="Garamond" w:cstheme="minorHAnsi"/>
          <w:sz w:val="24"/>
          <w:szCs w:val="24"/>
        </w:rPr>
        <w:t xml:space="preserve"> I will examine whether MacIntyre</w:t>
      </w:r>
      <w:r w:rsidR="00E25466">
        <w:rPr>
          <w:rFonts w:ascii="Garamond" w:hAnsi="Garamond" w:cstheme="minorHAnsi"/>
          <w:sz w:val="24"/>
          <w:szCs w:val="24"/>
        </w:rPr>
        <w:t xml:space="preserve"> has augmented</w:t>
      </w:r>
      <w:r w:rsidRPr="00461D74">
        <w:rPr>
          <w:rFonts w:ascii="Garamond" w:hAnsi="Garamond" w:cstheme="minorHAnsi"/>
          <w:sz w:val="24"/>
          <w:szCs w:val="24"/>
        </w:rPr>
        <w:t xml:space="preserve"> Thomism in ways that successfully </w:t>
      </w:r>
      <w:r w:rsidR="00D63AA4" w:rsidRPr="00461D74">
        <w:rPr>
          <w:rFonts w:ascii="Garamond" w:hAnsi="Garamond" w:cstheme="minorHAnsi"/>
          <w:sz w:val="24"/>
          <w:szCs w:val="24"/>
        </w:rPr>
        <w:t>answers the above</w:t>
      </w:r>
      <w:r w:rsidRPr="00461D74">
        <w:rPr>
          <w:rFonts w:ascii="Garamond" w:hAnsi="Garamond" w:cstheme="minorHAnsi"/>
          <w:sz w:val="24"/>
          <w:szCs w:val="24"/>
        </w:rPr>
        <w:t xml:space="preserve"> criticism.</w:t>
      </w:r>
      <w:r w:rsidR="00E25466">
        <w:rPr>
          <w:rFonts w:ascii="Garamond" w:hAnsi="Garamond" w:cstheme="minorHAnsi"/>
          <w:sz w:val="24"/>
          <w:szCs w:val="24"/>
        </w:rPr>
        <w:t xml:space="preserve"> </w:t>
      </w:r>
      <w:r w:rsidR="00DA5A76">
        <w:rPr>
          <w:rFonts w:ascii="Garamond" w:hAnsi="Garamond" w:cstheme="minorHAnsi"/>
          <w:sz w:val="24"/>
          <w:szCs w:val="24"/>
        </w:rPr>
        <w:t>Only after</w:t>
      </w:r>
      <w:r w:rsidR="00D73ADE">
        <w:rPr>
          <w:rFonts w:ascii="Garamond" w:hAnsi="Garamond" w:cstheme="minorHAnsi"/>
          <w:sz w:val="24"/>
          <w:szCs w:val="24"/>
        </w:rPr>
        <w:t xml:space="preserve"> evaluating MacIntyre’s synthesis of Thomism with more modern views, </w:t>
      </w:r>
      <w:r w:rsidR="00E17486">
        <w:rPr>
          <w:rFonts w:ascii="Garamond" w:hAnsi="Garamond" w:cstheme="minorHAnsi"/>
          <w:sz w:val="24"/>
          <w:szCs w:val="24"/>
        </w:rPr>
        <w:t xml:space="preserve">will </w:t>
      </w:r>
      <w:r w:rsidR="00D73ADE">
        <w:rPr>
          <w:rFonts w:ascii="Garamond" w:hAnsi="Garamond" w:cstheme="minorHAnsi"/>
          <w:sz w:val="24"/>
          <w:szCs w:val="24"/>
        </w:rPr>
        <w:t xml:space="preserve">we </w:t>
      </w:r>
      <w:r w:rsidR="00DA5A76">
        <w:rPr>
          <w:rFonts w:ascii="Garamond" w:hAnsi="Garamond" w:cstheme="minorHAnsi"/>
          <w:sz w:val="24"/>
          <w:szCs w:val="24"/>
        </w:rPr>
        <w:t>arrive at a place</w:t>
      </w:r>
      <w:r w:rsidR="00D73ADE">
        <w:rPr>
          <w:rFonts w:ascii="Garamond" w:hAnsi="Garamond" w:cstheme="minorHAnsi"/>
          <w:sz w:val="24"/>
          <w:szCs w:val="24"/>
        </w:rPr>
        <w:t xml:space="preserve"> </w:t>
      </w:r>
      <w:r w:rsidR="00DA5A76">
        <w:rPr>
          <w:rFonts w:ascii="Garamond" w:hAnsi="Garamond" w:cstheme="minorHAnsi"/>
          <w:sz w:val="24"/>
          <w:szCs w:val="24"/>
        </w:rPr>
        <w:t>where we can</w:t>
      </w:r>
      <w:r w:rsidR="00D73ADE">
        <w:rPr>
          <w:rFonts w:ascii="Garamond" w:hAnsi="Garamond" w:cstheme="minorHAnsi"/>
          <w:sz w:val="24"/>
          <w:szCs w:val="24"/>
        </w:rPr>
        <w:t xml:space="preserve"> </w:t>
      </w:r>
      <w:r w:rsidR="00DA5A76">
        <w:rPr>
          <w:rFonts w:ascii="Garamond" w:hAnsi="Garamond" w:cstheme="minorHAnsi"/>
          <w:sz w:val="24"/>
          <w:szCs w:val="24"/>
        </w:rPr>
        <w:t>then put together</w:t>
      </w:r>
      <w:r w:rsidR="00D73ADE">
        <w:rPr>
          <w:rFonts w:ascii="Garamond" w:hAnsi="Garamond" w:cstheme="minorHAnsi"/>
          <w:sz w:val="24"/>
          <w:szCs w:val="24"/>
        </w:rPr>
        <w:t xml:space="preserve"> the </w:t>
      </w:r>
      <w:r w:rsidR="00DA5A76">
        <w:rPr>
          <w:rFonts w:ascii="Garamond" w:hAnsi="Garamond" w:cstheme="minorHAnsi"/>
          <w:sz w:val="24"/>
          <w:szCs w:val="24"/>
        </w:rPr>
        <w:t xml:space="preserve">core </w:t>
      </w:r>
      <w:r w:rsidR="00D73ADE">
        <w:rPr>
          <w:rFonts w:ascii="Garamond" w:hAnsi="Garamond" w:cstheme="minorHAnsi"/>
          <w:sz w:val="24"/>
          <w:szCs w:val="24"/>
        </w:rPr>
        <w:t xml:space="preserve">constitutive elements of </w:t>
      </w:r>
      <w:r w:rsidR="00DA5A76">
        <w:rPr>
          <w:rFonts w:ascii="Garamond" w:hAnsi="Garamond" w:cstheme="minorHAnsi"/>
          <w:sz w:val="24"/>
          <w:szCs w:val="24"/>
        </w:rPr>
        <w:t>his</w:t>
      </w:r>
      <w:r w:rsidR="00D73ADE">
        <w:rPr>
          <w:rFonts w:ascii="Garamond" w:hAnsi="Garamond" w:cstheme="minorHAnsi"/>
          <w:sz w:val="24"/>
          <w:szCs w:val="24"/>
        </w:rPr>
        <w:t xml:space="preserve"> politics. </w:t>
      </w:r>
      <w:r w:rsidR="00DA5A76">
        <w:rPr>
          <w:rFonts w:ascii="Garamond" w:hAnsi="Garamond" w:cstheme="minorHAnsi"/>
          <w:sz w:val="24"/>
          <w:szCs w:val="24"/>
        </w:rPr>
        <w:t>In</w:t>
      </w:r>
      <w:r w:rsidR="00DA5A76" w:rsidRPr="00461D74">
        <w:rPr>
          <w:rFonts w:ascii="Garamond" w:hAnsi="Garamond" w:cstheme="minorHAnsi"/>
          <w:sz w:val="24"/>
          <w:szCs w:val="24"/>
        </w:rPr>
        <w:t xml:space="preserve"> </w:t>
      </w:r>
      <w:r w:rsidRPr="00461D74">
        <w:rPr>
          <w:rFonts w:ascii="Garamond" w:hAnsi="Garamond" w:cstheme="minorHAnsi"/>
          <w:sz w:val="24"/>
          <w:szCs w:val="24"/>
        </w:rPr>
        <w:t xml:space="preserve">section 3, I will </w:t>
      </w:r>
      <w:r w:rsidR="00DA5A76">
        <w:rPr>
          <w:rFonts w:ascii="Garamond" w:hAnsi="Garamond" w:cstheme="minorHAnsi"/>
          <w:sz w:val="24"/>
          <w:szCs w:val="24"/>
        </w:rPr>
        <w:t>outline</w:t>
      </w:r>
      <w:r w:rsidR="00DA5A76" w:rsidRPr="00461D74">
        <w:rPr>
          <w:rFonts w:ascii="Garamond" w:hAnsi="Garamond" w:cstheme="minorHAnsi"/>
          <w:sz w:val="24"/>
          <w:szCs w:val="24"/>
        </w:rPr>
        <w:t xml:space="preserve"> </w:t>
      </w:r>
      <w:r w:rsidRPr="00461D74">
        <w:rPr>
          <w:rFonts w:ascii="Garamond" w:hAnsi="Garamond" w:cstheme="minorHAnsi"/>
          <w:sz w:val="24"/>
          <w:szCs w:val="24"/>
        </w:rPr>
        <w:t xml:space="preserve">the core elements of MacIntyre’s political philosophy </w:t>
      </w:r>
      <w:r w:rsidR="00D73ADE">
        <w:rPr>
          <w:rFonts w:ascii="Garamond" w:hAnsi="Garamond" w:cstheme="minorHAnsi"/>
          <w:sz w:val="24"/>
          <w:szCs w:val="24"/>
        </w:rPr>
        <w:t>to see</w:t>
      </w:r>
      <w:r w:rsidRPr="00461D74">
        <w:rPr>
          <w:rFonts w:ascii="Garamond" w:hAnsi="Garamond" w:cstheme="minorHAnsi"/>
          <w:sz w:val="24"/>
          <w:szCs w:val="24"/>
        </w:rPr>
        <w:t xml:space="preserve"> whether MacIntyre </w:t>
      </w:r>
      <w:r w:rsidR="00D73ADE">
        <w:rPr>
          <w:rFonts w:ascii="Garamond" w:hAnsi="Garamond" w:cstheme="minorHAnsi"/>
          <w:sz w:val="24"/>
          <w:szCs w:val="24"/>
        </w:rPr>
        <w:t>is able to advance</w:t>
      </w:r>
      <w:r w:rsidRPr="00461D74">
        <w:rPr>
          <w:rFonts w:ascii="Garamond" w:hAnsi="Garamond" w:cstheme="minorHAnsi"/>
          <w:sz w:val="24"/>
          <w:szCs w:val="24"/>
        </w:rPr>
        <w:t xml:space="preserve"> </w:t>
      </w:r>
      <w:r w:rsidR="00DA5A76">
        <w:rPr>
          <w:rFonts w:ascii="Garamond" w:hAnsi="Garamond" w:cstheme="minorHAnsi"/>
          <w:sz w:val="24"/>
          <w:szCs w:val="24"/>
        </w:rPr>
        <w:t>a</w:t>
      </w:r>
      <w:r w:rsidR="00DA5A76" w:rsidRPr="00461D74">
        <w:rPr>
          <w:rFonts w:ascii="Garamond" w:hAnsi="Garamond" w:cstheme="minorHAnsi"/>
          <w:sz w:val="24"/>
          <w:szCs w:val="24"/>
        </w:rPr>
        <w:t xml:space="preserve"> </w:t>
      </w:r>
      <w:r w:rsidRPr="00461D74">
        <w:rPr>
          <w:rFonts w:ascii="Garamond" w:hAnsi="Garamond" w:cstheme="minorHAnsi"/>
          <w:sz w:val="24"/>
          <w:szCs w:val="24"/>
        </w:rPr>
        <w:t xml:space="preserve">type of </w:t>
      </w:r>
      <w:r w:rsidR="00DA5A76">
        <w:rPr>
          <w:rFonts w:ascii="Garamond" w:hAnsi="Garamond" w:cstheme="minorHAnsi"/>
          <w:sz w:val="24"/>
          <w:szCs w:val="24"/>
        </w:rPr>
        <w:t>politics</w:t>
      </w:r>
      <w:r w:rsidRPr="00461D74">
        <w:rPr>
          <w:rFonts w:ascii="Garamond" w:hAnsi="Garamond" w:cstheme="minorHAnsi"/>
          <w:sz w:val="24"/>
          <w:szCs w:val="24"/>
        </w:rPr>
        <w:t xml:space="preserve"> that can defend his </w:t>
      </w:r>
      <w:r w:rsidR="00DA5A76">
        <w:rPr>
          <w:rFonts w:ascii="Garamond" w:hAnsi="Garamond" w:cstheme="minorHAnsi"/>
          <w:sz w:val="24"/>
          <w:szCs w:val="24"/>
        </w:rPr>
        <w:t>conception</w:t>
      </w:r>
      <w:r w:rsidR="00DA5A76" w:rsidRPr="00461D74">
        <w:rPr>
          <w:rFonts w:ascii="Garamond" w:hAnsi="Garamond" w:cstheme="minorHAnsi"/>
          <w:sz w:val="24"/>
          <w:szCs w:val="24"/>
        </w:rPr>
        <w:t xml:space="preserve"> </w:t>
      </w:r>
      <w:r w:rsidRPr="00461D74">
        <w:rPr>
          <w:rFonts w:ascii="Garamond" w:hAnsi="Garamond" w:cstheme="minorHAnsi"/>
          <w:sz w:val="24"/>
          <w:szCs w:val="24"/>
        </w:rPr>
        <w:t xml:space="preserve">of local </w:t>
      </w:r>
      <w:r w:rsidR="00DA5A76">
        <w:rPr>
          <w:rFonts w:ascii="Garamond" w:hAnsi="Garamond" w:cstheme="minorHAnsi"/>
          <w:sz w:val="24"/>
          <w:szCs w:val="24"/>
        </w:rPr>
        <w:t xml:space="preserve">communal </w:t>
      </w:r>
      <w:r w:rsidRPr="00461D74">
        <w:rPr>
          <w:rFonts w:ascii="Garamond" w:hAnsi="Garamond" w:cstheme="minorHAnsi"/>
          <w:sz w:val="24"/>
          <w:szCs w:val="24"/>
        </w:rPr>
        <w:t>politics of the common good.</w:t>
      </w:r>
      <w:r w:rsidR="00D73ADE">
        <w:rPr>
          <w:rFonts w:ascii="Garamond" w:hAnsi="Garamond" w:cstheme="minorHAnsi"/>
          <w:sz w:val="24"/>
          <w:szCs w:val="24"/>
        </w:rPr>
        <w:t xml:space="preserve"> </w:t>
      </w:r>
      <w:r w:rsidRPr="00461D74">
        <w:rPr>
          <w:rFonts w:ascii="Garamond" w:hAnsi="Garamond" w:cstheme="minorHAnsi"/>
          <w:sz w:val="24"/>
          <w:szCs w:val="24"/>
        </w:rPr>
        <w:t xml:space="preserve">In section 4, I will </w:t>
      </w:r>
      <w:r w:rsidR="00DA5A76">
        <w:rPr>
          <w:rFonts w:ascii="Garamond" w:hAnsi="Garamond" w:cstheme="minorHAnsi"/>
          <w:sz w:val="24"/>
          <w:szCs w:val="24"/>
        </w:rPr>
        <w:t>first</w:t>
      </w:r>
      <w:r w:rsidRPr="00461D74">
        <w:rPr>
          <w:rFonts w:ascii="Garamond" w:hAnsi="Garamond" w:cstheme="minorHAnsi"/>
          <w:sz w:val="24"/>
          <w:szCs w:val="24"/>
        </w:rPr>
        <w:t xml:space="preserve"> consider whether MacIntyre’s criticism and the ultimate dismissal of large-scale politics </w:t>
      </w:r>
      <w:r w:rsidR="00B0175F">
        <w:rPr>
          <w:rFonts w:ascii="Garamond" w:hAnsi="Garamond" w:cstheme="minorHAnsi"/>
          <w:sz w:val="24"/>
          <w:szCs w:val="24"/>
        </w:rPr>
        <w:t>remains</w:t>
      </w:r>
      <w:r w:rsidR="00B0175F" w:rsidRPr="00461D74">
        <w:rPr>
          <w:rFonts w:ascii="Garamond" w:hAnsi="Garamond" w:cstheme="minorHAnsi"/>
          <w:sz w:val="24"/>
          <w:szCs w:val="24"/>
        </w:rPr>
        <w:t xml:space="preserve"> </w:t>
      </w:r>
      <w:r w:rsidRPr="00461D74">
        <w:rPr>
          <w:rFonts w:ascii="Garamond" w:hAnsi="Garamond" w:cstheme="minorHAnsi"/>
          <w:sz w:val="24"/>
          <w:szCs w:val="24"/>
        </w:rPr>
        <w:t>warranted</w:t>
      </w:r>
      <w:r w:rsidR="00B0175F">
        <w:rPr>
          <w:rFonts w:ascii="Garamond" w:hAnsi="Garamond" w:cstheme="minorHAnsi"/>
          <w:sz w:val="24"/>
          <w:szCs w:val="24"/>
        </w:rPr>
        <w:t>, and second, whether his account of politics as a form of practice is coherent</w:t>
      </w:r>
      <w:r w:rsidRPr="00461D74">
        <w:rPr>
          <w:rFonts w:ascii="Garamond" w:hAnsi="Garamond" w:cstheme="minorHAnsi"/>
          <w:sz w:val="24"/>
          <w:szCs w:val="24"/>
        </w:rPr>
        <w:t xml:space="preserve">. I will </w:t>
      </w:r>
      <w:r w:rsidR="00B0175F">
        <w:rPr>
          <w:rFonts w:ascii="Garamond" w:hAnsi="Garamond" w:cstheme="minorHAnsi"/>
          <w:sz w:val="24"/>
          <w:szCs w:val="24"/>
        </w:rPr>
        <w:t xml:space="preserve">go on to </w:t>
      </w:r>
      <w:r w:rsidRPr="00461D74">
        <w:rPr>
          <w:rFonts w:ascii="Garamond" w:hAnsi="Garamond" w:cstheme="minorHAnsi"/>
          <w:sz w:val="24"/>
          <w:szCs w:val="24"/>
        </w:rPr>
        <w:lastRenderedPageBreak/>
        <w:t xml:space="preserve">suggest that we can only make sense of MacIntyre’s account of local politics if he supplements his account with a </w:t>
      </w:r>
      <w:r w:rsidR="00D63AA4" w:rsidRPr="00461D74">
        <w:rPr>
          <w:rFonts w:ascii="Garamond" w:hAnsi="Garamond" w:cstheme="minorHAnsi"/>
          <w:sz w:val="24"/>
          <w:szCs w:val="24"/>
        </w:rPr>
        <w:t xml:space="preserve">kind of </w:t>
      </w:r>
      <w:r w:rsidRPr="00461D74">
        <w:rPr>
          <w:rFonts w:ascii="Garamond" w:hAnsi="Garamond" w:cstheme="minorHAnsi"/>
          <w:sz w:val="24"/>
          <w:szCs w:val="24"/>
        </w:rPr>
        <w:t xml:space="preserve">politics that </w:t>
      </w:r>
      <w:r w:rsidR="00D63AA4" w:rsidRPr="00461D74">
        <w:rPr>
          <w:rFonts w:ascii="Garamond" w:hAnsi="Garamond" w:cstheme="minorHAnsi"/>
          <w:sz w:val="24"/>
          <w:szCs w:val="24"/>
        </w:rPr>
        <w:t xml:space="preserve">critically </w:t>
      </w:r>
      <w:r w:rsidRPr="00461D74">
        <w:rPr>
          <w:rFonts w:ascii="Garamond" w:hAnsi="Garamond" w:cstheme="minorHAnsi"/>
          <w:sz w:val="24"/>
          <w:szCs w:val="24"/>
        </w:rPr>
        <w:t>engages with large-scale</w:t>
      </w:r>
      <w:r w:rsidR="00D63AA4" w:rsidRPr="00461D74">
        <w:rPr>
          <w:rFonts w:ascii="Garamond" w:hAnsi="Garamond" w:cstheme="minorHAnsi"/>
          <w:sz w:val="24"/>
          <w:szCs w:val="24"/>
        </w:rPr>
        <w:t xml:space="preserve"> social and political institutions, for the sake of reforming (or correcting) them</w:t>
      </w:r>
      <w:r w:rsidRPr="00461D74">
        <w:rPr>
          <w:rFonts w:ascii="Garamond" w:hAnsi="Garamond" w:cstheme="minorHAnsi"/>
          <w:sz w:val="24"/>
          <w:szCs w:val="24"/>
        </w:rPr>
        <w:t>.</w:t>
      </w:r>
      <w:r w:rsidR="00D63AA4" w:rsidRPr="00461D74">
        <w:rPr>
          <w:rFonts w:ascii="Garamond" w:hAnsi="Garamond" w:cstheme="minorHAnsi"/>
          <w:sz w:val="24"/>
          <w:szCs w:val="24"/>
        </w:rPr>
        <w:t xml:space="preserve"> It will turn out that in order for MacIntyre to successfully escape my criticism and defend his politics of small-scale communities, he has to offer a positive politics that seriously engages contemporary large-scale politics.</w:t>
      </w:r>
    </w:p>
    <w:p w:rsidR="00665157" w:rsidRDefault="00665157">
      <w:pPr>
        <w:spacing w:line="360" w:lineRule="auto"/>
        <w:jc w:val="both"/>
        <w:rPr>
          <w:rFonts w:ascii="Garamond" w:hAnsi="Garamond" w:cstheme="majorHAnsi"/>
          <w:sz w:val="24"/>
          <w:szCs w:val="24"/>
        </w:rPr>
      </w:pPr>
    </w:p>
    <w:p w:rsidR="00665157" w:rsidRDefault="00BB6002" w:rsidP="0063165F">
      <w:pPr>
        <w:pStyle w:val="Heading2"/>
      </w:pPr>
      <w:bookmarkStart w:id="36" w:name="_Toc318424034"/>
      <w:bookmarkStart w:id="37" w:name="_Toc528077816"/>
      <w:r>
        <w:t xml:space="preserve">2. </w:t>
      </w:r>
      <w:r w:rsidR="00016049" w:rsidRPr="00F03436">
        <w:t>MacIntyre’s Revolutionary Thomism</w:t>
      </w:r>
      <w:bookmarkEnd w:id="36"/>
      <w:bookmarkEnd w:id="37"/>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this section I will </w:t>
      </w:r>
      <w:r w:rsidR="00585127">
        <w:rPr>
          <w:rFonts w:ascii="Garamond" w:hAnsi="Garamond" w:cstheme="minorHAnsi"/>
          <w:sz w:val="24"/>
          <w:szCs w:val="24"/>
        </w:rPr>
        <w:t>examine</w:t>
      </w:r>
      <w:r w:rsidR="00585127" w:rsidRPr="00461D74">
        <w:rPr>
          <w:rFonts w:ascii="Garamond" w:hAnsi="Garamond" w:cstheme="minorHAnsi"/>
          <w:sz w:val="24"/>
          <w:szCs w:val="24"/>
        </w:rPr>
        <w:t xml:space="preserve"> </w:t>
      </w:r>
      <w:r w:rsidRPr="00461D74">
        <w:rPr>
          <w:rFonts w:ascii="Garamond" w:hAnsi="Garamond" w:cstheme="minorHAnsi"/>
          <w:sz w:val="24"/>
          <w:szCs w:val="24"/>
        </w:rPr>
        <w:t xml:space="preserve">whether MacIntyre’s version of Aristotelian-Thomism has been </w:t>
      </w:r>
      <w:r w:rsidR="007701E4">
        <w:rPr>
          <w:rFonts w:ascii="Garamond" w:hAnsi="Garamond" w:cstheme="minorHAnsi"/>
          <w:sz w:val="24"/>
          <w:szCs w:val="24"/>
        </w:rPr>
        <w:t xml:space="preserve">augmented or </w:t>
      </w:r>
      <w:r w:rsidRPr="00461D74">
        <w:rPr>
          <w:rFonts w:ascii="Garamond" w:hAnsi="Garamond" w:cstheme="minorHAnsi"/>
          <w:sz w:val="24"/>
          <w:szCs w:val="24"/>
        </w:rPr>
        <w:t xml:space="preserve">developed in a way that deflects the tension </w:t>
      </w:r>
      <w:r w:rsidR="007701E4">
        <w:rPr>
          <w:rFonts w:ascii="Garamond" w:hAnsi="Garamond" w:cstheme="minorHAnsi"/>
          <w:sz w:val="24"/>
          <w:szCs w:val="24"/>
        </w:rPr>
        <w:t xml:space="preserve">(or difficulty) </w:t>
      </w:r>
      <w:r w:rsidRPr="00461D74">
        <w:rPr>
          <w:rFonts w:ascii="Garamond" w:hAnsi="Garamond" w:cstheme="minorHAnsi"/>
          <w:sz w:val="24"/>
          <w:szCs w:val="24"/>
        </w:rPr>
        <w:t>outlined in the introduction</w:t>
      </w:r>
      <w:r w:rsidR="007701E4">
        <w:rPr>
          <w:rFonts w:ascii="Garamond" w:hAnsi="Garamond" w:cstheme="minorHAnsi"/>
          <w:sz w:val="24"/>
          <w:szCs w:val="24"/>
        </w:rPr>
        <w:t xml:space="preserve"> to this chapter</w:t>
      </w:r>
      <w:r w:rsidRPr="00461D74">
        <w:rPr>
          <w:rFonts w:ascii="Garamond" w:hAnsi="Garamond" w:cstheme="minorHAnsi"/>
          <w:sz w:val="24"/>
          <w:szCs w:val="24"/>
        </w:rPr>
        <w:t xml:space="preserve">. We can express this tension in the following question: the problem for MacIntyre is </w:t>
      </w:r>
      <w:r w:rsidR="00AE1493" w:rsidRPr="00461D74">
        <w:rPr>
          <w:rFonts w:ascii="Garamond" w:hAnsi="Garamond" w:cstheme="minorHAnsi"/>
          <w:i/>
          <w:sz w:val="24"/>
          <w:szCs w:val="24"/>
        </w:rPr>
        <w:t>how do we go about formulating an alternative account of politics, one that is both sensitive to our socio-historical context and at the same time is Thomistic and Aristotelian in some meaningful sense?</w:t>
      </w:r>
      <w:r w:rsidRPr="00461D74">
        <w:rPr>
          <w:rFonts w:ascii="Garamond" w:hAnsi="Garamond" w:cstheme="minorHAnsi"/>
          <w:sz w:val="24"/>
          <w:szCs w:val="24"/>
        </w:rPr>
        <w:t xml:space="preserve"> Such an account could then </w:t>
      </w:r>
      <w:r w:rsidR="00A902A9">
        <w:rPr>
          <w:rFonts w:ascii="Garamond" w:hAnsi="Garamond" w:cstheme="minorHAnsi"/>
          <w:sz w:val="24"/>
          <w:szCs w:val="24"/>
        </w:rPr>
        <w:t xml:space="preserve">potentially, </w:t>
      </w:r>
      <w:r w:rsidRPr="00461D74">
        <w:rPr>
          <w:rFonts w:ascii="Garamond" w:hAnsi="Garamond" w:cstheme="minorHAnsi"/>
          <w:sz w:val="24"/>
          <w:szCs w:val="24"/>
        </w:rPr>
        <w:t xml:space="preserve">not only deflect the worry that his historicism should rule out Thomistic political philosophy, but also show how he can provide a meaningful alternative to contemporary accounts in liberal political philosophy, parallel to the way in which his </w:t>
      </w:r>
      <w:r w:rsidR="00A74539" w:rsidRPr="00461D74">
        <w:rPr>
          <w:rFonts w:ascii="Garamond" w:hAnsi="Garamond" w:cstheme="minorHAnsi"/>
          <w:sz w:val="24"/>
          <w:szCs w:val="24"/>
        </w:rPr>
        <w:t>positive ethical account – MacIntyre’s three-fold concept of the virtues: (</w:t>
      </w:r>
      <w:proofErr w:type="spellStart"/>
      <w:r w:rsidR="00A74539" w:rsidRPr="00461D74">
        <w:rPr>
          <w:rFonts w:ascii="Garamond" w:hAnsi="Garamond" w:cstheme="minorHAnsi"/>
          <w:sz w:val="24"/>
          <w:szCs w:val="24"/>
        </w:rPr>
        <w:t>i</w:t>
      </w:r>
      <w:proofErr w:type="spellEnd"/>
      <w:r w:rsidR="00A74539" w:rsidRPr="00461D74">
        <w:rPr>
          <w:rFonts w:ascii="Garamond" w:hAnsi="Garamond" w:cstheme="minorHAnsi"/>
          <w:sz w:val="24"/>
          <w:szCs w:val="24"/>
        </w:rPr>
        <w:t>) practice; (ii) narrative quest in the unity of a human life; and (iii) traditions – makes a genuine constructive attempt at</w:t>
      </w:r>
      <w:r w:rsidRPr="00461D74">
        <w:rPr>
          <w:rFonts w:ascii="Garamond" w:hAnsi="Garamond" w:cstheme="minorHAnsi"/>
          <w:sz w:val="24"/>
          <w:szCs w:val="24"/>
        </w:rPr>
        <w:t xml:space="preserve"> challeng</w:t>
      </w:r>
      <w:r w:rsidR="00A74539" w:rsidRPr="00461D74">
        <w:rPr>
          <w:rFonts w:ascii="Garamond" w:hAnsi="Garamond" w:cstheme="minorHAnsi"/>
          <w:sz w:val="24"/>
          <w:szCs w:val="24"/>
        </w:rPr>
        <w:t>ing</w:t>
      </w:r>
      <w:r w:rsidRPr="00461D74">
        <w:rPr>
          <w:rFonts w:ascii="Garamond" w:hAnsi="Garamond" w:cstheme="minorHAnsi"/>
          <w:sz w:val="24"/>
          <w:szCs w:val="24"/>
        </w:rPr>
        <w:t xml:space="preserve"> contemporary expressivism</w:t>
      </w:r>
      <w:r w:rsidR="00790C74">
        <w:rPr>
          <w:rFonts w:ascii="Garamond" w:hAnsi="Garamond" w:cstheme="minorHAnsi"/>
          <w:sz w:val="24"/>
          <w:szCs w:val="24"/>
        </w:rPr>
        <w:t>,</w:t>
      </w:r>
      <w:r w:rsidR="00790C74">
        <w:rPr>
          <w:rStyle w:val="FootnoteReference"/>
          <w:rFonts w:ascii="Garamond" w:hAnsi="Garamond" w:cstheme="minorHAnsi"/>
          <w:sz w:val="24"/>
          <w:szCs w:val="24"/>
        </w:rPr>
        <w:footnoteReference w:id="292"/>
      </w:r>
      <w:r w:rsidRPr="00461D74">
        <w:rPr>
          <w:rFonts w:ascii="Garamond" w:hAnsi="Garamond" w:cstheme="minorHAnsi"/>
          <w:sz w:val="24"/>
          <w:szCs w:val="24"/>
        </w:rPr>
        <w:t xml:space="preserve"> and emotivism.</w:t>
      </w:r>
      <w:r w:rsidR="00961067" w:rsidRPr="00461D74">
        <w:rPr>
          <w:rStyle w:val="FootnoteReference"/>
          <w:rFonts w:ascii="Garamond" w:hAnsi="Garamond" w:cstheme="minorHAnsi"/>
          <w:sz w:val="24"/>
          <w:szCs w:val="24"/>
        </w:rPr>
        <w:footnoteReference w:id="293"/>
      </w:r>
      <w:r w:rsidRPr="00461D74">
        <w:rPr>
          <w:rFonts w:ascii="Garamond" w:hAnsi="Garamond" w:cstheme="minorHAnsi"/>
          <w:sz w:val="24"/>
          <w:szCs w:val="24"/>
        </w:rPr>
        <w:t xml:space="preserve"> We should therefore look to see if </w:t>
      </w:r>
      <w:r w:rsidRPr="00461D74">
        <w:rPr>
          <w:rFonts w:ascii="Garamond" w:hAnsi="Garamond" w:cstheme="minorHAnsi"/>
          <w:sz w:val="24"/>
          <w:szCs w:val="24"/>
        </w:rPr>
        <w:lastRenderedPageBreak/>
        <w:t xml:space="preserve">MacIntyre has augmented the Thomistic tradition with the type of resources that allows it to </w:t>
      </w:r>
      <w:r w:rsidR="009B7AAD" w:rsidRPr="00461D74">
        <w:rPr>
          <w:rFonts w:ascii="Garamond" w:hAnsi="Garamond" w:cstheme="minorHAnsi"/>
          <w:sz w:val="24"/>
          <w:szCs w:val="24"/>
        </w:rPr>
        <w:t xml:space="preserve">deflect the concerns I have outlined, while simultaneously offering </w:t>
      </w:r>
      <w:r w:rsidRPr="00461D74">
        <w:rPr>
          <w:rFonts w:ascii="Garamond" w:hAnsi="Garamond" w:cstheme="minorHAnsi"/>
          <w:sz w:val="24"/>
          <w:szCs w:val="24"/>
        </w:rPr>
        <w:t xml:space="preserve">a rival alternative politics to that of </w:t>
      </w:r>
      <w:r w:rsidR="009B7AAD" w:rsidRPr="00461D74">
        <w:rPr>
          <w:rFonts w:ascii="Garamond" w:hAnsi="Garamond" w:cstheme="minorHAnsi"/>
          <w:sz w:val="24"/>
          <w:szCs w:val="24"/>
        </w:rPr>
        <w:t xml:space="preserve">dominant </w:t>
      </w:r>
      <w:r w:rsidRPr="00461D74">
        <w:rPr>
          <w:rFonts w:ascii="Garamond" w:hAnsi="Garamond" w:cstheme="minorHAnsi"/>
          <w:sz w:val="24"/>
          <w:szCs w:val="24"/>
        </w:rPr>
        <w:t xml:space="preserve">liberal political philosophy, thus making </w:t>
      </w:r>
      <w:r w:rsidR="00574BAD" w:rsidRPr="00461D74">
        <w:rPr>
          <w:rFonts w:ascii="Garamond" w:hAnsi="Garamond" w:cstheme="minorHAnsi"/>
          <w:sz w:val="24"/>
          <w:szCs w:val="24"/>
        </w:rPr>
        <w:t>that earlier</w:t>
      </w:r>
      <w:r w:rsidRPr="00461D74">
        <w:rPr>
          <w:rFonts w:ascii="Garamond" w:hAnsi="Garamond" w:cstheme="minorHAnsi"/>
          <w:sz w:val="24"/>
          <w:szCs w:val="24"/>
        </w:rPr>
        <w:t xml:space="preserve"> tradition</w:t>
      </w:r>
      <w:r w:rsidR="009B7AAD" w:rsidRPr="00461D74">
        <w:rPr>
          <w:rFonts w:ascii="Garamond" w:hAnsi="Garamond" w:cstheme="minorHAnsi"/>
          <w:sz w:val="24"/>
          <w:szCs w:val="24"/>
        </w:rPr>
        <w:t xml:space="preserve"> </w:t>
      </w:r>
      <w:r w:rsidRPr="00461D74">
        <w:rPr>
          <w:rFonts w:ascii="Garamond" w:hAnsi="Garamond" w:cstheme="minorHAnsi"/>
          <w:sz w:val="24"/>
          <w:szCs w:val="24"/>
        </w:rPr>
        <w:t>relevant to our times.</w:t>
      </w:r>
      <w:r w:rsidR="00287EAD" w:rsidRPr="00461D74">
        <w:rPr>
          <w:rStyle w:val="FootnoteReference"/>
          <w:rFonts w:ascii="Garamond" w:hAnsi="Garamond" w:cstheme="minorHAnsi"/>
          <w:sz w:val="24"/>
          <w:szCs w:val="24"/>
        </w:rPr>
        <w:footnoteReference w:id="294"/>
      </w:r>
      <w:r w:rsidRPr="00461D74">
        <w:rPr>
          <w:rFonts w:ascii="Garamond" w:hAnsi="Garamond" w:cstheme="minorHAnsi"/>
          <w:sz w:val="24"/>
          <w:szCs w:val="24"/>
        </w:rPr>
        <w:t xml:space="preserve"> </w:t>
      </w:r>
      <w:r w:rsidR="00574BAD" w:rsidRPr="00461D74">
        <w:rPr>
          <w:rFonts w:ascii="Garamond" w:hAnsi="Garamond" w:cstheme="minorHAnsi"/>
          <w:sz w:val="24"/>
          <w:szCs w:val="24"/>
        </w:rPr>
        <w:t>I</w:t>
      </w:r>
      <w:r w:rsidRPr="00461D74">
        <w:rPr>
          <w:rFonts w:ascii="Garamond" w:hAnsi="Garamond" w:cstheme="minorHAnsi"/>
          <w:sz w:val="24"/>
          <w:szCs w:val="24"/>
        </w:rPr>
        <w:t xml:space="preserve"> will now </w:t>
      </w:r>
      <w:r w:rsidR="00574BAD" w:rsidRPr="00461D74">
        <w:rPr>
          <w:rFonts w:ascii="Garamond" w:hAnsi="Garamond" w:cstheme="minorHAnsi"/>
          <w:sz w:val="24"/>
          <w:szCs w:val="24"/>
        </w:rPr>
        <w:t>consider</w:t>
      </w:r>
      <w:r w:rsidRPr="00461D74">
        <w:rPr>
          <w:rFonts w:ascii="Garamond" w:hAnsi="Garamond" w:cstheme="minorHAnsi"/>
          <w:sz w:val="24"/>
          <w:szCs w:val="24"/>
        </w:rPr>
        <w:t xml:space="preserve"> </w:t>
      </w:r>
      <w:r w:rsidR="00574BAD" w:rsidRPr="00461D74">
        <w:rPr>
          <w:rFonts w:ascii="Garamond" w:hAnsi="Garamond" w:cstheme="minorHAnsi"/>
          <w:sz w:val="24"/>
          <w:szCs w:val="24"/>
        </w:rPr>
        <w:t>an interesting possibility</w:t>
      </w:r>
      <w:r w:rsidRPr="00461D74">
        <w:rPr>
          <w:rFonts w:ascii="Garamond" w:hAnsi="Garamond" w:cstheme="minorHAnsi"/>
          <w:sz w:val="24"/>
          <w:szCs w:val="24"/>
        </w:rPr>
        <w:t xml:space="preserve"> along these lines.</w:t>
      </w:r>
    </w:p>
    <w:p w:rsidR="00665157" w:rsidRDefault="00016049" w:rsidP="007152C3">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an </w:t>
      </w:r>
      <w:r w:rsidR="005B41E7">
        <w:rPr>
          <w:rFonts w:ascii="Garamond" w:hAnsi="Garamond" w:cstheme="minorHAnsi"/>
          <w:sz w:val="24"/>
          <w:szCs w:val="24"/>
        </w:rPr>
        <w:t>important</w:t>
      </w:r>
      <w:r w:rsidR="005B41E7" w:rsidRPr="00461D74">
        <w:rPr>
          <w:rFonts w:ascii="Garamond" w:hAnsi="Garamond" w:cstheme="minorHAnsi"/>
          <w:sz w:val="24"/>
          <w:szCs w:val="24"/>
        </w:rPr>
        <w:t xml:space="preserve"> </w:t>
      </w:r>
      <w:r w:rsidRPr="00461D74">
        <w:rPr>
          <w:rFonts w:ascii="Garamond" w:hAnsi="Garamond" w:cstheme="minorHAnsi"/>
          <w:sz w:val="24"/>
          <w:szCs w:val="24"/>
        </w:rPr>
        <w:t>paper</w:t>
      </w:r>
      <w:r w:rsidR="00E17486">
        <w:rPr>
          <w:rFonts w:ascii="Garamond" w:hAnsi="Garamond" w:cstheme="minorHAnsi"/>
          <w:sz w:val="24"/>
          <w:szCs w:val="24"/>
        </w:rPr>
        <w:t xml:space="preserve"> entitled</w:t>
      </w:r>
      <w:r w:rsidRPr="00461D74">
        <w:rPr>
          <w:rFonts w:ascii="Garamond" w:hAnsi="Garamond" w:cstheme="minorHAnsi"/>
          <w:sz w:val="24"/>
          <w:szCs w:val="24"/>
        </w:rPr>
        <w:t xml:space="preserve"> ‘Alasdair MacIntyre’s Revisionary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Pragmatism Opposed, Marxism Outmoded, Thomism Transformed</w:t>
      </w:r>
      <w:r w:rsidR="007152C3">
        <w:rPr>
          <w:rFonts w:ascii="Garamond" w:hAnsi="Garamond" w:cstheme="minorHAnsi"/>
          <w:sz w:val="24"/>
          <w:szCs w:val="24"/>
        </w:rPr>
        <w:t>,</w:t>
      </w:r>
      <w:r w:rsidRPr="00461D74">
        <w:rPr>
          <w:rFonts w:ascii="Garamond" w:hAnsi="Garamond" w:cstheme="minorHAnsi"/>
          <w:sz w:val="24"/>
          <w:szCs w:val="24"/>
        </w:rPr>
        <w:t xml:space="preserve">’ Kelvin Knight discusses how MacIntyre’s ‘Revisionary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w:t>
      </w:r>
      <w:r w:rsidR="002C2790" w:rsidRPr="00461D74">
        <w:rPr>
          <w:rFonts w:ascii="Garamond" w:hAnsi="Garamond" w:cstheme="minorHAnsi"/>
          <w:sz w:val="24"/>
          <w:szCs w:val="24"/>
        </w:rPr>
        <w:t xml:space="preserve">can be understood as </w:t>
      </w:r>
      <w:r w:rsidRPr="00461D74">
        <w:rPr>
          <w:rFonts w:ascii="Garamond" w:hAnsi="Garamond" w:cstheme="minorHAnsi"/>
          <w:sz w:val="24"/>
          <w:szCs w:val="24"/>
        </w:rPr>
        <w:t xml:space="preserve">a fusion of </w:t>
      </w:r>
      <w:r w:rsidR="002C2790" w:rsidRPr="00461D74">
        <w:rPr>
          <w:rFonts w:ascii="Garamond" w:hAnsi="Garamond" w:cstheme="minorHAnsi"/>
          <w:sz w:val="24"/>
          <w:szCs w:val="24"/>
        </w:rPr>
        <w:t xml:space="preserve">not only </w:t>
      </w:r>
      <w:r w:rsidRPr="00461D74">
        <w:rPr>
          <w:rFonts w:ascii="Garamond" w:hAnsi="Garamond" w:cstheme="minorHAnsi"/>
          <w:sz w:val="24"/>
          <w:szCs w:val="24"/>
        </w:rPr>
        <w:t>Aristotle and Aquinas</w:t>
      </w:r>
      <w:r w:rsidR="002C2790" w:rsidRPr="00461D74">
        <w:rPr>
          <w:rFonts w:ascii="Garamond" w:hAnsi="Garamond" w:cstheme="minorHAnsi"/>
          <w:sz w:val="24"/>
          <w:szCs w:val="24"/>
        </w:rPr>
        <w:t>, but also Marx</w:t>
      </w:r>
      <w:r w:rsidRPr="00461D74">
        <w:rPr>
          <w:rFonts w:ascii="Garamond" w:hAnsi="Garamond" w:cstheme="minorHAnsi"/>
          <w:sz w:val="24"/>
          <w:szCs w:val="24"/>
        </w:rPr>
        <w:t xml:space="preserve"> in a way that overcomes the limitation</w:t>
      </w:r>
      <w:r w:rsidR="002C2790" w:rsidRPr="00461D74">
        <w:rPr>
          <w:rFonts w:ascii="Garamond" w:hAnsi="Garamond" w:cstheme="minorHAnsi"/>
          <w:sz w:val="24"/>
          <w:szCs w:val="24"/>
        </w:rPr>
        <w:t>s of Aristotelian-Thomism</w:t>
      </w:r>
      <w:r w:rsidRPr="00461D74">
        <w:rPr>
          <w:rFonts w:ascii="Garamond" w:hAnsi="Garamond" w:cstheme="minorHAnsi"/>
          <w:sz w:val="24"/>
          <w:szCs w:val="24"/>
        </w:rPr>
        <w:t xml:space="preserve">. On Knight’s reading of MacIntyre, MacIntyre is able to address an important flaw in </w:t>
      </w:r>
      <w:r w:rsidR="002C2790" w:rsidRPr="00461D74">
        <w:rPr>
          <w:rFonts w:ascii="Garamond" w:hAnsi="Garamond" w:cstheme="minorHAnsi"/>
          <w:sz w:val="24"/>
          <w:szCs w:val="24"/>
        </w:rPr>
        <w:t>Aristotelian-</w:t>
      </w:r>
      <w:r w:rsidRPr="00461D74">
        <w:rPr>
          <w:rFonts w:ascii="Garamond" w:hAnsi="Garamond" w:cstheme="minorHAnsi"/>
          <w:sz w:val="24"/>
          <w:szCs w:val="24"/>
        </w:rPr>
        <w:t>Thomist</w:t>
      </w:r>
      <w:r w:rsidR="007152C3">
        <w:rPr>
          <w:rFonts w:ascii="Garamond" w:hAnsi="Garamond" w:cstheme="minorHAnsi"/>
          <w:sz w:val="24"/>
          <w:szCs w:val="24"/>
        </w:rPr>
        <w:t>ic</w:t>
      </w:r>
      <w:r w:rsidR="002C2790" w:rsidRPr="00461D74">
        <w:rPr>
          <w:rFonts w:ascii="Garamond" w:hAnsi="Garamond" w:cstheme="minorHAnsi"/>
          <w:sz w:val="24"/>
          <w:szCs w:val="24"/>
        </w:rPr>
        <w:t xml:space="preserve"> moral and political philosophy</w:t>
      </w:r>
      <w:r w:rsidRPr="00461D74">
        <w:rPr>
          <w:rFonts w:ascii="Garamond" w:hAnsi="Garamond" w:cstheme="minorHAnsi"/>
          <w:sz w:val="24"/>
          <w:szCs w:val="24"/>
        </w:rPr>
        <w:t>. On this view, the uncritical extension of teleology through the metaphor of the state as a biological organism</w:t>
      </w:r>
      <w:r w:rsidR="007152C3">
        <w:rPr>
          <w:rFonts w:ascii="Garamond" w:hAnsi="Garamond" w:cstheme="minorHAnsi"/>
          <w:sz w:val="24"/>
          <w:szCs w:val="24"/>
        </w:rPr>
        <w:t>,</w:t>
      </w:r>
      <w:r w:rsidRPr="00461D74">
        <w:rPr>
          <w:rFonts w:ascii="Garamond" w:hAnsi="Garamond" w:cstheme="minorHAnsi"/>
          <w:sz w:val="24"/>
          <w:szCs w:val="24"/>
        </w:rPr>
        <w:t xml:space="preserve"> and the sovereign as the head</w:t>
      </w:r>
      <w:r w:rsidR="00C41A23" w:rsidRPr="00461D74">
        <w:rPr>
          <w:rFonts w:ascii="Garamond" w:hAnsi="Garamond" w:cstheme="minorHAnsi"/>
          <w:sz w:val="24"/>
          <w:szCs w:val="24"/>
        </w:rPr>
        <w:t>,</w:t>
      </w:r>
      <w:r w:rsidRPr="00461D74">
        <w:rPr>
          <w:rFonts w:ascii="Garamond" w:hAnsi="Garamond" w:cstheme="minorHAnsi"/>
          <w:sz w:val="24"/>
          <w:szCs w:val="24"/>
        </w:rPr>
        <w:t xml:space="preserve"> is a problem for </w:t>
      </w:r>
      <w:r w:rsidR="002C2790" w:rsidRPr="00461D74">
        <w:rPr>
          <w:rFonts w:ascii="Garamond" w:hAnsi="Garamond" w:cstheme="minorHAnsi"/>
          <w:sz w:val="24"/>
          <w:szCs w:val="24"/>
        </w:rPr>
        <w:t xml:space="preserve">the </w:t>
      </w:r>
      <w:r w:rsidRPr="00461D74">
        <w:rPr>
          <w:rFonts w:ascii="Garamond" w:hAnsi="Garamond" w:cstheme="minorHAnsi"/>
          <w:sz w:val="24"/>
          <w:szCs w:val="24"/>
        </w:rPr>
        <w:t xml:space="preserve">Thomistic tradition. </w:t>
      </w:r>
      <w:r w:rsidR="002C2790" w:rsidRPr="00461D74">
        <w:rPr>
          <w:rFonts w:ascii="Garamond" w:hAnsi="Garamond" w:cstheme="minorHAnsi"/>
          <w:sz w:val="24"/>
          <w:szCs w:val="24"/>
        </w:rPr>
        <w:t>If we understand</w:t>
      </w:r>
      <w:r w:rsidRPr="00461D74">
        <w:rPr>
          <w:rFonts w:ascii="Garamond" w:hAnsi="Garamond" w:cstheme="minorHAnsi"/>
          <w:sz w:val="24"/>
          <w:szCs w:val="24"/>
        </w:rPr>
        <w:t xml:space="preserve"> the state and the sovereign </w:t>
      </w:r>
      <w:r w:rsidR="002C2790" w:rsidRPr="00461D74">
        <w:rPr>
          <w:rFonts w:ascii="Garamond" w:hAnsi="Garamond" w:cstheme="minorHAnsi"/>
          <w:sz w:val="24"/>
          <w:szCs w:val="24"/>
        </w:rPr>
        <w:t xml:space="preserve">in </w:t>
      </w:r>
      <w:r w:rsidRPr="00461D74">
        <w:rPr>
          <w:rFonts w:ascii="Garamond" w:hAnsi="Garamond" w:cstheme="minorHAnsi"/>
          <w:sz w:val="24"/>
          <w:szCs w:val="24"/>
        </w:rPr>
        <w:t>this way</w:t>
      </w:r>
      <w:r w:rsidR="002C2790" w:rsidRPr="00461D74">
        <w:rPr>
          <w:rFonts w:ascii="Garamond" w:hAnsi="Garamond" w:cstheme="minorHAnsi"/>
          <w:sz w:val="24"/>
          <w:szCs w:val="24"/>
        </w:rPr>
        <w:t xml:space="preserve">, it seems to </w:t>
      </w:r>
      <w:r w:rsidRPr="00461D74">
        <w:rPr>
          <w:rFonts w:ascii="Garamond" w:hAnsi="Garamond" w:cstheme="minorHAnsi"/>
          <w:sz w:val="24"/>
          <w:szCs w:val="24"/>
        </w:rPr>
        <w:t>inoculate authority and social institutions from criticism. MacIntyre is able to overcome this problem by using a combination of Hegel and Marx</w:t>
      </w:r>
      <w:r w:rsidR="007152C3">
        <w:rPr>
          <w:rFonts w:ascii="Garamond" w:hAnsi="Garamond" w:cstheme="minorHAnsi"/>
          <w:sz w:val="24"/>
          <w:szCs w:val="24"/>
        </w:rPr>
        <w:t xml:space="preserve"> to advance a social critique; and MacIntyre’s appropriation of </w:t>
      </w:r>
      <w:r w:rsidRPr="00461D74">
        <w:rPr>
          <w:rFonts w:ascii="Garamond" w:hAnsi="Garamond" w:cstheme="minorHAnsi"/>
          <w:sz w:val="24"/>
          <w:szCs w:val="24"/>
        </w:rPr>
        <w:t xml:space="preserve">a Marxist </w:t>
      </w:r>
      <w:r w:rsidR="007152C3">
        <w:rPr>
          <w:rFonts w:ascii="Garamond" w:hAnsi="Garamond" w:cstheme="minorHAnsi"/>
          <w:sz w:val="24"/>
          <w:szCs w:val="24"/>
        </w:rPr>
        <w:t xml:space="preserve">inspired </w:t>
      </w:r>
      <w:r w:rsidRPr="00461D74">
        <w:rPr>
          <w:rFonts w:ascii="Garamond" w:hAnsi="Garamond" w:cstheme="minorHAnsi"/>
          <w:sz w:val="24"/>
          <w:szCs w:val="24"/>
        </w:rPr>
        <w:t xml:space="preserve">social critique, </w:t>
      </w:r>
      <w:r w:rsidR="007152C3">
        <w:rPr>
          <w:rFonts w:ascii="Garamond" w:hAnsi="Garamond" w:cstheme="minorHAnsi"/>
          <w:sz w:val="24"/>
          <w:szCs w:val="24"/>
        </w:rPr>
        <w:t>subjects</w:t>
      </w:r>
      <w:r w:rsidR="007152C3" w:rsidRPr="00461D74">
        <w:rPr>
          <w:rFonts w:ascii="Garamond" w:hAnsi="Garamond" w:cstheme="minorHAnsi"/>
          <w:sz w:val="24"/>
          <w:szCs w:val="24"/>
        </w:rPr>
        <w:t xml:space="preserve"> </w:t>
      </w:r>
      <w:r w:rsidR="007152C3">
        <w:rPr>
          <w:rFonts w:ascii="Garamond" w:hAnsi="Garamond" w:cstheme="minorHAnsi"/>
          <w:sz w:val="24"/>
          <w:szCs w:val="24"/>
        </w:rPr>
        <w:t xml:space="preserve">the entire social structure to a range of criticism including for example the relationship between the state and the sovereign. Now, </w:t>
      </w:r>
      <w:r w:rsidRPr="00461D74">
        <w:rPr>
          <w:rFonts w:ascii="Garamond" w:hAnsi="Garamond" w:cstheme="minorHAnsi"/>
          <w:sz w:val="24"/>
          <w:szCs w:val="24"/>
        </w:rPr>
        <w:t xml:space="preserve">on Knight’s </w:t>
      </w:r>
      <w:r w:rsidR="007152C3">
        <w:rPr>
          <w:rFonts w:ascii="Garamond" w:hAnsi="Garamond" w:cstheme="minorHAnsi"/>
          <w:sz w:val="24"/>
          <w:szCs w:val="24"/>
        </w:rPr>
        <w:t xml:space="preserve">view, this sort of criticism was missing from the work of </w:t>
      </w:r>
      <w:r w:rsidRPr="00461D74">
        <w:rPr>
          <w:rFonts w:ascii="Garamond" w:hAnsi="Garamond" w:cstheme="minorHAnsi"/>
          <w:sz w:val="24"/>
          <w:szCs w:val="24"/>
        </w:rPr>
        <w:t xml:space="preserve">Aristotle </w:t>
      </w:r>
      <w:r w:rsidR="007152C3">
        <w:rPr>
          <w:rFonts w:ascii="Garamond" w:hAnsi="Garamond" w:cstheme="minorHAnsi"/>
          <w:sz w:val="24"/>
          <w:szCs w:val="24"/>
        </w:rPr>
        <w:t>and</w:t>
      </w:r>
      <w:r w:rsidR="007152C3" w:rsidRPr="00461D74">
        <w:rPr>
          <w:rFonts w:ascii="Garamond" w:hAnsi="Garamond" w:cstheme="minorHAnsi"/>
          <w:sz w:val="24"/>
          <w:szCs w:val="24"/>
        </w:rPr>
        <w:t xml:space="preserve"> </w:t>
      </w:r>
      <w:r w:rsidRPr="00461D74">
        <w:rPr>
          <w:rFonts w:ascii="Garamond" w:hAnsi="Garamond" w:cstheme="minorHAnsi"/>
          <w:sz w:val="24"/>
          <w:szCs w:val="24"/>
        </w:rPr>
        <w:t>Aquinas.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Knight </w:t>
      </w:r>
      <w:r w:rsidR="00290994">
        <w:rPr>
          <w:rFonts w:ascii="Garamond" w:hAnsi="Garamond" w:cstheme="minorHAnsi"/>
          <w:sz w:val="24"/>
          <w:szCs w:val="24"/>
        </w:rPr>
        <w:t>expands on</w:t>
      </w:r>
      <w:r w:rsidR="00290994" w:rsidRPr="00461D74">
        <w:rPr>
          <w:rFonts w:ascii="Garamond" w:hAnsi="Garamond" w:cstheme="minorHAnsi"/>
          <w:sz w:val="24"/>
          <w:szCs w:val="24"/>
        </w:rPr>
        <w:t xml:space="preserve"> </w:t>
      </w:r>
      <w:r w:rsidRPr="00461D74">
        <w:rPr>
          <w:rFonts w:ascii="Garamond" w:hAnsi="Garamond" w:cstheme="minorHAnsi"/>
          <w:sz w:val="24"/>
          <w:szCs w:val="24"/>
        </w:rPr>
        <w:t xml:space="preserve">MacIntyre’s appropriation of Marx’s social critique </w:t>
      </w:r>
      <w:r w:rsidR="00494540">
        <w:rPr>
          <w:rFonts w:ascii="Garamond" w:hAnsi="Garamond" w:cstheme="minorHAnsi"/>
          <w:sz w:val="24"/>
          <w:szCs w:val="24"/>
        </w:rPr>
        <w:t>for the purpose of augmenting the</w:t>
      </w:r>
      <w:r w:rsidRPr="00461D74">
        <w:rPr>
          <w:rFonts w:ascii="Garamond" w:hAnsi="Garamond" w:cstheme="minorHAnsi"/>
          <w:sz w:val="24"/>
          <w:szCs w:val="24"/>
        </w:rPr>
        <w:t xml:space="preserve"> Aristotelian-Thomist</w:t>
      </w:r>
      <w:r w:rsidR="00494540">
        <w:rPr>
          <w:rFonts w:ascii="Garamond" w:hAnsi="Garamond" w:cstheme="minorHAnsi"/>
          <w:sz w:val="24"/>
          <w:szCs w:val="24"/>
        </w:rPr>
        <w:t>ic</w:t>
      </w:r>
      <w:r w:rsidRPr="00461D74">
        <w:rPr>
          <w:rFonts w:ascii="Garamond" w:hAnsi="Garamond" w:cstheme="minorHAnsi"/>
          <w:sz w:val="24"/>
          <w:szCs w:val="24"/>
        </w:rPr>
        <w:t xml:space="preserve"> framework</w:t>
      </w:r>
      <w:r w:rsidR="00494540">
        <w:rPr>
          <w:rFonts w:ascii="Garamond" w:hAnsi="Garamond" w:cstheme="minorHAnsi"/>
          <w:sz w:val="24"/>
          <w:szCs w:val="24"/>
        </w:rPr>
        <w:t>,</w:t>
      </w:r>
      <w:r w:rsidRPr="00461D74">
        <w:rPr>
          <w:rFonts w:ascii="Garamond" w:hAnsi="Garamond" w:cstheme="minorHAnsi"/>
          <w:sz w:val="24"/>
          <w:szCs w:val="24"/>
        </w:rPr>
        <w:t xml:space="preserve"> in the following </w:t>
      </w:r>
      <w:r w:rsidRPr="00461D74">
        <w:rPr>
          <w:rFonts w:ascii="Garamond" w:hAnsi="Garamond" w:cstheme="minorHAnsi"/>
          <w:sz w:val="24"/>
          <w:szCs w:val="24"/>
        </w:rPr>
        <w:lastRenderedPageBreak/>
        <w:t>way. MacIntyre, in following Marx, agrees with the notion that the historically contingent separation of civil society from the state and its institutions</w:t>
      </w:r>
      <w:r w:rsidR="00AE7C11" w:rsidRPr="00461D74">
        <w:rPr>
          <w:rFonts w:ascii="Garamond" w:hAnsi="Garamond" w:cstheme="minorHAnsi"/>
          <w:sz w:val="24"/>
          <w:szCs w:val="24"/>
        </w:rPr>
        <w:t>,</w:t>
      </w:r>
      <w:r w:rsidRPr="00461D74">
        <w:rPr>
          <w:rFonts w:ascii="Garamond" w:hAnsi="Garamond" w:cstheme="minorHAnsi"/>
          <w:sz w:val="24"/>
          <w:szCs w:val="24"/>
        </w:rPr>
        <w:t xml:space="preserve"> occasions the alienation of labour from its activity. Th</w:t>
      </w:r>
      <w:r w:rsidR="00CA2C58" w:rsidRPr="00461D74">
        <w:rPr>
          <w:rFonts w:ascii="Garamond" w:hAnsi="Garamond" w:cstheme="minorHAnsi"/>
          <w:sz w:val="24"/>
          <w:szCs w:val="24"/>
        </w:rPr>
        <w:t>is</w:t>
      </w:r>
      <w:r w:rsidRPr="00461D74">
        <w:rPr>
          <w:rFonts w:ascii="Garamond" w:hAnsi="Garamond" w:cstheme="minorHAnsi"/>
          <w:sz w:val="24"/>
          <w:szCs w:val="24"/>
        </w:rPr>
        <w:t xml:space="preserve"> bifurcation of the individual from the state</w:t>
      </w:r>
      <w:r w:rsidR="00AE7C11" w:rsidRPr="00461D74">
        <w:rPr>
          <w:rFonts w:ascii="Garamond" w:hAnsi="Garamond" w:cstheme="minorHAnsi"/>
          <w:sz w:val="24"/>
          <w:szCs w:val="24"/>
        </w:rPr>
        <w:t>,</w:t>
      </w:r>
      <w:r w:rsidRPr="00461D74">
        <w:rPr>
          <w:rFonts w:ascii="Garamond" w:hAnsi="Garamond" w:cstheme="minorHAnsi"/>
          <w:sz w:val="24"/>
          <w:szCs w:val="24"/>
        </w:rPr>
        <w:t xml:space="preserve"> </w:t>
      </w:r>
      <w:r w:rsidR="00AE7C11" w:rsidRPr="00461D74">
        <w:rPr>
          <w:rFonts w:ascii="Garamond" w:hAnsi="Garamond" w:cstheme="minorHAnsi"/>
          <w:sz w:val="24"/>
          <w:szCs w:val="24"/>
        </w:rPr>
        <w:t xml:space="preserve">along with the alienation of labour, </w:t>
      </w:r>
      <w:r w:rsidRPr="00461D74">
        <w:rPr>
          <w:rFonts w:ascii="Garamond" w:hAnsi="Garamond" w:cstheme="minorHAnsi"/>
          <w:sz w:val="24"/>
          <w:szCs w:val="24"/>
        </w:rPr>
        <w:t xml:space="preserve">is accompanied by a closer integration of the market with </w:t>
      </w:r>
      <w:r w:rsidR="00AE7C11" w:rsidRPr="00461D74">
        <w:rPr>
          <w:rFonts w:ascii="Garamond" w:hAnsi="Garamond" w:cstheme="minorHAnsi"/>
          <w:sz w:val="24"/>
          <w:szCs w:val="24"/>
        </w:rPr>
        <w:t xml:space="preserve">other institutions of the </w:t>
      </w:r>
      <w:r w:rsidRPr="00461D74">
        <w:rPr>
          <w:rFonts w:ascii="Garamond" w:hAnsi="Garamond" w:cstheme="minorHAnsi"/>
          <w:sz w:val="24"/>
          <w:szCs w:val="24"/>
        </w:rPr>
        <w:t>state. Knight’s final analysis of MacIntyre’s account is that the social, economic and political structure of society under the capitalist model of production and consumption undermines the common good. Why? Because common good</w:t>
      </w:r>
      <w:r w:rsidR="00C41A23" w:rsidRPr="00461D74">
        <w:rPr>
          <w:rFonts w:ascii="Garamond" w:hAnsi="Garamond" w:cstheme="minorHAnsi"/>
          <w:sz w:val="24"/>
          <w:szCs w:val="24"/>
        </w:rPr>
        <w:t>,</w:t>
      </w:r>
      <w:r w:rsidRPr="00461D74">
        <w:rPr>
          <w:rFonts w:ascii="Garamond" w:hAnsi="Garamond" w:cstheme="minorHAnsi"/>
          <w:sz w:val="24"/>
          <w:szCs w:val="24"/>
        </w:rPr>
        <w:t xml:space="preserve"> as </w:t>
      </w:r>
      <w:r w:rsidR="00574BAD" w:rsidRPr="00461D74">
        <w:rPr>
          <w:rFonts w:ascii="Garamond" w:hAnsi="Garamond" w:cstheme="minorHAnsi"/>
          <w:sz w:val="24"/>
          <w:szCs w:val="24"/>
        </w:rPr>
        <w:t>defined</w:t>
      </w:r>
      <w:r w:rsidRPr="00461D74">
        <w:rPr>
          <w:rFonts w:ascii="Garamond" w:hAnsi="Garamond" w:cstheme="minorHAnsi"/>
          <w:sz w:val="24"/>
          <w:szCs w:val="24"/>
        </w:rPr>
        <w:t xml:space="preserve"> by MacIntyre</w:t>
      </w:r>
      <w:r w:rsidR="00574BAD" w:rsidRPr="00461D74">
        <w:rPr>
          <w:rFonts w:ascii="Garamond" w:hAnsi="Garamond" w:cstheme="minorHAnsi"/>
          <w:sz w:val="24"/>
          <w:szCs w:val="24"/>
        </w:rPr>
        <w:t>,</w:t>
      </w:r>
      <w:r w:rsidRPr="00461D74">
        <w:rPr>
          <w:rFonts w:ascii="Garamond" w:hAnsi="Garamond" w:cstheme="minorHAnsi"/>
          <w:sz w:val="24"/>
          <w:szCs w:val="24"/>
        </w:rPr>
        <w:t xml:space="preserve"> can only be engendered within a framework </w:t>
      </w:r>
      <w:r w:rsidR="00574BAD" w:rsidRPr="00461D74">
        <w:rPr>
          <w:rFonts w:ascii="Garamond" w:hAnsi="Garamond" w:cstheme="minorHAnsi"/>
          <w:sz w:val="24"/>
          <w:szCs w:val="24"/>
        </w:rPr>
        <w:t>in which</w:t>
      </w:r>
      <w:r w:rsidRPr="00461D74">
        <w:rPr>
          <w:rFonts w:ascii="Garamond" w:hAnsi="Garamond" w:cstheme="minorHAnsi"/>
          <w:sz w:val="24"/>
          <w:szCs w:val="24"/>
        </w:rPr>
        <w:t xml:space="preserve"> human beings are habituated into the virtues through participation in </w:t>
      </w:r>
      <w:r w:rsidR="00574BAD" w:rsidRPr="00461D74">
        <w:rPr>
          <w:rFonts w:ascii="Garamond" w:hAnsi="Garamond" w:cstheme="minorHAnsi"/>
          <w:sz w:val="24"/>
          <w:szCs w:val="24"/>
        </w:rPr>
        <w:t xml:space="preserve">various </w:t>
      </w:r>
      <w:r w:rsidRPr="00461D74">
        <w:rPr>
          <w:rFonts w:ascii="Garamond" w:hAnsi="Garamond" w:cstheme="minorHAnsi"/>
          <w:sz w:val="24"/>
          <w:szCs w:val="24"/>
        </w:rPr>
        <w:t xml:space="preserve">social practices, and </w:t>
      </w:r>
      <w:r w:rsidR="00574BAD" w:rsidRPr="00461D74">
        <w:rPr>
          <w:rFonts w:ascii="Garamond" w:hAnsi="Garamond" w:cstheme="minorHAnsi"/>
          <w:sz w:val="24"/>
          <w:szCs w:val="24"/>
        </w:rPr>
        <w:t>each person has a genuine hand in the</w:t>
      </w:r>
      <w:r w:rsidRPr="00461D74">
        <w:rPr>
          <w:rFonts w:ascii="Garamond" w:hAnsi="Garamond" w:cstheme="minorHAnsi"/>
          <w:sz w:val="24"/>
          <w:szCs w:val="24"/>
        </w:rPr>
        <w:t xml:space="preserve"> </w:t>
      </w:r>
      <w:r w:rsidR="00574BAD" w:rsidRPr="00461D74">
        <w:rPr>
          <w:rFonts w:ascii="Garamond" w:hAnsi="Garamond" w:cstheme="minorHAnsi"/>
          <w:sz w:val="24"/>
          <w:szCs w:val="24"/>
        </w:rPr>
        <w:t xml:space="preserve">democratic </w:t>
      </w:r>
      <w:r w:rsidRPr="00461D74">
        <w:rPr>
          <w:rFonts w:ascii="Garamond" w:hAnsi="Garamond" w:cstheme="minorHAnsi"/>
          <w:sz w:val="24"/>
          <w:szCs w:val="24"/>
        </w:rPr>
        <w:t xml:space="preserve">ordering of the goods generated by </w:t>
      </w:r>
      <w:r w:rsidR="00574BAD" w:rsidRPr="00461D74">
        <w:rPr>
          <w:rFonts w:ascii="Garamond" w:hAnsi="Garamond" w:cstheme="minorHAnsi"/>
          <w:sz w:val="24"/>
          <w:szCs w:val="24"/>
        </w:rPr>
        <w:t>different</w:t>
      </w:r>
      <w:r w:rsidRPr="00461D74">
        <w:rPr>
          <w:rFonts w:ascii="Garamond" w:hAnsi="Garamond" w:cstheme="minorHAnsi"/>
          <w:sz w:val="24"/>
          <w:szCs w:val="24"/>
        </w:rPr>
        <w:t xml:space="preserve"> practices. </w:t>
      </w:r>
      <w:r w:rsidR="00574BAD" w:rsidRPr="00461D74">
        <w:rPr>
          <w:rFonts w:ascii="Garamond" w:hAnsi="Garamond" w:cstheme="minorHAnsi"/>
          <w:sz w:val="24"/>
          <w:szCs w:val="24"/>
        </w:rPr>
        <w:t>Here, t</w:t>
      </w:r>
      <w:r w:rsidRPr="00461D74">
        <w:rPr>
          <w:rFonts w:ascii="Garamond" w:hAnsi="Garamond" w:cstheme="minorHAnsi"/>
          <w:sz w:val="24"/>
          <w:szCs w:val="24"/>
        </w:rPr>
        <w:t xml:space="preserve">he ordering of the goods </w:t>
      </w:r>
      <w:r w:rsidR="00574BAD" w:rsidRPr="00461D74">
        <w:rPr>
          <w:rFonts w:ascii="Garamond" w:hAnsi="Garamond" w:cstheme="minorHAnsi"/>
          <w:sz w:val="24"/>
          <w:szCs w:val="24"/>
        </w:rPr>
        <w:t>generated by different</w:t>
      </w:r>
      <w:r w:rsidRPr="00461D74">
        <w:rPr>
          <w:rFonts w:ascii="Garamond" w:hAnsi="Garamond" w:cstheme="minorHAnsi"/>
          <w:sz w:val="24"/>
          <w:szCs w:val="24"/>
        </w:rPr>
        <w:t xml:space="preserve"> </w:t>
      </w:r>
      <w:r w:rsidR="003C2A55">
        <w:rPr>
          <w:rFonts w:ascii="Garamond" w:hAnsi="Garamond" w:cstheme="minorHAnsi"/>
          <w:sz w:val="24"/>
          <w:szCs w:val="24"/>
        </w:rPr>
        <w:t xml:space="preserve">(social) </w:t>
      </w:r>
      <w:r w:rsidRPr="00461D74">
        <w:rPr>
          <w:rFonts w:ascii="Garamond" w:hAnsi="Garamond" w:cstheme="minorHAnsi"/>
          <w:sz w:val="24"/>
          <w:szCs w:val="24"/>
        </w:rPr>
        <w:t>practices is constitutive of a genuinely Aristotelian politics</w:t>
      </w:r>
      <w:r w:rsidR="002B32D6" w:rsidRPr="00461D74">
        <w:rPr>
          <w:rFonts w:ascii="Garamond" w:hAnsi="Garamond" w:cstheme="minorHAnsi"/>
          <w:sz w:val="24"/>
          <w:szCs w:val="24"/>
        </w:rPr>
        <w:t>.</w:t>
      </w:r>
      <w:r w:rsidR="00574BAD" w:rsidRPr="00461D74">
        <w:rPr>
          <w:rFonts w:ascii="Garamond" w:hAnsi="Garamond" w:cstheme="minorHAnsi"/>
          <w:sz w:val="24"/>
          <w:szCs w:val="24"/>
        </w:rPr>
        <w:t xml:space="preserve"> </w:t>
      </w:r>
      <w:r w:rsidR="002B32D6" w:rsidRPr="00461D74">
        <w:rPr>
          <w:rFonts w:ascii="Garamond" w:hAnsi="Garamond" w:cstheme="minorHAnsi"/>
          <w:sz w:val="24"/>
          <w:szCs w:val="24"/>
        </w:rPr>
        <w:t>Y</w:t>
      </w:r>
      <w:r w:rsidR="00574BAD" w:rsidRPr="00461D74">
        <w:rPr>
          <w:rFonts w:ascii="Garamond" w:hAnsi="Garamond" w:cstheme="minorHAnsi"/>
          <w:sz w:val="24"/>
          <w:szCs w:val="24"/>
        </w:rPr>
        <w:t xml:space="preserve">et ordering goods in this way remains </w:t>
      </w:r>
      <w:r w:rsidRPr="00461D74">
        <w:rPr>
          <w:rFonts w:ascii="Garamond" w:hAnsi="Garamond" w:cstheme="minorHAnsi"/>
          <w:sz w:val="24"/>
          <w:szCs w:val="24"/>
        </w:rPr>
        <w:t>at odds with the capitalist model of consumption and production</w:t>
      </w:r>
      <w:r w:rsidR="00AE7C11" w:rsidRPr="00461D74">
        <w:rPr>
          <w:rFonts w:ascii="Garamond" w:hAnsi="Garamond" w:cstheme="minorHAnsi"/>
          <w:sz w:val="24"/>
          <w:szCs w:val="24"/>
        </w:rPr>
        <w:t xml:space="preserve"> in which </w:t>
      </w:r>
      <w:r w:rsidR="002B32D6" w:rsidRPr="00461D74">
        <w:rPr>
          <w:rFonts w:ascii="Garamond" w:hAnsi="Garamond" w:cstheme="minorHAnsi"/>
          <w:sz w:val="24"/>
          <w:szCs w:val="24"/>
        </w:rPr>
        <w:t>the</w:t>
      </w:r>
      <w:r w:rsidR="00574BAD" w:rsidRPr="00461D74">
        <w:rPr>
          <w:rFonts w:ascii="Garamond" w:hAnsi="Garamond" w:cstheme="minorHAnsi"/>
          <w:sz w:val="24"/>
          <w:szCs w:val="24"/>
        </w:rPr>
        <w:t xml:space="preserve"> market is essentially tasked with ordering </w:t>
      </w:r>
      <w:r w:rsidR="003C2A55">
        <w:rPr>
          <w:rFonts w:ascii="Garamond" w:hAnsi="Garamond" w:cstheme="minorHAnsi"/>
          <w:sz w:val="24"/>
          <w:szCs w:val="24"/>
        </w:rPr>
        <w:t xml:space="preserve">a range </w:t>
      </w:r>
      <w:r w:rsidR="00574BAD" w:rsidRPr="00461D74">
        <w:rPr>
          <w:rFonts w:ascii="Garamond" w:hAnsi="Garamond" w:cstheme="minorHAnsi"/>
          <w:sz w:val="24"/>
          <w:szCs w:val="24"/>
        </w:rPr>
        <w:t>of goods</w:t>
      </w:r>
      <w:r w:rsidR="003C2A55">
        <w:rPr>
          <w:rFonts w:ascii="Garamond" w:hAnsi="Garamond" w:cstheme="minorHAnsi"/>
          <w:sz w:val="24"/>
          <w:szCs w:val="24"/>
        </w:rPr>
        <w:t>, including many of the goods that are a derived when undertaking some social practice</w:t>
      </w:r>
      <w:r w:rsidR="003307AD">
        <w:rPr>
          <w:rFonts w:ascii="Garamond" w:hAnsi="Garamond" w:cstheme="minorHAnsi"/>
          <w:sz w:val="24"/>
          <w:szCs w:val="24"/>
        </w:rPr>
        <w:t xml:space="preserve"> or other</w:t>
      </w:r>
      <w:r w:rsidR="00574BAD" w:rsidRPr="00461D74">
        <w:rPr>
          <w:rFonts w:ascii="Garamond" w:hAnsi="Garamond" w:cstheme="minorHAnsi"/>
          <w:sz w:val="24"/>
          <w:szCs w:val="24"/>
        </w:rPr>
        <w:t>. Of course</w:t>
      </w:r>
      <w:r w:rsidR="003307AD">
        <w:rPr>
          <w:rFonts w:ascii="Garamond" w:hAnsi="Garamond" w:cstheme="minorHAnsi"/>
          <w:sz w:val="24"/>
          <w:szCs w:val="24"/>
        </w:rPr>
        <w:t>,</w:t>
      </w:r>
      <w:r w:rsidR="00574BAD" w:rsidRPr="00461D74">
        <w:rPr>
          <w:rFonts w:ascii="Garamond" w:hAnsi="Garamond" w:cstheme="minorHAnsi"/>
          <w:sz w:val="24"/>
          <w:szCs w:val="24"/>
        </w:rPr>
        <w:t xml:space="preserve"> the market does not order </w:t>
      </w:r>
      <w:r w:rsidR="003C2A55">
        <w:rPr>
          <w:rFonts w:ascii="Garamond" w:hAnsi="Garamond" w:cstheme="minorHAnsi"/>
          <w:sz w:val="24"/>
          <w:szCs w:val="24"/>
        </w:rPr>
        <w:t>those</w:t>
      </w:r>
      <w:r w:rsidR="003C2A55" w:rsidRPr="00461D74">
        <w:rPr>
          <w:rFonts w:ascii="Garamond" w:hAnsi="Garamond" w:cstheme="minorHAnsi"/>
          <w:sz w:val="24"/>
          <w:szCs w:val="24"/>
        </w:rPr>
        <w:t xml:space="preserve"> </w:t>
      </w:r>
      <w:r w:rsidR="00574BAD" w:rsidRPr="00461D74">
        <w:rPr>
          <w:rFonts w:ascii="Garamond" w:hAnsi="Garamond" w:cstheme="minorHAnsi"/>
          <w:sz w:val="24"/>
          <w:szCs w:val="24"/>
        </w:rPr>
        <w:t xml:space="preserve">goods through </w:t>
      </w:r>
      <w:r w:rsidR="003C2A55">
        <w:rPr>
          <w:rFonts w:ascii="Garamond" w:hAnsi="Garamond" w:cstheme="minorHAnsi"/>
          <w:sz w:val="24"/>
          <w:szCs w:val="24"/>
        </w:rPr>
        <w:t>a process of</w:t>
      </w:r>
      <w:r w:rsidR="00574BAD" w:rsidRPr="00461D74">
        <w:rPr>
          <w:rFonts w:ascii="Garamond" w:hAnsi="Garamond" w:cstheme="minorHAnsi"/>
          <w:sz w:val="24"/>
          <w:szCs w:val="24"/>
        </w:rPr>
        <w:t xml:space="preserve"> sustained </w:t>
      </w:r>
      <w:r w:rsidR="000514C9" w:rsidRPr="00461D74">
        <w:rPr>
          <w:rFonts w:ascii="Garamond" w:hAnsi="Garamond" w:cstheme="minorHAnsi"/>
          <w:sz w:val="24"/>
          <w:szCs w:val="24"/>
        </w:rPr>
        <w:t>deliberation</w:t>
      </w:r>
      <w:r w:rsidR="00C41A23" w:rsidRPr="00461D74">
        <w:rPr>
          <w:rFonts w:ascii="Garamond" w:hAnsi="Garamond" w:cstheme="minorHAnsi"/>
          <w:sz w:val="24"/>
          <w:szCs w:val="24"/>
        </w:rPr>
        <w:t>,</w:t>
      </w:r>
      <w:r w:rsidR="000514C9" w:rsidRPr="00461D74">
        <w:rPr>
          <w:rFonts w:ascii="Garamond" w:hAnsi="Garamond" w:cstheme="minorHAnsi"/>
          <w:sz w:val="24"/>
          <w:szCs w:val="24"/>
        </w:rPr>
        <w:t xml:space="preserve"> </w:t>
      </w:r>
      <w:r w:rsidR="003C2A55">
        <w:rPr>
          <w:rFonts w:ascii="Garamond" w:hAnsi="Garamond" w:cstheme="minorHAnsi"/>
          <w:sz w:val="24"/>
          <w:szCs w:val="24"/>
        </w:rPr>
        <w:t xml:space="preserve">and </w:t>
      </w:r>
      <w:r w:rsidR="00056D9D" w:rsidRPr="00461D74">
        <w:rPr>
          <w:rFonts w:ascii="Garamond" w:hAnsi="Garamond" w:cstheme="minorHAnsi"/>
          <w:sz w:val="24"/>
          <w:szCs w:val="24"/>
        </w:rPr>
        <w:t xml:space="preserve">in the context of </w:t>
      </w:r>
      <w:r w:rsidR="000514C9" w:rsidRPr="00461D74">
        <w:rPr>
          <w:rFonts w:ascii="Garamond" w:hAnsi="Garamond" w:cstheme="minorHAnsi"/>
          <w:sz w:val="24"/>
          <w:szCs w:val="24"/>
        </w:rPr>
        <w:t xml:space="preserve">democratic </w:t>
      </w:r>
      <w:r w:rsidR="00056D9D" w:rsidRPr="00461D74">
        <w:rPr>
          <w:rFonts w:ascii="Garamond" w:hAnsi="Garamond" w:cstheme="minorHAnsi"/>
          <w:sz w:val="24"/>
          <w:szCs w:val="24"/>
        </w:rPr>
        <w:t>form</w:t>
      </w:r>
      <w:r w:rsidR="003C2A55">
        <w:rPr>
          <w:rFonts w:ascii="Garamond" w:hAnsi="Garamond" w:cstheme="minorHAnsi"/>
          <w:sz w:val="24"/>
          <w:szCs w:val="24"/>
        </w:rPr>
        <w:t>s</w:t>
      </w:r>
      <w:r w:rsidR="00056D9D" w:rsidRPr="00461D74">
        <w:rPr>
          <w:rFonts w:ascii="Garamond" w:hAnsi="Garamond" w:cstheme="minorHAnsi"/>
          <w:sz w:val="24"/>
          <w:szCs w:val="24"/>
        </w:rPr>
        <w:t xml:space="preserve"> of </w:t>
      </w:r>
      <w:r w:rsidR="00574BAD" w:rsidRPr="00461D74">
        <w:rPr>
          <w:rFonts w:ascii="Garamond" w:hAnsi="Garamond" w:cstheme="minorHAnsi"/>
          <w:sz w:val="24"/>
          <w:szCs w:val="24"/>
        </w:rPr>
        <w:t>inquiry</w:t>
      </w:r>
      <w:r w:rsidR="00C41A23" w:rsidRPr="00461D74">
        <w:rPr>
          <w:rFonts w:ascii="Garamond" w:hAnsi="Garamond" w:cstheme="minorHAnsi"/>
          <w:sz w:val="24"/>
          <w:szCs w:val="24"/>
        </w:rPr>
        <w:t xml:space="preserve">; </w:t>
      </w:r>
      <w:r w:rsidR="003C2A55">
        <w:rPr>
          <w:rFonts w:ascii="Garamond" w:hAnsi="Garamond" w:cstheme="minorHAnsi"/>
          <w:sz w:val="24"/>
          <w:szCs w:val="24"/>
        </w:rPr>
        <w:t>instead,</w:t>
      </w:r>
      <w:r w:rsidR="003C2A55" w:rsidRPr="00461D74">
        <w:rPr>
          <w:rFonts w:ascii="Garamond" w:hAnsi="Garamond" w:cstheme="minorHAnsi"/>
          <w:sz w:val="24"/>
          <w:szCs w:val="24"/>
        </w:rPr>
        <w:t xml:space="preserve"> </w:t>
      </w:r>
      <w:r w:rsidR="000514C9" w:rsidRPr="00461D74">
        <w:rPr>
          <w:rFonts w:ascii="Garamond" w:hAnsi="Garamond" w:cstheme="minorHAnsi"/>
          <w:sz w:val="24"/>
          <w:szCs w:val="24"/>
        </w:rPr>
        <w:t xml:space="preserve">it takes </w:t>
      </w:r>
      <w:r w:rsidR="00056D9D" w:rsidRPr="00461D74">
        <w:rPr>
          <w:rFonts w:ascii="Garamond" w:hAnsi="Garamond" w:cstheme="minorHAnsi"/>
          <w:sz w:val="24"/>
          <w:szCs w:val="24"/>
        </w:rPr>
        <w:t xml:space="preserve">individual desires and preferences for </w:t>
      </w:r>
      <w:r w:rsidR="003C2A55">
        <w:rPr>
          <w:rFonts w:ascii="Garamond" w:hAnsi="Garamond" w:cstheme="minorHAnsi"/>
          <w:sz w:val="24"/>
          <w:szCs w:val="24"/>
        </w:rPr>
        <w:t xml:space="preserve">a variety of </w:t>
      </w:r>
      <w:r w:rsidR="00056D9D" w:rsidRPr="00461D74">
        <w:rPr>
          <w:rFonts w:ascii="Garamond" w:hAnsi="Garamond" w:cstheme="minorHAnsi"/>
          <w:sz w:val="24"/>
          <w:szCs w:val="24"/>
        </w:rPr>
        <w:t xml:space="preserve">goods </w:t>
      </w:r>
      <w:r w:rsidR="000514C9" w:rsidRPr="00461D74">
        <w:rPr>
          <w:rFonts w:ascii="Garamond" w:hAnsi="Garamond" w:cstheme="minorHAnsi"/>
          <w:sz w:val="24"/>
          <w:szCs w:val="24"/>
        </w:rPr>
        <w:t xml:space="preserve">as </w:t>
      </w:r>
      <w:r w:rsidR="00056D9D" w:rsidRPr="00461D74">
        <w:rPr>
          <w:rFonts w:ascii="Garamond" w:hAnsi="Garamond" w:cstheme="minorHAnsi"/>
          <w:sz w:val="24"/>
          <w:szCs w:val="24"/>
        </w:rPr>
        <w:t xml:space="preserve">basic or </w:t>
      </w:r>
      <w:r w:rsidR="000514C9" w:rsidRPr="00461D74">
        <w:rPr>
          <w:rFonts w:ascii="Garamond" w:hAnsi="Garamond" w:cstheme="minorHAnsi"/>
          <w:sz w:val="24"/>
          <w:szCs w:val="24"/>
        </w:rPr>
        <w:t>given.</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On Knight’s view, the upshot of MacIntyre’s account is that, by appropriating Marx’s critique, MacIntyre </w:t>
      </w:r>
      <w:r w:rsidR="00004CE8">
        <w:rPr>
          <w:rFonts w:ascii="Garamond" w:hAnsi="Garamond" w:cstheme="minorHAnsi"/>
          <w:sz w:val="24"/>
          <w:szCs w:val="24"/>
        </w:rPr>
        <w:t xml:space="preserve">in effect </w:t>
      </w:r>
      <w:r w:rsidRPr="00461D74">
        <w:rPr>
          <w:rFonts w:ascii="Garamond" w:hAnsi="Garamond" w:cstheme="minorHAnsi"/>
          <w:sz w:val="24"/>
          <w:szCs w:val="24"/>
        </w:rPr>
        <w:t xml:space="preserve">revises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so that it </w:t>
      </w:r>
      <w:r w:rsidR="00004CE8">
        <w:rPr>
          <w:rFonts w:ascii="Garamond" w:hAnsi="Garamond" w:cstheme="minorHAnsi"/>
          <w:sz w:val="24"/>
          <w:szCs w:val="24"/>
        </w:rPr>
        <w:t xml:space="preserve">becomes capable of </w:t>
      </w:r>
      <w:r w:rsidRPr="00461D74">
        <w:rPr>
          <w:rFonts w:ascii="Garamond" w:hAnsi="Garamond" w:cstheme="minorHAnsi"/>
          <w:sz w:val="24"/>
          <w:szCs w:val="24"/>
        </w:rPr>
        <w:t>criticiz</w:t>
      </w:r>
      <w:r w:rsidR="00004CE8">
        <w:rPr>
          <w:rFonts w:ascii="Garamond" w:hAnsi="Garamond" w:cstheme="minorHAnsi"/>
          <w:sz w:val="24"/>
          <w:szCs w:val="24"/>
        </w:rPr>
        <w:t>ing</w:t>
      </w:r>
      <w:r w:rsidRPr="00461D74">
        <w:rPr>
          <w:rFonts w:ascii="Garamond" w:hAnsi="Garamond" w:cstheme="minorHAnsi"/>
          <w:sz w:val="24"/>
          <w:szCs w:val="24"/>
        </w:rPr>
        <w:t xml:space="preserve"> society and its institutions. </w:t>
      </w:r>
      <w:r w:rsidR="00004CE8">
        <w:rPr>
          <w:rFonts w:ascii="Garamond" w:hAnsi="Garamond" w:cstheme="minorHAnsi"/>
          <w:sz w:val="24"/>
          <w:szCs w:val="24"/>
        </w:rPr>
        <w:t xml:space="preserve">For example, </w:t>
      </w:r>
      <w:r w:rsidRPr="00461D74">
        <w:rPr>
          <w:rFonts w:ascii="Garamond" w:hAnsi="Garamond" w:cstheme="minorHAnsi"/>
          <w:sz w:val="24"/>
          <w:szCs w:val="24"/>
        </w:rPr>
        <w:t>Marx’s account closely connects ‘labour’ to its ‘use-value</w:t>
      </w:r>
      <w:r w:rsidR="00D24DEF">
        <w:rPr>
          <w:rFonts w:ascii="Garamond" w:hAnsi="Garamond" w:cstheme="minorHAnsi"/>
          <w:sz w:val="24"/>
          <w:szCs w:val="24"/>
        </w:rPr>
        <w:t>,</w:t>
      </w:r>
      <w:r w:rsidRPr="00461D74">
        <w:rPr>
          <w:rFonts w:ascii="Garamond" w:hAnsi="Garamond" w:cstheme="minorHAnsi"/>
          <w:sz w:val="24"/>
          <w:szCs w:val="24"/>
        </w:rPr>
        <w:t xml:space="preserve">’ and hence it transcends the capitalist model that alienates labour. Thus Marx goes beyond the Aristotelian picture in which labour is associated with servility, and so his conception of labour allows for the potential that un-alienated human labour can lead to flourishing of the individual </w:t>
      </w:r>
      <w:r w:rsidRPr="00461D74">
        <w:rPr>
          <w:rFonts w:ascii="Garamond" w:hAnsi="Garamond" w:cstheme="minorHAnsi"/>
          <w:i/>
          <w:iCs/>
          <w:sz w:val="24"/>
          <w:szCs w:val="24"/>
        </w:rPr>
        <w:t>qua</w:t>
      </w:r>
      <w:r w:rsidRPr="00461D74">
        <w:rPr>
          <w:rFonts w:ascii="Garamond" w:hAnsi="Garamond" w:cstheme="minorHAnsi"/>
          <w:sz w:val="24"/>
          <w:szCs w:val="24"/>
        </w:rPr>
        <w:t xml:space="preserve"> human being. Knight tells us that MacIntyre adopts the socio-historical standpoint of Hegel without falling prey to his holism – consequently in </w:t>
      </w:r>
      <w:r w:rsidRPr="00461D74">
        <w:rPr>
          <w:rFonts w:ascii="Garamond" w:hAnsi="Garamond" w:cstheme="minorHAnsi"/>
          <w:sz w:val="24"/>
          <w:szCs w:val="24"/>
        </w:rPr>
        <w:lastRenderedPageBreak/>
        <w:t>this way, he overcomes Aristotle’s limitations. Progress is not possible insofar as progress is the actualization of human potentiality under the capitalist mode of production, because capitalism’s systematic alienation and exploitation of labour prevents actualization of human potential.</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The pluralistic structure of MacIntyre’s account replaces the Aristotelian conception of a single highest good</w:t>
      </w:r>
      <w:r w:rsidR="00004CE8">
        <w:rPr>
          <w:rFonts w:ascii="Garamond" w:hAnsi="Garamond" w:cstheme="minorHAnsi"/>
          <w:sz w:val="24"/>
          <w:szCs w:val="24"/>
          <w:lang w:val="en-US"/>
        </w:rPr>
        <w:t>;</w:t>
      </w:r>
      <w:r w:rsidRPr="00461D74">
        <w:rPr>
          <w:rFonts w:ascii="Garamond" w:hAnsi="Garamond" w:cstheme="minorHAnsi"/>
          <w:sz w:val="24"/>
          <w:szCs w:val="24"/>
          <w:lang w:val="en-US"/>
        </w:rPr>
        <w:t xml:space="preserve"> hence</w:t>
      </w:r>
      <w:r w:rsidR="00004CE8">
        <w:rPr>
          <w:rFonts w:ascii="Garamond" w:hAnsi="Garamond" w:cstheme="minorHAnsi"/>
          <w:sz w:val="24"/>
          <w:szCs w:val="24"/>
          <w:lang w:val="en-US"/>
        </w:rPr>
        <w:t>,</w:t>
      </w:r>
      <w:r w:rsidRPr="00461D74">
        <w:rPr>
          <w:rFonts w:ascii="Garamond" w:hAnsi="Garamond" w:cstheme="minorHAnsi"/>
          <w:sz w:val="24"/>
          <w:szCs w:val="24"/>
          <w:lang w:val="en-US"/>
        </w:rPr>
        <w:t xml:space="preserve"> it overcomes the Aristotelian error that prioritizes </w:t>
      </w:r>
      <w:r w:rsidRPr="00461D74">
        <w:rPr>
          <w:rFonts w:ascii="Garamond" w:hAnsi="Garamond" w:cstheme="minorHAnsi"/>
          <w:i/>
          <w:sz w:val="24"/>
          <w:szCs w:val="24"/>
          <w:lang w:val="en-US"/>
        </w:rPr>
        <w:t>philosophical life</w:t>
      </w:r>
      <w:r w:rsidRPr="00461D74">
        <w:rPr>
          <w:rFonts w:ascii="Garamond" w:hAnsi="Garamond" w:cstheme="minorHAnsi"/>
          <w:sz w:val="24"/>
          <w:szCs w:val="24"/>
          <w:lang w:val="en-US"/>
        </w:rPr>
        <w:t xml:space="preserve"> over the </w:t>
      </w:r>
      <w:r w:rsidRPr="00461D74">
        <w:rPr>
          <w:rFonts w:ascii="Garamond" w:hAnsi="Garamond" w:cstheme="minorHAnsi"/>
          <w:i/>
          <w:sz w:val="24"/>
          <w:szCs w:val="24"/>
          <w:lang w:val="en-US"/>
        </w:rPr>
        <w:t>political life</w:t>
      </w:r>
      <w:r w:rsidRPr="00461D74">
        <w:rPr>
          <w:rFonts w:ascii="Garamond" w:hAnsi="Garamond" w:cstheme="minorHAnsi"/>
          <w:sz w:val="24"/>
          <w:szCs w:val="24"/>
          <w:lang w:val="en-US"/>
        </w:rPr>
        <w:t>. Consequently, MacIntyre’s revision of Aristotle is more inclusive of society as a whole</w:t>
      </w:r>
      <w:r w:rsidR="006709DF" w:rsidRPr="00461D74">
        <w:rPr>
          <w:rFonts w:ascii="Garamond" w:hAnsi="Garamond" w:cstheme="minorHAnsi"/>
          <w:sz w:val="24"/>
          <w:szCs w:val="24"/>
          <w:lang w:val="en-US"/>
        </w:rPr>
        <w:t>,</w:t>
      </w:r>
      <w:r w:rsidRPr="00461D74">
        <w:rPr>
          <w:rFonts w:ascii="Garamond" w:hAnsi="Garamond" w:cstheme="minorHAnsi"/>
          <w:sz w:val="24"/>
          <w:szCs w:val="24"/>
          <w:lang w:val="en-US"/>
        </w:rPr>
        <w:t xml:space="preserve"> and in this sense it is an </w:t>
      </w:r>
      <w:r w:rsidRPr="00461D74">
        <w:rPr>
          <w:rFonts w:ascii="Garamond" w:hAnsi="Garamond" w:cstheme="minorHAnsi"/>
          <w:i/>
          <w:sz w:val="24"/>
          <w:szCs w:val="24"/>
          <w:lang w:val="en-US"/>
        </w:rPr>
        <w:t>egalitarian</w:t>
      </w:r>
      <w:r w:rsidRPr="00461D74">
        <w:rPr>
          <w:rFonts w:ascii="Garamond" w:hAnsi="Garamond" w:cstheme="minorHAnsi"/>
          <w:sz w:val="24"/>
          <w:szCs w:val="24"/>
          <w:lang w:val="en-US"/>
        </w:rPr>
        <w:t xml:space="preserve"> form of </w:t>
      </w:r>
      <w:proofErr w:type="spellStart"/>
      <w:r w:rsidRPr="00461D74">
        <w:rPr>
          <w:rFonts w:ascii="Garamond" w:hAnsi="Garamond" w:cstheme="minorHAnsi"/>
          <w:sz w:val="24"/>
          <w:szCs w:val="24"/>
          <w:lang w:val="en-US"/>
        </w:rPr>
        <w:t>Aristotelianism</w:t>
      </w:r>
      <w:proofErr w:type="spellEnd"/>
      <w:r w:rsidRPr="00461D74">
        <w:rPr>
          <w:rFonts w:ascii="Garamond" w:hAnsi="Garamond" w:cstheme="minorHAnsi"/>
          <w:sz w:val="24"/>
          <w:szCs w:val="24"/>
          <w:lang w:val="en-US"/>
        </w:rPr>
        <w:t xml:space="preserve">. This is because the Marxist critique that MacIntyre brings to the context of Aristotelian thought revises and expands on Aristotle’s traditional idea of what it is for human beings to flourish. This revised concept of practice, one that is inclusive of internal goods, dispenses with the Aristotelian distinction between </w:t>
      </w:r>
      <w:proofErr w:type="spellStart"/>
      <w:r w:rsidRPr="00461D74">
        <w:rPr>
          <w:rFonts w:ascii="Garamond" w:hAnsi="Garamond" w:cstheme="minorHAnsi"/>
          <w:i/>
          <w:sz w:val="24"/>
          <w:szCs w:val="24"/>
          <w:lang w:val="en-US"/>
        </w:rPr>
        <w:t>technai</w:t>
      </w:r>
      <w:proofErr w:type="spellEnd"/>
      <w:r w:rsidRPr="00461D74">
        <w:rPr>
          <w:rFonts w:ascii="Garamond" w:hAnsi="Garamond" w:cstheme="minorHAnsi"/>
          <w:sz w:val="24"/>
          <w:szCs w:val="24"/>
          <w:lang w:val="en-US"/>
        </w:rPr>
        <w:t xml:space="preserve"> and </w:t>
      </w:r>
      <w:r w:rsidRPr="00461D74">
        <w:rPr>
          <w:rFonts w:ascii="Garamond" w:hAnsi="Garamond" w:cstheme="minorHAnsi"/>
          <w:i/>
          <w:sz w:val="24"/>
          <w:szCs w:val="24"/>
          <w:lang w:val="en-US"/>
        </w:rPr>
        <w:t>praxis</w:t>
      </w:r>
      <w:r w:rsidRPr="00461D74">
        <w:rPr>
          <w:rFonts w:ascii="Garamond" w:hAnsi="Garamond" w:cstheme="minorHAnsi"/>
          <w:sz w:val="24"/>
          <w:szCs w:val="24"/>
          <w:lang w:val="en-US"/>
        </w:rPr>
        <w:t xml:space="preserve"> that </w:t>
      </w:r>
      <w:r w:rsidR="00425A3D">
        <w:rPr>
          <w:rFonts w:ascii="Garamond" w:hAnsi="Garamond" w:cstheme="minorHAnsi"/>
          <w:sz w:val="24"/>
          <w:szCs w:val="24"/>
          <w:lang w:val="en-US"/>
        </w:rPr>
        <w:t>led</w:t>
      </w:r>
      <w:r w:rsidR="00425A3D"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to Aristotle’s diminution of productive labor and craft. Thus, it overcomes the opprobrium that Aristotle attaches to productive work as servile slavish action. Likewise, capitalism engenders the alienation of labor from its product and consequently encourages relentless production and consumption. Thus in a distinctly different yet parallel sense, the capitalist mode of production encourages servility in the excessive worship of a blind detached materialism; </w:t>
      </w:r>
      <w:r w:rsidR="00425A3D">
        <w:rPr>
          <w:rFonts w:ascii="Garamond" w:hAnsi="Garamond" w:cstheme="minorHAnsi"/>
          <w:sz w:val="24"/>
          <w:szCs w:val="24"/>
          <w:lang w:val="en-US"/>
        </w:rPr>
        <w:t>such an outcome nevertheless</w:t>
      </w:r>
      <w:r w:rsidR="00425A3D" w:rsidRPr="00461D74">
        <w:rPr>
          <w:rFonts w:ascii="Garamond" w:hAnsi="Garamond" w:cstheme="minorHAnsi"/>
          <w:sz w:val="24"/>
          <w:szCs w:val="24"/>
          <w:lang w:val="en-US"/>
        </w:rPr>
        <w:t xml:space="preserve"> </w:t>
      </w:r>
      <w:r w:rsidR="00425A3D">
        <w:rPr>
          <w:rFonts w:ascii="Garamond" w:hAnsi="Garamond" w:cstheme="minorHAnsi"/>
          <w:sz w:val="24"/>
          <w:szCs w:val="24"/>
          <w:lang w:val="en-US"/>
        </w:rPr>
        <w:t xml:space="preserve">can </w:t>
      </w:r>
      <w:r w:rsidRPr="00461D74">
        <w:rPr>
          <w:rFonts w:ascii="Garamond" w:hAnsi="Garamond" w:cstheme="minorHAnsi"/>
          <w:sz w:val="24"/>
          <w:szCs w:val="24"/>
          <w:lang w:val="en-US"/>
        </w:rPr>
        <w:t xml:space="preserve">only serve to further alienate individuals from constructive social relationships – namely, </w:t>
      </w:r>
      <w:r w:rsidR="006709DF" w:rsidRPr="00461D74">
        <w:rPr>
          <w:rFonts w:ascii="Garamond" w:hAnsi="Garamond" w:cstheme="minorHAnsi"/>
          <w:sz w:val="24"/>
          <w:szCs w:val="24"/>
          <w:lang w:val="en-US"/>
        </w:rPr>
        <w:t>those</w:t>
      </w:r>
      <w:r w:rsidRPr="00461D74">
        <w:rPr>
          <w:rFonts w:ascii="Garamond" w:hAnsi="Garamond" w:cstheme="minorHAnsi"/>
          <w:sz w:val="24"/>
          <w:szCs w:val="24"/>
          <w:lang w:val="en-US"/>
        </w:rPr>
        <w:t xml:space="preserve"> social and political relationships that seek to advance human flourishing broadly construed. But why must we understand the relationship in this way?</w:t>
      </w:r>
    </w:p>
    <w:p w:rsidR="001629FB" w:rsidRDefault="00016049" w:rsidP="00EF50FF">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 xml:space="preserve">The </w:t>
      </w:r>
      <w:r w:rsidR="00EF50FF">
        <w:rPr>
          <w:rFonts w:ascii="Garamond" w:hAnsi="Garamond" w:cstheme="minorHAnsi"/>
          <w:sz w:val="24"/>
          <w:szCs w:val="24"/>
          <w:lang w:val="en-US"/>
        </w:rPr>
        <w:t xml:space="preserve">interdependent nature of the </w:t>
      </w:r>
      <w:r w:rsidRPr="00461D74">
        <w:rPr>
          <w:rFonts w:ascii="Garamond" w:hAnsi="Garamond" w:cstheme="minorHAnsi"/>
          <w:sz w:val="24"/>
          <w:szCs w:val="24"/>
          <w:lang w:val="en-US"/>
        </w:rPr>
        <w:t xml:space="preserve">relationship </w:t>
      </w:r>
      <w:r w:rsidR="00EF50FF">
        <w:rPr>
          <w:rFonts w:ascii="Garamond" w:hAnsi="Garamond" w:cstheme="minorHAnsi"/>
          <w:sz w:val="24"/>
          <w:szCs w:val="24"/>
          <w:lang w:val="en-US"/>
        </w:rPr>
        <w:t>between the</w:t>
      </w:r>
      <w:r w:rsidRPr="00461D74">
        <w:rPr>
          <w:rFonts w:ascii="Garamond" w:hAnsi="Garamond" w:cstheme="minorHAnsi"/>
          <w:sz w:val="24"/>
          <w:szCs w:val="24"/>
          <w:lang w:val="en-US"/>
        </w:rPr>
        <w:t xml:space="preserve"> individual </w:t>
      </w:r>
      <w:r w:rsidR="00EF50FF">
        <w:rPr>
          <w:rFonts w:ascii="Garamond" w:hAnsi="Garamond" w:cstheme="minorHAnsi"/>
          <w:sz w:val="24"/>
          <w:szCs w:val="24"/>
          <w:lang w:val="en-US"/>
        </w:rPr>
        <w:t>and</w:t>
      </w:r>
      <w:r w:rsidR="00EF50FF" w:rsidRPr="00461D74">
        <w:rPr>
          <w:rFonts w:ascii="Garamond" w:hAnsi="Garamond" w:cstheme="minorHAnsi"/>
          <w:sz w:val="24"/>
          <w:szCs w:val="24"/>
          <w:lang w:val="en-US"/>
        </w:rPr>
        <w:t xml:space="preserve"> </w:t>
      </w:r>
      <w:r w:rsidR="00EF50FF">
        <w:rPr>
          <w:rFonts w:ascii="Garamond" w:hAnsi="Garamond" w:cstheme="minorHAnsi"/>
          <w:sz w:val="24"/>
          <w:szCs w:val="24"/>
          <w:lang w:val="en-US"/>
        </w:rPr>
        <w:t xml:space="preserve">social and </w:t>
      </w:r>
      <w:r w:rsidRPr="00461D74">
        <w:rPr>
          <w:rFonts w:ascii="Garamond" w:hAnsi="Garamond" w:cstheme="minorHAnsi"/>
          <w:sz w:val="24"/>
          <w:szCs w:val="24"/>
          <w:lang w:val="en-US"/>
        </w:rPr>
        <w:t>politic</w:t>
      </w:r>
      <w:r w:rsidR="00246A75" w:rsidRPr="00461D74">
        <w:rPr>
          <w:rFonts w:ascii="Garamond" w:hAnsi="Garamond" w:cstheme="minorHAnsi"/>
          <w:sz w:val="24"/>
          <w:szCs w:val="24"/>
          <w:lang w:val="en-US"/>
        </w:rPr>
        <w:t>al activity,</w:t>
      </w:r>
      <w:r w:rsidRPr="00461D74">
        <w:rPr>
          <w:rFonts w:ascii="Garamond" w:hAnsi="Garamond" w:cstheme="minorHAnsi"/>
          <w:sz w:val="24"/>
          <w:szCs w:val="24"/>
          <w:lang w:val="en-US"/>
        </w:rPr>
        <w:t xml:space="preserve"> properly understood, </w:t>
      </w:r>
      <w:r w:rsidR="00EF50FF">
        <w:rPr>
          <w:rFonts w:ascii="Garamond" w:hAnsi="Garamond" w:cstheme="minorHAnsi"/>
          <w:sz w:val="24"/>
          <w:szCs w:val="24"/>
          <w:lang w:val="en-US"/>
        </w:rPr>
        <w:t xml:space="preserve">means that individuals that actively engage in the discussion of, and deliberation on, social and political matters, are likely better placed to make informed decisions. </w:t>
      </w:r>
      <w:r w:rsidR="00246A75" w:rsidRPr="00461D74">
        <w:rPr>
          <w:rFonts w:ascii="Garamond" w:hAnsi="Garamond" w:cstheme="minorHAnsi"/>
          <w:sz w:val="24"/>
          <w:szCs w:val="24"/>
          <w:lang w:val="en-US"/>
        </w:rPr>
        <w:t>Therefore</w:t>
      </w:r>
      <w:r w:rsidRPr="00461D74">
        <w:rPr>
          <w:rFonts w:ascii="Garamond" w:hAnsi="Garamond" w:cstheme="minorHAnsi"/>
          <w:sz w:val="24"/>
          <w:szCs w:val="24"/>
          <w:lang w:val="en-US"/>
        </w:rPr>
        <w:t xml:space="preserve">, a public that is not engaged in this kind of political activity </w:t>
      </w:r>
      <w:r w:rsidR="00EF50FF">
        <w:rPr>
          <w:rFonts w:ascii="Garamond" w:hAnsi="Garamond" w:cstheme="minorHAnsi"/>
          <w:sz w:val="24"/>
          <w:szCs w:val="24"/>
          <w:lang w:val="en-US"/>
        </w:rPr>
        <w:t xml:space="preserve">will more than likely make lesser choices. Now, a series of lesser choices over the long run will tend to generate </w:t>
      </w:r>
      <w:r w:rsidR="00EF50FF">
        <w:rPr>
          <w:rFonts w:ascii="Garamond" w:hAnsi="Garamond" w:cstheme="minorHAnsi"/>
          <w:sz w:val="24"/>
          <w:szCs w:val="24"/>
          <w:lang w:val="en-US"/>
        </w:rPr>
        <w:lastRenderedPageBreak/>
        <w:t xml:space="preserve">lesser results and outcomes; and a series of poor outcomes </w:t>
      </w:r>
      <w:r w:rsidR="0055098D" w:rsidRPr="00461D74">
        <w:rPr>
          <w:rFonts w:ascii="Garamond" w:hAnsi="Garamond" w:cstheme="minorHAnsi"/>
          <w:sz w:val="24"/>
          <w:szCs w:val="24"/>
          <w:lang w:val="en-US"/>
        </w:rPr>
        <w:t xml:space="preserve">tends to </w:t>
      </w:r>
      <w:r w:rsidR="00246A75" w:rsidRPr="00461D74">
        <w:rPr>
          <w:rFonts w:ascii="Garamond" w:hAnsi="Garamond" w:cstheme="minorHAnsi"/>
          <w:sz w:val="24"/>
          <w:szCs w:val="24"/>
          <w:lang w:val="en-US"/>
        </w:rPr>
        <w:t>generate</w:t>
      </w:r>
      <w:r w:rsidR="0055098D" w:rsidRPr="00461D74">
        <w:rPr>
          <w:rFonts w:ascii="Garamond" w:hAnsi="Garamond" w:cstheme="minorHAnsi"/>
          <w:sz w:val="24"/>
          <w:szCs w:val="24"/>
          <w:lang w:val="en-US"/>
        </w:rPr>
        <w:t xml:space="preserve"> </w:t>
      </w:r>
      <w:r w:rsidR="00246A75" w:rsidRPr="00461D74">
        <w:rPr>
          <w:rFonts w:ascii="Garamond" w:hAnsi="Garamond" w:cstheme="minorHAnsi"/>
          <w:sz w:val="24"/>
          <w:szCs w:val="24"/>
          <w:lang w:val="en-US"/>
        </w:rPr>
        <w:t xml:space="preserve">a kind </w:t>
      </w:r>
      <w:r w:rsidRPr="00461D74">
        <w:rPr>
          <w:rFonts w:ascii="Garamond" w:hAnsi="Garamond" w:cstheme="minorHAnsi"/>
          <w:sz w:val="24"/>
          <w:szCs w:val="24"/>
          <w:lang w:val="en-US"/>
        </w:rPr>
        <w:t xml:space="preserve">of politics </w:t>
      </w:r>
      <w:r w:rsidR="00F57D10" w:rsidRPr="00461D74">
        <w:rPr>
          <w:rFonts w:ascii="Garamond" w:hAnsi="Garamond" w:cstheme="minorHAnsi"/>
          <w:sz w:val="24"/>
          <w:szCs w:val="24"/>
          <w:lang w:val="en-US"/>
        </w:rPr>
        <w:t>in which</w:t>
      </w:r>
      <w:r w:rsidR="00246A75"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individuals are </w:t>
      </w:r>
      <w:r w:rsidR="00246A75" w:rsidRPr="00461D74">
        <w:rPr>
          <w:rFonts w:ascii="Garamond" w:hAnsi="Garamond" w:cstheme="minorHAnsi"/>
          <w:sz w:val="24"/>
          <w:szCs w:val="24"/>
          <w:lang w:val="en-US"/>
        </w:rPr>
        <w:t xml:space="preserve">more likely to </w:t>
      </w:r>
      <w:r w:rsidR="001629FB">
        <w:rPr>
          <w:rFonts w:ascii="Garamond" w:hAnsi="Garamond" w:cstheme="minorHAnsi"/>
          <w:sz w:val="24"/>
          <w:szCs w:val="24"/>
          <w:lang w:val="en-US"/>
        </w:rPr>
        <w:t>find themselves</w:t>
      </w:r>
      <w:r w:rsidR="001629FB" w:rsidRPr="00461D74">
        <w:rPr>
          <w:rFonts w:ascii="Garamond" w:hAnsi="Garamond" w:cstheme="minorHAnsi"/>
          <w:sz w:val="24"/>
          <w:szCs w:val="24"/>
          <w:lang w:val="en-US"/>
        </w:rPr>
        <w:t xml:space="preserve"> </w:t>
      </w:r>
      <w:r w:rsidRPr="00461D74">
        <w:rPr>
          <w:rFonts w:ascii="Garamond" w:hAnsi="Garamond" w:cstheme="minorHAnsi"/>
          <w:sz w:val="24"/>
          <w:szCs w:val="24"/>
          <w:lang w:val="en-US"/>
        </w:rPr>
        <w:t>alienated from political activity</w:t>
      </w:r>
      <w:r w:rsidR="00EF50FF">
        <w:rPr>
          <w:rFonts w:ascii="Garamond" w:hAnsi="Garamond" w:cstheme="minorHAnsi"/>
          <w:sz w:val="24"/>
          <w:szCs w:val="24"/>
          <w:lang w:val="en-US"/>
        </w:rPr>
        <w:t xml:space="preserve">, since their action </w:t>
      </w:r>
      <w:r w:rsidR="001629FB">
        <w:rPr>
          <w:rFonts w:ascii="Garamond" w:hAnsi="Garamond" w:cstheme="minorHAnsi"/>
          <w:sz w:val="24"/>
          <w:szCs w:val="24"/>
          <w:lang w:val="en-US"/>
        </w:rPr>
        <w:t>is seen as having little impact</w:t>
      </w:r>
      <w:r w:rsidRPr="00461D74">
        <w:rPr>
          <w:rFonts w:ascii="Garamond" w:hAnsi="Garamond" w:cstheme="minorHAnsi"/>
          <w:sz w:val="24"/>
          <w:szCs w:val="24"/>
          <w:lang w:val="en-US"/>
        </w:rPr>
        <w:t>.</w:t>
      </w:r>
    </w:p>
    <w:p w:rsidR="00665157" w:rsidRDefault="001629FB" w:rsidP="00EF50FF">
      <w:pPr>
        <w:spacing w:line="360" w:lineRule="auto"/>
        <w:ind w:firstLine="720"/>
        <w:jc w:val="both"/>
        <w:rPr>
          <w:rFonts w:ascii="Garamond" w:hAnsi="Garamond" w:cstheme="minorHAnsi"/>
          <w:sz w:val="24"/>
          <w:szCs w:val="24"/>
          <w:lang w:val="en-US"/>
        </w:rPr>
      </w:pPr>
      <w:r>
        <w:rPr>
          <w:rFonts w:ascii="Garamond" w:hAnsi="Garamond" w:cstheme="minorHAnsi"/>
          <w:sz w:val="24"/>
          <w:szCs w:val="24"/>
          <w:lang w:val="en-US"/>
        </w:rPr>
        <w:t>Therefore, p</w:t>
      </w:r>
      <w:r w:rsidR="00016049" w:rsidRPr="00461D74">
        <w:rPr>
          <w:rFonts w:ascii="Garamond" w:hAnsi="Garamond" w:cstheme="minorHAnsi"/>
          <w:sz w:val="24"/>
          <w:szCs w:val="24"/>
          <w:lang w:val="en-US"/>
        </w:rPr>
        <w:t xml:space="preserve">olitics as a practice in MacIntyre’s sense requires </w:t>
      </w:r>
      <w:r>
        <w:rPr>
          <w:rFonts w:ascii="Garamond" w:hAnsi="Garamond" w:cstheme="minorHAnsi"/>
          <w:sz w:val="24"/>
          <w:szCs w:val="24"/>
          <w:lang w:val="en-US"/>
        </w:rPr>
        <w:t xml:space="preserve">an </w:t>
      </w:r>
      <w:r w:rsidR="00016049" w:rsidRPr="00461D74">
        <w:rPr>
          <w:rFonts w:ascii="Garamond" w:hAnsi="Garamond" w:cstheme="minorHAnsi"/>
          <w:sz w:val="24"/>
          <w:szCs w:val="24"/>
          <w:lang w:val="en-US"/>
        </w:rPr>
        <w:t>engaged</w:t>
      </w:r>
      <w:r>
        <w:rPr>
          <w:rFonts w:ascii="Garamond" w:hAnsi="Garamond" w:cstheme="minorHAnsi"/>
          <w:sz w:val="24"/>
          <w:szCs w:val="24"/>
          <w:lang w:val="en-US"/>
        </w:rPr>
        <w:t xml:space="preserve"> citizenry that actively participates in</w:t>
      </w:r>
      <w:r w:rsidR="00016049" w:rsidRPr="00461D74">
        <w:rPr>
          <w:rFonts w:ascii="Garamond" w:hAnsi="Garamond" w:cstheme="minorHAnsi"/>
          <w:sz w:val="24"/>
          <w:szCs w:val="24"/>
          <w:lang w:val="en-US"/>
        </w:rPr>
        <w:t xml:space="preserve"> </w:t>
      </w:r>
      <w:r>
        <w:rPr>
          <w:rFonts w:ascii="Garamond" w:hAnsi="Garamond" w:cstheme="minorHAnsi"/>
          <w:sz w:val="24"/>
          <w:szCs w:val="24"/>
          <w:lang w:val="en-US"/>
        </w:rPr>
        <w:t xml:space="preserve">a variety of </w:t>
      </w:r>
      <w:r w:rsidR="00016049" w:rsidRPr="00461D74">
        <w:rPr>
          <w:rFonts w:ascii="Garamond" w:hAnsi="Garamond" w:cstheme="minorHAnsi"/>
          <w:sz w:val="24"/>
          <w:szCs w:val="24"/>
          <w:lang w:val="en-US"/>
        </w:rPr>
        <w:t>practical deliberations</w:t>
      </w:r>
      <w:r>
        <w:rPr>
          <w:rFonts w:ascii="Garamond" w:hAnsi="Garamond" w:cstheme="minorHAnsi"/>
          <w:sz w:val="24"/>
          <w:szCs w:val="24"/>
          <w:lang w:val="en-US"/>
        </w:rPr>
        <w:t xml:space="preserve"> on matters pertaining to the life of that </w:t>
      </w:r>
      <w:r w:rsidR="00F57D10" w:rsidRPr="00461D74">
        <w:rPr>
          <w:rFonts w:ascii="Garamond" w:hAnsi="Garamond" w:cstheme="minorHAnsi"/>
          <w:sz w:val="24"/>
          <w:szCs w:val="24"/>
          <w:lang w:val="en-US"/>
        </w:rPr>
        <w:t xml:space="preserve">political </w:t>
      </w:r>
      <w:r w:rsidR="00016049" w:rsidRPr="00461D74">
        <w:rPr>
          <w:rFonts w:ascii="Garamond" w:hAnsi="Garamond" w:cstheme="minorHAnsi"/>
          <w:sz w:val="24"/>
          <w:szCs w:val="24"/>
          <w:lang w:val="en-US"/>
        </w:rPr>
        <w:t xml:space="preserve">community, </w:t>
      </w:r>
      <w:r>
        <w:rPr>
          <w:rFonts w:ascii="Garamond" w:hAnsi="Garamond" w:cstheme="minorHAnsi"/>
          <w:sz w:val="24"/>
          <w:szCs w:val="24"/>
          <w:lang w:val="en-US"/>
        </w:rPr>
        <w:t xml:space="preserve">and </w:t>
      </w:r>
      <w:r w:rsidR="00016049" w:rsidRPr="00461D74">
        <w:rPr>
          <w:rFonts w:ascii="Garamond" w:hAnsi="Garamond" w:cstheme="minorHAnsi"/>
          <w:sz w:val="24"/>
          <w:szCs w:val="24"/>
          <w:lang w:val="en-US"/>
        </w:rPr>
        <w:t>what constitut</w:t>
      </w:r>
      <w:r>
        <w:rPr>
          <w:rFonts w:ascii="Garamond" w:hAnsi="Garamond" w:cstheme="minorHAnsi"/>
          <w:sz w:val="24"/>
          <w:szCs w:val="24"/>
          <w:lang w:val="en-US"/>
        </w:rPr>
        <w:t xml:space="preserve">es </w:t>
      </w:r>
      <w:r w:rsidR="00016049" w:rsidRPr="00461D74">
        <w:rPr>
          <w:rFonts w:ascii="Garamond" w:hAnsi="Garamond" w:cstheme="minorHAnsi"/>
          <w:sz w:val="24"/>
          <w:szCs w:val="24"/>
          <w:lang w:val="en-US"/>
        </w:rPr>
        <w:t>the</w:t>
      </w:r>
      <w:r>
        <w:rPr>
          <w:rFonts w:ascii="Garamond" w:hAnsi="Garamond" w:cstheme="minorHAnsi"/>
          <w:sz w:val="24"/>
          <w:szCs w:val="24"/>
          <w:lang w:val="en-US"/>
        </w:rPr>
        <w:t>ir</w:t>
      </w:r>
      <w:r w:rsidR="00016049" w:rsidRPr="00461D74">
        <w:rPr>
          <w:rFonts w:ascii="Garamond" w:hAnsi="Garamond" w:cstheme="minorHAnsi"/>
          <w:sz w:val="24"/>
          <w:szCs w:val="24"/>
          <w:lang w:val="en-US"/>
        </w:rPr>
        <w:t xml:space="preserve"> </w:t>
      </w:r>
      <w:r w:rsidR="00016049" w:rsidRPr="00461D74">
        <w:rPr>
          <w:rFonts w:ascii="Garamond" w:hAnsi="Garamond" w:cstheme="minorHAnsi"/>
          <w:i/>
          <w:iCs/>
          <w:sz w:val="24"/>
          <w:szCs w:val="24"/>
          <w:lang w:val="en-US"/>
        </w:rPr>
        <w:t>common good</w:t>
      </w:r>
      <w:r w:rsidR="00F57D10" w:rsidRPr="00461D74">
        <w:rPr>
          <w:rFonts w:ascii="Garamond" w:hAnsi="Garamond" w:cstheme="minorHAnsi"/>
          <w:sz w:val="24"/>
          <w:szCs w:val="24"/>
          <w:lang w:val="en-US"/>
        </w:rPr>
        <w:t>;</w:t>
      </w:r>
      <w:r w:rsidR="00016049" w:rsidRPr="00461D74">
        <w:rPr>
          <w:rFonts w:ascii="Garamond" w:hAnsi="Garamond" w:cstheme="minorHAnsi"/>
          <w:sz w:val="24"/>
          <w:szCs w:val="24"/>
          <w:lang w:val="en-US"/>
        </w:rPr>
        <w:t xml:space="preserve"> and the </w:t>
      </w:r>
      <w:r w:rsidR="00AE1493" w:rsidRPr="00461D74">
        <w:rPr>
          <w:rFonts w:ascii="Garamond" w:hAnsi="Garamond" w:cstheme="minorHAnsi"/>
          <w:i/>
          <w:sz w:val="24"/>
          <w:szCs w:val="24"/>
          <w:lang w:val="en-US"/>
        </w:rPr>
        <w:t>common good</w:t>
      </w:r>
      <w:r w:rsidR="00016049" w:rsidRPr="00461D74">
        <w:rPr>
          <w:rFonts w:ascii="Garamond" w:hAnsi="Garamond" w:cstheme="minorHAnsi"/>
          <w:sz w:val="24"/>
          <w:szCs w:val="24"/>
          <w:lang w:val="en-US"/>
        </w:rPr>
        <w:t xml:space="preserve"> is </w:t>
      </w:r>
      <w:r w:rsidR="00F57D10" w:rsidRPr="00461D74">
        <w:rPr>
          <w:rFonts w:ascii="Garamond" w:hAnsi="Garamond" w:cstheme="minorHAnsi"/>
          <w:sz w:val="24"/>
          <w:szCs w:val="24"/>
          <w:lang w:val="en-US"/>
        </w:rPr>
        <w:t xml:space="preserve">advanced through </w:t>
      </w:r>
      <w:r w:rsidR="00016049" w:rsidRPr="00461D74">
        <w:rPr>
          <w:rFonts w:ascii="Garamond" w:hAnsi="Garamond" w:cstheme="minorHAnsi"/>
          <w:sz w:val="24"/>
          <w:szCs w:val="24"/>
          <w:lang w:val="en-US"/>
        </w:rPr>
        <w:t xml:space="preserve">shared practical deliberation </w:t>
      </w:r>
      <w:r w:rsidR="00F57D10" w:rsidRPr="00461D74">
        <w:rPr>
          <w:rFonts w:ascii="Garamond" w:hAnsi="Garamond" w:cstheme="minorHAnsi"/>
          <w:sz w:val="24"/>
          <w:szCs w:val="24"/>
          <w:lang w:val="en-US"/>
        </w:rPr>
        <w:t xml:space="preserve">on how to order the goods of different social </w:t>
      </w:r>
      <w:r w:rsidR="00016049" w:rsidRPr="00461D74">
        <w:rPr>
          <w:rFonts w:ascii="Garamond" w:hAnsi="Garamond" w:cstheme="minorHAnsi"/>
          <w:sz w:val="24"/>
          <w:szCs w:val="24"/>
          <w:lang w:val="en-US"/>
        </w:rPr>
        <w:t xml:space="preserve">practices. </w:t>
      </w:r>
      <w:r w:rsidR="0055098D" w:rsidRPr="00461D74">
        <w:rPr>
          <w:rFonts w:ascii="Garamond" w:hAnsi="Garamond" w:cstheme="minorHAnsi"/>
          <w:sz w:val="24"/>
          <w:szCs w:val="24"/>
          <w:lang w:val="en-US"/>
        </w:rPr>
        <w:t>Here Knight argues</w:t>
      </w:r>
      <w:r w:rsidR="00016049" w:rsidRPr="00461D74">
        <w:rPr>
          <w:rFonts w:ascii="Garamond" w:hAnsi="Garamond" w:cstheme="minorHAnsi"/>
          <w:sz w:val="24"/>
          <w:szCs w:val="24"/>
          <w:lang w:val="en-US"/>
        </w:rPr>
        <w:t xml:space="preserve"> </w:t>
      </w:r>
      <w:r w:rsidR="0055098D" w:rsidRPr="00461D74">
        <w:rPr>
          <w:rFonts w:ascii="Garamond" w:hAnsi="Garamond" w:cstheme="minorHAnsi"/>
          <w:sz w:val="24"/>
          <w:szCs w:val="24"/>
          <w:lang w:val="en-US"/>
        </w:rPr>
        <w:t xml:space="preserve">that </w:t>
      </w:r>
      <w:r w:rsidR="00016049" w:rsidRPr="00461D74">
        <w:rPr>
          <w:rFonts w:ascii="Garamond" w:hAnsi="Garamond" w:cstheme="minorHAnsi"/>
          <w:sz w:val="24"/>
          <w:szCs w:val="24"/>
          <w:lang w:val="en-US"/>
        </w:rPr>
        <w:t xml:space="preserve">it is just such a </w:t>
      </w:r>
      <w:r w:rsidR="00F57D10" w:rsidRPr="00461D74">
        <w:rPr>
          <w:rFonts w:ascii="Garamond" w:hAnsi="Garamond" w:cstheme="minorHAnsi"/>
          <w:sz w:val="24"/>
          <w:szCs w:val="24"/>
          <w:lang w:val="en-US"/>
        </w:rPr>
        <w:t xml:space="preserve">conception of the common good </w:t>
      </w:r>
      <w:r w:rsidR="00016049" w:rsidRPr="00461D74">
        <w:rPr>
          <w:rFonts w:ascii="Garamond" w:hAnsi="Garamond" w:cstheme="minorHAnsi"/>
          <w:sz w:val="24"/>
          <w:szCs w:val="24"/>
          <w:lang w:val="en-US"/>
        </w:rPr>
        <w:t>that is ruled out in contemporary politics. How so? Compartmentalization within the modern social struc</w:t>
      </w:r>
      <w:r w:rsidR="00F57D10" w:rsidRPr="00461D74">
        <w:rPr>
          <w:rFonts w:ascii="Garamond" w:hAnsi="Garamond" w:cstheme="minorHAnsi"/>
          <w:sz w:val="24"/>
          <w:szCs w:val="24"/>
          <w:lang w:val="en-US"/>
        </w:rPr>
        <w:t>ture distorts our social agency</w:t>
      </w:r>
      <w:r w:rsidR="00016049" w:rsidRPr="00461D74">
        <w:rPr>
          <w:rFonts w:ascii="Garamond" w:hAnsi="Garamond" w:cstheme="minorHAnsi"/>
          <w:sz w:val="24"/>
          <w:szCs w:val="24"/>
          <w:lang w:val="en-US"/>
        </w:rPr>
        <w:t xml:space="preserve"> </w:t>
      </w:r>
      <w:r w:rsidR="00A67D17">
        <w:rPr>
          <w:rFonts w:ascii="Garamond" w:hAnsi="Garamond" w:cstheme="minorHAnsi"/>
          <w:sz w:val="24"/>
          <w:szCs w:val="24"/>
          <w:lang w:val="en-US"/>
        </w:rPr>
        <w:t>since</w:t>
      </w:r>
      <w:r w:rsidR="00016049" w:rsidRPr="00461D74">
        <w:rPr>
          <w:rFonts w:ascii="Garamond" w:hAnsi="Garamond" w:cstheme="minorHAnsi"/>
          <w:sz w:val="24"/>
          <w:szCs w:val="24"/>
          <w:lang w:val="en-US"/>
        </w:rPr>
        <w:t xml:space="preserve"> one activity, typically our employment, </w:t>
      </w:r>
      <w:r w:rsidR="00A67D17">
        <w:rPr>
          <w:rFonts w:ascii="Garamond" w:hAnsi="Garamond" w:cstheme="minorHAnsi"/>
          <w:sz w:val="24"/>
          <w:szCs w:val="24"/>
          <w:lang w:val="en-US"/>
        </w:rPr>
        <w:t>comes to be</w:t>
      </w:r>
      <w:r w:rsidR="00A67D17"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 xml:space="preserve">the </w:t>
      </w:r>
      <w:r w:rsidR="00A67D17">
        <w:rPr>
          <w:rFonts w:ascii="Garamond" w:hAnsi="Garamond" w:cstheme="minorHAnsi"/>
          <w:sz w:val="24"/>
          <w:szCs w:val="24"/>
          <w:lang w:val="en-US"/>
        </w:rPr>
        <w:t>pre</w:t>
      </w:r>
      <w:r w:rsidR="00016049" w:rsidRPr="00461D74">
        <w:rPr>
          <w:rFonts w:ascii="Garamond" w:hAnsi="Garamond" w:cstheme="minorHAnsi"/>
          <w:sz w:val="24"/>
          <w:szCs w:val="24"/>
          <w:lang w:val="en-US"/>
        </w:rPr>
        <w:t>dominant practice</w:t>
      </w:r>
      <w:r w:rsidR="00501FEE">
        <w:rPr>
          <w:rFonts w:ascii="Garamond" w:hAnsi="Garamond" w:cstheme="minorHAnsi"/>
          <w:sz w:val="24"/>
          <w:szCs w:val="24"/>
          <w:lang w:val="en-US"/>
        </w:rPr>
        <w:t>,</w:t>
      </w:r>
      <w:r w:rsidR="00A67D17">
        <w:rPr>
          <w:rFonts w:ascii="Garamond" w:hAnsi="Garamond" w:cstheme="minorHAnsi"/>
          <w:sz w:val="24"/>
          <w:szCs w:val="24"/>
          <w:lang w:val="en-US"/>
        </w:rPr>
        <w:t xml:space="preserve"> </w:t>
      </w:r>
      <w:r w:rsidR="00501FEE">
        <w:rPr>
          <w:rFonts w:ascii="Garamond" w:hAnsi="Garamond" w:cstheme="minorHAnsi"/>
          <w:sz w:val="24"/>
          <w:szCs w:val="24"/>
          <w:lang w:val="en-US"/>
        </w:rPr>
        <w:t>and in effect exerts</w:t>
      </w:r>
      <w:r w:rsidR="00A67D17">
        <w:rPr>
          <w:rFonts w:ascii="Garamond" w:hAnsi="Garamond" w:cstheme="minorHAnsi"/>
          <w:sz w:val="24"/>
          <w:szCs w:val="24"/>
          <w:lang w:val="en-US"/>
        </w:rPr>
        <w:t xml:space="preserve"> wide ranging influence on a variety of our practical </w:t>
      </w:r>
      <w:r w:rsidR="00501FEE">
        <w:rPr>
          <w:rFonts w:ascii="Garamond" w:hAnsi="Garamond" w:cstheme="minorHAnsi"/>
          <w:sz w:val="24"/>
          <w:szCs w:val="24"/>
          <w:lang w:val="en-US"/>
        </w:rPr>
        <w:t xml:space="preserve">(normative) </w:t>
      </w:r>
      <w:r w:rsidR="00A67D17">
        <w:rPr>
          <w:rFonts w:ascii="Garamond" w:hAnsi="Garamond" w:cstheme="minorHAnsi"/>
          <w:sz w:val="24"/>
          <w:szCs w:val="24"/>
          <w:lang w:val="en-US"/>
        </w:rPr>
        <w:t>decisions</w:t>
      </w:r>
      <w:r w:rsidR="00016049" w:rsidRPr="00461D74">
        <w:rPr>
          <w:rFonts w:ascii="Garamond" w:hAnsi="Garamond" w:cstheme="minorHAnsi"/>
          <w:sz w:val="24"/>
          <w:szCs w:val="24"/>
          <w:lang w:val="en-US"/>
        </w:rPr>
        <w:t>. The</w:t>
      </w:r>
      <w:r w:rsidR="00501FEE">
        <w:rPr>
          <w:rFonts w:ascii="Garamond" w:hAnsi="Garamond" w:cstheme="minorHAnsi"/>
          <w:sz w:val="24"/>
          <w:szCs w:val="24"/>
          <w:lang w:val="en-US"/>
        </w:rPr>
        <w:t>refore, the</w:t>
      </w:r>
      <w:r w:rsidR="00016049" w:rsidRPr="00461D74">
        <w:rPr>
          <w:rFonts w:ascii="Garamond" w:hAnsi="Garamond" w:cstheme="minorHAnsi"/>
          <w:sz w:val="24"/>
          <w:szCs w:val="24"/>
          <w:lang w:val="en-US"/>
        </w:rPr>
        <w:t xml:space="preserve"> predominance and importance of our employment and the fact that it sustains our other activities, tends to skew our practical reasoning in ways that undermines our moral agency. This type of compartmentalization is </w:t>
      </w:r>
      <w:r w:rsidR="00501FEE">
        <w:rPr>
          <w:rFonts w:ascii="Garamond" w:hAnsi="Garamond" w:cstheme="minorHAnsi"/>
          <w:sz w:val="24"/>
          <w:szCs w:val="24"/>
          <w:lang w:val="en-US"/>
        </w:rPr>
        <w:t>nevertheless</w:t>
      </w:r>
      <w:r w:rsidR="00501FEE"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incompatible with the purposive ordering of goods</w:t>
      </w:r>
      <w:r w:rsidR="00F57D10" w:rsidRPr="00461D74">
        <w:rPr>
          <w:rFonts w:ascii="Garamond" w:hAnsi="Garamond" w:cstheme="minorHAnsi"/>
          <w:sz w:val="24"/>
          <w:szCs w:val="24"/>
          <w:lang w:val="en-US"/>
        </w:rPr>
        <w:t xml:space="preserve"> of practices</w:t>
      </w:r>
      <w:r w:rsidR="00C41A23" w:rsidRPr="00461D74">
        <w:rPr>
          <w:rFonts w:ascii="Garamond" w:hAnsi="Garamond" w:cstheme="minorHAnsi"/>
          <w:sz w:val="24"/>
          <w:szCs w:val="24"/>
          <w:lang w:val="en-US"/>
        </w:rPr>
        <w:t xml:space="preserve"> </w:t>
      </w:r>
      <w:r w:rsidR="00024C92" w:rsidRPr="00461D74">
        <w:rPr>
          <w:rFonts w:ascii="Garamond" w:hAnsi="Garamond" w:cstheme="minorHAnsi"/>
          <w:sz w:val="24"/>
          <w:szCs w:val="24"/>
          <w:lang w:val="en-US"/>
        </w:rPr>
        <w:t>–</w:t>
      </w:r>
      <w:r w:rsidR="00C41A23" w:rsidRPr="00461D74">
        <w:rPr>
          <w:rFonts w:ascii="Garamond" w:hAnsi="Garamond" w:cstheme="minorHAnsi"/>
          <w:sz w:val="24"/>
          <w:szCs w:val="24"/>
          <w:lang w:val="en-US"/>
        </w:rPr>
        <w:t xml:space="preserve"> </w:t>
      </w:r>
      <w:r w:rsidR="00024C92" w:rsidRPr="00461D74">
        <w:rPr>
          <w:rFonts w:ascii="Garamond" w:hAnsi="Garamond" w:cstheme="minorHAnsi"/>
          <w:sz w:val="24"/>
          <w:szCs w:val="24"/>
          <w:lang w:val="en-US"/>
        </w:rPr>
        <w:t>a political activity</w:t>
      </w:r>
      <w:r w:rsidR="00C41A23" w:rsidRPr="00461D74">
        <w:rPr>
          <w:rFonts w:ascii="Garamond" w:hAnsi="Garamond" w:cstheme="minorHAnsi"/>
          <w:sz w:val="24"/>
          <w:szCs w:val="24"/>
          <w:lang w:val="en-US"/>
        </w:rPr>
        <w:t xml:space="preserve"> </w:t>
      </w:r>
      <w:r w:rsidR="0055098D" w:rsidRPr="00461D74">
        <w:rPr>
          <w:rFonts w:ascii="Garamond" w:hAnsi="Garamond" w:cstheme="minorHAnsi"/>
          <w:sz w:val="24"/>
          <w:szCs w:val="24"/>
          <w:lang w:val="en-US"/>
        </w:rPr>
        <w:t>–</w:t>
      </w:r>
      <w:r w:rsidR="00C41A23"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as defined by Aristotle.</w:t>
      </w:r>
      <w:r w:rsidR="00016049" w:rsidRPr="00461D74">
        <w:rPr>
          <w:rFonts w:ascii="Garamond" w:hAnsi="Garamond" w:cstheme="minorHAnsi"/>
          <w:sz w:val="24"/>
          <w:szCs w:val="24"/>
          <w:vertAlign w:val="superscript"/>
          <w:lang w:val="en-US"/>
        </w:rPr>
        <w:footnoteReference w:id="295"/>
      </w:r>
      <w:r w:rsidR="00016049" w:rsidRPr="00461D74">
        <w:rPr>
          <w:rFonts w:ascii="Garamond" w:hAnsi="Garamond" w:cstheme="minorHAnsi"/>
          <w:sz w:val="24"/>
          <w:szCs w:val="24"/>
          <w:lang w:val="en-US"/>
        </w:rPr>
        <w:t xml:space="preserve"> Thus, politics in the Aristotelian sense is incompatible with the social structure of the modern state.</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Knight</w:t>
      </w:r>
      <w:r w:rsidR="0055098D" w:rsidRPr="00461D74">
        <w:rPr>
          <w:rFonts w:ascii="Garamond" w:hAnsi="Garamond" w:cstheme="minorHAnsi"/>
          <w:sz w:val="24"/>
          <w:szCs w:val="24"/>
          <w:lang w:val="en-US"/>
        </w:rPr>
        <w:t xml:space="preserve"> then argues that</w:t>
      </w:r>
      <w:r w:rsidRPr="00461D74">
        <w:rPr>
          <w:rFonts w:ascii="Garamond" w:hAnsi="Garamond" w:cstheme="minorHAnsi"/>
          <w:sz w:val="24"/>
          <w:szCs w:val="24"/>
          <w:lang w:val="en-US"/>
        </w:rPr>
        <w:t xml:space="preserve"> on MacIntyre’s account, we cannot become independent practical </w:t>
      </w:r>
      <w:proofErr w:type="spellStart"/>
      <w:r w:rsidRPr="00461D74">
        <w:rPr>
          <w:rFonts w:ascii="Garamond" w:hAnsi="Garamond" w:cstheme="minorHAnsi"/>
          <w:sz w:val="24"/>
          <w:szCs w:val="24"/>
          <w:lang w:val="en-US"/>
        </w:rPr>
        <w:t>reasoners</w:t>
      </w:r>
      <w:proofErr w:type="spellEnd"/>
      <w:r w:rsidRPr="00461D74">
        <w:rPr>
          <w:rFonts w:ascii="Garamond" w:hAnsi="Garamond" w:cstheme="minorHAnsi"/>
          <w:sz w:val="24"/>
          <w:szCs w:val="24"/>
          <w:lang w:val="en-US"/>
        </w:rPr>
        <w:t xml:space="preserve"> without also becoming in some sense political </w:t>
      </w:r>
      <w:proofErr w:type="spellStart"/>
      <w:r w:rsidRPr="00461D74">
        <w:rPr>
          <w:rFonts w:ascii="Garamond" w:hAnsi="Garamond" w:cstheme="minorHAnsi"/>
          <w:sz w:val="24"/>
          <w:szCs w:val="24"/>
          <w:lang w:val="en-US"/>
        </w:rPr>
        <w:t>reasoners</w:t>
      </w:r>
      <w:proofErr w:type="spellEnd"/>
      <w:r w:rsidRPr="00461D74">
        <w:rPr>
          <w:rFonts w:ascii="Garamond" w:hAnsi="Garamond" w:cstheme="minorHAnsi"/>
          <w:sz w:val="24"/>
          <w:szCs w:val="24"/>
          <w:lang w:val="en-US"/>
        </w:rPr>
        <w:t xml:space="preserve">; and </w:t>
      </w:r>
      <w:r w:rsidR="00491159">
        <w:rPr>
          <w:rFonts w:ascii="Garamond" w:hAnsi="Garamond" w:cstheme="minorHAnsi"/>
          <w:sz w:val="24"/>
          <w:szCs w:val="24"/>
          <w:lang w:val="en-US"/>
        </w:rPr>
        <w:t xml:space="preserve">the reason for </w:t>
      </w:r>
      <w:r w:rsidRPr="00461D74">
        <w:rPr>
          <w:rFonts w:ascii="Garamond" w:hAnsi="Garamond" w:cstheme="minorHAnsi"/>
          <w:sz w:val="24"/>
          <w:szCs w:val="24"/>
          <w:lang w:val="en-US"/>
        </w:rPr>
        <w:t xml:space="preserve">this is </w:t>
      </w:r>
      <w:r w:rsidR="00491159">
        <w:rPr>
          <w:rFonts w:ascii="Garamond" w:hAnsi="Garamond" w:cstheme="minorHAnsi"/>
          <w:sz w:val="24"/>
          <w:szCs w:val="24"/>
          <w:lang w:val="en-US"/>
        </w:rPr>
        <w:t>that</w:t>
      </w:r>
      <w:r w:rsidR="00491159"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both types of reasoning </w:t>
      </w:r>
      <w:r w:rsidR="00491159">
        <w:rPr>
          <w:rFonts w:ascii="Garamond" w:hAnsi="Garamond" w:cstheme="minorHAnsi"/>
          <w:sz w:val="24"/>
          <w:szCs w:val="24"/>
          <w:lang w:val="en-US"/>
        </w:rPr>
        <w:t xml:space="preserve">tend to </w:t>
      </w:r>
      <w:r w:rsidRPr="00461D74">
        <w:rPr>
          <w:rFonts w:ascii="Garamond" w:hAnsi="Garamond" w:cstheme="minorHAnsi"/>
          <w:sz w:val="24"/>
          <w:szCs w:val="24"/>
          <w:lang w:val="en-US"/>
        </w:rPr>
        <w:t>deal with the ordering of various goods in our lives, either individually or cooperatively. Under this account</w:t>
      </w:r>
      <w:r w:rsidR="003307AD">
        <w:rPr>
          <w:rFonts w:ascii="Garamond" w:hAnsi="Garamond" w:cstheme="minorHAnsi"/>
          <w:sz w:val="24"/>
          <w:szCs w:val="24"/>
          <w:lang w:val="en-US"/>
        </w:rPr>
        <w:t>,</w:t>
      </w:r>
      <w:r w:rsidRPr="00461D74">
        <w:rPr>
          <w:rFonts w:ascii="Garamond" w:hAnsi="Garamond" w:cstheme="minorHAnsi"/>
          <w:sz w:val="24"/>
          <w:szCs w:val="24"/>
          <w:lang w:val="en-US"/>
        </w:rPr>
        <w:t xml:space="preserve"> the type of social forms that could engender practices and their internal goods of virtue, are small communities, not the large nation state</w:t>
      </w:r>
      <w:r w:rsidR="0055098D" w:rsidRPr="00461D74">
        <w:rPr>
          <w:rFonts w:ascii="Garamond" w:hAnsi="Garamond" w:cstheme="minorHAnsi"/>
          <w:sz w:val="24"/>
          <w:szCs w:val="24"/>
          <w:lang w:val="en-US"/>
        </w:rPr>
        <w:t>,</w:t>
      </w:r>
      <w:r w:rsidRPr="00461D74">
        <w:rPr>
          <w:rFonts w:ascii="Garamond" w:hAnsi="Garamond" w:cstheme="minorHAnsi"/>
          <w:sz w:val="24"/>
          <w:szCs w:val="24"/>
          <w:lang w:val="en-US"/>
        </w:rPr>
        <w:t xml:space="preserve"> </w:t>
      </w:r>
      <w:r w:rsidR="0055098D" w:rsidRPr="00461D74">
        <w:rPr>
          <w:rFonts w:ascii="Garamond" w:hAnsi="Garamond" w:cstheme="minorHAnsi"/>
          <w:sz w:val="24"/>
          <w:szCs w:val="24"/>
          <w:lang w:val="en-US"/>
        </w:rPr>
        <w:t>because</w:t>
      </w:r>
      <w:r w:rsidRPr="00461D74">
        <w:rPr>
          <w:rFonts w:ascii="Garamond" w:hAnsi="Garamond" w:cstheme="minorHAnsi"/>
          <w:sz w:val="24"/>
          <w:szCs w:val="24"/>
          <w:lang w:val="en-US"/>
        </w:rPr>
        <w:t xml:space="preserve"> a society that understands politics as a practice (in MacIntyre’s sense) </w:t>
      </w:r>
      <w:r w:rsidRPr="00461D74">
        <w:rPr>
          <w:rFonts w:ascii="Garamond" w:hAnsi="Garamond" w:cstheme="minorHAnsi"/>
          <w:sz w:val="24"/>
          <w:szCs w:val="24"/>
          <w:lang w:val="en-US"/>
        </w:rPr>
        <w:lastRenderedPageBreak/>
        <w:t xml:space="preserve">must be arranged in a genuinely participatory fashion and </w:t>
      </w:r>
      <w:r w:rsidR="0055098D" w:rsidRPr="00461D74">
        <w:rPr>
          <w:rFonts w:ascii="Garamond" w:hAnsi="Garamond" w:cstheme="minorHAnsi"/>
          <w:sz w:val="24"/>
          <w:szCs w:val="24"/>
          <w:lang w:val="en-US"/>
        </w:rPr>
        <w:t xml:space="preserve">therefore </w:t>
      </w:r>
      <w:r w:rsidRPr="00461D74">
        <w:rPr>
          <w:rFonts w:ascii="Garamond" w:hAnsi="Garamond" w:cstheme="minorHAnsi"/>
          <w:sz w:val="24"/>
          <w:szCs w:val="24"/>
          <w:lang w:val="en-US"/>
        </w:rPr>
        <w:t xml:space="preserve">it cannot be of an indefinite size. Knight offers us </w:t>
      </w:r>
      <w:r w:rsidR="0055098D" w:rsidRPr="00461D74">
        <w:rPr>
          <w:rFonts w:ascii="Garamond" w:hAnsi="Garamond" w:cstheme="minorHAnsi"/>
          <w:sz w:val="24"/>
          <w:szCs w:val="24"/>
          <w:lang w:val="en-US"/>
        </w:rPr>
        <w:t xml:space="preserve">MacIntyre’s </w:t>
      </w:r>
      <w:r w:rsidRPr="00461D74">
        <w:rPr>
          <w:rFonts w:ascii="Garamond" w:hAnsi="Garamond" w:cstheme="minorHAnsi"/>
          <w:sz w:val="24"/>
          <w:szCs w:val="24"/>
          <w:lang w:val="en-US"/>
        </w:rPr>
        <w:t>examples of (</w:t>
      </w:r>
      <w:proofErr w:type="spellStart"/>
      <w:r w:rsidRPr="00461D74">
        <w:rPr>
          <w:rFonts w:ascii="Garamond" w:hAnsi="Garamond" w:cstheme="minorHAnsi"/>
          <w:sz w:val="24"/>
          <w:szCs w:val="24"/>
          <w:lang w:val="en-US"/>
        </w:rPr>
        <w:t>i</w:t>
      </w:r>
      <w:proofErr w:type="spellEnd"/>
      <w:r w:rsidRPr="00461D74">
        <w:rPr>
          <w:rFonts w:ascii="Garamond" w:hAnsi="Garamond" w:cstheme="minorHAnsi"/>
          <w:sz w:val="24"/>
          <w:szCs w:val="24"/>
          <w:lang w:val="en-US"/>
        </w:rPr>
        <w:t>) fishing communities in New England; (ii) Welsh mining communities; (iii) and Mayan towns in Guatemala. The above are examples of particular communities that are networks of giving and receiving where practices are institutionalized under conditions which strengthens them. These examples serves to provide the type of resources that on MacIntyre’s account engenders a form of social life that facilitates the genuine practices of the virtues.</w:t>
      </w:r>
      <w:r w:rsidRPr="00461D74">
        <w:rPr>
          <w:rFonts w:ascii="Garamond" w:hAnsi="Garamond" w:cstheme="minorHAnsi"/>
          <w:sz w:val="24"/>
          <w:szCs w:val="24"/>
          <w:vertAlign w:val="superscript"/>
          <w:lang w:val="en-US"/>
        </w:rPr>
        <w:footnoteReference w:id="296"/>
      </w:r>
      <w:r w:rsidRPr="00461D74">
        <w:rPr>
          <w:rFonts w:ascii="Garamond" w:hAnsi="Garamond" w:cstheme="minorHAnsi"/>
          <w:sz w:val="24"/>
          <w:szCs w:val="24"/>
          <w:lang w:val="en-US"/>
        </w:rPr>
        <w:t xml:space="preserve"> It </w:t>
      </w:r>
      <w:r w:rsidR="001521D2">
        <w:rPr>
          <w:rFonts w:ascii="Garamond" w:hAnsi="Garamond" w:cstheme="minorHAnsi"/>
          <w:sz w:val="24"/>
          <w:szCs w:val="24"/>
          <w:lang w:val="en-US"/>
        </w:rPr>
        <w:t>seems</w:t>
      </w:r>
      <w:r w:rsidRPr="00461D74">
        <w:rPr>
          <w:rFonts w:ascii="Garamond" w:hAnsi="Garamond" w:cstheme="minorHAnsi"/>
          <w:sz w:val="24"/>
          <w:szCs w:val="24"/>
          <w:lang w:val="en-US"/>
        </w:rPr>
        <w:t xml:space="preserve"> that MacIntyre politics is </w:t>
      </w:r>
      <w:r w:rsidR="001521D2">
        <w:rPr>
          <w:rFonts w:ascii="Garamond" w:hAnsi="Garamond" w:cstheme="minorHAnsi"/>
          <w:sz w:val="24"/>
          <w:szCs w:val="24"/>
          <w:lang w:val="en-US"/>
        </w:rPr>
        <w:t xml:space="preserve">then </w:t>
      </w:r>
      <w:r w:rsidRPr="00461D74">
        <w:rPr>
          <w:rFonts w:ascii="Garamond" w:hAnsi="Garamond" w:cstheme="minorHAnsi"/>
          <w:sz w:val="24"/>
          <w:szCs w:val="24"/>
          <w:lang w:val="en-US"/>
        </w:rPr>
        <w:t xml:space="preserve">a politics of small-scale communities – communities that display close </w:t>
      </w:r>
      <w:r w:rsidR="0055098D" w:rsidRPr="00461D74">
        <w:rPr>
          <w:rFonts w:ascii="Garamond" w:hAnsi="Garamond" w:cstheme="minorHAnsi"/>
          <w:sz w:val="24"/>
          <w:szCs w:val="24"/>
          <w:lang w:val="en-US"/>
        </w:rPr>
        <w:t xml:space="preserve">social </w:t>
      </w:r>
      <w:r w:rsidRPr="00461D74">
        <w:rPr>
          <w:rFonts w:ascii="Garamond" w:hAnsi="Garamond" w:cstheme="minorHAnsi"/>
          <w:sz w:val="24"/>
          <w:szCs w:val="24"/>
          <w:lang w:val="en-US"/>
        </w:rPr>
        <w:t>bonds.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US"/>
        </w:rPr>
        <w:t>So how has MacIntyre augmented Aristotelian Thomism? The most important claim that Knight makes which concerns our line of inquiry is that MacIntyre has revised and transformed Aristotelian-Thomism through augmenting that tradition with a sociological critique of society and its institutions.</w:t>
      </w:r>
      <w:r w:rsidRPr="00461D74">
        <w:rPr>
          <w:rFonts w:ascii="Garamond" w:hAnsi="Garamond" w:cstheme="minorHAnsi"/>
          <w:sz w:val="24"/>
          <w:szCs w:val="24"/>
        </w:rPr>
        <w:t xml:space="preserve"> To this extent, then, it could be </w:t>
      </w:r>
      <w:r w:rsidR="00C6616D" w:rsidRPr="00461D74">
        <w:rPr>
          <w:rFonts w:ascii="Garamond" w:hAnsi="Garamond" w:cstheme="minorHAnsi"/>
          <w:sz w:val="24"/>
          <w:szCs w:val="24"/>
        </w:rPr>
        <w:t>argued</w:t>
      </w:r>
      <w:r w:rsidRPr="00461D74">
        <w:rPr>
          <w:rFonts w:ascii="Garamond" w:hAnsi="Garamond" w:cstheme="minorHAnsi"/>
          <w:sz w:val="24"/>
          <w:szCs w:val="24"/>
        </w:rPr>
        <w:t xml:space="preserve"> that Knight shows how MacIntyre’s position, while deeply influenced by Aristotle and Aquinas, can be developed in such a way as to inform our understanding of the modern world, </w:t>
      </w:r>
      <w:r w:rsidR="00C6616D" w:rsidRPr="00461D74">
        <w:rPr>
          <w:rFonts w:ascii="Garamond" w:hAnsi="Garamond" w:cstheme="minorHAnsi"/>
          <w:sz w:val="24"/>
          <w:szCs w:val="24"/>
        </w:rPr>
        <w:t>and in the process</w:t>
      </w:r>
      <w:r w:rsidR="001521D2">
        <w:rPr>
          <w:rFonts w:ascii="Garamond" w:hAnsi="Garamond" w:cstheme="minorHAnsi"/>
          <w:sz w:val="24"/>
          <w:szCs w:val="24"/>
        </w:rPr>
        <w:t>,</w:t>
      </w:r>
      <w:r w:rsidRPr="00461D74">
        <w:rPr>
          <w:rFonts w:ascii="Garamond" w:hAnsi="Garamond" w:cstheme="minorHAnsi"/>
          <w:sz w:val="24"/>
          <w:szCs w:val="24"/>
        </w:rPr>
        <w:t xml:space="preserve"> </w:t>
      </w:r>
      <w:r w:rsidR="00C6616D" w:rsidRPr="00461D74">
        <w:rPr>
          <w:rFonts w:ascii="Garamond" w:hAnsi="Garamond" w:cstheme="minorHAnsi"/>
          <w:sz w:val="24"/>
          <w:szCs w:val="24"/>
        </w:rPr>
        <w:t xml:space="preserve">MacIntyre is able to address </w:t>
      </w:r>
      <w:r w:rsidRPr="00461D74">
        <w:rPr>
          <w:rFonts w:ascii="Garamond" w:hAnsi="Garamond" w:cstheme="minorHAnsi"/>
          <w:sz w:val="24"/>
          <w:szCs w:val="24"/>
        </w:rPr>
        <w:t xml:space="preserve">the </w:t>
      </w:r>
      <w:r w:rsidR="00D90F06" w:rsidRPr="00461D74">
        <w:rPr>
          <w:rFonts w:ascii="Garamond" w:hAnsi="Garamond" w:cstheme="minorHAnsi"/>
          <w:sz w:val="24"/>
          <w:szCs w:val="24"/>
        </w:rPr>
        <w:t xml:space="preserve">second </w:t>
      </w:r>
      <w:r w:rsidRPr="00461D74">
        <w:rPr>
          <w:rFonts w:ascii="Garamond" w:hAnsi="Garamond" w:cstheme="minorHAnsi"/>
          <w:sz w:val="24"/>
          <w:szCs w:val="24"/>
        </w:rPr>
        <w:t xml:space="preserve">tension </w:t>
      </w:r>
      <w:r w:rsidR="00C6616D" w:rsidRPr="00461D74">
        <w:rPr>
          <w:rFonts w:ascii="Garamond" w:hAnsi="Garamond" w:cstheme="minorHAnsi"/>
          <w:sz w:val="24"/>
          <w:szCs w:val="24"/>
        </w:rPr>
        <w:t>I outlined earlier</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rPr>
        <w:t xml:space="preserve">However, an immediate difficulty </w:t>
      </w:r>
      <w:r w:rsidR="00945908" w:rsidRPr="00461D74">
        <w:rPr>
          <w:rFonts w:ascii="Garamond" w:hAnsi="Garamond" w:cstheme="minorHAnsi"/>
          <w:sz w:val="24"/>
          <w:szCs w:val="24"/>
        </w:rPr>
        <w:t xml:space="preserve">that emerges here </w:t>
      </w:r>
      <w:r w:rsidRPr="00461D74">
        <w:rPr>
          <w:rFonts w:ascii="Garamond" w:hAnsi="Garamond" w:cstheme="minorHAnsi"/>
          <w:sz w:val="24"/>
          <w:szCs w:val="24"/>
        </w:rPr>
        <w:t>is that on Knight’s reading of MacIntyre</w:t>
      </w:r>
      <w:r w:rsidR="00945908" w:rsidRPr="00461D74">
        <w:rPr>
          <w:rFonts w:ascii="Garamond" w:hAnsi="Garamond" w:cstheme="minorHAnsi"/>
          <w:sz w:val="24"/>
          <w:szCs w:val="24"/>
        </w:rPr>
        <w:t>,</w:t>
      </w:r>
      <w:r w:rsidRPr="00461D74">
        <w:rPr>
          <w:rFonts w:ascii="Garamond" w:hAnsi="Garamond" w:cstheme="minorHAnsi"/>
          <w:sz w:val="24"/>
          <w:szCs w:val="24"/>
        </w:rPr>
        <w:t xml:space="preserve"> the social critique that MacIntyre adopts seemingly rules out the possibility of an Aristotelian politics in the modern state</w:t>
      </w:r>
      <w:r w:rsidR="00945908" w:rsidRPr="00461D74">
        <w:rPr>
          <w:rFonts w:ascii="Garamond" w:hAnsi="Garamond" w:cstheme="minorHAnsi"/>
          <w:sz w:val="24"/>
          <w:szCs w:val="24"/>
        </w:rPr>
        <w:t>;</w:t>
      </w:r>
      <w:r w:rsidRPr="00461D74">
        <w:rPr>
          <w:rFonts w:ascii="Garamond" w:hAnsi="Garamond" w:cstheme="minorHAnsi"/>
          <w:sz w:val="24"/>
          <w:szCs w:val="24"/>
        </w:rPr>
        <w:t xml:space="preserve"> instead the main thrust of MacIntyre’s politics is at the level of local communities</w:t>
      </w:r>
      <w:r w:rsidR="00C41A23" w:rsidRPr="00461D74">
        <w:rPr>
          <w:rFonts w:ascii="Garamond" w:hAnsi="Garamond" w:cstheme="minorHAnsi"/>
          <w:sz w:val="24"/>
          <w:szCs w:val="24"/>
        </w:rPr>
        <w:t xml:space="preserve"> instead</w:t>
      </w:r>
      <w:r w:rsidRPr="00461D74">
        <w:rPr>
          <w:rFonts w:ascii="Garamond" w:hAnsi="Garamond" w:cstheme="minorHAnsi"/>
          <w:sz w:val="24"/>
          <w:szCs w:val="24"/>
        </w:rPr>
        <w:t xml:space="preserve">. Yet it seems reasonable to maintain that MacIntyre’s defence of politics at the level of local communities requires some level of engagement and interaction with the state. </w:t>
      </w:r>
      <w:r w:rsidR="0071472B">
        <w:rPr>
          <w:rFonts w:ascii="Garamond" w:hAnsi="Garamond" w:cstheme="minorHAnsi"/>
          <w:sz w:val="24"/>
          <w:szCs w:val="24"/>
        </w:rPr>
        <w:t xml:space="preserve">This is important on account of that fact </w:t>
      </w:r>
      <w:r w:rsidRPr="00461D74">
        <w:rPr>
          <w:rFonts w:ascii="Garamond" w:hAnsi="Garamond" w:cstheme="minorHAnsi"/>
          <w:sz w:val="24"/>
          <w:szCs w:val="24"/>
        </w:rPr>
        <w:t xml:space="preserve">that </w:t>
      </w:r>
      <w:r w:rsidRPr="00461D74">
        <w:rPr>
          <w:rFonts w:ascii="Garamond" w:hAnsi="Garamond" w:cstheme="minorHAnsi"/>
          <w:sz w:val="24"/>
          <w:szCs w:val="24"/>
          <w:lang w:val="en-US"/>
        </w:rPr>
        <w:t xml:space="preserve">in our contemporary world, globalization and large nation states are a fact of life. </w:t>
      </w:r>
      <w:r w:rsidR="001521D2">
        <w:rPr>
          <w:rFonts w:ascii="Garamond" w:hAnsi="Garamond" w:cstheme="minorHAnsi"/>
          <w:sz w:val="24"/>
          <w:szCs w:val="24"/>
          <w:lang w:val="en-US"/>
        </w:rPr>
        <w:t xml:space="preserve">Now, in addition to our </w:t>
      </w:r>
      <w:r w:rsidR="001521D2">
        <w:rPr>
          <w:rFonts w:ascii="Garamond" w:hAnsi="Garamond" w:cstheme="minorHAnsi"/>
          <w:sz w:val="24"/>
          <w:szCs w:val="24"/>
          <w:lang w:val="en-US"/>
        </w:rPr>
        <w:lastRenderedPageBreak/>
        <w:t xml:space="preserve">membership in the local community </w:t>
      </w:r>
      <w:r w:rsidR="00E917DF">
        <w:rPr>
          <w:rFonts w:ascii="Garamond" w:hAnsi="Garamond" w:cstheme="minorHAnsi"/>
          <w:sz w:val="24"/>
          <w:szCs w:val="24"/>
          <w:lang w:val="en-US"/>
        </w:rPr>
        <w:t>where</w:t>
      </w:r>
      <w:r w:rsidR="001521D2">
        <w:rPr>
          <w:rFonts w:ascii="Garamond" w:hAnsi="Garamond" w:cstheme="minorHAnsi"/>
          <w:sz w:val="24"/>
          <w:szCs w:val="24"/>
          <w:lang w:val="en-US"/>
        </w:rPr>
        <w:t xml:space="preserve"> we reside, </w:t>
      </w:r>
      <w:r w:rsidR="00E917DF">
        <w:rPr>
          <w:rFonts w:ascii="Garamond" w:hAnsi="Garamond" w:cstheme="minorHAnsi"/>
          <w:sz w:val="24"/>
          <w:szCs w:val="24"/>
          <w:lang w:val="en-US"/>
        </w:rPr>
        <w:t xml:space="preserve">we are simultaneously members of large nation states, and </w:t>
      </w:r>
      <w:r w:rsidRPr="00461D74">
        <w:rPr>
          <w:rFonts w:ascii="Garamond" w:hAnsi="Garamond" w:cstheme="minorHAnsi"/>
          <w:sz w:val="24"/>
          <w:szCs w:val="24"/>
          <w:lang w:val="en-US"/>
        </w:rPr>
        <w:t>in an ever increasingly technologically connected world</w:t>
      </w:r>
      <w:r w:rsidR="00E917DF">
        <w:rPr>
          <w:rFonts w:ascii="Garamond" w:hAnsi="Garamond" w:cstheme="minorHAnsi"/>
          <w:sz w:val="24"/>
          <w:szCs w:val="24"/>
          <w:lang w:val="en-US"/>
        </w:rPr>
        <w:t>,</w:t>
      </w:r>
      <w:r w:rsidRPr="00461D74">
        <w:rPr>
          <w:rFonts w:ascii="Garamond" w:hAnsi="Garamond" w:cstheme="minorHAnsi"/>
          <w:sz w:val="24"/>
          <w:szCs w:val="24"/>
          <w:lang w:val="en-US"/>
        </w:rPr>
        <w:t xml:space="preserve"> we are at once members of </w:t>
      </w:r>
      <w:r w:rsidR="001521D2">
        <w:rPr>
          <w:rFonts w:ascii="Garamond" w:hAnsi="Garamond" w:cstheme="minorHAnsi"/>
          <w:sz w:val="24"/>
          <w:szCs w:val="24"/>
          <w:lang w:val="en-US"/>
        </w:rPr>
        <w:t>trans-national (and often digital) cooperative/competitive entities</w:t>
      </w:r>
      <w:r w:rsidRPr="00461D74">
        <w:rPr>
          <w:rFonts w:ascii="Garamond" w:hAnsi="Garamond" w:cstheme="minorHAnsi"/>
          <w:sz w:val="24"/>
          <w:szCs w:val="24"/>
          <w:lang w:val="en-US"/>
        </w:rPr>
        <w:t xml:space="preserve">. </w:t>
      </w:r>
      <w:r w:rsidR="00945908" w:rsidRPr="00461D74">
        <w:rPr>
          <w:rFonts w:ascii="Garamond" w:hAnsi="Garamond" w:cstheme="minorHAnsi"/>
          <w:sz w:val="24"/>
          <w:szCs w:val="24"/>
          <w:lang w:val="en-US"/>
        </w:rPr>
        <w:t xml:space="preserve">I should emphasize here </w:t>
      </w:r>
      <w:r w:rsidRPr="00461D74">
        <w:rPr>
          <w:rFonts w:ascii="Garamond" w:hAnsi="Garamond" w:cstheme="minorHAnsi"/>
          <w:sz w:val="24"/>
          <w:szCs w:val="24"/>
          <w:lang w:val="en-US"/>
        </w:rPr>
        <w:t>that</w:t>
      </w:r>
      <w:r w:rsidR="00945908" w:rsidRPr="00461D74">
        <w:rPr>
          <w:rFonts w:ascii="Garamond" w:hAnsi="Garamond" w:cstheme="minorHAnsi"/>
          <w:sz w:val="24"/>
          <w:szCs w:val="24"/>
          <w:lang w:val="en-US"/>
        </w:rPr>
        <w:t xml:space="preserve"> the kind of </w:t>
      </w:r>
      <w:r w:rsidRPr="00461D74">
        <w:rPr>
          <w:rFonts w:ascii="Garamond" w:hAnsi="Garamond" w:cstheme="minorHAnsi"/>
          <w:sz w:val="24"/>
          <w:szCs w:val="24"/>
          <w:lang w:val="en-US"/>
        </w:rPr>
        <w:t>historicis</w:t>
      </w:r>
      <w:r w:rsidR="00C6616D" w:rsidRPr="00461D74">
        <w:rPr>
          <w:rFonts w:ascii="Garamond" w:hAnsi="Garamond" w:cstheme="minorHAnsi"/>
          <w:sz w:val="24"/>
          <w:szCs w:val="24"/>
          <w:lang w:val="en-US"/>
        </w:rPr>
        <w:t xml:space="preserve">m that </w:t>
      </w:r>
      <w:r w:rsidR="00BF0EE2" w:rsidRPr="00461D74">
        <w:rPr>
          <w:rFonts w:ascii="Garamond" w:hAnsi="Garamond" w:cstheme="minorHAnsi"/>
          <w:sz w:val="24"/>
          <w:szCs w:val="24"/>
          <w:lang w:val="en-US"/>
        </w:rPr>
        <w:t>MacIntyre seems to support</w:t>
      </w:r>
      <w:r w:rsidR="00BF0EE2" w:rsidRPr="00461D74">
        <w:rPr>
          <w:rStyle w:val="FootnoteReference"/>
          <w:rFonts w:ascii="Garamond" w:hAnsi="Garamond" w:cstheme="minorHAnsi"/>
          <w:sz w:val="24"/>
          <w:szCs w:val="24"/>
          <w:lang w:val="en-US"/>
        </w:rPr>
        <w:footnoteReference w:id="297"/>
      </w:r>
      <w:r w:rsidR="00BF0EE2"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presupposes just this sort of claim. </w:t>
      </w:r>
      <w:r w:rsidR="00945908" w:rsidRPr="00461D74">
        <w:rPr>
          <w:rFonts w:ascii="Garamond" w:hAnsi="Garamond" w:cstheme="minorHAnsi"/>
          <w:sz w:val="24"/>
          <w:szCs w:val="24"/>
          <w:lang w:val="en-US"/>
        </w:rPr>
        <w:t>Therefore</w:t>
      </w:r>
      <w:r w:rsidR="000A1ADB">
        <w:rPr>
          <w:rFonts w:ascii="Garamond" w:hAnsi="Garamond" w:cstheme="minorHAnsi"/>
          <w:sz w:val="24"/>
          <w:szCs w:val="24"/>
          <w:lang w:val="en-US"/>
        </w:rPr>
        <w:t>,</w:t>
      </w:r>
      <w:r w:rsidRPr="00461D74">
        <w:rPr>
          <w:rFonts w:ascii="Garamond" w:hAnsi="Garamond" w:cstheme="minorHAnsi"/>
          <w:sz w:val="24"/>
          <w:szCs w:val="24"/>
          <w:lang w:val="en-US"/>
        </w:rPr>
        <w:t xml:space="preserve"> an important worry </w:t>
      </w:r>
      <w:r w:rsidR="000A1ADB">
        <w:rPr>
          <w:rFonts w:ascii="Garamond" w:hAnsi="Garamond" w:cstheme="minorHAnsi"/>
          <w:sz w:val="24"/>
          <w:szCs w:val="24"/>
          <w:lang w:val="en-US"/>
        </w:rPr>
        <w:t>seems to emerge if</w:t>
      </w:r>
      <w:r w:rsidRPr="00461D74">
        <w:rPr>
          <w:rFonts w:ascii="Garamond" w:hAnsi="Garamond" w:cstheme="minorHAnsi"/>
          <w:sz w:val="24"/>
          <w:szCs w:val="24"/>
          <w:lang w:val="en-US"/>
        </w:rPr>
        <w:t xml:space="preserve"> MacIntyre’s </w:t>
      </w:r>
      <w:r w:rsidR="000A1ADB">
        <w:rPr>
          <w:rFonts w:ascii="Garamond" w:hAnsi="Garamond" w:cstheme="minorHAnsi"/>
          <w:sz w:val="24"/>
          <w:szCs w:val="24"/>
          <w:lang w:val="en-US"/>
        </w:rPr>
        <w:t xml:space="preserve">sole and </w:t>
      </w:r>
      <w:r w:rsidRPr="00461D74">
        <w:rPr>
          <w:rFonts w:ascii="Garamond" w:hAnsi="Garamond" w:cstheme="minorHAnsi"/>
          <w:sz w:val="24"/>
          <w:szCs w:val="24"/>
          <w:lang w:val="en-US"/>
        </w:rPr>
        <w:t xml:space="preserve">primary focus </w:t>
      </w:r>
      <w:r w:rsidR="000A1ADB">
        <w:rPr>
          <w:rFonts w:ascii="Garamond" w:hAnsi="Garamond" w:cstheme="minorHAnsi"/>
          <w:sz w:val="24"/>
          <w:szCs w:val="24"/>
          <w:lang w:val="en-US"/>
        </w:rPr>
        <w:t xml:space="preserve">is </w:t>
      </w:r>
      <w:r w:rsidRPr="00461D74">
        <w:rPr>
          <w:rFonts w:ascii="Garamond" w:hAnsi="Garamond" w:cstheme="minorHAnsi"/>
          <w:sz w:val="24"/>
          <w:szCs w:val="24"/>
          <w:lang w:val="en-US"/>
        </w:rPr>
        <w:t xml:space="preserve">on local politics: what sort of politics can encapsulate MacIntyre’s revival of a Thomistic-Aristotelian local politics of the common good, yet at the same time be consistent with the type of historicism explicitly formulated in </w:t>
      </w:r>
      <w:r w:rsidR="00945908" w:rsidRPr="00461D74">
        <w:rPr>
          <w:rFonts w:ascii="Garamond" w:hAnsi="Garamond" w:cstheme="minorHAnsi"/>
          <w:sz w:val="24"/>
          <w:szCs w:val="24"/>
          <w:lang w:val="en-US"/>
        </w:rPr>
        <w:t>MacIntyre’s</w:t>
      </w:r>
      <w:r w:rsidRPr="00461D74">
        <w:rPr>
          <w:rFonts w:ascii="Garamond" w:hAnsi="Garamond" w:cstheme="minorHAnsi"/>
          <w:sz w:val="24"/>
          <w:szCs w:val="24"/>
          <w:lang w:val="en-US"/>
        </w:rPr>
        <w:t xml:space="preserve"> work?</w:t>
      </w:r>
      <w:r w:rsidR="000A1ADB" w:rsidRPr="00461D74">
        <w:rPr>
          <w:rStyle w:val="FootnoteReference"/>
          <w:rFonts w:ascii="Garamond" w:hAnsi="Garamond" w:cstheme="minorHAnsi"/>
          <w:sz w:val="24"/>
          <w:szCs w:val="24"/>
          <w:lang w:val="en-US"/>
        </w:rPr>
        <w:footnoteReference w:id="298"/>
      </w:r>
      <w:r w:rsidRPr="00461D74">
        <w:rPr>
          <w:rFonts w:ascii="Garamond" w:hAnsi="Garamond" w:cstheme="minorHAnsi"/>
          <w:sz w:val="24"/>
          <w:szCs w:val="24"/>
          <w:lang w:val="en-US"/>
        </w:rPr>
        <w:t xml:space="preserve"> </w:t>
      </w:r>
      <w:r w:rsidR="00945908" w:rsidRPr="00461D74">
        <w:rPr>
          <w:rFonts w:ascii="Garamond" w:hAnsi="Garamond" w:cstheme="minorHAnsi"/>
          <w:sz w:val="24"/>
          <w:szCs w:val="24"/>
          <w:lang w:val="en-US"/>
        </w:rPr>
        <w:t>And w</w:t>
      </w:r>
      <w:r w:rsidRPr="00461D74">
        <w:rPr>
          <w:rFonts w:ascii="Garamond" w:hAnsi="Garamond" w:cstheme="minorHAnsi"/>
          <w:sz w:val="24"/>
          <w:szCs w:val="24"/>
          <w:lang w:val="en-US"/>
        </w:rPr>
        <w:t>hat sort of politics of the common good can be made consistent with MacIntyre’s own historicism?</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 xml:space="preserve">We </w:t>
      </w:r>
      <w:r w:rsidR="00945908" w:rsidRPr="00461D74">
        <w:rPr>
          <w:rFonts w:ascii="Garamond" w:hAnsi="Garamond" w:cstheme="minorHAnsi"/>
          <w:sz w:val="24"/>
          <w:szCs w:val="24"/>
          <w:lang w:val="en-US"/>
        </w:rPr>
        <w:t xml:space="preserve">can </w:t>
      </w:r>
      <w:r w:rsidRPr="00461D74">
        <w:rPr>
          <w:rFonts w:ascii="Garamond" w:hAnsi="Garamond" w:cstheme="minorHAnsi"/>
          <w:sz w:val="24"/>
          <w:szCs w:val="24"/>
          <w:lang w:val="en-US"/>
        </w:rPr>
        <w:t xml:space="preserve">readily observe that large nation states and globalization are salient facts of the modern world. </w:t>
      </w:r>
      <w:r w:rsidR="00945908" w:rsidRPr="00461D74">
        <w:rPr>
          <w:rFonts w:ascii="Garamond" w:hAnsi="Garamond" w:cstheme="minorHAnsi"/>
          <w:sz w:val="24"/>
          <w:szCs w:val="24"/>
          <w:lang w:val="en-US"/>
        </w:rPr>
        <w:t xml:space="preserve">Nevertheless, this is </w:t>
      </w:r>
      <w:r w:rsidRPr="00461D74">
        <w:rPr>
          <w:rFonts w:ascii="Garamond" w:hAnsi="Garamond" w:cstheme="minorHAnsi"/>
          <w:sz w:val="24"/>
          <w:szCs w:val="24"/>
          <w:lang w:val="en-US"/>
        </w:rPr>
        <w:t xml:space="preserve">in some sense incompatible with MacIntyre’s politics of the common good, for on his account, </w:t>
      </w:r>
      <w:r w:rsidR="00E15CAD">
        <w:rPr>
          <w:rFonts w:ascii="Garamond" w:hAnsi="Garamond" w:cstheme="minorHAnsi"/>
          <w:sz w:val="24"/>
          <w:szCs w:val="24"/>
          <w:lang w:val="en-US"/>
        </w:rPr>
        <w:t>the</w:t>
      </w:r>
      <w:r w:rsidR="00E15CAD" w:rsidRPr="00461D74">
        <w:rPr>
          <w:rFonts w:ascii="Garamond" w:hAnsi="Garamond" w:cstheme="minorHAnsi"/>
          <w:sz w:val="24"/>
          <w:szCs w:val="24"/>
          <w:lang w:val="en-US"/>
        </w:rPr>
        <w:t xml:space="preserve"> </w:t>
      </w:r>
      <w:r w:rsidRPr="00461D74">
        <w:rPr>
          <w:rFonts w:ascii="Garamond" w:hAnsi="Garamond" w:cstheme="minorHAnsi"/>
          <w:sz w:val="24"/>
          <w:szCs w:val="24"/>
          <w:lang w:val="en-US"/>
        </w:rPr>
        <w:t>contemporary nation</w:t>
      </w:r>
      <w:r w:rsidR="00E15CAD">
        <w:rPr>
          <w:rFonts w:ascii="Garamond" w:hAnsi="Garamond" w:cstheme="minorHAnsi"/>
          <w:sz w:val="24"/>
          <w:szCs w:val="24"/>
          <w:lang w:val="en-US"/>
        </w:rPr>
        <w:t xml:space="preserve"> </w:t>
      </w:r>
      <w:r w:rsidRPr="00461D74">
        <w:rPr>
          <w:rFonts w:ascii="Garamond" w:hAnsi="Garamond" w:cstheme="minorHAnsi"/>
          <w:sz w:val="24"/>
          <w:szCs w:val="24"/>
          <w:lang w:val="en-US"/>
        </w:rPr>
        <w:t>s</w:t>
      </w:r>
      <w:r w:rsidR="00E15CAD">
        <w:rPr>
          <w:rFonts w:ascii="Garamond" w:hAnsi="Garamond" w:cstheme="minorHAnsi"/>
          <w:sz w:val="24"/>
          <w:szCs w:val="24"/>
          <w:lang w:val="en-US"/>
        </w:rPr>
        <w:t>tate,</w:t>
      </w:r>
      <w:r w:rsidRPr="00461D74">
        <w:rPr>
          <w:rFonts w:ascii="Garamond" w:hAnsi="Garamond" w:cstheme="minorHAnsi"/>
          <w:sz w:val="24"/>
          <w:szCs w:val="24"/>
          <w:lang w:val="en-US"/>
        </w:rPr>
        <w:t xml:space="preserve"> </w:t>
      </w:r>
      <w:r w:rsidR="00E15CAD">
        <w:rPr>
          <w:rFonts w:ascii="Garamond" w:hAnsi="Garamond" w:cstheme="minorHAnsi"/>
          <w:sz w:val="24"/>
          <w:szCs w:val="24"/>
          <w:lang w:val="en-US"/>
        </w:rPr>
        <w:t xml:space="preserve">and in some cases even cities, </w:t>
      </w:r>
      <w:r w:rsidRPr="00461D74">
        <w:rPr>
          <w:rFonts w:ascii="Garamond" w:hAnsi="Garamond" w:cstheme="minorHAnsi"/>
          <w:sz w:val="24"/>
          <w:szCs w:val="24"/>
          <w:lang w:val="en-US"/>
        </w:rPr>
        <w:t xml:space="preserve">are so large as to limit the practice of a properly deliberative Aristotelian form of politics. </w:t>
      </w:r>
      <w:r w:rsidR="009E7DEE" w:rsidRPr="00461D74">
        <w:rPr>
          <w:rFonts w:ascii="Garamond" w:hAnsi="Garamond" w:cstheme="minorHAnsi"/>
          <w:sz w:val="24"/>
          <w:szCs w:val="24"/>
          <w:lang w:val="en-US"/>
        </w:rPr>
        <w:t xml:space="preserve">Yet, it </w:t>
      </w:r>
      <w:r w:rsidR="00E15CAD">
        <w:rPr>
          <w:rFonts w:ascii="Garamond" w:hAnsi="Garamond" w:cstheme="minorHAnsi"/>
          <w:sz w:val="24"/>
          <w:szCs w:val="24"/>
          <w:lang w:val="en-US"/>
        </w:rPr>
        <w:t>seems</w:t>
      </w:r>
      <w:r w:rsidR="009E7DEE" w:rsidRPr="00461D74">
        <w:rPr>
          <w:rFonts w:ascii="Garamond" w:hAnsi="Garamond" w:cstheme="minorHAnsi"/>
          <w:sz w:val="24"/>
          <w:szCs w:val="24"/>
          <w:lang w:val="en-US"/>
        </w:rPr>
        <w:t xml:space="preserve"> </w:t>
      </w:r>
      <w:r w:rsidR="00E15CAD">
        <w:rPr>
          <w:rFonts w:ascii="Garamond" w:hAnsi="Garamond" w:cstheme="minorHAnsi"/>
          <w:sz w:val="24"/>
          <w:szCs w:val="24"/>
          <w:lang w:val="en-US"/>
        </w:rPr>
        <w:t xml:space="preserve">to me </w:t>
      </w:r>
      <w:r w:rsidR="009E7DEE" w:rsidRPr="00461D74">
        <w:rPr>
          <w:rFonts w:ascii="Garamond" w:hAnsi="Garamond" w:cstheme="minorHAnsi"/>
          <w:sz w:val="24"/>
          <w:szCs w:val="24"/>
          <w:lang w:val="en-US"/>
        </w:rPr>
        <w:t xml:space="preserve">that </w:t>
      </w:r>
      <w:r w:rsidR="00E15CAD">
        <w:rPr>
          <w:rFonts w:ascii="Garamond" w:hAnsi="Garamond" w:cstheme="minorHAnsi"/>
          <w:sz w:val="24"/>
          <w:szCs w:val="24"/>
          <w:lang w:val="en-US"/>
        </w:rPr>
        <w:t xml:space="preserve">a complete </w:t>
      </w:r>
      <w:r w:rsidRPr="00461D74">
        <w:rPr>
          <w:rFonts w:ascii="Garamond" w:hAnsi="Garamond" w:cstheme="minorHAnsi"/>
          <w:sz w:val="24"/>
          <w:szCs w:val="24"/>
          <w:lang w:val="en-US"/>
        </w:rPr>
        <w:t>withdraw</w:t>
      </w:r>
      <w:r w:rsidR="009E7DEE" w:rsidRPr="00461D74">
        <w:rPr>
          <w:rFonts w:ascii="Garamond" w:hAnsi="Garamond" w:cstheme="minorHAnsi"/>
          <w:sz w:val="24"/>
          <w:szCs w:val="24"/>
          <w:lang w:val="en-US"/>
        </w:rPr>
        <w:t>al from large scale politics</w:t>
      </w:r>
      <w:r w:rsidRPr="00461D74">
        <w:rPr>
          <w:rFonts w:ascii="Garamond" w:hAnsi="Garamond" w:cstheme="minorHAnsi"/>
          <w:sz w:val="24"/>
          <w:szCs w:val="24"/>
          <w:lang w:val="en-US"/>
        </w:rPr>
        <w:t xml:space="preserve"> </w:t>
      </w:r>
      <w:r w:rsidR="00C6616D" w:rsidRPr="00461D74">
        <w:rPr>
          <w:rFonts w:ascii="Garamond" w:hAnsi="Garamond" w:cstheme="minorHAnsi"/>
          <w:sz w:val="24"/>
          <w:szCs w:val="24"/>
          <w:lang w:val="en-US"/>
        </w:rPr>
        <w:t xml:space="preserve">is not only </w:t>
      </w:r>
      <w:r w:rsidRPr="00461D74">
        <w:rPr>
          <w:rFonts w:ascii="Garamond" w:hAnsi="Garamond" w:cstheme="minorHAnsi"/>
          <w:sz w:val="24"/>
          <w:szCs w:val="24"/>
          <w:lang w:val="en-US"/>
        </w:rPr>
        <w:t xml:space="preserve">unrealistic, but </w:t>
      </w:r>
      <w:r w:rsidR="00E15CAD">
        <w:rPr>
          <w:rFonts w:ascii="Garamond" w:hAnsi="Garamond" w:cstheme="minorHAnsi"/>
          <w:sz w:val="24"/>
          <w:szCs w:val="24"/>
          <w:lang w:val="en-US"/>
        </w:rPr>
        <w:t>appears to</w:t>
      </w:r>
      <w:r w:rsidR="00E15CAD"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violate MacIntyre’s historicist thesis since </w:t>
      </w:r>
      <w:r w:rsidR="00E15CAD">
        <w:rPr>
          <w:rFonts w:ascii="Garamond" w:hAnsi="Garamond" w:cstheme="minorHAnsi"/>
          <w:sz w:val="24"/>
          <w:szCs w:val="24"/>
          <w:lang w:val="en-US"/>
        </w:rPr>
        <w:t>such a withdrawal implicitly</w:t>
      </w:r>
      <w:r w:rsidR="00E15CAD"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ignores salient facts </w:t>
      </w:r>
      <w:r w:rsidR="00BF0EE2" w:rsidRPr="00461D74">
        <w:rPr>
          <w:rFonts w:ascii="Garamond" w:hAnsi="Garamond" w:cstheme="minorHAnsi"/>
          <w:sz w:val="24"/>
          <w:szCs w:val="24"/>
          <w:lang w:val="en-US"/>
        </w:rPr>
        <w:t>constitutive of the</w:t>
      </w:r>
      <w:r w:rsidRPr="00461D74">
        <w:rPr>
          <w:rFonts w:ascii="Garamond" w:hAnsi="Garamond" w:cstheme="minorHAnsi"/>
          <w:sz w:val="24"/>
          <w:szCs w:val="24"/>
          <w:lang w:val="en-US"/>
        </w:rPr>
        <w:t xml:space="preserve"> contemporary </w:t>
      </w:r>
      <w:r w:rsidR="009E7DEE" w:rsidRPr="00461D74">
        <w:rPr>
          <w:rFonts w:ascii="Garamond" w:hAnsi="Garamond" w:cstheme="minorHAnsi"/>
          <w:sz w:val="24"/>
          <w:szCs w:val="24"/>
          <w:lang w:val="en-US"/>
        </w:rPr>
        <w:t xml:space="preserve">social </w:t>
      </w:r>
      <w:r w:rsidRPr="00461D74">
        <w:rPr>
          <w:rFonts w:ascii="Garamond" w:hAnsi="Garamond" w:cstheme="minorHAnsi"/>
          <w:sz w:val="24"/>
          <w:szCs w:val="24"/>
          <w:lang w:val="en-US"/>
        </w:rPr>
        <w:t>context. To escape this criticism MacIntyre needs to offer a type of politics that takes its historicity seriously</w:t>
      </w:r>
      <w:r w:rsidR="00BF0EE2" w:rsidRPr="00461D74">
        <w:rPr>
          <w:rFonts w:ascii="Garamond" w:hAnsi="Garamond" w:cstheme="minorHAnsi"/>
          <w:sz w:val="24"/>
          <w:szCs w:val="24"/>
          <w:lang w:val="en-US"/>
        </w:rPr>
        <w:t xml:space="preserve">, while simultaneously remains </w:t>
      </w:r>
      <w:r w:rsidRPr="00461D74">
        <w:rPr>
          <w:rFonts w:ascii="Garamond" w:hAnsi="Garamond" w:cstheme="minorHAnsi"/>
          <w:sz w:val="24"/>
          <w:szCs w:val="24"/>
          <w:lang w:val="en-US"/>
        </w:rPr>
        <w:t xml:space="preserve">allied with </w:t>
      </w:r>
      <w:r w:rsidR="00BF0EE2" w:rsidRPr="00461D74">
        <w:rPr>
          <w:rFonts w:ascii="Garamond" w:hAnsi="Garamond" w:cstheme="minorHAnsi"/>
          <w:sz w:val="24"/>
          <w:szCs w:val="24"/>
          <w:lang w:val="en-US"/>
        </w:rPr>
        <w:t>the</w:t>
      </w:r>
      <w:r w:rsidRPr="00461D74">
        <w:rPr>
          <w:rFonts w:ascii="Garamond" w:hAnsi="Garamond" w:cstheme="minorHAnsi"/>
          <w:sz w:val="24"/>
          <w:szCs w:val="24"/>
          <w:lang w:val="en-US"/>
        </w:rPr>
        <w:t xml:space="preserve"> Aristotelian</w:t>
      </w:r>
      <w:r w:rsidR="009E7DEE" w:rsidRPr="00461D74">
        <w:rPr>
          <w:rFonts w:ascii="Garamond" w:hAnsi="Garamond" w:cstheme="minorHAnsi"/>
          <w:sz w:val="24"/>
          <w:szCs w:val="24"/>
          <w:lang w:val="en-US"/>
        </w:rPr>
        <w:t>-Thom</w:t>
      </w:r>
      <w:r w:rsidRPr="00461D74">
        <w:rPr>
          <w:rFonts w:ascii="Garamond" w:hAnsi="Garamond" w:cstheme="minorHAnsi"/>
          <w:sz w:val="24"/>
          <w:szCs w:val="24"/>
          <w:lang w:val="en-US"/>
        </w:rPr>
        <w:t>is</w:t>
      </w:r>
      <w:r w:rsidR="00BF0EE2" w:rsidRPr="00461D74">
        <w:rPr>
          <w:rFonts w:ascii="Garamond" w:hAnsi="Garamond" w:cstheme="minorHAnsi"/>
          <w:sz w:val="24"/>
          <w:szCs w:val="24"/>
          <w:lang w:val="en-US"/>
        </w:rPr>
        <w:t xml:space="preserve">tic tradition in some </w:t>
      </w:r>
      <w:r w:rsidRPr="00461D74">
        <w:rPr>
          <w:rFonts w:ascii="Garamond" w:hAnsi="Garamond" w:cstheme="minorHAnsi"/>
          <w:sz w:val="24"/>
          <w:szCs w:val="24"/>
          <w:lang w:val="en-US"/>
        </w:rPr>
        <w:t>m</w:t>
      </w:r>
      <w:r w:rsidR="00BF0EE2" w:rsidRPr="00461D74">
        <w:rPr>
          <w:rFonts w:ascii="Garamond" w:hAnsi="Garamond" w:cstheme="minorHAnsi"/>
          <w:sz w:val="24"/>
          <w:szCs w:val="24"/>
          <w:lang w:val="en-US"/>
        </w:rPr>
        <w:t>eaningful sense</w:t>
      </w:r>
      <w:r w:rsidRPr="00461D74">
        <w:rPr>
          <w:rFonts w:ascii="Garamond" w:hAnsi="Garamond" w:cstheme="minorHAnsi"/>
          <w:sz w:val="24"/>
          <w:szCs w:val="24"/>
          <w:lang w:val="en-US"/>
        </w:rPr>
        <w:t>. This would suggest an account that retains both a place for local politics</w:t>
      </w:r>
      <w:r w:rsidR="009E7DEE" w:rsidRPr="00461D74">
        <w:rPr>
          <w:rFonts w:ascii="Garamond" w:hAnsi="Garamond" w:cstheme="minorHAnsi"/>
          <w:sz w:val="24"/>
          <w:szCs w:val="24"/>
          <w:lang w:val="en-US"/>
        </w:rPr>
        <w:t>,</w:t>
      </w:r>
      <w:r w:rsidRPr="00461D74">
        <w:rPr>
          <w:rFonts w:ascii="Garamond" w:hAnsi="Garamond" w:cstheme="minorHAnsi"/>
          <w:sz w:val="24"/>
          <w:szCs w:val="24"/>
          <w:lang w:val="en-US"/>
        </w:rPr>
        <w:t xml:space="preserve"> and </w:t>
      </w:r>
      <w:r w:rsidR="009E7DEE" w:rsidRPr="00461D74">
        <w:rPr>
          <w:rFonts w:ascii="Garamond" w:hAnsi="Garamond" w:cstheme="minorHAnsi"/>
          <w:sz w:val="24"/>
          <w:szCs w:val="24"/>
          <w:lang w:val="en-US"/>
        </w:rPr>
        <w:t xml:space="preserve">large scale </w:t>
      </w:r>
      <w:r w:rsidRPr="00461D74">
        <w:rPr>
          <w:rFonts w:ascii="Garamond" w:hAnsi="Garamond" w:cstheme="minorHAnsi"/>
          <w:sz w:val="24"/>
          <w:szCs w:val="24"/>
          <w:lang w:val="en-US"/>
        </w:rPr>
        <w:t>politics at the state level.</w:t>
      </w:r>
    </w:p>
    <w:p w:rsidR="00665157" w:rsidRDefault="009A0D1C">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 xml:space="preserve">I should emphasize that </w:t>
      </w:r>
      <w:r w:rsidR="00016049" w:rsidRPr="00461D74">
        <w:rPr>
          <w:rFonts w:ascii="Garamond" w:hAnsi="Garamond" w:cstheme="minorHAnsi"/>
          <w:sz w:val="24"/>
          <w:szCs w:val="24"/>
          <w:lang w:val="en-US"/>
        </w:rPr>
        <w:t xml:space="preserve">MacIntyre’s own account </w:t>
      </w:r>
      <w:r w:rsidRPr="00461D74">
        <w:rPr>
          <w:rFonts w:ascii="Garamond" w:hAnsi="Garamond" w:cstheme="minorHAnsi"/>
          <w:sz w:val="24"/>
          <w:szCs w:val="24"/>
          <w:lang w:val="en-US"/>
        </w:rPr>
        <w:t xml:space="preserve">seems to </w:t>
      </w:r>
      <w:r w:rsidR="00016049" w:rsidRPr="00461D74">
        <w:rPr>
          <w:rFonts w:ascii="Garamond" w:hAnsi="Garamond" w:cstheme="minorHAnsi"/>
          <w:sz w:val="24"/>
          <w:szCs w:val="24"/>
          <w:lang w:val="en-US"/>
        </w:rPr>
        <w:t xml:space="preserve">suggest that the state is a necessary </w:t>
      </w:r>
      <w:r w:rsidRPr="00461D74">
        <w:rPr>
          <w:rFonts w:ascii="Garamond" w:hAnsi="Garamond" w:cstheme="minorHAnsi"/>
          <w:sz w:val="24"/>
          <w:szCs w:val="24"/>
          <w:lang w:val="en-US"/>
        </w:rPr>
        <w:t xml:space="preserve">condition </w:t>
      </w:r>
      <w:r w:rsidR="00016049" w:rsidRPr="00461D74">
        <w:rPr>
          <w:rFonts w:ascii="Garamond" w:hAnsi="Garamond" w:cstheme="minorHAnsi"/>
          <w:sz w:val="24"/>
          <w:szCs w:val="24"/>
          <w:lang w:val="en-US"/>
        </w:rPr>
        <w:t xml:space="preserve">for at least some important goods – goods of </w:t>
      </w:r>
      <w:r w:rsidR="00016049" w:rsidRPr="00461D74">
        <w:rPr>
          <w:rFonts w:ascii="Garamond" w:hAnsi="Garamond" w:cstheme="minorHAnsi"/>
          <w:sz w:val="24"/>
          <w:szCs w:val="24"/>
          <w:lang w:val="en-US"/>
        </w:rPr>
        <w:lastRenderedPageBreak/>
        <w:t>collective defense, security and peace.</w:t>
      </w:r>
      <w:r w:rsidR="00CC4535" w:rsidRPr="00461D74">
        <w:rPr>
          <w:rStyle w:val="FootnoteReference"/>
          <w:rFonts w:ascii="Garamond" w:hAnsi="Garamond" w:cstheme="minorHAnsi"/>
          <w:sz w:val="24"/>
          <w:szCs w:val="24"/>
          <w:lang w:val="en-US"/>
        </w:rPr>
        <w:footnoteReference w:id="299"/>
      </w:r>
      <w:r w:rsidR="00016049" w:rsidRPr="00461D74">
        <w:rPr>
          <w:rFonts w:ascii="Garamond" w:hAnsi="Garamond" w:cstheme="minorHAnsi"/>
          <w:sz w:val="24"/>
          <w:szCs w:val="24"/>
          <w:lang w:val="en-US"/>
        </w:rPr>
        <w:t xml:space="preserve"> Hence, the state appears to be a necessary, but not sufficient, condition for MacIntyre’s politics of local communities. </w:t>
      </w:r>
      <w:r w:rsidR="00BF0EE2" w:rsidRPr="00461D74">
        <w:rPr>
          <w:rFonts w:ascii="Garamond" w:hAnsi="Garamond" w:cstheme="minorHAnsi"/>
          <w:sz w:val="24"/>
          <w:szCs w:val="24"/>
          <w:lang w:val="en-US"/>
        </w:rPr>
        <w:t>R</w:t>
      </w:r>
      <w:r w:rsidR="00016049" w:rsidRPr="00461D74">
        <w:rPr>
          <w:rFonts w:ascii="Garamond" w:hAnsi="Garamond" w:cstheme="minorHAnsi"/>
          <w:sz w:val="24"/>
          <w:szCs w:val="24"/>
          <w:lang w:val="en-US"/>
        </w:rPr>
        <w:t xml:space="preserve">ecall that on MacIntyre’s account, the structure </w:t>
      </w:r>
      <w:r w:rsidR="003307AD">
        <w:rPr>
          <w:rFonts w:ascii="Garamond" w:hAnsi="Garamond" w:cstheme="minorHAnsi"/>
          <w:sz w:val="24"/>
          <w:szCs w:val="24"/>
          <w:lang w:val="en-US"/>
        </w:rPr>
        <w:t xml:space="preserve">of the </w:t>
      </w:r>
      <w:r w:rsidR="003307AD" w:rsidRPr="00461D74">
        <w:rPr>
          <w:rFonts w:ascii="Garamond" w:hAnsi="Garamond" w:cstheme="minorHAnsi"/>
          <w:sz w:val="24"/>
          <w:szCs w:val="24"/>
          <w:lang w:val="en-US"/>
        </w:rPr>
        <w:t xml:space="preserve">modern state </w:t>
      </w:r>
      <w:r w:rsidR="00016049" w:rsidRPr="00461D74">
        <w:rPr>
          <w:rFonts w:ascii="Garamond" w:hAnsi="Garamond" w:cstheme="minorHAnsi"/>
          <w:sz w:val="24"/>
          <w:szCs w:val="24"/>
          <w:lang w:val="en-US"/>
        </w:rPr>
        <w:t xml:space="preserve">is incompatible with the type of small-scale politics which he envisions. </w:t>
      </w:r>
      <w:r w:rsidRPr="00461D74">
        <w:rPr>
          <w:rFonts w:ascii="Garamond" w:hAnsi="Garamond" w:cstheme="minorHAnsi"/>
          <w:sz w:val="24"/>
          <w:szCs w:val="24"/>
          <w:lang w:val="en-US"/>
        </w:rPr>
        <w:t>Therefore, i</w:t>
      </w:r>
      <w:r w:rsidR="00016049" w:rsidRPr="00461D74">
        <w:rPr>
          <w:rFonts w:ascii="Garamond" w:hAnsi="Garamond" w:cstheme="minorHAnsi"/>
          <w:sz w:val="24"/>
          <w:szCs w:val="24"/>
          <w:lang w:val="en-US"/>
        </w:rPr>
        <w:t xml:space="preserve">n </w:t>
      </w:r>
      <w:r w:rsidRPr="00461D74">
        <w:rPr>
          <w:rFonts w:ascii="Garamond" w:hAnsi="Garamond" w:cstheme="minorHAnsi"/>
          <w:sz w:val="24"/>
          <w:szCs w:val="24"/>
          <w:lang w:val="en-US"/>
        </w:rPr>
        <w:t xml:space="preserve">the absence </w:t>
      </w:r>
      <w:r w:rsidR="00016049" w:rsidRPr="00461D74">
        <w:rPr>
          <w:rFonts w:ascii="Garamond" w:hAnsi="Garamond" w:cstheme="minorHAnsi"/>
          <w:sz w:val="24"/>
          <w:szCs w:val="24"/>
          <w:lang w:val="en-US"/>
        </w:rPr>
        <w:t>of an appropriate argument or justification</w:t>
      </w:r>
      <w:r w:rsidR="000C7E63">
        <w:rPr>
          <w:rFonts w:ascii="Garamond" w:hAnsi="Garamond" w:cstheme="minorHAnsi"/>
          <w:sz w:val="24"/>
          <w:szCs w:val="24"/>
          <w:lang w:val="en-US"/>
        </w:rPr>
        <w:t xml:space="preserve"> that reconciles these two positions</w:t>
      </w:r>
      <w:r w:rsidR="00016049" w:rsidRPr="00461D74">
        <w:rPr>
          <w:rFonts w:ascii="Garamond" w:hAnsi="Garamond" w:cstheme="minorHAnsi"/>
          <w:sz w:val="24"/>
          <w:szCs w:val="24"/>
          <w:lang w:val="en-US"/>
        </w:rPr>
        <w:t xml:space="preserve">, it </w:t>
      </w:r>
      <w:r w:rsidR="000C7E63">
        <w:rPr>
          <w:rFonts w:ascii="Garamond" w:hAnsi="Garamond" w:cstheme="minorHAnsi"/>
          <w:sz w:val="24"/>
          <w:szCs w:val="24"/>
          <w:lang w:val="en-US"/>
        </w:rPr>
        <w:t>remains</w:t>
      </w:r>
      <w:r w:rsidR="00204EC6">
        <w:rPr>
          <w:rFonts w:ascii="Garamond" w:hAnsi="Garamond" w:cstheme="minorHAnsi"/>
          <w:sz w:val="24"/>
          <w:szCs w:val="24"/>
          <w:lang w:val="en-US"/>
        </w:rPr>
        <w:t xml:space="preserve"> a</w:t>
      </w:r>
      <w:r w:rsidR="00204EC6"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 xml:space="preserve">difficult </w:t>
      </w:r>
      <w:r w:rsidR="00204EC6">
        <w:rPr>
          <w:rFonts w:ascii="Garamond" w:hAnsi="Garamond" w:cstheme="minorHAnsi"/>
          <w:sz w:val="24"/>
          <w:szCs w:val="24"/>
          <w:lang w:val="en-US"/>
        </w:rPr>
        <w:t xml:space="preserve">proposition </w:t>
      </w:r>
      <w:r w:rsidR="00016049" w:rsidRPr="00461D74">
        <w:rPr>
          <w:rFonts w:ascii="Garamond" w:hAnsi="Garamond" w:cstheme="minorHAnsi"/>
          <w:sz w:val="24"/>
          <w:szCs w:val="24"/>
          <w:lang w:val="en-US"/>
        </w:rPr>
        <w:t xml:space="preserve">for MacIntyre to </w:t>
      </w:r>
      <w:r w:rsidR="00204EC6">
        <w:rPr>
          <w:rFonts w:ascii="Garamond" w:hAnsi="Garamond" w:cstheme="minorHAnsi"/>
          <w:sz w:val="24"/>
          <w:szCs w:val="24"/>
          <w:lang w:val="en-US"/>
        </w:rPr>
        <w:t>hang onto</w:t>
      </w:r>
      <w:r w:rsidR="00204EC6"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 xml:space="preserve">both claims. Without such an argument, it is not clear why we should accept that no possible modification of the state </w:t>
      </w:r>
      <w:proofErr w:type="spellStart"/>
      <w:proofErr w:type="gramStart"/>
      <w:r w:rsidR="00016049" w:rsidRPr="00461D74">
        <w:rPr>
          <w:rFonts w:ascii="Garamond" w:hAnsi="Garamond" w:cstheme="minorHAnsi"/>
          <w:sz w:val="24"/>
          <w:szCs w:val="24"/>
          <w:lang w:val="en-US"/>
        </w:rPr>
        <w:t>vis</w:t>
      </w:r>
      <w:proofErr w:type="spellEnd"/>
      <w:proofErr w:type="gramEnd"/>
      <w:r w:rsidR="00016049" w:rsidRPr="00461D74">
        <w:rPr>
          <w:rFonts w:ascii="Garamond" w:hAnsi="Garamond" w:cstheme="minorHAnsi"/>
          <w:sz w:val="24"/>
          <w:szCs w:val="24"/>
          <w:lang w:val="en-US"/>
        </w:rPr>
        <w:t xml:space="preserve"> à </w:t>
      </w:r>
      <w:proofErr w:type="spellStart"/>
      <w:r w:rsidR="00016049" w:rsidRPr="00461D74">
        <w:rPr>
          <w:rFonts w:ascii="Garamond" w:hAnsi="Garamond" w:cstheme="minorHAnsi"/>
          <w:sz w:val="24"/>
          <w:szCs w:val="24"/>
          <w:lang w:val="en-US"/>
        </w:rPr>
        <w:t>vis</w:t>
      </w:r>
      <w:proofErr w:type="spellEnd"/>
      <w:r w:rsidR="00016049" w:rsidRPr="00461D74">
        <w:rPr>
          <w:rFonts w:ascii="Garamond" w:hAnsi="Garamond" w:cstheme="minorHAnsi"/>
          <w:sz w:val="24"/>
          <w:szCs w:val="24"/>
          <w:lang w:val="en-US"/>
        </w:rPr>
        <w:t xml:space="preserve"> local politics could occasion the democratic ordering of goods at the political level</w:t>
      </w:r>
      <w:r w:rsidRPr="00461D74">
        <w:rPr>
          <w:rFonts w:ascii="Garamond" w:hAnsi="Garamond" w:cstheme="minorHAnsi"/>
          <w:sz w:val="24"/>
          <w:szCs w:val="24"/>
          <w:lang w:val="en-US"/>
        </w:rPr>
        <w:t>,</w:t>
      </w:r>
      <w:r w:rsidR="00016049" w:rsidRPr="00461D74">
        <w:rPr>
          <w:rFonts w:ascii="Garamond" w:hAnsi="Garamond" w:cstheme="minorHAnsi"/>
          <w:sz w:val="24"/>
          <w:szCs w:val="24"/>
          <w:lang w:val="en-US"/>
        </w:rPr>
        <w:t xml:space="preserve"> </w:t>
      </w:r>
      <w:r w:rsidR="00204EC6">
        <w:rPr>
          <w:rFonts w:ascii="Garamond" w:hAnsi="Garamond" w:cstheme="minorHAnsi"/>
          <w:sz w:val="24"/>
          <w:szCs w:val="24"/>
          <w:lang w:val="en-US"/>
        </w:rPr>
        <w:t xml:space="preserve">which </w:t>
      </w:r>
      <w:r w:rsidR="00016049" w:rsidRPr="00461D74">
        <w:rPr>
          <w:rFonts w:ascii="Garamond" w:hAnsi="Garamond" w:cstheme="minorHAnsi"/>
          <w:sz w:val="24"/>
          <w:szCs w:val="24"/>
          <w:lang w:val="en-US"/>
        </w:rPr>
        <w:t xml:space="preserve">would </w:t>
      </w:r>
      <w:r w:rsidR="00204EC6">
        <w:rPr>
          <w:rFonts w:ascii="Garamond" w:hAnsi="Garamond" w:cstheme="minorHAnsi"/>
          <w:sz w:val="24"/>
          <w:szCs w:val="24"/>
          <w:lang w:val="en-US"/>
        </w:rPr>
        <w:t xml:space="preserve">then </w:t>
      </w:r>
      <w:r w:rsidR="00016049" w:rsidRPr="00461D74">
        <w:rPr>
          <w:rFonts w:ascii="Garamond" w:hAnsi="Garamond" w:cstheme="minorHAnsi"/>
          <w:sz w:val="24"/>
          <w:szCs w:val="24"/>
          <w:lang w:val="en-US"/>
        </w:rPr>
        <w:t xml:space="preserve">improve the possibility of </w:t>
      </w:r>
      <w:r w:rsidR="00204EC6">
        <w:rPr>
          <w:rFonts w:ascii="Garamond" w:hAnsi="Garamond" w:cstheme="minorHAnsi"/>
          <w:sz w:val="24"/>
          <w:szCs w:val="24"/>
          <w:lang w:val="en-US"/>
        </w:rPr>
        <w:t xml:space="preserve">realizing a </w:t>
      </w:r>
      <w:r w:rsidR="00016049" w:rsidRPr="00461D74">
        <w:rPr>
          <w:rFonts w:ascii="Garamond" w:hAnsi="Garamond" w:cstheme="minorHAnsi"/>
          <w:sz w:val="24"/>
          <w:szCs w:val="24"/>
          <w:lang w:val="en-US"/>
        </w:rPr>
        <w:t>genuine participatory politics.</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Even Knight acknowledges that the task remains for MacIntyre to show how politics is supposed to be conducted in a society that is structurally incapable of combining pursuit of various goods into a single order for the sake of the common good.</w:t>
      </w:r>
      <w:r w:rsidRPr="00461D74">
        <w:rPr>
          <w:rFonts w:ascii="Garamond" w:hAnsi="Garamond" w:cstheme="minorHAnsi"/>
          <w:sz w:val="24"/>
          <w:szCs w:val="24"/>
          <w:vertAlign w:val="superscript"/>
          <w:lang w:val="en-US"/>
        </w:rPr>
        <w:footnoteReference w:id="300"/>
      </w:r>
      <w:r w:rsidRPr="00461D74">
        <w:rPr>
          <w:rFonts w:ascii="Garamond" w:hAnsi="Garamond" w:cstheme="minorHAnsi"/>
          <w:sz w:val="24"/>
          <w:szCs w:val="24"/>
          <w:lang w:val="en-US"/>
        </w:rPr>
        <w:t xml:space="preserve"> </w:t>
      </w:r>
      <w:r w:rsidR="0047409B" w:rsidRPr="00461D74">
        <w:rPr>
          <w:rFonts w:ascii="Garamond" w:hAnsi="Garamond" w:cstheme="minorHAnsi"/>
          <w:sz w:val="24"/>
          <w:szCs w:val="24"/>
          <w:lang w:val="en-US"/>
        </w:rPr>
        <w:t xml:space="preserve">On my view, </w:t>
      </w:r>
      <w:r w:rsidRPr="00461D74">
        <w:rPr>
          <w:rFonts w:ascii="Garamond" w:hAnsi="Garamond" w:cstheme="minorHAnsi"/>
          <w:sz w:val="24"/>
          <w:szCs w:val="24"/>
          <w:lang w:val="en-US"/>
        </w:rPr>
        <w:t xml:space="preserve">Knight </w:t>
      </w:r>
      <w:r w:rsidR="00BF0EE2" w:rsidRPr="00461D74">
        <w:rPr>
          <w:rFonts w:ascii="Garamond" w:hAnsi="Garamond" w:cstheme="minorHAnsi"/>
          <w:sz w:val="24"/>
          <w:szCs w:val="24"/>
          <w:lang w:val="en-US"/>
        </w:rPr>
        <w:t>attempts to</w:t>
      </w:r>
      <w:r w:rsidRPr="00461D74">
        <w:rPr>
          <w:rFonts w:ascii="Garamond" w:hAnsi="Garamond" w:cstheme="minorHAnsi"/>
          <w:sz w:val="24"/>
          <w:szCs w:val="24"/>
          <w:lang w:val="en-US"/>
        </w:rPr>
        <w:t xml:space="preserve"> answer </w:t>
      </w:r>
      <w:r w:rsidR="00BF0EE2" w:rsidRPr="00461D74">
        <w:rPr>
          <w:rFonts w:ascii="Garamond" w:hAnsi="Garamond" w:cstheme="minorHAnsi"/>
          <w:sz w:val="24"/>
          <w:szCs w:val="24"/>
          <w:lang w:val="en-US"/>
        </w:rPr>
        <w:t>this question</w:t>
      </w:r>
      <w:r w:rsidR="00C41A23" w:rsidRPr="00461D74">
        <w:rPr>
          <w:rFonts w:ascii="Garamond" w:hAnsi="Garamond" w:cstheme="minorHAnsi"/>
          <w:sz w:val="24"/>
          <w:szCs w:val="24"/>
          <w:lang w:val="en-US"/>
        </w:rPr>
        <w:t>,</w:t>
      </w:r>
      <w:r w:rsidR="00BF0EE2" w:rsidRPr="00461D74">
        <w:rPr>
          <w:rFonts w:ascii="Garamond" w:hAnsi="Garamond" w:cstheme="minorHAnsi"/>
          <w:sz w:val="24"/>
          <w:szCs w:val="24"/>
          <w:lang w:val="en-US"/>
        </w:rPr>
        <w:t xml:space="preserve"> but his response is seemingly broad </w:t>
      </w:r>
      <w:r w:rsidRPr="00461D74">
        <w:rPr>
          <w:rFonts w:ascii="Garamond" w:hAnsi="Garamond" w:cstheme="minorHAnsi"/>
          <w:sz w:val="24"/>
          <w:szCs w:val="24"/>
          <w:lang w:val="en-US"/>
        </w:rPr>
        <w:t xml:space="preserve">and ambiguous. </w:t>
      </w:r>
      <w:r w:rsidR="00BF0EE2" w:rsidRPr="00461D74">
        <w:rPr>
          <w:rFonts w:ascii="Garamond" w:hAnsi="Garamond" w:cstheme="minorHAnsi"/>
          <w:sz w:val="24"/>
          <w:szCs w:val="24"/>
          <w:lang w:val="en-US"/>
        </w:rPr>
        <w:t>Knight</w:t>
      </w:r>
      <w:r w:rsidRPr="00461D74">
        <w:rPr>
          <w:rFonts w:ascii="Garamond" w:hAnsi="Garamond" w:cstheme="minorHAnsi"/>
          <w:sz w:val="24"/>
          <w:szCs w:val="24"/>
          <w:lang w:val="en-US"/>
        </w:rPr>
        <w:t xml:space="preserve"> suggests that by engaging with the Marxist tradition, Aristotelian </w:t>
      </w:r>
      <w:proofErr w:type="spellStart"/>
      <w:r w:rsidRPr="00461D74">
        <w:rPr>
          <w:rFonts w:ascii="Garamond" w:hAnsi="Garamond" w:cstheme="minorHAnsi"/>
          <w:sz w:val="24"/>
          <w:szCs w:val="24"/>
          <w:lang w:val="en-US"/>
        </w:rPr>
        <w:t>Thomists</w:t>
      </w:r>
      <w:proofErr w:type="spellEnd"/>
      <w:r w:rsidRPr="00461D74">
        <w:rPr>
          <w:rFonts w:ascii="Garamond" w:hAnsi="Garamond" w:cstheme="minorHAnsi"/>
          <w:sz w:val="24"/>
          <w:szCs w:val="24"/>
          <w:lang w:val="en-US"/>
        </w:rPr>
        <w:t xml:space="preserve"> can operate as individuals within the modern socio-political structure, while at the same time pursue the internal goods of virtue and maintain their moral integrity in the face of the broader challenge of liberal modernity and the ever encroaching forces </w:t>
      </w:r>
      <w:r w:rsidR="00EF3475">
        <w:rPr>
          <w:rFonts w:ascii="Garamond" w:hAnsi="Garamond" w:cstheme="minorHAnsi"/>
          <w:sz w:val="24"/>
          <w:szCs w:val="24"/>
          <w:lang w:val="en-US"/>
        </w:rPr>
        <w:t>deployed by</w:t>
      </w:r>
      <w:r w:rsidR="00EF3475"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the </w:t>
      </w:r>
      <w:r w:rsidR="00EF3475">
        <w:rPr>
          <w:rFonts w:ascii="Garamond" w:hAnsi="Garamond" w:cstheme="minorHAnsi"/>
          <w:sz w:val="24"/>
          <w:szCs w:val="24"/>
          <w:lang w:val="en-US"/>
        </w:rPr>
        <w:t>‘</w:t>
      </w:r>
      <w:r w:rsidRPr="00461D74">
        <w:rPr>
          <w:rFonts w:ascii="Garamond" w:hAnsi="Garamond" w:cstheme="minorHAnsi"/>
          <w:sz w:val="24"/>
          <w:szCs w:val="24"/>
          <w:lang w:val="en-US"/>
        </w:rPr>
        <w:t>state-market.</w:t>
      </w:r>
      <w:r w:rsidR="00EF3475">
        <w:rPr>
          <w:rFonts w:ascii="Garamond" w:hAnsi="Garamond" w:cstheme="minorHAnsi"/>
          <w:sz w:val="24"/>
          <w:szCs w:val="24"/>
          <w:lang w:val="en-US"/>
        </w:rPr>
        <w:t>’</w:t>
      </w:r>
      <w:r w:rsidRPr="00461D74">
        <w:rPr>
          <w:rFonts w:ascii="Garamond" w:hAnsi="Garamond" w:cstheme="minorHAnsi"/>
          <w:sz w:val="24"/>
          <w:szCs w:val="24"/>
          <w:vertAlign w:val="superscript"/>
          <w:lang w:val="en-US"/>
        </w:rPr>
        <w:footnoteReference w:id="301"/>
      </w:r>
      <w:r w:rsidRPr="00461D74">
        <w:rPr>
          <w:rFonts w:ascii="Garamond" w:hAnsi="Garamond" w:cstheme="minorHAnsi"/>
          <w:sz w:val="24"/>
          <w:szCs w:val="24"/>
          <w:lang w:val="en-US"/>
        </w:rPr>
        <w:t xml:space="preserve"> Thus, Knight follows MacIntyre in a parallel way</w:t>
      </w:r>
      <w:r w:rsidR="00C41A23" w:rsidRPr="00461D74">
        <w:rPr>
          <w:rFonts w:ascii="Garamond" w:hAnsi="Garamond" w:cstheme="minorHAnsi"/>
          <w:sz w:val="24"/>
          <w:szCs w:val="24"/>
          <w:lang w:val="en-US"/>
        </w:rPr>
        <w:t xml:space="preserve"> </w:t>
      </w:r>
      <w:r w:rsidR="00E5784F" w:rsidRPr="00461D74">
        <w:rPr>
          <w:rFonts w:ascii="Garamond" w:hAnsi="Garamond" w:cstheme="minorHAnsi"/>
          <w:sz w:val="24"/>
          <w:szCs w:val="24"/>
          <w:lang w:val="en-US"/>
        </w:rPr>
        <w:t>–</w:t>
      </w:r>
      <w:r w:rsidRPr="00461D74">
        <w:rPr>
          <w:rFonts w:ascii="Garamond" w:hAnsi="Garamond" w:cstheme="minorHAnsi"/>
          <w:sz w:val="24"/>
          <w:szCs w:val="24"/>
          <w:lang w:val="en-US"/>
        </w:rPr>
        <w:t xml:space="preserve"> </w:t>
      </w:r>
      <w:r w:rsidR="00E5784F" w:rsidRPr="00461D74">
        <w:rPr>
          <w:rFonts w:ascii="Garamond" w:hAnsi="Garamond" w:cstheme="minorHAnsi"/>
          <w:sz w:val="24"/>
          <w:szCs w:val="24"/>
          <w:lang w:val="en-US"/>
        </w:rPr>
        <w:t xml:space="preserve">namely, </w:t>
      </w:r>
      <w:r w:rsidRPr="00461D74">
        <w:rPr>
          <w:rFonts w:ascii="Garamond" w:hAnsi="Garamond" w:cstheme="minorHAnsi"/>
          <w:sz w:val="24"/>
          <w:szCs w:val="24"/>
          <w:lang w:val="en-US"/>
        </w:rPr>
        <w:t>by engaging between the two traditions of Aristotle and Marx, we can carry out our various practices in local communities in ways that maintains the integrity of these practices and hence sustains their internal goods, namely, the virtues.</w:t>
      </w:r>
      <w:r w:rsidRPr="00461D74">
        <w:rPr>
          <w:rFonts w:ascii="Garamond" w:hAnsi="Garamond" w:cstheme="minorHAnsi"/>
          <w:sz w:val="24"/>
          <w:szCs w:val="24"/>
          <w:vertAlign w:val="superscript"/>
          <w:lang w:val="en-US"/>
        </w:rPr>
        <w:footnoteReference w:id="302"/>
      </w:r>
      <w:r w:rsidRPr="00461D74">
        <w:rPr>
          <w:rFonts w:ascii="Garamond" w:hAnsi="Garamond" w:cstheme="minorHAnsi"/>
          <w:sz w:val="24"/>
          <w:szCs w:val="24"/>
          <w:lang w:val="en-US"/>
        </w:rPr>
        <w:t xml:space="preserve"> </w:t>
      </w:r>
      <w:r w:rsidR="00E5784F" w:rsidRPr="00461D74">
        <w:rPr>
          <w:rFonts w:ascii="Garamond" w:hAnsi="Garamond" w:cstheme="minorHAnsi"/>
          <w:sz w:val="24"/>
          <w:szCs w:val="24"/>
          <w:lang w:val="en-US"/>
        </w:rPr>
        <w:lastRenderedPageBreak/>
        <w:t>Neverth</w:t>
      </w:r>
      <w:r w:rsidR="00C41A23" w:rsidRPr="00461D74">
        <w:rPr>
          <w:rFonts w:ascii="Garamond" w:hAnsi="Garamond" w:cstheme="minorHAnsi"/>
          <w:sz w:val="24"/>
          <w:szCs w:val="24"/>
          <w:lang w:val="en-US"/>
        </w:rPr>
        <w:t>e</w:t>
      </w:r>
      <w:r w:rsidR="00E5784F" w:rsidRPr="00461D74">
        <w:rPr>
          <w:rFonts w:ascii="Garamond" w:hAnsi="Garamond" w:cstheme="minorHAnsi"/>
          <w:sz w:val="24"/>
          <w:szCs w:val="24"/>
          <w:lang w:val="en-US"/>
        </w:rPr>
        <w:t xml:space="preserve">less, </w:t>
      </w:r>
      <w:r w:rsidRPr="00461D74">
        <w:rPr>
          <w:rFonts w:ascii="Garamond" w:hAnsi="Garamond" w:cstheme="minorHAnsi"/>
          <w:sz w:val="24"/>
          <w:szCs w:val="24"/>
          <w:lang w:val="en-US"/>
        </w:rPr>
        <w:t xml:space="preserve">I </w:t>
      </w:r>
      <w:r w:rsidR="00BF0EE2" w:rsidRPr="00461D74">
        <w:rPr>
          <w:rFonts w:ascii="Garamond" w:hAnsi="Garamond" w:cstheme="minorHAnsi"/>
          <w:sz w:val="24"/>
          <w:szCs w:val="24"/>
          <w:lang w:val="en-US"/>
        </w:rPr>
        <w:t>think that</w:t>
      </w:r>
      <w:r w:rsidR="00E5784F" w:rsidRPr="00461D74">
        <w:rPr>
          <w:rFonts w:ascii="Garamond" w:hAnsi="Garamond" w:cstheme="minorHAnsi"/>
          <w:sz w:val="24"/>
          <w:szCs w:val="24"/>
          <w:lang w:val="en-US"/>
        </w:rPr>
        <w:t xml:space="preserve"> </w:t>
      </w:r>
      <w:r w:rsidRPr="00461D74">
        <w:rPr>
          <w:rFonts w:ascii="Garamond" w:hAnsi="Garamond" w:cstheme="minorHAnsi"/>
          <w:sz w:val="24"/>
          <w:szCs w:val="24"/>
          <w:lang w:val="en-US"/>
        </w:rPr>
        <w:t xml:space="preserve">this </w:t>
      </w:r>
      <w:r w:rsidR="00BF0EE2" w:rsidRPr="00461D74">
        <w:rPr>
          <w:rFonts w:ascii="Garamond" w:hAnsi="Garamond" w:cstheme="minorHAnsi"/>
          <w:sz w:val="24"/>
          <w:szCs w:val="24"/>
          <w:lang w:val="en-US"/>
        </w:rPr>
        <w:t xml:space="preserve">sort of answer ultimately </w:t>
      </w:r>
      <w:r w:rsidR="00256382" w:rsidRPr="00461D74">
        <w:rPr>
          <w:rFonts w:ascii="Garamond" w:hAnsi="Garamond" w:cstheme="minorHAnsi"/>
          <w:sz w:val="24"/>
          <w:szCs w:val="24"/>
          <w:lang w:val="en-US"/>
        </w:rPr>
        <w:t>fails to properly address</w:t>
      </w:r>
      <w:r w:rsidRPr="00461D74">
        <w:rPr>
          <w:rFonts w:ascii="Garamond" w:hAnsi="Garamond" w:cstheme="minorHAnsi"/>
          <w:sz w:val="24"/>
          <w:szCs w:val="24"/>
          <w:lang w:val="en-US"/>
        </w:rPr>
        <w:t xml:space="preserve"> the question. If we have already </w:t>
      </w:r>
      <w:r w:rsidR="00BF0EE2" w:rsidRPr="00461D74">
        <w:rPr>
          <w:rFonts w:ascii="Garamond" w:hAnsi="Garamond" w:cstheme="minorHAnsi"/>
          <w:sz w:val="24"/>
          <w:szCs w:val="24"/>
          <w:lang w:val="en-US"/>
        </w:rPr>
        <w:t>accepted</w:t>
      </w:r>
      <w:r w:rsidRPr="00461D74">
        <w:rPr>
          <w:rFonts w:ascii="Garamond" w:hAnsi="Garamond" w:cstheme="minorHAnsi"/>
          <w:sz w:val="24"/>
          <w:szCs w:val="24"/>
          <w:lang w:val="en-US"/>
        </w:rPr>
        <w:t xml:space="preserve"> </w:t>
      </w:r>
      <w:r w:rsidR="00BF0EE2" w:rsidRPr="00461D74">
        <w:rPr>
          <w:rFonts w:ascii="Garamond" w:hAnsi="Garamond" w:cstheme="minorHAnsi"/>
          <w:sz w:val="24"/>
          <w:szCs w:val="24"/>
          <w:lang w:val="en-US"/>
        </w:rPr>
        <w:t>MacIntyre’s</w:t>
      </w:r>
      <w:r w:rsidRPr="00461D74">
        <w:rPr>
          <w:rFonts w:ascii="Garamond" w:hAnsi="Garamond" w:cstheme="minorHAnsi"/>
          <w:sz w:val="24"/>
          <w:szCs w:val="24"/>
          <w:lang w:val="en-US"/>
        </w:rPr>
        <w:t xml:space="preserve"> </w:t>
      </w:r>
      <w:r w:rsidR="00E235AB" w:rsidRPr="00461D74">
        <w:rPr>
          <w:rFonts w:ascii="Garamond" w:hAnsi="Garamond" w:cstheme="minorHAnsi"/>
          <w:sz w:val="24"/>
          <w:szCs w:val="24"/>
          <w:lang w:val="en-US"/>
        </w:rPr>
        <w:t>claim that</w:t>
      </w:r>
      <w:r w:rsidRPr="00461D74">
        <w:rPr>
          <w:rFonts w:ascii="Garamond" w:hAnsi="Garamond" w:cstheme="minorHAnsi"/>
          <w:sz w:val="24"/>
          <w:szCs w:val="24"/>
          <w:lang w:val="en-US"/>
        </w:rPr>
        <w:t xml:space="preserve"> the </w:t>
      </w:r>
      <w:r w:rsidR="00E235AB" w:rsidRPr="00461D74">
        <w:rPr>
          <w:rFonts w:ascii="Garamond" w:hAnsi="Garamond" w:cstheme="minorHAnsi"/>
          <w:sz w:val="24"/>
          <w:szCs w:val="24"/>
          <w:lang w:val="en-US"/>
        </w:rPr>
        <w:t xml:space="preserve">state’s </w:t>
      </w:r>
      <w:r w:rsidR="00BF0EE2" w:rsidRPr="00461D74">
        <w:rPr>
          <w:rFonts w:ascii="Garamond" w:hAnsi="Garamond" w:cstheme="minorHAnsi"/>
          <w:sz w:val="24"/>
          <w:szCs w:val="24"/>
          <w:lang w:val="en-US"/>
        </w:rPr>
        <w:t xml:space="preserve">influence is so great such that </w:t>
      </w:r>
      <w:r w:rsidRPr="00461D74">
        <w:rPr>
          <w:rFonts w:ascii="Garamond" w:hAnsi="Garamond" w:cstheme="minorHAnsi"/>
          <w:sz w:val="24"/>
          <w:szCs w:val="24"/>
          <w:lang w:val="en-US"/>
        </w:rPr>
        <w:t>local communities are not able to effectively resist</w:t>
      </w:r>
      <w:r w:rsidR="00D52C2D" w:rsidRPr="00461D74">
        <w:rPr>
          <w:rFonts w:ascii="Garamond" w:hAnsi="Garamond" w:cstheme="minorHAnsi"/>
          <w:sz w:val="24"/>
          <w:szCs w:val="24"/>
          <w:lang w:val="en-US"/>
        </w:rPr>
        <w:t xml:space="preserve"> the </w:t>
      </w:r>
      <w:r w:rsidR="00C651C0">
        <w:rPr>
          <w:rFonts w:ascii="Garamond" w:hAnsi="Garamond" w:cstheme="minorHAnsi"/>
          <w:sz w:val="24"/>
          <w:szCs w:val="24"/>
          <w:lang w:val="en-US"/>
        </w:rPr>
        <w:t xml:space="preserve">subversive acts of the </w:t>
      </w:r>
      <w:r w:rsidR="00D52C2D" w:rsidRPr="00461D74">
        <w:rPr>
          <w:rFonts w:ascii="Garamond" w:hAnsi="Garamond" w:cstheme="minorHAnsi"/>
          <w:sz w:val="24"/>
          <w:szCs w:val="24"/>
          <w:lang w:val="en-US"/>
        </w:rPr>
        <w:t>state</w:t>
      </w:r>
      <w:r w:rsidR="00E235AB" w:rsidRPr="00461D74">
        <w:rPr>
          <w:rFonts w:ascii="Garamond" w:hAnsi="Garamond" w:cstheme="minorHAnsi"/>
          <w:sz w:val="24"/>
          <w:szCs w:val="24"/>
          <w:lang w:val="en-US"/>
        </w:rPr>
        <w:t>,</w:t>
      </w:r>
      <w:r w:rsidRPr="00461D74">
        <w:rPr>
          <w:rFonts w:ascii="Garamond" w:hAnsi="Garamond" w:cstheme="minorHAnsi"/>
          <w:sz w:val="24"/>
          <w:szCs w:val="24"/>
          <w:lang w:val="en-US"/>
        </w:rPr>
        <w:t xml:space="preserve"> it doesn’t </w:t>
      </w:r>
      <w:r w:rsidR="00BF0EE2" w:rsidRPr="00461D74">
        <w:rPr>
          <w:rFonts w:ascii="Garamond" w:hAnsi="Garamond" w:cstheme="minorHAnsi"/>
          <w:sz w:val="24"/>
          <w:szCs w:val="24"/>
          <w:lang w:val="en-US"/>
        </w:rPr>
        <w:t>seem</w:t>
      </w:r>
      <w:r w:rsidRPr="00461D74">
        <w:rPr>
          <w:rFonts w:ascii="Garamond" w:hAnsi="Garamond" w:cstheme="minorHAnsi"/>
          <w:sz w:val="24"/>
          <w:szCs w:val="24"/>
          <w:lang w:val="en-US"/>
        </w:rPr>
        <w:t xml:space="preserve"> plausible </w:t>
      </w:r>
      <w:r w:rsidR="00BF0EE2" w:rsidRPr="00461D74">
        <w:rPr>
          <w:rFonts w:ascii="Garamond" w:hAnsi="Garamond" w:cstheme="minorHAnsi"/>
          <w:sz w:val="24"/>
          <w:szCs w:val="24"/>
          <w:lang w:val="en-US"/>
        </w:rPr>
        <w:t xml:space="preserve">to </w:t>
      </w:r>
      <w:r w:rsidR="00C651C0" w:rsidRPr="00461D74">
        <w:rPr>
          <w:rFonts w:ascii="Garamond" w:hAnsi="Garamond" w:cstheme="minorHAnsi"/>
          <w:sz w:val="24"/>
          <w:szCs w:val="24"/>
          <w:lang w:val="en-US"/>
        </w:rPr>
        <w:t xml:space="preserve">then </w:t>
      </w:r>
      <w:r w:rsidR="00BF0EE2" w:rsidRPr="00461D74">
        <w:rPr>
          <w:rFonts w:ascii="Garamond" w:hAnsi="Garamond" w:cstheme="minorHAnsi"/>
          <w:sz w:val="24"/>
          <w:szCs w:val="24"/>
          <w:lang w:val="en-US"/>
        </w:rPr>
        <w:t>suggest</w:t>
      </w:r>
      <w:r w:rsidR="00D52C2D" w:rsidRPr="00461D74">
        <w:rPr>
          <w:rFonts w:ascii="Garamond" w:hAnsi="Garamond" w:cstheme="minorHAnsi"/>
          <w:sz w:val="24"/>
          <w:szCs w:val="24"/>
          <w:lang w:val="en-US"/>
        </w:rPr>
        <w:t xml:space="preserve"> </w:t>
      </w:r>
      <w:r w:rsidRPr="00461D74">
        <w:rPr>
          <w:rFonts w:ascii="Garamond" w:hAnsi="Garamond" w:cstheme="minorHAnsi"/>
          <w:sz w:val="24"/>
          <w:szCs w:val="24"/>
          <w:lang w:val="en-US"/>
        </w:rPr>
        <w:t>that individual</w:t>
      </w:r>
      <w:r w:rsidR="00E235AB" w:rsidRPr="00461D74">
        <w:rPr>
          <w:rFonts w:ascii="Garamond" w:hAnsi="Garamond" w:cstheme="minorHAnsi"/>
          <w:sz w:val="24"/>
          <w:szCs w:val="24"/>
          <w:lang w:val="en-US"/>
        </w:rPr>
        <w:t xml:space="preserve">s </w:t>
      </w:r>
      <w:r w:rsidR="00752DED" w:rsidRPr="00461D74">
        <w:rPr>
          <w:rFonts w:ascii="Garamond" w:hAnsi="Garamond" w:cstheme="minorHAnsi"/>
          <w:sz w:val="24"/>
          <w:szCs w:val="24"/>
          <w:lang w:val="en-US"/>
        </w:rPr>
        <w:t>residing</w:t>
      </w:r>
      <w:r w:rsidRPr="00461D74">
        <w:rPr>
          <w:rFonts w:ascii="Garamond" w:hAnsi="Garamond" w:cstheme="minorHAnsi"/>
          <w:sz w:val="24"/>
          <w:szCs w:val="24"/>
          <w:lang w:val="en-US"/>
        </w:rPr>
        <w:t xml:space="preserve"> in local communities can </w:t>
      </w:r>
      <w:r w:rsidR="00752DED" w:rsidRPr="00461D74">
        <w:rPr>
          <w:rFonts w:ascii="Garamond" w:hAnsi="Garamond" w:cstheme="minorHAnsi"/>
          <w:sz w:val="24"/>
          <w:szCs w:val="24"/>
          <w:lang w:val="en-US"/>
        </w:rPr>
        <w:t>somehow inoculate themselves against th</w:t>
      </w:r>
      <w:r w:rsidR="005710C1">
        <w:rPr>
          <w:rFonts w:ascii="Garamond" w:hAnsi="Garamond" w:cstheme="minorHAnsi"/>
          <w:sz w:val="24"/>
          <w:szCs w:val="24"/>
          <w:lang w:val="en-US"/>
        </w:rPr>
        <w:t>os</w:t>
      </w:r>
      <w:r w:rsidR="00752DED" w:rsidRPr="00461D74">
        <w:rPr>
          <w:rFonts w:ascii="Garamond" w:hAnsi="Garamond" w:cstheme="minorHAnsi"/>
          <w:sz w:val="24"/>
          <w:szCs w:val="24"/>
          <w:lang w:val="en-US"/>
        </w:rPr>
        <w:t xml:space="preserve">e </w:t>
      </w:r>
      <w:r w:rsidR="005710C1">
        <w:rPr>
          <w:rFonts w:ascii="Garamond" w:hAnsi="Garamond" w:cstheme="minorHAnsi"/>
          <w:sz w:val="24"/>
          <w:szCs w:val="24"/>
          <w:lang w:val="en-US"/>
        </w:rPr>
        <w:t xml:space="preserve">same </w:t>
      </w:r>
      <w:r w:rsidR="00752DED" w:rsidRPr="00461D74">
        <w:rPr>
          <w:rFonts w:ascii="Garamond" w:hAnsi="Garamond" w:cstheme="minorHAnsi"/>
          <w:sz w:val="24"/>
          <w:szCs w:val="24"/>
          <w:lang w:val="en-US"/>
        </w:rPr>
        <w:t>subversive actions</w:t>
      </w:r>
      <w:r w:rsidRPr="00461D74">
        <w:rPr>
          <w:rFonts w:ascii="Garamond" w:hAnsi="Garamond" w:cstheme="minorHAnsi"/>
          <w:sz w:val="24"/>
          <w:szCs w:val="24"/>
          <w:lang w:val="en-US"/>
        </w:rPr>
        <w:t>.</w:t>
      </w:r>
      <w:r w:rsidR="00D52C2D" w:rsidRPr="00461D74">
        <w:rPr>
          <w:rStyle w:val="FootnoteReference"/>
          <w:rFonts w:ascii="Garamond" w:hAnsi="Garamond" w:cstheme="minorHAnsi"/>
          <w:sz w:val="24"/>
          <w:szCs w:val="24"/>
          <w:lang w:val="en-US"/>
        </w:rPr>
        <w:footnoteReference w:id="303"/>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 xml:space="preserve">While it seems to me that Knight appreciates that an important constitutive element is missing in MacIntyre’s political philosophy, as far as I can tell his suggestion doesn’t amount to a </w:t>
      </w:r>
      <w:r w:rsidR="00745F6A" w:rsidRPr="00461D74">
        <w:rPr>
          <w:rFonts w:ascii="Garamond" w:hAnsi="Garamond" w:cstheme="minorHAnsi"/>
          <w:sz w:val="24"/>
          <w:szCs w:val="24"/>
          <w:lang w:val="en-US"/>
        </w:rPr>
        <w:t xml:space="preserve">concrete </w:t>
      </w:r>
      <w:r w:rsidRPr="00461D74">
        <w:rPr>
          <w:rFonts w:ascii="Garamond" w:hAnsi="Garamond" w:cstheme="minorHAnsi"/>
          <w:sz w:val="24"/>
          <w:szCs w:val="24"/>
          <w:lang w:val="en-US"/>
        </w:rPr>
        <w:t xml:space="preserve">political alternative. Even if one is already an Aristotelian Thomist and agrees with the Marxist inspired critique that MacIntyre offers, it is still not clear what practical ways we have to effectively resist the state, let alone develop a coherent political alternative. </w:t>
      </w:r>
      <w:r w:rsidR="00745F6A" w:rsidRPr="00461D74">
        <w:rPr>
          <w:rFonts w:ascii="Garamond" w:hAnsi="Garamond" w:cstheme="minorHAnsi"/>
          <w:sz w:val="24"/>
          <w:szCs w:val="24"/>
          <w:lang w:val="en-US"/>
        </w:rPr>
        <w:t xml:space="preserve">Put </w:t>
      </w:r>
      <w:r w:rsidR="0052191C">
        <w:rPr>
          <w:rFonts w:ascii="Garamond" w:hAnsi="Garamond" w:cstheme="minorHAnsi"/>
          <w:sz w:val="24"/>
          <w:szCs w:val="24"/>
          <w:lang w:val="en-US"/>
        </w:rPr>
        <w:t>simply</w:t>
      </w:r>
      <w:r w:rsidRPr="00461D74">
        <w:rPr>
          <w:rFonts w:ascii="Garamond" w:hAnsi="Garamond" w:cstheme="minorHAnsi"/>
          <w:sz w:val="24"/>
          <w:szCs w:val="24"/>
          <w:lang w:val="en-US"/>
        </w:rPr>
        <w:t>, it appears that Knight</w:t>
      </w:r>
      <w:r w:rsidR="00745F6A" w:rsidRPr="00461D74">
        <w:rPr>
          <w:rFonts w:ascii="Garamond" w:hAnsi="Garamond" w:cstheme="minorHAnsi"/>
          <w:sz w:val="24"/>
          <w:szCs w:val="24"/>
          <w:lang w:val="en-US"/>
        </w:rPr>
        <w:t>’s analysis</w:t>
      </w:r>
      <w:r w:rsidRPr="00461D74">
        <w:rPr>
          <w:rFonts w:ascii="Garamond" w:hAnsi="Garamond" w:cstheme="minorHAnsi"/>
          <w:sz w:val="24"/>
          <w:szCs w:val="24"/>
          <w:lang w:val="en-US"/>
        </w:rPr>
        <w:t xml:space="preserve"> does not </w:t>
      </w:r>
      <w:r w:rsidR="003C0910">
        <w:rPr>
          <w:rFonts w:ascii="Garamond" w:hAnsi="Garamond" w:cstheme="minorHAnsi"/>
          <w:sz w:val="24"/>
          <w:szCs w:val="24"/>
          <w:lang w:val="en-US"/>
        </w:rPr>
        <w:t xml:space="preserve">ultimately </w:t>
      </w:r>
      <w:r w:rsidRPr="00461D74">
        <w:rPr>
          <w:rFonts w:ascii="Garamond" w:hAnsi="Garamond" w:cstheme="minorHAnsi"/>
          <w:sz w:val="24"/>
          <w:szCs w:val="24"/>
          <w:lang w:val="en-US"/>
        </w:rPr>
        <w:t xml:space="preserve">address the problem that </w:t>
      </w:r>
      <w:r w:rsidR="00752DED" w:rsidRPr="00461D74">
        <w:rPr>
          <w:rFonts w:ascii="Garamond" w:hAnsi="Garamond" w:cstheme="minorHAnsi"/>
          <w:sz w:val="24"/>
          <w:szCs w:val="24"/>
          <w:lang w:val="en-US"/>
        </w:rPr>
        <w:t>the state,</w:t>
      </w:r>
      <w:r w:rsidRPr="00461D74">
        <w:rPr>
          <w:rFonts w:ascii="Garamond" w:hAnsi="Garamond" w:cstheme="minorHAnsi"/>
          <w:sz w:val="24"/>
          <w:szCs w:val="24"/>
          <w:lang w:val="en-US"/>
        </w:rPr>
        <w:t xml:space="preserve"> </w:t>
      </w:r>
      <w:r w:rsidR="00752DED" w:rsidRPr="00461D74">
        <w:rPr>
          <w:rFonts w:ascii="Garamond" w:hAnsi="Garamond" w:cstheme="minorHAnsi"/>
          <w:sz w:val="24"/>
          <w:szCs w:val="24"/>
          <w:lang w:val="en-US"/>
        </w:rPr>
        <w:t>or</w:t>
      </w:r>
      <w:r w:rsidRPr="00461D74">
        <w:rPr>
          <w:rFonts w:ascii="Garamond" w:hAnsi="Garamond" w:cstheme="minorHAnsi"/>
          <w:sz w:val="24"/>
          <w:szCs w:val="24"/>
          <w:lang w:val="en-US"/>
        </w:rPr>
        <w:t xml:space="preserve"> even large</w:t>
      </w:r>
      <w:r w:rsidR="00752DED" w:rsidRPr="00461D74">
        <w:rPr>
          <w:rFonts w:ascii="Garamond" w:hAnsi="Garamond" w:cstheme="minorHAnsi"/>
          <w:sz w:val="24"/>
          <w:szCs w:val="24"/>
          <w:lang w:val="en-US"/>
        </w:rPr>
        <w:t>r</w:t>
      </w:r>
      <w:r w:rsidRPr="00461D74">
        <w:rPr>
          <w:rFonts w:ascii="Garamond" w:hAnsi="Garamond" w:cstheme="minorHAnsi"/>
          <w:sz w:val="24"/>
          <w:szCs w:val="24"/>
          <w:lang w:val="en-US"/>
        </w:rPr>
        <w:t xml:space="preserve"> communities</w:t>
      </w:r>
      <w:r w:rsidR="00752DED" w:rsidRPr="00461D74">
        <w:rPr>
          <w:rFonts w:ascii="Garamond" w:hAnsi="Garamond" w:cstheme="minorHAnsi"/>
          <w:sz w:val="24"/>
          <w:szCs w:val="24"/>
          <w:lang w:val="en-US"/>
        </w:rPr>
        <w:t>,</w:t>
      </w:r>
      <w:r w:rsidRPr="00461D74">
        <w:rPr>
          <w:rFonts w:ascii="Garamond" w:hAnsi="Garamond" w:cstheme="minorHAnsi"/>
          <w:sz w:val="24"/>
          <w:szCs w:val="24"/>
          <w:lang w:val="en-US"/>
        </w:rPr>
        <w:t xml:space="preserve"> present</w:t>
      </w:r>
      <w:r w:rsidR="00752DED" w:rsidRPr="00461D74">
        <w:rPr>
          <w:rFonts w:ascii="Garamond" w:hAnsi="Garamond" w:cstheme="minorHAnsi"/>
          <w:sz w:val="24"/>
          <w:szCs w:val="24"/>
          <w:lang w:val="en-US"/>
        </w:rPr>
        <w:t>s</w:t>
      </w:r>
      <w:r w:rsidRPr="00461D74">
        <w:rPr>
          <w:rFonts w:ascii="Garamond" w:hAnsi="Garamond" w:cstheme="minorHAnsi"/>
          <w:sz w:val="24"/>
          <w:szCs w:val="24"/>
          <w:lang w:val="en-US"/>
        </w:rPr>
        <w:t xml:space="preserve"> for MacIntyre’s </w:t>
      </w:r>
      <w:r w:rsidR="00752DED" w:rsidRPr="00461D74">
        <w:rPr>
          <w:rFonts w:ascii="Garamond" w:hAnsi="Garamond" w:cstheme="minorHAnsi"/>
          <w:sz w:val="24"/>
          <w:szCs w:val="24"/>
          <w:lang w:val="en-US"/>
        </w:rPr>
        <w:t xml:space="preserve">politics. It seems </w:t>
      </w:r>
      <w:r w:rsidR="003C0910">
        <w:rPr>
          <w:rFonts w:ascii="Garamond" w:hAnsi="Garamond" w:cstheme="minorHAnsi"/>
          <w:sz w:val="24"/>
          <w:szCs w:val="24"/>
          <w:lang w:val="en-US"/>
        </w:rPr>
        <w:t>to me</w:t>
      </w:r>
      <w:r w:rsidR="003C0910" w:rsidRPr="00461D74">
        <w:rPr>
          <w:rFonts w:ascii="Garamond" w:hAnsi="Garamond" w:cstheme="minorHAnsi"/>
          <w:sz w:val="24"/>
          <w:szCs w:val="24"/>
          <w:lang w:val="en-US"/>
        </w:rPr>
        <w:t xml:space="preserve"> </w:t>
      </w:r>
      <w:r w:rsidR="00752DED" w:rsidRPr="00461D74">
        <w:rPr>
          <w:rFonts w:ascii="Garamond" w:hAnsi="Garamond" w:cstheme="minorHAnsi"/>
          <w:sz w:val="24"/>
          <w:szCs w:val="24"/>
          <w:lang w:val="en-US"/>
        </w:rPr>
        <w:t>that</w:t>
      </w:r>
      <w:r w:rsidRPr="00461D74">
        <w:rPr>
          <w:rFonts w:ascii="Garamond" w:hAnsi="Garamond" w:cstheme="minorHAnsi"/>
          <w:sz w:val="24"/>
          <w:szCs w:val="24"/>
          <w:lang w:val="en-US"/>
        </w:rPr>
        <w:t xml:space="preserve"> Knight does not go far enough to address the absence of a viable political conception in MacIntyre’s account. Recall that the suitability of MacIntyre’s Thomist revival as it stands is in question</w:t>
      </w:r>
      <w:r w:rsidR="003307AD">
        <w:rPr>
          <w:rFonts w:ascii="Garamond" w:hAnsi="Garamond" w:cstheme="minorHAnsi"/>
          <w:sz w:val="24"/>
          <w:szCs w:val="24"/>
          <w:lang w:val="en-US"/>
        </w:rPr>
        <w:t>,</w:t>
      </w:r>
      <w:r w:rsidRPr="00461D74">
        <w:rPr>
          <w:rFonts w:ascii="Garamond" w:hAnsi="Garamond" w:cstheme="minorHAnsi"/>
          <w:sz w:val="24"/>
          <w:szCs w:val="24"/>
          <w:lang w:val="en-US"/>
        </w:rPr>
        <w:t xml:space="preserve"> given that it corresponds to the particular historical circumstance and social context of Aquinas and Aristotle, and its corresponding conception of </w:t>
      </w:r>
      <w:r w:rsidRPr="00461D74">
        <w:rPr>
          <w:rFonts w:ascii="Garamond" w:hAnsi="Garamond" w:cstheme="minorHAnsi"/>
          <w:i/>
          <w:sz w:val="24"/>
          <w:szCs w:val="24"/>
          <w:lang w:val="en-US"/>
        </w:rPr>
        <w:t>polis</w:t>
      </w:r>
      <w:r w:rsidRPr="00461D74">
        <w:rPr>
          <w:rFonts w:ascii="Garamond" w:hAnsi="Garamond" w:cstheme="minorHAnsi"/>
          <w:sz w:val="24"/>
          <w:szCs w:val="24"/>
          <w:lang w:val="en-US"/>
        </w:rPr>
        <w:t xml:space="preserve"> – a political conception that is in profound conflict with many features of our contemporary social context</w:t>
      </w:r>
      <w:r w:rsidR="003C0910">
        <w:rPr>
          <w:rFonts w:ascii="Garamond" w:hAnsi="Garamond" w:cstheme="minorHAnsi"/>
          <w:sz w:val="24"/>
          <w:szCs w:val="24"/>
          <w:lang w:val="en-US"/>
        </w:rPr>
        <w:t>,</w:t>
      </w:r>
      <w:r w:rsidRPr="00461D74">
        <w:rPr>
          <w:rFonts w:ascii="Garamond" w:hAnsi="Garamond" w:cstheme="minorHAnsi"/>
          <w:sz w:val="24"/>
          <w:szCs w:val="24"/>
          <w:lang w:val="en-US"/>
        </w:rPr>
        <w:t xml:space="preserve"> including the liberal nation state. </w:t>
      </w:r>
    </w:p>
    <w:p w:rsidR="00EA2608"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 xml:space="preserve">Thus, it </w:t>
      </w:r>
      <w:r w:rsidR="00DA1BD9" w:rsidRPr="00461D74">
        <w:rPr>
          <w:rFonts w:ascii="Garamond" w:hAnsi="Garamond" w:cstheme="minorHAnsi"/>
          <w:sz w:val="24"/>
          <w:szCs w:val="24"/>
          <w:lang w:val="en-US"/>
        </w:rPr>
        <w:t xml:space="preserve">appears </w:t>
      </w:r>
      <w:r w:rsidRPr="00461D74">
        <w:rPr>
          <w:rFonts w:ascii="Garamond" w:hAnsi="Garamond" w:cstheme="minorHAnsi"/>
          <w:sz w:val="24"/>
          <w:szCs w:val="24"/>
          <w:lang w:val="en-US"/>
        </w:rPr>
        <w:t xml:space="preserve">that MacIntyre’s synthesis of </w:t>
      </w:r>
      <w:r w:rsidR="00DA1BD9" w:rsidRPr="00461D74">
        <w:rPr>
          <w:rFonts w:ascii="Garamond" w:hAnsi="Garamond" w:cstheme="minorHAnsi"/>
          <w:sz w:val="24"/>
          <w:szCs w:val="24"/>
          <w:lang w:val="en-US"/>
        </w:rPr>
        <w:t>Aristotelian-</w:t>
      </w:r>
      <w:r w:rsidRPr="00461D74">
        <w:rPr>
          <w:rFonts w:ascii="Garamond" w:hAnsi="Garamond" w:cstheme="minorHAnsi"/>
          <w:sz w:val="24"/>
          <w:szCs w:val="24"/>
          <w:lang w:val="en-US"/>
        </w:rPr>
        <w:t xml:space="preserve">Thomism with his Marxist inspired social critique </w:t>
      </w:r>
      <w:r w:rsidR="00DA1BD9" w:rsidRPr="00461D74">
        <w:rPr>
          <w:rFonts w:ascii="Garamond" w:hAnsi="Garamond" w:cstheme="minorHAnsi"/>
          <w:sz w:val="24"/>
          <w:szCs w:val="24"/>
          <w:lang w:val="en-US"/>
        </w:rPr>
        <w:t>isn’t able</w:t>
      </w:r>
      <w:r w:rsidRPr="00461D74">
        <w:rPr>
          <w:rFonts w:ascii="Garamond" w:hAnsi="Garamond" w:cstheme="minorHAnsi"/>
          <w:sz w:val="24"/>
          <w:szCs w:val="24"/>
          <w:lang w:val="en-US"/>
        </w:rPr>
        <w:t xml:space="preserve"> to </w:t>
      </w:r>
      <w:r w:rsidR="00DA1BD9" w:rsidRPr="00461D74">
        <w:rPr>
          <w:rFonts w:ascii="Garamond" w:hAnsi="Garamond" w:cstheme="minorHAnsi"/>
          <w:sz w:val="24"/>
          <w:szCs w:val="24"/>
          <w:lang w:val="en-US"/>
        </w:rPr>
        <w:t xml:space="preserve">address </w:t>
      </w:r>
      <w:r w:rsidRPr="00461D74">
        <w:rPr>
          <w:rFonts w:ascii="Garamond" w:hAnsi="Garamond" w:cstheme="minorHAnsi"/>
          <w:sz w:val="24"/>
          <w:szCs w:val="24"/>
          <w:lang w:val="en-US"/>
        </w:rPr>
        <w:t xml:space="preserve">the </w:t>
      </w:r>
      <w:r w:rsidR="00DA1BD9" w:rsidRPr="00461D74">
        <w:rPr>
          <w:rFonts w:ascii="Garamond" w:hAnsi="Garamond" w:cstheme="minorHAnsi"/>
          <w:sz w:val="24"/>
          <w:szCs w:val="24"/>
          <w:lang w:val="en-US"/>
        </w:rPr>
        <w:t xml:space="preserve">second </w:t>
      </w:r>
      <w:r w:rsidRPr="00461D74">
        <w:rPr>
          <w:rFonts w:ascii="Garamond" w:hAnsi="Garamond" w:cstheme="minorHAnsi"/>
          <w:sz w:val="24"/>
          <w:szCs w:val="24"/>
          <w:lang w:val="en-US"/>
        </w:rPr>
        <w:t>tension</w:t>
      </w:r>
      <w:r w:rsidR="00DA1BD9" w:rsidRPr="00461D74">
        <w:rPr>
          <w:rFonts w:ascii="Garamond" w:hAnsi="Garamond" w:cstheme="minorHAnsi"/>
          <w:sz w:val="24"/>
          <w:szCs w:val="24"/>
          <w:lang w:val="en-US"/>
        </w:rPr>
        <w:t xml:space="preserve"> in MacIntyre’s project</w:t>
      </w:r>
      <w:r w:rsidRPr="00461D74">
        <w:rPr>
          <w:rFonts w:ascii="Garamond" w:hAnsi="Garamond" w:cstheme="minorHAnsi"/>
          <w:sz w:val="24"/>
          <w:szCs w:val="24"/>
          <w:lang w:val="en-US"/>
        </w:rPr>
        <w:t xml:space="preserve">. </w:t>
      </w:r>
      <w:r w:rsidR="00CE1268" w:rsidRPr="00461D74">
        <w:rPr>
          <w:rFonts w:ascii="Garamond" w:hAnsi="Garamond" w:cstheme="minorHAnsi"/>
          <w:sz w:val="24"/>
          <w:szCs w:val="24"/>
          <w:lang w:val="en-US"/>
        </w:rPr>
        <w:t>Moreover, it</w:t>
      </w:r>
      <w:r w:rsidRPr="00461D74">
        <w:rPr>
          <w:rFonts w:ascii="Garamond" w:hAnsi="Garamond" w:cstheme="minorHAnsi"/>
          <w:sz w:val="24"/>
          <w:szCs w:val="24"/>
          <w:lang w:val="en-US"/>
        </w:rPr>
        <w:t xml:space="preserve"> </w:t>
      </w:r>
      <w:r w:rsidR="00CE1268" w:rsidRPr="00461D74">
        <w:rPr>
          <w:rFonts w:ascii="Garamond" w:hAnsi="Garamond" w:cstheme="minorHAnsi"/>
          <w:sz w:val="24"/>
          <w:szCs w:val="24"/>
          <w:lang w:val="en-US"/>
        </w:rPr>
        <w:t>appears</w:t>
      </w:r>
      <w:r w:rsidRPr="00461D74">
        <w:rPr>
          <w:rFonts w:ascii="Garamond" w:hAnsi="Garamond" w:cstheme="minorHAnsi"/>
          <w:sz w:val="24"/>
          <w:szCs w:val="24"/>
          <w:lang w:val="en-US"/>
        </w:rPr>
        <w:t xml:space="preserve"> that the sociological critique adopted by MacIntyre is </w:t>
      </w:r>
      <w:r w:rsidR="00F80CBA">
        <w:rPr>
          <w:rFonts w:ascii="Garamond" w:hAnsi="Garamond" w:cstheme="minorHAnsi"/>
          <w:sz w:val="24"/>
          <w:szCs w:val="24"/>
          <w:lang w:val="en-US"/>
        </w:rPr>
        <w:t>mostly</w:t>
      </w:r>
      <w:r w:rsidR="003307AD">
        <w:rPr>
          <w:rFonts w:ascii="Garamond" w:hAnsi="Garamond" w:cstheme="minorHAnsi"/>
          <w:sz w:val="24"/>
          <w:szCs w:val="24"/>
          <w:lang w:val="en-US"/>
        </w:rPr>
        <w:t xml:space="preserve"> </w:t>
      </w:r>
      <w:r w:rsidR="00DA1BD9" w:rsidRPr="00461D74">
        <w:rPr>
          <w:rFonts w:ascii="Garamond" w:hAnsi="Garamond" w:cstheme="minorHAnsi"/>
          <w:sz w:val="24"/>
          <w:szCs w:val="24"/>
          <w:lang w:val="en-US"/>
        </w:rPr>
        <w:t xml:space="preserve">a resource </w:t>
      </w:r>
      <w:r w:rsidR="003307AD">
        <w:rPr>
          <w:rFonts w:ascii="Garamond" w:hAnsi="Garamond" w:cstheme="minorHAnsi"/>
          <w:sz w:val="24"/>
          <w:szCs w:val="24"/>
          <w:lang w:val="en-US"/>
        </w:rPr>
        <w:t>which</w:t>
      </w:r>
      <w:r w:rsidR="00DA1BD9" w:rsidRPr="00461D74">
        <w:rPr>
          <w:rFonts w:ascii="Garamond" w:hAnsi="Garamond" w:cstheme="minorHAnsi"/>
          <w:sz w:val="24"/>
          <w:szCs w:val="24"/>
          <w:lang w:val="en-US"/>
        </w:rPr>
        <w:t xml:space="preserve"> he </w:t>
      </w:r>
      <w:r w:rsidR="00CE1268" w:rsidRPr="00461D74">
        <w:rPr>
          <w:rFonts w:ascii="Garamond" w:hAnsi="Garamond" w:cstheme="minorHAnsi"/>
          <w:sz w:val="24"/>
          <w:szCs w:val="24"/>
          <w:lang w:val="en-US"/>
        </w:rPr>
        <w:t>utilizes</w:t>
      </w:r>
      <w:r w:rsidR="00DA1BD9" w:rsidRPr="00461D74">
        <w:rPr>
          <w:rFonts w:ascii="Garamond" w:hAnsi="Garamond" w:cstheme="minorHAnsi"/>
          <w:sz w:val="24"/>
          <w:szCs w:val="24"/>
          <w:lang w:val="en-US"/>
        </w:rPr>
        <w:t xml:space="preserve"> in order </w:t>
      </w:r>
      <w:r w:rsidRPr="00461D74">
        <w:rPr>
          <w:rFonts w:ascii="Garamond" w:hAnsi="Garamond" w:cstheme="minorHAnsi"/>
          <w:sz w:val="24"/>
          <w:szCs w:val="24"/>
          <w:lang w:val="en-US"/>
        </w:rPr>
        <w:t xml:space="preserve">to reject contemporary </w:t>
      </w:r>
      <w:r w:rsidR="00DA1BD9" w:rsidRPr="00461D74">
        <w:rPr>
          <w:rFonts w:ascii="Garamond" w:hAnsi="Garamond" w:cstheme="minorHAnsi"/>
          <w:sz w:val="24"/>
          <w:szCs w:val="24"/>
          <w:lang w:val="en-US"/>
        </w:rPr>
        <w:lastRenderedPageBreak/>
        <w:t xml:space="preserve">liberal </w:t>
      </w:r>
      <w:r w:rsidRPr="00461D74">
        <w:rPr>
          <w:rFonts w:ascii="Garamond" w:hAnsi="Garamond" w:cstheme="minorHAnsi"/>
          <w:sz w:val="24"/>
          <w:szCs w:val="24"/>
          <w:lang w:val="en-US"/>
        </w:rPr>
        <w:t>politics, and especially, politics at the state level. But recall that for MacIntyre, in lieu of a positive politics</w:t>
      </w:r>
      <w:r w:rsidR="003C0910">
        <w:rPr>
          <w:rFonts w:ascii="Garamond" w:hAnsi="Garamond" w:cstheme="minorHAnsi"/>
          <w:sz w:val="24"/>
          <w:szCs w:val="24"/>
          <w:lang w:val="en-US"/>
        </w:rPr>
        <w:t>,</w:t>
      </w:r>
      <w:r w:rsidRPr="00461D74">
        <w:rPr>
          <w:rFonts w:ascii="Garamond" w:hAnsi="Garamond" w:cstheme="minorHAnsi"/>
          <w:sz w:val="24"/>
          <w:szCs w:val="24"/>
          <w:lang w:val="en-US"/>
        </w:rPr>
        <w:t xml:space="preserve"> the tension is</w:t>
      </w:r>
      <w:r w:rsidR="003307AD">
        <w:rPr>
          <w:rFonts w:ascii="Garamond" w:hAnsi="Garamond" w:cstheme="minorHAnsi"/>
          <w:sz w:val="24"/>
          <w:szCs w:val="24"/>
          <w:lang w:val="en-US"/>
        </w:rPr>
        <w:t xml:space="preserve"> </w:t>
      </w:r>
      <w:r w:rsidRPr="00461D74">
        <w:rPr>
          <w:rFonts w:ascii="Garamond" w:hAnsi="Garamond" w:cstheme="minorHAnsi"/>
          <w:sz w:val="24"/>
          <w:szCs w:val="24"/>
          <w:lang w:val="en-US"/>
        </w:rPr>
        <w:t xml:space="preserve">especially acute </w:t>
      </w:r>
      <w:r w:rsidR="003307AD">
        <w:rPr>
          <w:rFonts w:ascii="Garamond" w:hAnsi="Garamond" w:cstheme="minorHAnsi"/>
          <w:sz w:val="24"/>
          <w:szCs w:val="24"/>
          <w:lang w:val="en-US"/>
        </w:rPr>
        <w:t>insofar as</w:t>
      </w:r>
      <w:r w:rsidRPr="00461D74">
        <w:rPr>
          <w:rFonts w:ascii="Garamond" w:hAnsi="Garamond" w:cstheme="minorHAnsi"/>
          <w:sz w:val="24"/>
          <w:szCs w:val="24"/>
          <w:lang w:val="en-US"/>
        </w:rPr>
        <w:t xml:space="preserve"> he closel</w:t>
      </w:r>
      <w:r w:rsidR="00CE1268" w:rsidRPr="00461D74">
        <w:rPr>
          <w:rFonts w:ascii="Garamond" w:hAnsi="Garamond" w:cstheme="minorHAnsi"/>
          <w:sz w:val="24"/>
          <w:szCs w:val="24"/>
          <w:lang w:val="en-US"/>
        </w:rPr>
        <w:t xml:space="preserve">y connects ethics and politics; and </w:t>
      </w:r>
      <w:r w:rsidRPr="00461D74">
        <w:rPr>
          <w:rFonts w:ascii="Garamond" w:hAnsi="Garamond" w:cstheme="minorHAnsi"/>
          <w:sz w:val="24"/>
          <w:szCs w:val="24"/>
          <w:lang w:val="en-US"/>
        </w:rPr>
        <w:t>in th</w:t>
      </w:r>
      <w:r w:rsidR="00CE1268" w:rsidRPr="00461D74">
        <w:rPr>
          <w:rFonts w:ascii="Garamond" w:hAnsi="Garamond" w:cstheme="minorHAnsi"/>
          <w:sz w:val="24"/>
          <w:szCs w:val="24"/>
          <w:lang w:val="en-US"/>
        </w:rPr>
        <w:t>e absence of a positive political account</w:t>
      </w:r>
      <w:r w:rsidRPr="00461D74">
        <w:rPr>
          <w:rFonts w:ascii="Garamond" w:hAnsi="Garamond" w:cstheme="minorHAnsi"/>
          <w:sz w:val="24"/>
          <w:szCs w:val="24"/>
          <w:lang w:val="en-US"/>
        </w:rPr>
        <w:t xml:space="preserve">, his ethical project as a whole is </w:t>
      </w:r>
      <w:r w:rsidR="00CE1268" w:rsidRPr="00461D74">
        <w:rPr>
          <w:rFonts w:ascii="Garamond" w:hAnsi="Garamond" w:cstheme="minorHAnsi"/>
          <w:sz w:val="24"/>
          <w:szCs w:val="24"/>
          <w:lang w:val="en-US"/>
        </w:rPr>
        <w:t xml:space="preserve">placed </w:t>
      </w:r>
      <w:r w:rsidRPr="00461D74">
        <w:rPr>
          <w:rFonts w:ascii="Garamond" w:hAnsi="Garamond" w:cstheme="minorHAnsi"/>
          <w:sz w:val="24"/>
          <w:szCs w:val="24"/>
          <w:lang w:val="en-US"/>
        </w:rPr>
        <w:t>in danger</w:t>
      </w:r>
      <w:r w:rsidR="00626F15" w:rsidRPr="00461D74">
        <w:rPr>
          <w:rFonts w:ascii="Garamond" w:hAnsi="Garamond" w:cstheme="minorHAnsi"/>
          <w:sz w:val="24"/>
          <w:szCs w:val="24"/>
          <w:lang w:val="en-US"/>
        </w:rPr>
        <w:t xml:space="preserve">. </w:t>
      </w:r>
    </w:p>
    <w:p w:rsidR="00665157" w:rsidRDefault="00EA2608">
      <w:pPr>
        <w:spacing w:line="360" w:lineRule="auto"/>
        <w:ind w:firstLine="720"/>
        <w:jc w:val="both"/>
        <w:rPr>
          <w:rFonts w:ascii="Garamond" w:hAnsi="Garamond" w:cstheme="minorHAnsi"/>
          <w:sz w:val="24"/>
          <w:szCs w:val="24"/>
          <w:lang w:val="en-US"/>
        </w:rPr>
      </w:pPr>
      <w:r>
        <w:rPr>
          <w:rFonts w:ascii="Garamond" w:hAnsi="Garamond" w:cstheme="minorHAnsi"/>
          <w:sz w:val="24"/>
          <w:szCs w:val="24"/>
          <w:lang w:val="en-US"/>
        </w:rPr>
        <w:t>Therefore</w:t>
      </w:r>
      <w:r w:rsidR="00DA4E3A" w:rsidRPr="00461D74">
        <w:rPr>
          <w:rFonts w:ascii="Garamond" w:hAnsi="Garamond" w:cstheme="minorHAnsi"/>
          <w:sz w:val="24"/>
          <w:szCs w:val="24"/>
          <w:lang w:val="en-US"/>
        </w:rPr>
        <w:t>,</w:t>
      </w:r>
      <w:r w:rsidR="00CE1268" w:rsidRPr="00461D74">
        <w:rPr>
          <w:rFonts w:ascii="Garamond" w:hAnsi="Garamond" w:cstheme="minorHAnsi"/>
          <w:sz w:val="24"/>
          <w:szCs w:val="24"/>
          <w:lang w:val="en-US"/>
        </w:rPr>
        <w:t xml:space="preserve"> </w:t>
      </w:r>
      <w:r w:rsidR="00DA4E3A" w:rsidRPr="00461D74">
        <w:rPr>
          <w:rFonts w:ascii="Garamond" w:hAnsi="Garamond" w:cstheme="minorHAnsi"/>
          <w:sz w:val="24"/>
          <w:szCs w:val="24"/>
          <w:lang w:val="en-US"/>
        </w:rPr>
        <w:t>MacIntyre</w:t>
      </w:r>
      <w:r w:rsidR="00626F15" w:rsidRPr="00461D74">
        <w:rPr>
          <w:rFonts w:ascii="Garamond" w:hAnsi="Garamond" w:cstheme="minorHAnsi"/>
          <w:sz w:val="24"/>
          <w:szCs w:val="24"/>
          <w:lang w:val="en-US"/>
        </w:rPr>
        <w:t xml:space="preserve"> need</w:t>
      </w:r>
      <w:r w:rsidR="00DA4E3A" w:rsidRPr="00461D74">
        <w:rPr>
          <w:rFonts w:ascii="Garamond" w:hAnsi="Garamond" w:cstheme="minorHAnsi"/>
          <w:sz w:val="24"/>
          <w:szCs w:val="24"/>
          <w:lang w:val="en-US"/>
        </w:rPr>
        <w:t>s</w:t>
      </w:r>
      <w:r w:rsidR="00626F15" w:rsidRPr="00461D74">
        <w:rPr>
          <w:rFonts w:ascii="Garamond" w:hAnsi="Garamond" w:cstheme="minorHAnsi"/>
          <w:sz w:val="24"/>
          <w:szCs w:val="24"/>
          <w:lang w:val="en-US"/>
        </w:rPr>
        <w:t xml:space="preserve"> </w:t>
      </w:r>
      <w:r w:rsidR="00DA4E3A" w:rsidRPr="00461D74">
        <w:rPr>
          <w:rFonts w:ascii="Garamond" w:hAnsi="Garamond" w:cstheme="minorHAnsi"/>
          <w:sz w:val="24"/>
          <w:szCs w:val="24"/>
          <w:lang w:val="en-US"/>
        </w:rPr>
        <w:t>a</w:t>
      </w:r>
      <w:r w:rsidR="00626F15" w:rsidRPr="00461D74">
        <w:rPr>
          <w:rFonts w:ascii="Garamond" w:hAnsi="Garamond" w:cstheme="minorHAnsi"/>
          <w:sz w:val="24"/>
          <w:szCs w:val="24"/>
          <w:lang w:val="en-US"/>
        </w:rPr>
        <w:t xml:space="preserve"> kind of</w:t>
      </w:r>
      <w:r w:rsidR="00016049" w:rsidRPr="00461D74">
        <w:rPr>
          <w:rFonts w:ascii="Garamond" w:hAnsi="Garamond" w:cstheme="minorHAnsi"/>
          <w:sz w:val="24"/>
          <w:szCs w:val="24"/>
          <w:lang w:val="en-US"/>
        </w:rPr>
        <w:t xml:space="preserve"> politics</w:t>
      </w:r>
      <w:r>
        <w:rPr>
          <w:rFonts w:ascii="Garamond" w:hAnsi="Garamond" w:cstheme="minorHAnsi"/>
          <w:sz w:val="24"/>
          <w:szCs w:val="24"/>
          <w:lang w:val="en-US"/>
        </w:rPr>
        <w:t>,</w:t>
      </w:r>
      <w:r w:rsidR="00016049" w:rsidRPr="00461D74">
        <w:rPr>
          <w:rFonts w:ascii="Garamond" w:hAnsi="Garamond" w:cstheme="minorHAnsi"/>
          <w:sz w:val="24"/>
          <w:szCs w:val="24"/>
          <w:lang w:val="en-US"/>
        </w:rPr>
        <w:t xml:space="preserve"> </w:t>
      </w:r>
      <w:r>
        <w:rPr>
          <w:rFonts w:ascii="Garamond" w:hAnsi="Garamond" w:cstheme="minorHAnsi"/>
          <w:sz w:val="24"/>
          <w:szCs w:val="24"/>
          <w:lang w:val="en-US"/>
        </w:rPr>
        <w:t>which</w:t>
      </w:r>
      <w:r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 xml:space="preserve">remains sensitive to </w:t>
      </w:r>
      <w:r w:rsidR="00DA4E3A" w:rsidRPr="00461D74">
        <w:rPr>
          <w:rFonts w:ascii="Garamond" w:hAnsi="Garamond" w:cstheme="minorHAnsi"/>
          <w:sz w:val="24"/>
          <w:szCs w:val="24"/>
          <w:lang w:val="en-US"/>
        </w:rPr>
        <w:t xml:space="preserve">our contemporary </w:t>
      </w:r>
      <w:r w:rsidR="00016049" w:rsidRPr="00461D74">
        <w:rPr>
          <w:rFonts w:ascii="Garamond" w:hAnsi="Garamond" w:cstheme="minorHAnsi"/>
          <w:sz w:val="24"/>
          <w:szCs w:val="24"/>
          <w:lang w:val="en-US"/>
        </w:rPr>
        <w:t xml:space="preserve">social </w:t>
      </w:r>
      <w:r w:rsidR="00DA4E3A" w:rsidRPr="00461D74">
        <w:rPr>
          <w:rFonts w:ascii="Garamond" w:hAnsi="Garamond" w:cstheme="minorHAnsi"/>
          <w:sz w:val="24"/>
          <w:szCs w:val="24"/>
          <w:lang w:val="en-US"/>
        </w:rPr>
        <w:t>circumstance</w:t>
      </w:r>
      <w:r w:rsidR="00016049" w:rsidRPr="00461D74">
        <w:rPr>
          <w:rFonts w:ascii="Garamond" w:hAnsi="Garamond" w:cstheme="minorHAnsi"/>
          <w:sz w:val="24"/>
          <w:szCs w:val="24"/>
          <w:lang w:val="en-US"/>
        </w:rPr>
        <w:t xml:space="preserve"> and </w:t>
      </w:r>
      <w:r>
        <w:rPr>
          <w:rFonts w:ascii="Garamond" w:hAnsi="Garamond" w:cstheme="minorHAnsi"/>
          <w:sz w:val="24"/>
          <w:szCs w:val="24"/>
          <w:lang w:val="en-US"/>
        </w:rPr>
        <w:t xml:space="preserve">one </w:t>
      </w:r>
      <w:r w:rsidR="006D6B10" w:rsidRPr="00461D74">
        <w:rPr>
          <w:rFonts w:ascii="Garamond" w:hAnsi="Garamond" w:cstheme="minorHAnsi"/>
          <w:sz w:val="24"/>
          <w:szCs w:val="24"/>
          <w:lang w:val="en-US"/>
        </w:rPr>
        <w:t xml:space="preserve">which </w:t>
      </w:r>
      <w:r w:rsidR="00016049" w:rsidRPr="00461D74">
        <w:rPr>
          <w:rFonts w:ascii="Garamond" w:hAnsi="Garamond" w:cstheme="minorHAnsi"/>
          <w:sz w:val="24"/>
          <w:szCs w:val="24"/>
          <w:lang w:val="en-US"/>
        </w:rPr>
        <w:t>critically</w:t>
      </w:r>
      <w:r w:rsidR="00F80CBA">
        <w:rPr>
          <w:rFonts w:ascii="Garamond" w:hAnsi="Garamond" w:cstheme="minorHAnsi"/>
          <w:sz w:val="24"/>
          <w:szCs w:val="24"/>
          <w:lang w:val="en-US"/>
        </w:rPr>
        <w:t>,</w:t>
      </w:r>
      <w:r w:rsidR="00DA4E3A" w:rsidRPr="00461D74">
        <w:rPr>
          <w:rFonts w:ascii="Garamond" w:hAnsi="Garamond" w:cstheme="minorHAnsi"/>
          <w:sz w:val="24"/>
          <w:szCs w:val="24"/>
          <w:lang w:val="en-US"/>
        </w:rPr>
        <w:t xml:space="preserve"> </w:t>
      </w:r>
      <w:r w:rsidR="00DB3469" w:rsidRPr="00461D74">
        <w:rPr>
          <w:rFonts w:ascii="Garamond" w:hAnsi="Garamond" w:cstheme="minorHAnsi"/>
          <w:sz w:val="24"/>
          <w:szCs w:val="24"/>
          <w:lang w:val="en-US"/>
        </w:rPr>
        <w:t>yet</w:t>
      </w:r>
      <w:r w:rsidR="00DA4E3A" w:rsidRPr="00461D74">
        <w:rPr>
          <w:rFonts w:ascii="Garamond" w:hAnsi="Garamond" w:cstheme="minorHAnsi"/>
          <w:sz w:val="24"/>
          <w:szCs w:val="24"/>
          <w:lang w:val="en-US"/>
        </w:rPr>
        <w:t xml:space="preserve"> constructively</w:t>
      </w:r>
      <w:r w:rsidR="00016049" w:rsidRPr="00461D74">
        <w:rPr>
          <w:rFonts w:ascii="Garamond" w:hAnsi="Garamond" w:cstheme="minorHAnsi"/>
          <w:sz w:val="24"/>
          <w:szCs w:val="24"/>
          <w:lang w:val="en-US"/>
        </w:rPr>
        <w:t xml:space="preserve"> engages the dominant </w:t>
      </w:r>
      <w:r w:rsidR="00DA4E3A" w:rsidRPr="00461D74">
        <w:rPr>
          <w:rFonts w:ascii="Garamond" w:hAnsi="Garamond" w:cstheme="minorHAnsi"/>
          <w:sz w:val="24"/>
          <w:szCs w:val="24"/>
          <w:lang w:val="en-US"/>
        </w:rPr>
        <w:t xml:space="preserve">liberal political </w:t>
      </w:r>
      <w:r w:rsidR="00016049" w:rsidRPr="00461D74">
        <w:rPr>
          <w:rFonts w:ascii="Garamond" w:hAnsi="Garamond" w:cstheme="minorHAnsi"/>
          <w:sz w:val="24"/>
          <w:szCs w:val="24"/>
          <w:lang w:val="en-US"/>
        </w:rPr>
        <w:t>tradition</w:t>
      </w:r>
      <w:r w:rsidR="00DB3469" w:rsidRPr="00461D74">
        <w:rPr>
          <w:rFonts w:ascii="Garamond" w:hAnsi="Garamond" w:cstheme="minorHAnsi"/>
          <w:sz w:val="24"/>
          <w:szCs w:val="24"/>
          <w:lang w:val="en-US"/>
        </w:rPr>
        <w:t xml:space="preserve">. To put it differently, the kind of politics that </w:t>
      </w:r>
      <w:r w:rsidR="001F64AE" w:rsidRPr="00461D74">
        <w:rPr>
          <w:rFonts w:ascii="Garamond" w:hAnsi="Garamond" w:cstheme="minorHAnsi"/>
          <w:sz w:val="24"/>
          <w:szCs w:val="24"/>
          <w:lang w:val="en-US"/>
        </w:rPr>
        <w:t xml:space="preserve">MacIntyre </w:t>
      </w:r>
      <w:r w:rsidR="006D6B10" w:rsidRPr="00461D74">
        <w:rPr>
          <w:rFonts w:ascii="Garamond" w:hAnsi="Garamond" w:cstheme="minorHAnsi"/>
          <w:sz w:val="24"/>
          <w:szCs w:val="24"/>
          <w:lang w:val="en-US"/>
        </w:rPr>
        <w:t xml:space="preserve">adopts </w:t>
      </w:r>
      <w:r w:rsidR="001F64AE" w:rsidRPr="00461D74">
        <w:rPr>
          <w:rFonts w:ascii="Garamond" w:hAnsi="Garamond" w:cstheme="minorHAnsi"/>
          <w:sz w:val="24"/>
          <w:szCs w:val="24"/>
          <w:lang w:val="en-US"/>
        </w:rPr>
        <w:t>ought to remain</w:t>
      </w:r>
      <w:r w:rsidR="00016049" w:rsidRPr="00461D74">
        <w:rPr>
          <w:rFonts w:ascii="Garamond" w:hAnsi="Garamond" w:cstheme="minorHAnsi"/>
          <w:sz w:val="24"/>
          <w:szCs w:val="24"/>
          <w:lang w:val="en-US"/>
        </w:rPr>
        <w:t xml:space="preserve"> cognizant of the fact that any viable politics must deal with </w:t>
      </w:r>
      <w:r w:rsidR="001F64AE" w:rsidRPr="00461D74">
        <w:rPr>
          <w:rFonts w:ascii="Garamond" w:hAnsi="Garamond" w:cstheme="minorHAnsi"/>
          <w:sz w:val="24"/>
          <w:szCs w:val="24"/>
          <w:lang w:val="en-US"/>
        </w:rPr>
        <w:t>problems that arise as part of the ongoing relationship between small-scale and large-scale political systems</w:t>
      </w:r>
      <w:r w:rsidR="00016049" w:rsidRPr="00461D74">
        <w:rPr>
          <w:rFonts w:ascii="Garamond" w:hAnsi="Garamond" w:cstheme="minorHAnsi"/>
          <w:sz w:val="24"/>
          <w:szCs w:val="24"/>
          <w:lang w:val="en-US"/>
        </w:rPr>
        <w:t>.</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rPr>
        <w:t>But before we can pass judgment on the limitation of MacIntyre’</w:t>
      </w:r>
      <w:r w:rsidR="00626F15" w:rsidRPr="00461D74">
        <w:rPr>
          <w:rFonts w:ascii="Garamond" w:hAnsi="Garamond" w:cstheme="minorHAnsi"/>
          <w:sz w:val="24"/>
          <w:szCs w:val="24"/>
        </w:rPr>
        <w:t>s</w:t>
      </w:r>
      <w:r w:rsidRPr="00461D74">
        <w:rPr>
          <w:rFonts w:ascii="Garamond" w:hAnsi="Garamond" w:cstheme="minorHAnsi"/>
          <w:sz w:val="24"/>
          <w:szCs w:val="24"/>
        </w:rPr>
        <w:t xml:space="preserve"> </w:t>
      </w:r>
      <w:r w:rsidR="00EA2608">
        <w:rPr>
          <w:rFonts w:ascii="Garamond" w:hAnsi="Garamond" w:cstheme="minorHAnsi"/>
          <w:sz w:val="24"/>
          <w:szCs w:val="24"/>
        </w:rPr>
        <w:t xml:space="preserve">Thomist inspired </w:t>
      </w:r>
      <w:r w:rsidRPr="00461D74">
        <w:rPr>
          <w:rFonts w:ascii="Garamond" w:hAnsi="Garamond" w:cstheme="minorHAnsi"/>
          <w:sz w:val="24"/>
          <w:szCs w:val="24"/>
        </w:rPr>
        <w:t xml:space="preserve">local politics of the common good and answer whether MacIntyre indeed fails to </w:t>
      </w:r>
      <w:r w:rsidR="002C5486">
        <w:rPr>
          <w:rFonts w:ascii="Garamond" w:hAnsi="Garamond" w:cstheme="minorHAnsi"/>
          <w:sz w:val="24"/>
          <w:szCs w:val="24"/>
        </w:rPr>
        <w:t>advance</w:t>
      </w:r>
      <w:r w:rsidRPr="00461D74">
        <w:rPr>
          <w:rFonts w:ascii="Garamond" w:hAnsi="Garamond" w:cstheme="minorHAnsi"/>
          <w:sz w:val="24"/>
          <w:szCs w:val="24"/>
        </w:rPr>
        <w:t xml:space="preserve"> a positive politics, we need to coherently piece together</w:t>
      </w:r>
      <w:r w:rsidR="00626F15" w:rsidRPr="00461D74">
        <w:rPr>
          <w:rFonts w:ascii="Garamond" w:hAnsi="Garamond" w:cstheme="minorHAnsi"/>
          <w:sz w:val="24"/>
          <w:szCs w:val="24"/>
        </w:rPr>
        <w:t>,</w:t>
      </w:r>
      <w:r w:rsidRPr="00461D74">
        <w:rPr>
          <w:rFonts w:ascii="Garamond" w:hAnsi="Garamond" w:cstheme="minorHAnsi"/>
          <w:sz w:val="24"/>
          <w:szCs w:val="24"/>
        </w:rPr>
        <w:t xml:space="preserve"> as best as we can</w:t>
      </w:r>
      <w:r w:rsidR="00626F15" w:rsidRPr="00461D74">
        <w:rPr>
          <w:rFonts w:ascii="Garamond" w:hAnsi="Garamond" w:cstheme="minorHAnsi"/>
          <w:sz w:val="24"/>
          <w:szCs w:val="24"/>
        </w:rPr>
        <w:t>,</w:t>
      </w:r>
      <w:r w:rsidRPr="00461D74">
        <w:rPr>
          <w:rFonts w:ascii="Garamond" w:hAnsi="Garamond" w:cstheme="minorHAnsi"/>
          <w:sz w:val="24"/>
          <w:szCs w:val="24"/>
        </w:rPr>
        <w:t xml:space="preserve"> some important constitutive elements of his political philosophy, </w:t>
      </w:r>
      <w:r w:rsidR="00626F15" w:rsidRPr="00461D74">
        <w:rPr>
          <w:rFonts w:ascii="Garamond" w:hAnsi="Garamond" w:cstheme="minorHAnsi"/>
          <w:sz w:val="24"/>
          <w:szCs w:val="24"/>
        </w:rPr>
        <w:t xml:space="preserve">and </w:t>
      </w:r>
      <w:r w:rsidRPr="00461D74">
        <w:rPr>
          <w:rFonts w:ascii="Garamond" w:hAnsi="Garamond" w:cstheme="minorHAnsi"/>
          <w:sz w:val="24"/>
          <w:szCs w:val="24"/>
        </w:rPr>
        <w:t>more specifically</w:t>
      </w:r>
      <w:r w:rsidR="00626F15" w:rsidRPr="00461D74">
        <w:rPr>
          <w:rFonts w:ascii="Garamond" w:hAnsi="Garamond" w:cstheme="minorHAnsi"/>
          <w:sz w:val="24"/>
          <w:szCs w:val="24"/>
        </w:rPr>
        <w:t>,</w:t>
      </w:r>
      <w:r w:rsidRPr="00461D74">
        <w:rPr>
          <w:rFonts w:ascii="Garamond" w:hAnsi="Garamond" w:cstheme="minorHAnsi"/>
          <w:sz w:val="24"/>
          <w:szCs w:val="24"/>
        </w:rPr>
        <w:t xml:space="preserve"> the primacy of the common good in </w:t>
      </w:r>
      <w:r w:rsidR="00EA2608">
        <w:rPr>
          <w:rFonts w:ascii="Garamond" w:hAnsi="Garamond" w:cstheme="minorHAnsi"/>
          <w:sz w:val="24"/>
          <w:szCs w:val="24"/>
        </w:rPr>
        <w:t>genuine (Aristotelian) political activity</w:t>
      </w:r>
      <w:r w:rsidRPr="00461D74">
        <w:rPr>
          <w:rFonts w:ascii="Garamond" w:hAnsi="Garamond" w:cstheme="minorHAnsi"/>
          <w:sz w:val="24"/>
          <w:szCs w:val="24"/>
        </w:rPr>
        <w:t>.</w:t>
      </w:r>
    </w:p>
    <w:p w:rsidR="00665157" w:rsidRPr="002C5486" w:rsidRDefault="00665157">
      <w:pPr>
        <w:spacing w:line="360" w:lineRule="auto"/>
        <w:jc w:val="both"/>
        <w:rPr>
          <w:rFonts w:asciiTheme="majorHAnsi" w:hAnsiTheme="majorHAnsi" w:cstheme="majorHAnsi"/>
          <w:sz w:val="24"/>
          <w:szCs w:val="24"/>
          <w:lang w:val="en-US"/>
        </w:rPr>
      </w:pPr>
    </w:p>
    <w:p w:rsidR="00665157" w:rsidRDefault="00BB6002" w:rsidP="00BB6002">
      <w:pPr>
        <w:pStyle w:val="Heading2"/>
        <w:spacing w:line="360" w:lineRule="auto"/>
        <w:jc w:val="both"/>
        <w:rPr>
          <w:rFonts w:cstheme="majorHAnsi"/>
        </w:rPr>
      </w:pPr>
      <w:bookmarkStart w:id="38" w:name="_Toc318424035"/>
      <w:bookmarkStart w:id="39" w:name="_Toc528077817"/>
      <w:r>
        <w:rPr>
          <w:rFonts w:cstheme="majorHAnsi"/>
        </w:rPr>
        <w:t xml:space="preserve">3. </w:t>
      </w:r>
      <w:r w:rsidR="00016049" w:rsidRPr="00F03436">
        <w:rPr>
          <w:rFonts w:cstheme="majorHAnsi"/>
        </w:rPr>
        <w:t>MacIntyre’s Political Philosophy</w:t>
      </w:r>
      <w:bookmarkEnd w:id="38"/>
      <w:bookmarkEnd w:id="39"/>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Thus far, I have tried to reveal how MacIntyre’s engagement with Hegel and Marx has expanded upon Aristotelian-Thomism in a way that has surpassed the original discourse offered in the Aristotelian-Thomistic tradition. </w:t>
      </w:r>
      <w:r w:rsidR="00C023BA">
        <w:rPr>
          <w:rFonts w:ascii="Garamond" w:hAnsi="Garamond" w:cstheme="minorHAnsi"/>
          <w:sz w:val="24"/>
          <w:szCs w:val="24"/>
        </w:rPr>
        <w:t>I n</w:t>
      </w:r>
      <w:r w:rsidR="00960AE9" w:rsidRPr="00461D74">
        <w:rPr>
          <w:rFonts w:ascii="Garamond" w:hAnsi="Garamond" w:cstheme="minorHAnsi"/>
          <w:sz w:val="24"/>
          <w:szCs w:val="24"/>
        </w:rPr>
        <w:t xml:space="preserve">evertheless </w:t>
      </w:r>
      <w:r w:rsidR="00C023BA">
        <w:rPr>
          <w:rFonts w:ascii="Garamond" w:hAnsi="Garamond" w:cstheme="minorHAnsi"/>
          <w:sz w:val="24"/>
          <w:szCs w:val="24"/>
        </w:rPr>
        <w:t xml:space="preserve">argued </w:t>
      </w:r>
      <w:r w:rsidRPr="00461D74">
        <w:rPr>
          <w:rFonts w:ascii="Garamond" w:hAnsi="Garamond" w:cstheme="minorHAnsi"/>
          <w:sz w:val="24"/>
          <w:szCs w:val="24"/>
        </w:rPr>
        <w:t xml:space="preserve">that </w:t>
      </w:r>
      <w:r w:rsidR="00C023BA">
        <w:rPr>
          <w:rFonts w:ascii="Garamond" w:hAnsi="Garamond" w:cstheme="minorHAnsi"/>
          <w:sz w:val="24"/>
          <w:szCs w:val="24"/>
        </w:rPr>
        <w:t>viewed as a resolution to</w:t>
      </w:r>
      <w:r w:rsidR="00C023BA" w:rsidRPr="00461D74">
        <w:rPr>
          <w:rFonts w:ascii="Garamond" w:hAnsi="Garamond" w:cstheme="minorHAnsi"/>
          <w:sz w:val="24"/>
          <w:szCs w:val="24"/>
        </w:rPr>
        <w:t xml:space="preserve"> the second tension</w:t>
      </w:r>
      <w:r w:rsidR="00C023BA">
        <w:rPr>
          <w:rFonts w:ascii="Garamond" w:hAnsi="Garamond" w:cstheme="minorHAnsi"/>
          <w:sz w:val="24"/>
          <w:szCs w:val="24"/>
        </w:rPr>
        <w:t>,</w:t>
      </w:r>
      <w:r w:rsidR="00C023BA" w:rsidRPr="00461D74">
        <w:rPr>
          <w:rFonts w:ascii="Garamond" w:hAnsi="Garamond" w:cstheme="minorHAnsi"/>
          <w:sz w:val="24"/>
          <w:szCs w:val="24"/>
        </w:rPr>
        <w:t xml:space="preserve"> </w:t>
      </w:r>
      <w:r w:rsidRPr="00461D74">
        <w:rPr>
          <w:rFonts w:ascii="Garamond" w:hAnsi="Garamond" w:cstheme="minorHAnsi"/>
          <w:sz w:val="24"/>
          <w:szCs w:val="24"/>
        </w:rPr>
        <w:t xml:space="preserve">this </w:t>
      </w:r>
      <w:r w:rsidR="00C023BA">
        <w:rPr>
          <w:rFonts w:ascii="Garamond" w:hAnsi="Garamond" w:cstheme="minorHAnsi"/>
          <w:sz w:val="24"/>
          <w:szCs w:val="24"/>
        </w:rPr>
        <w:t>engagement</w:t>
      </w:r>
      <w:r w:rsidR="00C023BA" w:rsidRPr="00461D74">
        <w:rPr>
          <w:rFonts w:ascii="Garamond" w:hAnsi="Garamond" w:cstheme="minorHAnsi"/>
          <w:sz w:val="24"/>
          <w:szCs w:val="24"/>
        </w:rPr>
        <w:t xml:space="preserve"> </w:t>
      </w:r>
      <w:r w:rsidR="00C023BA">
        <w:rPr>
          <w:rFonts w:ascii="Garamond" w:hAnsi="Garamond" w:cstheme="minorHAnsi"/>
          <w:sz w:val="24"/>
          <w:szCs w:val="24"/>
        </w:rPr>
        <w:t>remains largely</w:t>
      </w:r>
      <w:r w:rsidRPr="00461D74">
        <w:rPr>
          <w:rFonts w:ascii="Garamond" w:hAnsi="Garamond" w:cstheme="minorHAnsi"/>
          <w:sz w:val="24"/>
          <w:szCs w:val="24"/>
        </w:rPr>
        <w:t xml:space="preserve"> </w:t>
      </w:r>
      <w:r w:rsidR="00C023BA">
        <w:rPr>
          <w:rFonts w:ascii="Garamond" w:hAnsi="Garamond" w:cstheme="minorHAnsi"/>
          <w:sz w:val="24"/>
          <w:szCs w:val="24"/>
        </w:rPr>
        <w:t>un</w:t>
      </w:r>
      <w:r w:rsidR="00BC7A1F" w:rsidRPr="00461D74">
        <w:rPr>
          <w:rFonts w:ascii="Garamond" w:hAnsi="Garamond" w:cstheme="minorHAnsi"/>
          <w:sz w:val="24"/>
          <w:szCs w:val="24"/>
        </w:rPr>
        <w:t>successful</w:t>
      </w:r>
      <w:r w:rsidRPr="00461D74">
        <w:rPr>
          <w:rFonts w:ascii="Garamond" w:hAnsi="Garamond" w:cstheme="minorHAnsi"/>
          <w:sz w:val="24"/>
          <w:szCs w:val="24"/>
        </w:rPr>
        <w:t xml:space="preserve">. </w:t>
      </w:r>
      <w:r w:rsidR="00BC7A1F" w:rsidRPr="00461D74">
        <w:rPr>
          <w:rFonts w:ascii="Garamond" w:hAnsi="Garamond" w:cstheme="minorHAnsi"/>
          <w:sz w:val="24"/>
          <w:szCs w:val="24"/>
        </w:rPr>
        <w:t xml:space="preserve">While </w:t>
      </w:r>
      <w:r w:rsidRPr="00461D74">
        <w:rPr>
          <w:rFonts w:ascii="Garamond" w:hAnsi="Garamond" w:cstheme="minorHAnsi"/>
          <w:sz w:val="24"/>
          <w:szCs w:val="24"/>
        </w:rPr>
        <w:t xml:space="preserve">MacIntyre </w:t>
      </w:r>
      <w:r w:rsidR="00BC7A1F" w:rsidRPr="00461D74">
        <w:rPr>
          <w:rFonts w:ascii="Garamond" w:hAnsi="Garamond" w:cstheme="minorHAnsi"/>
          <w:sz w:val="24"/>
          <w:szCs w:val="24"/>
        </w:rPr>
        <w:t xml:space="preserve">argues </w:t>
      </w:r>
      <w:r w:rsidRPr="00461D74">
        <w:rPr>
          <w:rFonts w:ascii="Garamond" w:hAnsi="Garamond" w:cstheme="minorHAnsi"/>
          <w:sz w:val="24"/>
          <w:szCs w:val="24"/>
        </w:rPr>
        <w:t>that we ought to defend local communities</w:t>
      </w:r>
      <w:r w:rsidR="00BC7A1F" w:rsidRPr="00461D74">
        <w:rPr>
          <w:rFonts w:ascii="Garamond" w:hAnsi="Garamond" w:cstheme="minorHAnsi"/>
          <w:sz w:val="24"/>
          <w:szCs w:val="24"/>
        </w:rPr>
        <w:t xml:space="preserve">, he doesn’t really offer any sort of concrete proposal how this can be accomplished. </w:t>
      </w:r>
      <w:r w:rsidRPr="00461D74">
        <w:rPr>
          <w:rFonts w:ascii="Garamond" w:hAnsi="Garamond" w:cstheme="minorHAnsi"/>
          <w:sz w:val="24"/>
          <w:szCs w:val="24"/>
        </w:rPr>
        <w:t xml:space="preserve">What I would like to </w:t>
      </w:r>
      <w:r w:rsidR="00BC7A1F" w:rsidRPr="00461D74">
        <w:rPr>
          <w:rFonts w:ascii="Garamond" w:hAnsi="Garamond" w:cstheme="minorHAnsi"/>
          <w:sz w:val="24"/>
          <w:szCs w:val="24"/>
        </w:rPr>
        <w:t>suggest</w:t>
      </w:r>
      <w:r w:rsidR="00960AE9" w:rsidRPr="00461D74">
        <w:rPr>
          <w:rFonts w:ascii="Garamond" w:hAnsi="Garamond" w:cstheme="minorHAnsi"/>
          <w:sz w:val="24"/>
          <w:szCs w:val="24"/>
        </w:rPr>
        <w:t xml:space="preserve"> here </w:t>
      </w:r>
      <w:r w:rsidRPr="00461D74">
        <w:rPr>
          <w:rFonts w:ascii="Garamond" w:hAnsi="Garamond" w:cstheme="minorHAnsi"/>
          <w:sz w:val="24"/>
          <w:szCs w:val="24"/>
        </w:rPr>
        <w:t xml:space="preserve">is that in order </w:t>
      </w:r>
      <w:r w:rsidR="00960AE9" w:rsidRPr="00461D74">
        <w:rPr>
          <w:rFonts w:ascii="Garamond" w:hAnsi="Garamond" w:cstheme="minorHAnsi"/>
          <w:sz w:val="24"/>
          <w:szCs w:val="24"/>
        </w:rPr>
        <w:t>to</w:t>
      </w:r>
      <w:r w:rsidRPr="00461D74">
        <w:rPr>
          <w:rFonts w:ascii="Garamond" w:hAnsi="Garamond" w:cstheme="minorHAnsi"/>
          <w:sz w:val="24"/>
          <w:szCs w:val="24"/>
        </w:rPr>
        <w:t xml:space="preserve"> defend and sustain local </w:t>
      </w:r>
      <w:r w:rsidRPr="00461D74">
        <w:rPr>
          <w:rFonts w:ascii="Garamond" w:hAnsi="Garamond" w:cstheme="minorHAnsi"/>
          <w:sz w:val="24"/>
          <w:szCs w:val="24"/>
        </w:rPr>
        <w:lastRenderedPageBreak/>
        <w:t>communities of the common good against encroachment by the state</w:t>
      </w:r>
      <w:r w:rsidR="00960AE9" w:rsidRPr="00461D74">
        <w:rPr>
          <w:rFonts w:ascii="Garamond" w:hAnsi="Garamond" w:cstheme="minorHAnsi"/>
          <w:sz w:val="24"/>
          <w:szCs w:val="24"/>
        </w:rPr>
        <w:t>,</w:t>
      </w:r>
      <w:r w:rsidRPr="00461D74">
        <w:rPr>
          <w:rFonts w:ascii="Garamond" w:hAnsi="Garamond" w:cstheme="minorHAnsi"/>
          <w:sz w:val="24"/>
          <w:szCs w:val="24"/>
        </w:rPr>
        <w:t xml:space="preserve"> </w:t>
      </w:r>
      <w:r w:rsidR="00BC7A1F" w:rsidRPr="00461D74">
        <w:rPr>
          <w:rFonts w:ascii="Garamond" w:hAnsi="Garamond" w:cstheme="minorHAnsi"/>
          <w:sz w:val="24"/>
          <w:szCs w:val="24"/>
        </w:rPr>
        <w:t xml:space="preserve">MacIntyre </w:t>
      </w:r>
      <w:r w:rsidR="00C023BA">
        <w:rPr>
          <w:rFonts w:ascii="Garamond" w:hAnsi="Garamond" w:cstheme="minorHAnsi"/>
          <w:sz w:val="24"/>
          <w:szCs w:val="24"/>
        </w:rPr>
        <w:t>ought</w:t>
      </w:r>
      <w:r w:rsidR="00C023BA" w:rsidRPr="00461D74">
        <w:rPr>
          <w:rFonts w:ascii="Garamond" w:hAnsi="Garamond" w:cstheme="minorHAnsi"/>
          <w:sz w:val="24"/>
          <w:szCs w:val="24"/>
        </w:rPr>
        <w:t xml:space="preserve"> </w:t>
      </w:r>
      <w:r w:rsidR="00BC7A1F" w:rsidRPr="00461D74">
        <w:rPr>
          <w:rFonts w:ascii="Garamond" w:hAnsi="Garamond" w:cstheme="minorHAnsi"/>
          <w:sz w:val="24"/>
          <w:szCs w:val="24"/>
        </w:rPr>
        <w:t>to</w:t>
      </w:r>
      <w:r w:rsidRPr="00461D74">
        <w:rPr>
          <w:rFonts w:ascii="Garamond" w:hAnsi="Garamond" w:cstheme="minorHAnsi"/>
          <w:sz w:val="24"/>
          <w:szCs w:val="24"/>
        </w:rPr>
        <w:t xml:space="preserve"> </w:t>
      </w:r>
      <w:r w:rsidR="00C023BA">
        <w:rPr>
          <w:rFonts w:ascii="Garamond" w:hAnsi="Garamond" w:cstheme="minorHAnsi"/>
          <w:sz w:val="24"/>
          <w:szCs w:val="24"/>
        </w:rPr>
        <w:t>articulate</w:t>
      </w:r>
      <w:r w:rsidR="00BC7A1F"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BC7A1F" w:rsidRPr="00461D74">
        <w:rPr>
          <w:rFonts w:ascii="Garamond" w:hAnsi="Garamond" w:cstheme="minorHAnsi"/>
          <w:sz w:val="24"/>
          <w:szCs w:val="24"/>
        </w:rPr>
        <w:t xml:space="preserve">kind of </w:t>
      </w:r>
      <w:r w:rsidRPr="00461D74">
        <w:rPr>
          <w:rFonts w:ascii="Garamond" w:hAnsi="Garamond" w:cstheme="minorHAnsi"/>
          <w:sz w:val="24"/>
          <w:szCs w:val="24"/>
        </w:rPr>
        <w:t>politics that</w:t>
      </w:r>
      <w:r w:rsidR="00BC7A1F" w:rsidRPr="00461D74">
        <w:rPr>
          <w:rFonts w:ascii="Garamond" w:hAnsi="Garamond" w:cstheme="minorHAnsi"/>
          <w:sz w:val="24"/>
          <w:szCs w:val="24"/>
        </w:rPr>
        <w:t xml:space="preserve"> can effectively manage the relationship between local communities and the state, and </w:t>
      </w:r>
      <w:r w:rsidRPr="00461D74">
        <w:rPr>
          <w:rFonts w:ascii="Garamond" w:hAnsi="Garamond" w:cstheme="minorHAnsi"/>
          <w:sz w:val="24"/>
          <w:szCs w:val="24"/>
        </w:rPr>
        <w:t>therefore</w:t>
      </w:r>
      <w:r w:rsidR="00BC7A1F" w:rsidRPr="00461D74">
        <w:rPr>
          <w:rFonts w:ascii="Garamond" w:hAnsi="Garamond" w:cstheme="minorHAnsi"/>
          <w:sz w:val="24"/>
          <w:szCs w:val="24"/>
        </w:rPr>
        <w:t>,</w:t>
      </w:r>
      <w:r w:rsidRPr="00461D74">
        <w:rPr>
          <w:rFonts w:ascii="Garamond" w:hAnsi="Garamond" w:cstheme="minorHAnsi"/>
          <w:sz w:val="24"/>
          <w:szCs w:val="24"/>
        </w:rPr>
        <w:t xml:space="preserve"> </w:t>
      </w:r>
      <w:r w:rsidR="00C023BA">
        <w:rPr>
          <w:rFonts w:ascii="Garamond" w:hAnsi="Garamond" w:cstheme="minorHAnsi"/>
          <w:sz w:val="24"/>
          <w:szCs w:val="24"/>
        </w:rPr>
        <w:t>propose an account that outlines</w:t>
      </w:r>
      <w:r w:rsidR="00665A44" w:rsidRPr="00461D74">
        <w:rPr>
          <w:rFonts w:ascii="Garamond" w:hAnsi="Garamond" w:cstheme="minorHAnsi"/>
          <w:sz w:val="24"/>
          <w:szCs w:val="24"/>
        </w:rPr>
        <w:t xml:space="preserve"> practical ways of defending the political power of local communities</w:t>
      </w:r>
      <w:r w:rsidRPr="00461D74">
        <w:rPr>
          <w:rFonts w:ascii="Garamond" w:hAnsi="Garamond" w:cstheme="minorHAnsi"/>
          <w:sz w:val="24"/>
          <w:szCs w:val="24"/>
        </w:rPr>
        <w:t>.</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r>
      <w:r w:rsidR="00DD6672" w:rsidRPr="00461D74">
        <w:rPr>
          <w:rFonts w:ascii="Garamond" w:hAnsi="Garamond" w:cstheme="minorHAnsi"/>
          <w:sz w:val="24"/>
          <w:szCs w:val="24"/>
        </w:rPr>
        <w:t>Now</w:t>
      </w:r>
      <w:r w:rsidR="00DB70E3" w:rsidRPr="00461D74">
        <w:rPr>
          <w:rFonts w:ascii="Garamond" w:hAnsi="Garamond" w:cstheme="minorHAnsi"/>
          <w:sz w:val="24"/>
          <w:szCs w:val="24"/>
        </w:rPr>
        <w:t xml:space="preserve">, </w:t>
      </w:r>
      <w:r w:rsidR="003A43A9" w:rsidRPr="00461D74">
        <w:rPr>
          <w:rFonts w:ascii="Garamond" w:hAnsi="Garamond" w:cstheme="minorHAnsi"/>
          <w:sz w:val="24"/>
          <w:szCs w:val="24"/>
        </w:rPr>
        <w:t xml:space="preserve">I should </w:t>
      </w:r>
      <w:r w:rsidR="00DD6672" w:rsidRPr="00461D74">
        <w:rPr>
          <w:rFonts w:ascii="Garamond" w:hAnsi="Garamond" w:cstheme="minorHAnsi"/>
          <w:sz w:val="24"/>
          <w:szCs w:val="24"/>
        </w:rPr>
        <w:t>emphasize here</w:t>
      </w:r>
      <w:r w:rsidR="003A43A9" w:rsidRPr="00461D74">
        <w:rPr>
          <w:rFonts w:ascii="Garamond" w:hAnsi="Garamond" w:cstheme="minorHAnsi"/>
          <w:sz w:val="24"/>
          <w:szCs w:val="24"/>
        </w:rPr>
        <w:t xml:space="preserve"> that</w:t>
      </w:r>
      <w:r w:rsidRPr="00461D74">
        <w:rPr>
          <w:rFonts w:ascii="Garamond" w:hAnsi="Garamond" w:cstheme="minorHAnsi"/>
          <w:sz w:val="24"/>
          <w:szCs w:val="24"/>
        </w:rPr>
        <w:t xml:space="preserve"> MacIntyre’s critique of liberal politics and the liberal state may nonetheless be justified independently of </w:t>
      </w:r>
      <w:r w:rsidR="00C023BA">
        <w:rPr>
          <w:rFonts w:ascii="Garamond" w:hAnsi="Garamond" w:cstheme="minorHAnsi"/>
          <w:sz w:val="24"/>
          <w:szCs w:val="24"/>
        </w:rPr>
        <w:t xml:space="preserve">whatever vulnerability or shortcoming </w:t>
      </w:r>
      <w:r w:rsidR="009543C1">
        <w:rPr>
          <w:rFonts w:ascii="Garamond" w:hAnsi="Garamond" w:cstheme="minorHAnsi"/>
          <w:sz w:val="24"/>
          <w:szCs w:val="24"/>
        </w:rPr>
        <w:t xml:space="preserve">are </w:t>
      </w:r>
      <w:r w:rsidR="00C023BA">
        <w:rPr>
          <w:rFonts w:ascii="Garamond" w:hAnsi="Garamond" w:cstheme="minorHAnsi"/>
          <w:sz w:val="24"/>
          <w:szCs w:val="24"/>
        </w:rPr>
        <w:t>attributable to his brand of communal politics</w:t>
      </w:r>
      <w:r w:rsidRPr="00461D74">
        <w:rPr>
          <w:rFonts w:ascii="Garamond" w:hAnsi="Garamond" w:cstheme="minorHAnsi"/>
          <w:sz w:val="24"/>
          <w:szCs w:val="24"/>
        </w:rPr>
        <w:t xml:space="preserve">. It may be that the liberal state is in fact problematic in so many ways, and hence, we may be in need of a </w:t>
      </w:r>
      <w:proofErr w:type="spellStart"/>
      <w:r w:rsidRPr="00461D74">
        <w:rPr>
          <w:rFonts w:ascii="Garamond" w:hAnsi="Garamond" w:cstheme="minorHAnsi"/>
          <w:sz w:val="24"/>
          <w:szCs w:val="24"/>
        </w:rPr>
        <w:t>MacIntyrean</w:t>
      </w:r>
      <w:proofErr w:type="spellEnd"/>
      <w:r w:rsidRPr="00461D74">
        <w:rPr>
          <w:rFonts w:ascii="Garamond" w:hAnsi="Garamond" w:cstheme="minorHAnsi"/>
          <w:sz w:val="24"/>
          <w:szCs w:val="24"/>
        </w:rPr>
        <w:t xml:space="preserve"> critique – one that </w:t>
      </w:r>
      <w:proofErr w:type="spellStart"/>
      <w:r w:rsidRPr="00461D74">
        <w:rPr>
          <w:rFonts w:ascii="Garamond" w:hAnsi="Garamond" w:cstheme="minorHAnsi"/>
          <w:sz w:val="24"/>
          <w:szCs w:val="24"/>
        </w:rPr>
        <w:t>problematizes</w:t>
      </w:r>
      <w:proofErr w:type="spellEnd"/>
      <w:r w:rsidRPr="00461D74">
        <w:rPr>
          <w:rFonts w:ascii="Garamond" w:hAnsi="Garamond" w:cstheme="minorHAnsi"/>
          <w:sz w:val="24"/>
          <w:szCs w:val="24"/>
        </w:rPr>
        <w:t xml:space="preserve"> liberal theory and the liberal state in </w:t>
      </w:r>
      <w:r w:rsidR="00C023BA">
        <w:rPr>
          <w:rFonts w:ascii="Garamond" w:hAnsi="Garamond" w:cstheme="minorHAnsi"/>
          <w:sz w:val="24"/>
          <w:szCs w:val="24"/>
        </w:rPr>
        <w:t>some</w:t>
      </w:r>
      <w:r w:rsidR="00C023BA" w:rsidRPr="00461D74">
        <w:rPr>
          <w:rFonts w:ascii="Garamond" w:hAnsi="Garamond" w:cstheme="minorHAnsi"/>
          <w:sz w:val="24"/>
          <w:szCs w:val="24"/>
        </w:rPr>
        <w:t xml:space="preserve"> </w:t>
      </w:r>
      <w:r w:rsidRPr="00461D74">
        <w:rPr>
          <w:rFonts w:ascii="Garamond" w:hAnsi="Garamond" w:cstheme="minorHAnsi"/>
          <w:sz w:val="24"/>
          <w:szCs w:val="24"/>
        </w:rPr>
        <w:t xml:space="preserve">fundamental way. However, it is also a fact that we do </w:t>
      </w:r>
      <w:r w:rsidR="006D7147" w:rsidRPr="00461D74">
        <w:rPr>
          <w:rFonts w:ascii="Garamond" w:hAnsi="Garamond" w:cstheme="minorHAnsi"/>
          <w:sz w:val="24"/>
          <w:szCs w:val="24"/>
        </w:rPr>
        <w:t xml:space="preserve">actually </w:t>
      </w:r>
      <w:r w:rsidRPr="00461D74">
        <w:rPr>
          <w:rFonts w:ascii="Garamond" w:hAnsi="Garamond" w:cstheme="minorHAnsi"/>
          <w:sz w:val="24"/>
          <w:szCs w:val="24"/>
        </w:rPr>
        <w:t>live in the liberal state</w:t>
      </w:r>
      <w:r w:rsidR="00DD6672" w:rsidRPr="00461D74">
        <w:rPr>
          <w:rFonts w:ascii="Garamond" w:hAnsi="Garamond" w:cstheme="minorHAnsi"/>
          <w:sz w:val="24"/>
          <w:szCs w:val="24"/>
        </w:rPr>
        <w:t>,</w:t>
      </w:r>
      <w:r w:rsidRPr="00461D74">
        <w:rPr>
          <w:rFonts w:ascii="Garamond" w:hAnsi="Garamond" w:cstheme="minorHAnsi"/>
          <w:sz w:val="24"/>
          <w:szCs w:val="24"/>
        </w:rPr>
        <w:t xml:space="preserve"> and so we can’t abandon all attempts at politics at the state level. </w:t>
      </w:r>
      <w:r w:rsidR="00DD6672" w:rsidRPr="00461D74">
        <w:rPr>
          <w:rFonts w:ascii="Garamond" w:hAnsi="Garamond" w:cstheme="minorHAnsi"/>
          <w:sz w:val="24"/>
          <w:szCs w:val="24"/>
        </w:rPr>
        <w:t xml:space="preserve">My suggestion here is that </w:t>
      </w:r>
      <w:r w:rsidRPr="00461D74">
        <w:rPr>
          <w:rFonts w:ascii="Garamond" w:hAnsi="Garamond" w:cstheme="minorHAnsi"/>
          <w:sz w:val="24"/>
          <w:szCs w:val="24"/>
        </w:rPr>
        <w:t xml:space="preserve">MacIntyre should </w:t>
      </w:r>
      <w:r w:rsidR="00665A44" w:rsidRPr="00461D74">
        <w:rPr>
          <w:rFonts w:ascii="Garamond" w:hAnsi="Garamond" w:cstheme="minorHAnsi"/>
          <w:sz w:val="24"/>
          <w:szCs w:val="24"/>
        </w:rPr>
        <w:t xml:space="preserve">remain </w:t>
      </w:r>
      <w:r w:rsidRPr="00461D74">
        <w:rPr>
          <w:rFonts w:ascii="Garamond" w:hAnsi="Garamond" w:cstheme="minorHAnsi"/>
          <w:sz w:val="24"/>
          <w:szCs w:val="24"/>
        </w:rPr>
        <w:t>open to the possibility of an alternative critical politics – one that engages liberal theory</w:t>
      </w:r>
      <w:r w:rsidR="00DD6672" w:rsidRPr="00461D74">
        <w:rPr>
          <w:rFonts w:ascii="Garamond" w:hAnsi="Garamond" w:cstheme="minorHAnsi"/>
          <w:sz w:val="24"/>
          <w:szCs w:val="24"/>
        </w:rPr>
        <w:t>,</w:t>
      </w:r>
      <w:r w:rsidRPr="00461D74">
        <w:rPr>
          <w:rFonts w:ascii="Garamond" w:hAnsi="Garamond" w:cstheme="minorHAnsi"/>
          <w:sz w:val="24"/>
          <w:szCs w:val="24"/>
        </w:rPr>
        <w:t xml:space="preserve"> but </w:t>
      </w:r>
      <w:r w:rsidR="00665A44" w:rsidRPr="00461D74">
        <w:rPr>
          <w:rFonts w:ascii="Garamond" w:hAnsi="Garamond" w:cstheme="minorHAnsi"/>
          <w:sz w:val="24"/>
          <w:szCs w:val="24"/>
        </w:rPr>
        <w:t>also</w:t>
      </w:r>
      <w:r w:rsidR="00DD6672" w:rsidRPr="00461D74">
        <w:rPr>
          <w:rFonts w:ascii="Garamond" w:hAnsi="Garamond" w:cstheme="minorHAnsi"/>
          <w:sz w:val="24"/>
          <w:szCs w:val="24"/>
        </w:rPr>
        <w:t xml:space="preserve"> </w:t>
      </w:r>
      <w:r w:rsidRPr="00461D74">
        <w:rPr>
          <w:rFonts w:ascii="Garamond" w:hAnsi="Garamond" w:cstheme="minorHAnsi"/>
          <w:sz w:val="24"/>
          <w:szCs w:val="24"/>
        </w:rPr>
        <w:t xml:space="preserve">avoids </w:t>
      </w:r>
      <w:r w:rsidR="00DD6672" w:rsidRPr="00461D74">
        <w:rPr>
          <w:rFonts w:ascii="Garamond" w:hAnsi="Garamond" w:cstheme="minorHAnsi"/>
          <w:sz w:val="24"/>
          <w:szCs w:val="24"/>
        </w:rPr>
        <w:t xml:space="preserve">its </w:t>
      </w:r>
      <w:r w:rsidRPr="00461D74">
        <w:rPr>
          <w:rFonts w:ascii="Garamond" w:hAnsi="Garamond" w:cstheme="minorHAnsi"/>
          <w:sz w:val="24"/>
          <w:szCs w:val="24"/>
        </w:rPr>
        <w:t xml:space="preserve">mistakes. </w:t>
      </w:r>
      <w:r w:rsidR="00DD6672" w:rsidRPr="00461D74">
        <w:rPr>
          <w:rFonts w:ascii="Garamond" w:hAnsi="Garamond" w:cstheme="minorHAnsi"/>
          <w:sz w:val="24"/>
          <w:szCs w:val="24"/>
        </w:rPr>
        <w:t xml:space="preserve">Still, </w:t>
      </w:r>
      <w:r w:rsidRPr="00461D74">
        <w:rPr>
          <w:rFonts w:ascii="Garamond" w:hAnsi="Garamond" w:cstheme="minorHAnsi"/>
          <w:sz w:val="24"/>
          <w:szCs w:val="24"/>
        </w:rPr>
        <w:t xml:space="preserve">MacIntyre </w:t>
      </w:r>
      <w:r w:rsidR="00C94980" w:rsidRPr="00461D74">
        <w:rPr>
          <w:rFonts w:ascii="Garamond" w:hAnsi="Garamond" w:cstheme="minorHAnsi"/>
          <w:sz w:val="24"/>
          <w:szCs w:val="24"/>
        </w:rPr>
        <w:t xml:space="preserve">could </w:t>
      </w:r>
      <w:r w:rsidR="00775C5D">
        <w:rPr>
          <w:rFonts w:ascii="Garamond" w:hAnsi="Garamond" w:cstheme="minorHAnsi"/>
          <w:sz w:val="24"/>
          <w:szCs w:val="24"/>
        </w:rPr>
        <w:t xml:space="preserve">perhaps </w:t>
      </w:r>
      <w:r w:rsidR="00C94980" w:rsidRPr="00461D74">
        <w:rPr>
          <w:rFonts w:ascii="Garamond" w:hAnsi="Garamond" w:cstheme="minorHAnsi"/>
          <w:sz w:val="24"/>
          <w:szCs w:val="24"/>
        </w:rPr>
        <w:t xml:space="preserve">argue </w:t>
      </w:r>
      <w:r w:rsidRPr="00461D74">
        <w:rPr>
          <w:rFonts w:ascii="Garamond" w:hAnsi="Garamond" w:cstheme="minorHAnsi"/>
          <w:sz w:val="24"/>
          <w:szCs w:val="24"/>
        </w:rPr>
        <w:t xml:space="preserve">that his effective criticism of the liberal state ushers in a type of local politics </w:t>
      </w:r>
      <w:r w:rsidR="00775C5D">
        <w:rPr>
          <w:rFonts w:ascii="Garamond" w:hAnsi="Garamond" w:cstheme="minorHAnsi"/>
          <w:sz w:val="24"/>
          <w:szCs w:val="24"/>
        </w:rPr>
        <w:t>which</w:t>
      </w:r>
      <w:r w:rsidRPr="00461D74">
        <w:rPr>
          <w:rFonts w:ascii="Garamond" w:hAnsi="Garamond" w:cstheme="minorHAnsi"/>
          <w:sz w:val="24"/>
          <w:szCs w:val="24"/>
        </w:rPr>
        <w:t xml:space="preserve"> can altogether ignore any systematic </w:t>
      </w:r>
      <w:r w:rsidR="00775C5D">
        <w:rPr>
          <w:rFonts w:ascii="Garamond" w:hAnsi="Garamond" w:cstheme="minorHAnsi"/>
          <w:sz w:val="24"/>
          <w:szCs w:val="24"/>
        </w:rPr>
        <w:t xml:space="preserve">constructive </w:t>
      </w:r>
      <w:r w:rsidRPr="00461D74">
        <w:rPr>
          <w:rFonts w:ascii="Garamond" w:hAnsi="Garamond" w:cstheme="minorHAnsi"/>
          <w:sz w:val="24"/>
          <w:szCs w:val="24"/>
        </w:rPr>
        <w:t xml:space="preserve">philosophical </w:t>
      </w:r>
      <w:r w:rsidR="008F2C9C">
        <w:rPr>
          <w:rFonts w:ascii="Garamond" w:hAnsi="Garamond" w:cstheme="minorHAnsi"/>
          <w:sz w:val="24"/>
          <w:szCs w:val="24"/>
        </w:rPr>
        <w:t xml:space="preserve">(or theoretical) </w:t>
      </w:r>
      <w:r w:rsidRPr="00461D74">
        <w:rPr>
          <w:rFonts w:ascii="Garamond" w:hAnsi="Garamond" w:cstheme="minorHAnsi"/>
          <w:sz w:val="24"/>
          <w:szCs w:val="24"/>
        </w:rPr>
        <w:t>engagement with state level politics.</w:t>
      </w:r>
    </w:p>
    <w:p w:rsidR="00665157" w:rsidRDefault="008F2C9C">
      <w:pPr>
        <w:spacing w:line="360" w:lineRule="auto"/>
        <w:ind w:firstLine="720"/>
        <w:jc w:val="both"/>
        <w:rPr>
          <w:rFonts w:ascii="Garamond" w:hAnsi="Garamond" w:cstheme="minorHAnsi"/>
          <w:sz w:val="24"/>
          <w:szCs w:val="24"/>
        </w:rPr>
      </w:pPr>
      <w:r>
        <w:rPr>
          <w:rFonts w:ascii="Garamond" w:hAnsi="Garamond" w:cstheme="minorHAnsi"/>
          <w:sz w:val="24"/>
          <w:szCs w:val="24"/>
        </w:rPr>
        <w:t>Now, i</w:t>
      </w:r>
      <w:r w:rsidR="00016049" w:rsidRPr="00461D74">
        <w:rPr>
          <w:rFonts w:ascii="Garamond" w:hAnsi="Garamond" w:cstheme="minorHAnsi"/>
          <w:sz w:val="24"/>
          <w:szCs w:val="24"/>
        </w:rPr>
        <w:t xml:space="preserve">n order to understand why MacIntyre dispenses with state level politics, I have to first carefully consider the arguments and claims MacIntyre advances against modern liberal politics and political philosophy. This is because MacIntyre’s politics </w:t>
      </w:r>
      <w:r>
        <w:rPr>
          <w:rFonts w:ascii="Garamond" w:hAnsi="Garamond" w:cstheme="minorHAnsi"/>
          <w:sz w:val="24"/>
          <w:szCs w:val="24"/>
        </w:rPr>
        <w:t>is in large part</w:t>
      </w:r>
      <w:r w:rsidR="00016049" w:rsidRPr="00461D74">
        <w:rPr>
          <w:rFonts w:ascii="Garamond" w:hAnsi="Garamond" w:cstheme="minorHAnsi"/>
          <w:sz w:val="24"/>
          <w:szCs w:val="24"/>
        </w:rPr>
        <w:t xml:space="preserve"> a critique of the liberal state and contemporary liberal political philosophy. Thus, before I can further advance the argument that MacIntyre’s politics undermines his ethical-cum-political project, I need to draw out the main claims in MacIntyre’s political philosophy. Once I have achieved greater clarity in this task, I will be in a position to better formulate the inadequacies and sources of instability in his position.</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So what are the various claims and arguments that constitute MacIntyre’s political philosophy? MacIntyre’s political philosophy is interspersed throughout his various works, and so it can be difficult to combine them into a unified account. </w:t>
      </w:r>
      <w:r w:rsidR="00F07F0B" w:rsidRPr="00461D74">
        <w:rPr>
          <w:rFonts w:ascii="Garamond" w:hAnsi="Garamond" w:cstheme="minorHAnsi"/>
          <w:sz w:val="24"/>
          <w:szCs w:val="24"/>
        </w:rPr>
        <w:t>Therefore, i</w:t>
      </w:r>
      <w:r w:rsidRPr="00461D74">
        <w:rPr>
          <w:rFonts w:ascii="Garamond" w:hAnsi="Garamond" w:cstheme="minorHAnsi"/>
          <w:sz w:val="24"/>
          <w:szCs w:val="24"/>
        </w:rPr>
        <w:t xml:space="preserve">n addition to examining MacIntyre’s </w:t>
      </w:r>
      <w:r w:rsidR="00F07F0B" w:rsidRPr="00461D74">
        <w:rPr>
          <w:rFonts w:ascii="Garamond" w:hAnsi="Garamond" w:cstheme="minorHAnsi"/>
          <w:sz w:val="24"/>
          <w:szCs w:val="24"/>
        </w:rPr>
        <w:t>writings</w:t>
      </w:r>
      <w:r w:rsidRPr="00461D74">
        <w:rPr>
          <w:rFonts w:ascii="Garamond" w:hAnsi="Garamond" w:cstheme="minorHAnsi"/>
          <w:sz w:val="24"/>
          <w:szCs w:val="24"/>
        </w:rPr>
        <w:t xml:space="preserve">, I will </w:t>
      </w:r>
      <w:r w:rsidR="00F07F0B" w:rsidRPr="00461D74">
        <w:rPr>
          <w:rFonts w:ascii="Garamond" w:hAnsi="Garamond" w:cstheme="minorHAnsi"/>
          <w:sz w:val="24"/>
          <w:szCs w:val="24"/>
        </w:rPr>
        <w:t xml:space="preserve">also </w:t>
      </w:r>
      <w:r w:rsidRPr="00461D74">
        <w:rPr>
          <w:rFonts w:ascii="Garamond" w:hAnsi="Garamond" w:cstheme="minorHAnsi"/>
          <w:sz w:val="24"/>
          <w:szCs w:val="24"/>
        </w:rPr>
        <w:t xml:space="preserve">make use of secondary sources to piece together a concise summary of MacIntyre’s political philosophy. I will first </w:t>
      </w:r>
      <w:r w:rsidR="00EB76CF">
        <w:rPr>
          <w:rFonts w:ascii="Garamond" w:hAnsi="Garamond" w:cstheme="minorHAnsi"/>
          <w:sz w:val="24"/>
          <w:szCs w:val="24"/>
        </w:rPr>
        <w:t>outline</w:t>
      </w:r>
      <w:r w:rsidRPr="00461D74">
        <w:rPr>
          <w:rFonts w:ascii="Garamond" w:hAnsi="Garamond" w:cstheme="minorHAnsi"/>
          <w:sz w:val="24"/>
          <w:szCs w:val="24"/>
        </w:rPr>
        <w:t xml:space="preserve"> </w:t>
      </w:r>
      <w:r w:rsidR="00EB76CF">
        <w:rPr>
          <w:rFonts w:ascii="Garamond" w:hAnsi="Garamond" w:cstheme="minorHAnsi"/>
          <w:sz w:val="24"/>
          <w:szCs w:val="24"/>
        </w:rPr>
        <w:t xml:space="preserve">those elements in </w:t>
      </w:r>
      <w:r w:rsidRPr="00461D74">
        <w:rPr>
          <w:rFonts w:ascii="Garamond" w:hAnsi="Garamond" w:cstheme="minorHAnsi"/>
          <w:sz w:val="24"/>
          <w:szCs w:val="24"/>
        </w:rPr>
        <w:t xml:space="preserve">MacIntyre’s </w:t>
      </w:r>
      <w:r w:rsidR="00EB76CF">
        <w:rPr>
          <w:rFonts w:ascii="Garamond" w:hAnsi="Garamond" w:cstheme="minorHAnsi"/>
          <w:sz w:val="24"/>
          <w:szCs w:val="24"/>
        </w:rPr>
        <w:t>politics</w:t>
      </w:r>
      <w:r w:rsidR="00EB76CF" w:rsidRPr="00461D74">
        <w:rPr>
          <w:rFonts w:ascii="Garamond" w:hAnsi="Garamond" w:cstheme="minorHAnsi"/>
          <w:sz w:val="24"/>
          <w:szCs w:val="24"/>
        </w:rPr>
        <w:t xml:space="preserve"> </w:t>
      </w:r>
      <w:r w:rsidR="00EB76CF">
        <w:rPr>
          <w:rFonts w:ascii="Garamond" w:hAnsi="Garamond" w:cstheme="minorHAnsi"/>
          <w:sz w:val="24"/>
          <w:szCs w:val="24"/>
        </w:rPr>
        <w:t>which explain</w:t>
      </w:r>
      <w:r w:rsidR="00EB76CF" w:rsidRPr="00461D74">
        <w:rPr>
          <w:rFonts w:ascii="Garamond" w:hAnsi="Garamond" w:cstheme="minorHAnsi"/>
          <w:sz w:val="24"/>
          <w:szCs w:val="24"/>
        </w:rPr>
        <w:t xml:space="preserve"> </w:t>
      </w:r>
      <w:r w:rsidRPr="00461D74">
        <w:rPr>
          <w:rFonts w:ascii="Garamond" w:hAnsi="Garamond" w:cstheme="minorHAnsi"/>
          <w:sz w:val="24"/>
          <w:szCs w:val="24"/>
        </w:rPr>
        <w:t>the relation</w:t>
      </w:r>
      <w:r w:rsidR="00EB76CF">
        <w:rPr>
          <w:rFonts w:ascii="Garamond" w:hAnsi="Garamond" w:cstheme="minorHAnsi"/>
          <w:sz w:val="24"/>
          <w:szCs w:val="24"/>
        </w:rPr>
        <w:t>ship</w:t>
      </w:r>
      <w:r w:rsidRPr="00461D74">
        <w:rPr>
          <w:rFonts w:ascii="Garamond" w:hAnsi="Garamond" w:cstheme="minorHAnsi"/>
          <w:sz w:val="24"/>
          <w:szCs w:val="24"/>
        </w:rPr>
        <w:t xml:space="preserve"> between </w:t>
      </w:r>
      <w:r w:rsidR="00EB76CF">
        <w:rPr>
          <w:rFonts w:ascii="Garamond" w:hAnsi="Garamond" w:cstheme="minorHAnsi"/>
          <w:sz w:val="24"/>
          <w:szCs w:val="24"/>
        </w:rPr>
        <w:t xml:space="preserve">the </w:t>
      </w:r>
      <w:r w:rsidRPr="00461D74">
        <w:rPr>
          <w:rFonts w:ascii="Garamond" w:hAnsi="Garamond" w:cstheme="minorHAnsi"/>
          <w:sz w:val="24"/>
          <w:szCs w:val="24"/>
        </w:rPr>
        <w:t>individual</w:t>
      </w:r>
      <w:r w:rsidR="00EB76CF">
        <w:rPr>
          <w:rFonts w:ascii="Garamond" w:hAnsi="Garamond" w:cstheme="minorHAnsi"/>
          <w:sz w:val="24"/>
          <w:szCs w:val="24"/>
        </w:rPr>
        <w:t>’s</w:t>
      </w:r>
      <w:r w:rsidRPr="00461D74">
        <w:rPr>
          <w:rFonts w:ascii="Garamond" w:hAnsi="Garamond" w:cstheme="minorHAnsi"/>
          <w:sz w:val="24"/>
          <w:szCs w:val="24"/>
        </w:rPr>
        <w:t xml:space="preserve"> good and the common good in local communities, and then</w:t>
      </w:r>
      <w:r w:rsidR="000E4E2A" w:rsidRPr="00461D74">
        <w:rPr>
          <w:rFonts w:ascii="Garamond" w:hAnsi="Garamond" w:cstheme="minorHAnsi"/>
          <w:sz w:val="24"/>
          <w:szCs w:val="24"/>
        </w:rPr>
        <w:t>,</w:t>
      </w:r>
      <w:r w:rsidRPr="00461D74">
        <w:rPr>
          <w:rFonts w:ascii="Garamond" w:hAnsi="Garamond" w:cstheme="minorHAnsi"/>
          <w:sz w:val="24"/>
          <w:szCs w:val="24"/>
        </w:rPr>
        <w:t xml:space="preserve"> the relationship between the individual</w:t>
      </w:r>
      <w:r w:rsidR="00244717">
        <w:rPr>
          <w:rFonts w:ascii="Garamond" w:hAnsi="Garamond" w:cstheme="minorHAnsi"/>
          <w:sz w:val="24"/>
          <w:szCs w:val="24"/>
        </w:rPr>
        <w:t>’s</w:t>
      </w:r>
      <w:r w:rsidRPr="00461D74">
        <w:rPr>
          <w:rFonts w:ascii="Garamond" w:hAnsi="Garamond" w:cstheme="minorHAnsi"/>
          <w:sz w:val="24"/>
          <w:szCs w:val="24"/>
        </w:rPr>
        <w:t xml:space="preserve"> good and the public interest in the modern state.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MacIntyre tells us that the </w:t>
      </w:r>
      <w:r w:rsidRPr="00461D74">
        <w:rPr>
          <w:rFonts w:ascii="Garamond" w:hAnsi="Garamond" w:cstheme="minorHAnsi"/>
          <w:i/>
          <w:iCs/>
          <w:sz w:val="24"/>
          <w:szCs w:val="24"/>
        </w:rPr>
        <w:t>common good</w:t>
      </w:r>
      <w:r w:rsidRPr="00461D74">
        <w:rPr>
          <w:rFonts w:ascii="Garamond" w:hAnsi="Garamond" w:cstheme="minorHAnsi"/>
          <w:sz w:val="24"/>
          <w:szCs w:val="24"/>
        </w:rPr>
        <w:t>, properly understood,</w:t>
      </w:r>
    </w:p>
    <w:p w:rsidR="0075656E" w:rsidRDefault="00A57A25" w:rsidP="0075656E">
      <w:pPr>
        <w:spacing w:line="360" w:lineRule="auto"/>
        <w:ind w:left="1080"/>
        <w:jc w:val="both"/>
        <w:rPr>
          <w:rFonts w:ascii="Garamond" w:hAnsi="Garamond" w:cstheme="minorHAnsi"/>
        </w:rPr>
      </w:pPr>
      <w:r w:rsidRPr="00461D74">
        <w:rPr>
          <w:rFonts w:ascii="Garamond" w:hAnsi="Garamond" w:cstheme="minorHAnsi"/>
        </w:rPr>
        <w:t>“</w:t>
      </w:r>
      <w:proofErr w:type="gramStart"/>
      <w:r>
        <w:rPr>
          <w:rFonts w:ascii="Garamond" w:hAnsi="Garamond" w:cstheme="minorHAnsi"/>
        </w:rPr>
        <w:t>the</w:t>
      </w:r>
      <w:proofErr w:type="gramEnd"/>
      <w:r>
        <w:rPr>
          <w:rFonts w:ascii="Garamond" w:hAnsi="Garamond" w:cstheme="minorHAnsi"/>
        </w:rPr>
        <w:t xml:space="preserve"> goods</w:t>
      </w:r>
      <w:r w:rsidRPr="00461D74">
        <w:rPr>
          <w:rFonts w:ascii="Garamond" w:hAnsi="Garamond" w:cstheme="minorHAnsi"/>
        </w:rPr>
        <w:t xml:space="preserve"> of </w:t>
      </w:r>
      <w:r>
        <w:rPr>
          <w:rFonts w:ascii="Garamond" w:hAnsi="Garamond" w:cstheme="minorHAnsi"/>
        </w:rPr>
        <w:t xml:space="preserve">the </w:t>
      </w:r>
      <w:r w:rsidRPr="00461D74">
        <w:rPr>
          <w:rFonts w:ascii="Garamond" w:hAnsi="Garamond" w:cstheme="minorHAnsi"/>
        </w:rPr>
        <w:t>association</w:t>
      </w:r>
      <w:r>
        <w:rPr>
          <w:rFonts w:ascii="Garamond" w:hAnsi="Garamond" w:cstheme="minorHAnsi"/>
        </w:rPr>
        <w:t xml:space="preserve"> cannot be constructed out of what were the goods of its individual members, antecedently to and independently of their membership in it. In these cases the goods of the whole cannot be arrived at by summing the goods of the parts. Such are those goods not only achieved by means of cooperative activity and shared understanding of their significance, but in key part constituted by cooperative activity and shared understanding of their significance, goods such as the excellence in cooperative activity achieved by fishing crews and string quartets, by farming households and by teams of research scientists.”</w:t>
      </w:r>
      <w:r>
        <w:rPr>
          <w:rStyle w:val="FootnoteReference"/>
          <w:rFonts w:ascii="Garamond" w:hAnsi="Garamond" w:cstheme="minorHAnsi"/>
        </w:rPr>
        <w:footnoteReference w:id="304"/>
      </w:r>
      <w:r w:rsidR="0075656E">
        <w:rPr>
          <w:rFonts w:ascii="Garamond" w:hAnsi="Garamond" w:cstheme="minorHAnsi"/>
        </w:rPr>
        <w:t xml:space="preserve"> And again that </w:t>
      </w:r>
      <w:r w:rsidR="0075656E" w:rsidRPr="00461D74">
        <w:rPr>
          <w:rFonts w:ascii="Garamond" w:hAnsi="Garamond" w:cstheme="minorHAnsi"/>
        </w:rPr>
        <w:t xml:space="preserve">“the common good can </w:t>
      </w:r>
      <w:r w:rsidR="0075656E" w:rsidRPr="00461D74">
        <w:rPr>
          <w:rFonts w:ascii="Garamond" w:hAnsi="Garamond" w:cstheme="minorHAnsi"/>
          <w:i/>
          <w:iCs/>
        </w:rPr>
        <w:t>only</w:t>
      </w:r>
      <w:r w:rsidR="0075656E" w:rsidRPr="00461D74">
        <w:rPr>
          <w:rFonts w:ascii="Garamond" w:hAnsi="Garamond" w:cstheme="minorHAnsi"/>
        </w:rPr>
        <w:t xml:space="preserve"> be pursued by those individuals who are acting as parts of some communal whole, and who, implicitly or explicitly, understand their individual good as partly constituted by a good or goods </w:t>
      </w:r>
      <w:proofErr w:type="spellStart"/>
      <w:r w:rsidR="0075656E" w:rsidRPr="00461D74">
        <w:rPr>
          <w:rFonts w:ascii="Garamond" w:hAnsi="Garamond" w:cstheme="minorHAnsi"/>
        </w:rPr>
        <w:t>characterizable</w:t>
      </w:r>
      <w:proofErr w:type="spellEnd"/>
      <w:r w:rsidR="0075656E" w:rsidRPr="00461D74">
        <w:rPr>
          <w:rFonts w:ascii="Garamond" w:hAnsi="Garamond" w:cstheme="minorHAnsi"/>
        </w:rPr>
        <w:t xml:space="preserve"> independently of and antecedently to the characterization of their particular individual good.</w:t>
      </w:r>
      <w:r w:rsidR="0075656E">
        <w:rPr>
          <w:rFonts w:ascii="Garamond" w:hAnsi="Garamond" w:cstheme="minorHAnsi"/>
        </w:rPr>
        <w:t>”</w:t>
      </w:r>
      <w:r w:rsidR="0075656E">
        <w:rPr>
          <w:rStyle w:val="FootnoteReference"/>
          <w:rFonts w:ascii="Garamond" w:hAnsi="Garamond" w:cstheme="minorHAnsi"/>
        </w:rPr>
        <w:footnoteReference w:id="305"/>
      </w:r>
    </w:p>
    <w:p w:rsidR="00665157" w:rsidRDefault="000E4E2A">
      <w:pPr>
        <w:spacing w:line="360" w:lineRule="auto"/>
        <w:jc w:val="both"/>
        <w:rPr>
          <w:rFonts w:ascii="Garamond" w:hAnsi="Garamond" w:cstheme="minorHAnsi"/>
          <w:sz w:val="24"/>
          <w:szCs w:val="24"/>
        </w:rPr>
      </w:pPr>
      <w:r w:rsidRPr="00461D74">
        <w:rPr>
          <w:rFonts w:ascii="Garamond" w:hAnsi="Garamond" w:cstheme="minorHAnsi"/>
          <w:sz w:val="24"/>
          <w:szCs w:val="24"/>
        </w:rPr>
        <w:lastRenderedPageBreak/>
        <w:t>On this view</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the </w:t>
      </w:r>
      <w:r w:rsidR="00016049" w:rsidRPr="00461D74">
        <w:rPr>
          <w:rFonts w:ascii="Garamond" w:hAnsi="Garamond" w:cstheme="minorHAnsi"/>
          <w:sz w:val="24"/>
          <w:szCs w:val="24"/>
        </w:rPr>
        <w:t>common good is not reducible to a prior notion of the individual’s good</w:t>
      </w:r>
      <w:r w:rsidR="00291F76">
        <w:rPr>
          <w:rFonts w:ascii="Garamond" w:hAnsi="Garamond" w:cstheme="minorHAnsi"/>
          <w:sz w:val="24"/>
          <w:szCs w:val="24"/>
        </w:rPr>
        <w:t xml:space="preserve">, </w:t>
      </w:r>
      <w:r w:rsidR="009543C1">
        <w:rPr>
          <w:rFonts w:ascii="Garamond" w:hAnsi="Garamond" w:cstheme="minorHAnsi"/>
          <w:sz w:val="24"/>
          <w:szCs w:val="24"/>
        </w:rPr>
        <w:t xml:space="preserve">and </w:t>
      </w:r>
      <w:r w:rsidR="00291F76">
        <w:rPr>
          <w:rFonts w:ascii="Garamond" w:hAnsi="Garamond" w:cstheme="minorHAnsi"/>
          <w:sz w:val="24"/>
          <w:szCs w:val="24"/>
        </w:rPr>
        <w:t>nor is it defined independently of the individual’s good</w:t>
      </w:r>
      <w:r w:rsidR="00016049" w:rsidRPr="00461D74">
        <w:rPr>
          <w:rFonts w:ascii="Garamond" w:hAnsi="Garamond" w:cstheme="minorHAnsi"/>
          <w:sz w:val="24"/>
          <w:szCs w:val="24"/>
        </w:rPr>
        <w:t xml:space="preserve">. </w:t>
      </w:r>
      <w:r w:rsidR="00291F76">
        <w:rPr>
          <w:rFonts w:ascii="Garamond" w:hAnsi="Garamond" w:cstheme="minorHAnsi"/>
          <w:sz w:val="24"/>
          <w:szCs w:val="24"/>
        </w:rPr>
        <w:t>T</w:t>
      </w:r>
      <w:r w:rsidR="00016049" w:rsidRPr="00461D74">
        <w:rPr>
          <w:rFonts w:ascii="Garamond" w:hAnsi="Garamond" w:cstheme="minorHAnsi"/>
          <w:sz w:val="24"/>
          <w:szCs w:val="24"/>
        </w:rPr>
        <w:t>he common good, thus understood, is defined in terms of the individual’s social participation in a set of practices that contribute to the shared goods of those practices. It is through participation in a diverse set of practices that the individual realizes her own good as partly constituted in the realization of those shared goods held in common. So for example</w:t>
      </w:r>
      <w:r w:rsidR="006D7147" w:rsidRPr="00461D74">
        <w:rPr>
          <w:rFonts w:ascii="Garamond" w:hAnsi="Garamond" w:cstheme="minorHAnsi"/>
          <w:sz w:val="24"/>
          <w:szCs w:val="24"/>
        </w:rPr>
        <w:t>,</w:t>
      </w:r>
      <w:r w:rsidR="00016049" w:rsidRPr="00461D74">
        <w:rPr>
          <w:rFonts w:ascii="Garamond" w:hAnsi="Garamond" w:cstheme="minorHAnsi"/>
          <w:sz w:val="24"/>
          <w:szCs w:val="24"/>
        </w:rPr>
        <w:t xml:space="preserve"> the good of the individual members of the fishing crew is not independent of the good common to all members of the crew. Such common good is achieved by the way of participation in a craft or practice. Participating in social </w:t>
      </w:r>
      <w:r w:rsidR="00016049" w:rsidRPr="00461D74">
        <w:rPr>
          <w:rFonts w:ascii="Garamond" w:hAnsi="Garamond" w:cstheme="minorHAnsi"/>
          <w:i/>
          <w:iCs/>
          <w:sz w:val="24"/>
          <w:szCs w:val="24"/>
        </w:rPr>
        <w:t>practices</w:t>
      </w:r>
      <w:r w:rsidR="00016049" w:rsidRPr="00461D74">
        <w:rPr>
          <w:rStyle w:val="FootnoteReference"/>
          <w:rFonts w:ascii="Garamond" w:hAnsi="Garamond" w:cstheme="minorHAnsi"/>
          <w:sz w:val="24"/>
          <w:szCs w:val="24"/>
        </w:rPr>
        <w:footnoteReference w:id="306"/>
      </w:r>
      <w:r w:rsidR="00016049" w:rsidRPr="00461D74">
        <w:rPr>
          <w:rFonts w:ascii="Garamond" w:hAnsi="Garamond" w:cstheme="minorHAnsi"/>
          <w:sz w:val="24"/>
          <w:szCs w:val="24"/>
        </w:rPr>
        <w:t xml:space="preserve"> generates the good held common in those practices, but such goods are not separate from the goods of the individual agents who participate in the practice.</w:t>
      </w:r>
      <w:r w:rsidR="00016049" w:rsidRPr="00461D74">
        <w:rPr>
          <w:rStyle w:val="FootnoteReference"/>
          <w:rFonts w:ascii="Garamond" w:hAnsi="Garamond" w:cstheme="minorHAnsi"/>
          <w:sz w:val="24"/>
          <w:szCs w:val="24"/>
        </w:rPr>
        <w:footnoteReference w:id="307"/>
      </w:r>
      <w:r w:rsidR="00016049" w:rsidRPr="00461D74">
        <w:rPr>
          <w:rFonts w:ascii="Garamond" w:hAnsi="Garamond" w:cstheme="minorHAnsi"/>
          <w:sz w:val="24"/>
          <w:szCs w:val="24"/>
        </w:rPr>
        <w:t xml:space="preserve"> </w:t>
      </w:r>
      <w:r w:rsidR="00C7028F">
        <w:rPr>
          <w:rFonts w:ascii="Garamond" w:hAnsi="Garamond" w:cstheme="minorHAnsi"/>
          <w:sz w:val="24"/>
          <w:szCs w:val="24"/>
        </w:rPr>
        <w:t>Now c</w:t>
      </w:r>
      <w:r w:rsidR="00016049" w:rsidRPr="00461D74">
        <w:rPr>
          <w:rFonts w:ascii="Garamond" w:hAnsi="Garamond" w:cstheme="minorHAnsi"/>
          <w:sz w:val="24"/>
          <w:szCs w:val="24"/>
        </w:rPr>
        <w:t>ommon good</w:t>
      </w:r>
      <w:r w:rsidR="00C7028F">
        <w:rPr>
          <w:rFonts w:ascii="Garamond" w:hAnsi="Garamond" w:cstheme="minorHAnsi"/>
          <w:sz w:val="24"/>
          <w:szCs w:val="24"/>
        </w:rPr>
        <w:t>,</w:t>
      </w:r>
      <w:r w:rsidR="00016049" w:rsidRPr="00461D74">
        <w:rPr>
          <w:rFonts w:ascii="Garamond" w:hAnsi="Garamond" w:cstheme="minorHAnsi"/>
          <w:sz w:val="24"/>
          <w:szCs w:val="24"/>
        </w:rPr>
        <w:t xml:space="preserve"> understood in terms of participation in a varied set of social practices </w:t>
      </w:r>
      <w:r w:rsidR="00E54333">
        <w:rPr>
          <w:rFonts w:ascii="Garamond" w:hAnsi="Garamond" w:cstheme="minorHAnsi"/>
          <w:sz w:val="24"/>
          <w:szCs w:val="24"/>
        </w:rPr>
        <w:t xml:space="preserve">while it </w:t>
      </w:r>
      <w:r w:rsidR="00016049" w:rsidRPr="00461D74">
        <w:rPr>
          <w:rFonts w:ascii="Garamond" w:hAnsi="Garamond" w:cstheme="minorHAnsi"/>
          <w:sz w:val="24"/>
          <w:szCs w:val="24"/>
        </w:rPr>
        <w:t xml:space="preserve">is </w:t>
      </w:r>
      <w:r w:rsidR="00E54333">
        <w:rPr>
          <w:rFonts w:ascii="Garamond" w:hAnsi="Garamond" w:cstheme="minorHAnsi"/>
          <w:sz w:val="24"/>
          <w:szCs w:val="24"/>
        </w:rPr>
        <w:t xml:space="preserve">defined independently from the good of any one individual agent’s first-person perspective, is </w:t>
      </w:r>
      <w:r w:rsidR="009543C1">
        <w:rPr>
          <w:rFonts w:ascii="Garamond" w:hAnsi="Garamond" w:cstheme="minorHAnsi"/>
          <w:sz w:val="24"/>
          <w:szCs w:val="24"/>
        </w:rPr>
        <w:t xml:space="preserve">still </w:t>
      </w:r>
      <w:r w:rsidR="00E54333">
        <w:rPr>
          <w:rFonts w:ascii="Garamond" w:hAnsi="Garamond" w:cstheme="minorHAnsi"/>
          <w:sz w:val="24"/>
          <w:szCs w:val="24"/>
        </w:rPr>
        <w:t xml:space="preserve">inextricably intertwined with the concept of </w:t>
      </w:r>
      <w:r w:rsidR="00016049" w:rsidRPr="00461D74">
        <w:rPr>
          <w:rFonts w:ascii="Garamond" w:hAnsi="Garamond" w:cstheme="minorHAnsi"/>
          <w:sz w:val="24"/>
          <w:szCs w:val="24"/>
        </w:rPr>
        <w:t>the individual</w:t>
      </w:r>
      <w:r w:rsidR="00E54333">
        <w:rPr>
          <w:rFonts w:ascii="Garamond" w:hAnsi="Garamond" w:cstheme="minorHAnsi"/>
          <w:sz w:val="24"/>
          <w:szCs w:val="24"/>
        </w:rPr>
        <w:t>’s</w:t>
      </w:r>
      <w:r w:rsidR="00016049" w:rsidRPr="00461D74">
        <w:rPr>
          <w:rFonts w:ascii="Garamond" w:hAnsi="Garamond" w:cstheme="minorHAnsi"/>
          <w:sz w:val="24"/>
          <w:szCs w:val="24"/>
        </w:rPr>
        <w:t xml:space="preserve"> good; more precisely, common good</w:t>
      </w:r>
      <w:r w:rsidR="00E54333">
        <w:rPr>
          <w:rFonts w:ascii="Garamond" w:hAnsi="Garamond" w:cstheme="minorHAnsi"/>
          <w:sz w:val="24"/>
          <w:szCs w:val="24"/>
        </w:rPr>
        <w:t>, broadly</w:t>
      </w:r>
      <w:r w:rsidR="00016049" w:rsidRPr="00461D74">
        <w:rPr>
          <w:rFonts w:ascii="Garamond" w:hAnsi="Garamond" w:cstheme="minorHAnsi"/>
          <w:sz w:val="24"/>
          <w:szCs w:val="24"/>
        </w:rPr>
        <w:t xml:space="preserve"> understood, </w:t>
      </w:r>
      <w:r w:rsidR="00E54333">
        <w:rPr>
          <w:rFonts w:ascii="Garamond" w:hAnsi="Garamond" w:cstheme="minorHAnsi"/>
          <w:sz w:val="24"/>
          <w:szCs w:val="24"/>
        </w:rPr>
        <w:t>remains</w:t>
      </w:r>
      <w:r w:rsidR="00E54333"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 good that is common to members of a community who have converged on </w:t>
      </w:r>
      <w:r w:rsidR="00E54333">
        <w:rPr>
          <w:rFonts w:ascii="Garamond" w:hAnsi="Garamond" w:cstheme="minorHAnsi"/>
          <w:sz w:val="24"/>
          <w:szCs w:val="24"/>
        </w:rPr>
        <w:t>a range of</w:t>
      </w:r>
      <w:r w:rsidR="00E54333" w:rsidRPr="00461D74">
        <w:rPr>
          <w:rFonts w:ascii="Garamond" w:hAnsi="Garamond" w:cstheme="minorHAnsi"/>
          <w:sz w:val="24"/>
          <w:szCs w:val="24"/>
        </w:rPr>
        <w:t xml:space="preserve"> </w:t>
      </w:r>
      <w:r w:rsidR="00016049" w:rsidRPr="00461D74">
        <w:rPr>
          <w:rFonts w:ascii="Garamond" w:hAnsi="Garamond" w:cstheme="minorHAnsi"/>
          <w:sz w:val="24"/>
          <w:szCs w:val="24"/>
        </w:rPr>
        <w:t>common</w:t>
      </w:r>
      <w:r w:rsidR="00E54333">
        <w:rPr>
          <w:rFonts w:ascii="Garamond" w:hAnsi="Garamond" w:cstheme="minorHAnsi"/>
          <w:sz w:val="24"/>
          <w:szCs w:val="24"/>
        </w:rPr>
        <w:t>ly held</w:t>
      </w:r>
      <w:r w:rsidR="00016049" w:rsidRPr="00461D74">
        <w:rPr>
          <w:rFonts w:ascii="Garamond" w:hAnsi="Garamond" w:cstheme="minorHAnsi"/>
          <w:sz w:val="24"/>
          <w:szCs w:val="24"/>
        </w:rPr>
        <w:t xml:space="preserve"> good</w:t>
      </w:r>
      <w:r w:rsidR="00E54333">
        <w:rPr>
          <w:rFonts w:ascii="Garamond" w:hAnsi="Garamond" w:cstheme="minorHAnsi"/>
          <w:sz w:val="24"/>
          <w:szCs w:val="24"/>
        </w:rPr>
        <w:t>s</w:t>
      </w:r>
      <w:r w:rsidR="00CE1009">
        <w:rPr>
          <w:rFonts w:ascii="Garamond" w:hAnsi="Garamond" w:cstheme="minorHAnsi"/>
          <w:sz w:val="24"/>
          <w:szCs w:val="24"/>
        </w:rPr>
        <w:t>,</w:t>
      </w:r>
      <w:r w:rsidR="00016049" w:rsidRPr="00461D74">
        <w:rPr>
          <w:rFonts w:ascii="Garamond" w:hAnsi="Garamond" w:cstheme="minorHAnsi"/>
          <w:sz w:val="24"/>
          <w:szCs w:val="24"/>
        </w:rPr>
        <w:t xml:space="preserve"> </w:t>
      </w:r>
      <w:r w:rsidR="00CE1009">
        <w:rPr>
          <w:rFonts w:ascii="Garamond" w:hAnsi="Garamond" w:cstheme="minorHAnsi"/>
          <w:sz w:val="24"/>
          <w:szCs w:val="24"/>
        </w:rPr>
        <w:t>through a process of active</w:t>
      </w:r>
      <w:r w:rsidR="00E54333">
        <w:rPr>
          <w:rFonts w:ascii="Garamond" w:hAnsi="Garamond" w:cstheme="minorHAnsi"/>
          <w:sz w:val="24"/>
          <w:szCs w:val="24"/>
        </w:rPr>
        <w:t xml:space="preserve"> </w:t>
      </w:r>
      <w:r w:rsidR="00016049" w:rsidRPr="00461D74">
        <w:rPr>
          <w:rFonts w:ascii="Garamond" w:hAnsi="Garamond" w:cstheme="minorHAnsi"/>
          <w:sz w:val="24"/>
          <w:szCs w:val="24"/>
        </w:rPr>
        <w:t>participati</w:t>
      </w:r>
      <w:r w:rsidR="00CE1009">
        <w:rPr>
          <w:rFonts w:ascii="Garamond" w:hAnsi="Garamond" w:cstheme="minorHAnsi"/>
          <w:sz w:val="24"/>
          <w:szCs w:val="24"/>
        </w:rPr>
        <w:t>o</w:t>
      </w:r>
      <w:r w:rsidRPr="00461D74">
        <w:rPr>
          <w:rFonts w:ascii="Garamond" w:hAnsi="Garamond" w:cstheme="minorHAnsi"/>
          <w:sz w:val="24"/>
          <w:szCs w:val="24"/>
        </w:rPr>
        <w:t>n</w:t>
      </w:r>
      <w:r w:rsidR="00016049" w:rsidRPr="00461D74">
        <w:rPr>
          <w:rFonts w:ascii="Garamond" w:hAnsi="Garamond" w:cstheme="minorHAnsi"/>
          <w:sz w:val="24"/>
          <w:szCs w:val="24"/>
        </w:rPr>
        <w:t xml:space="preserve"> in practical reasoning.</w:t>
      </w:r>
      <w:r w:rsidR="00016049" w:rsidRPr="00461D74">
        <w:rPr>
          <w:rStyle w:val="FootnoteReference"/>
          <w:rFonts w:ascii="Garamond" w:hAnsi="Garamond" w:cstheme="minorHAnsi"/>
          <w:sz w:val="24"/>
          <w:szCs w:val="24"/>
        </w:rPr>
        <w:footnoteReference w:id="308"/>
      </w:r>
      <w:r w:rsidR="00016049" w:rsidRPr="00461D74">
        <w:rPr>
          <w:rFonts w:ascii="Garamond" w:hAnsi="Garamond" w:cstheme="minorHAnsi"/>
          <w:sz w:val="24"/>
          <w:szCs w:val="24"/>
        </w:rPr>
        <w:t xml:space="preserve"> It follows that practical deliberation by individual members of a community in ordering the goods of various practices is central to MacIntyre’s account of the common good. Thus MacIntyre’s notion of the common good isn’t reducible to</w:t>
      </w:r>
      <w:r w:rsidR="00C05DC7">
        <w:rPr>
          <w:rFonts w:ascii="Garamond" w:hAnsi="Garamond" w:cstheme="minorHAnsi"/>
          <w:sz w:val="24"/>
          <w:szCs w:val="24"/>
        </w:rPr>
        <w:t>,</w:t>
      </w:r>
      <w:r w:rsidR="00016049" w:rsidRPr="00461D74">
        <w:rPr>
          <w:rFonts w:ascii="Garamond" w:hAnsi="Garamond" w:cstheme="minorHAnsi"/>
          <w:sz w:val="24"/>
          <w:szCs w:val="24"/>
        </w:rPr>
        <w:t xml:space="preserve"> </w:t>
      </w:r>
      <w:r w:rsidR="00C05DC7">
        <w:rPr>
          <w:rFonts w:ascii="Garamond" w:hAnsi="Garamond" w:cstheme="minorHAnsi"/>
          <w:sz w:val="24"/>
          <w:szCs w:val="24"/>
        </w:rPr>
        <w:t xml:space="preserve">nor is it defined simply in terms </w:t>
      </w:r>
      <w:r w:rsidR="00016049" w:rsidRPr="00461D74">
        <w:rPr>
          <w:rFonts w:ascii="Garamond" w:hAnsi="Garamond" w:cstheme="minorHAnsi"/>
          <w:sz w:val="24"/>
          <w:szCs w:val="24"/>
        </w:rPr>
        <w:t>of</w:t>
      </w:r>
      <w:r w:rsidR="00C05DC7">
        <w:rPr>
          <w:rFonts w:ascii="Garamond" w:hAnsi="Garamond" w:cstheme="minorHAnsi"/>
          <w:sz w:val="24"/>
          <w:szCs w:val="24"/>
        </w:rPr>
        <w:t>,</w:t>
      </w:r>
      <w:r w:rsidR="00016049" w:rsidRPr="00461D74">
        <w:rPr>
          <w:rFonts w:ascii="Garamond" w:hAnsi="Garamond" w:cstheme="minorHAnsi"/>
          <w:sz w:val="24"/>
          <w:szCs w:val="24"/>
        </w:rPr>
        <w:t xml:space="preserve"> </w:t>
      </w:r>
      <w:r w:rsidR="00C05DC7">
        <w:rPr>
          <w:rFonts w:ascii="Garamond" w:hAnsi="Garamond" w:cstheme="minorHAnsi"/>
          <w:sz w:val="24"/>
          <w:szCs w:val="24"/>
        </w:rPr>
        <w:t>a first-person account of the</w:t>
      </w:r>
      <w:r w:rsidR="00C05DC7"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individual good. MacIntyre’s account </w:t>
      </w:r>
      <w:r w:rsidR="00016049" w:rsidRPr="00461D74">
        <w:rPr>
          <w:rFonts w:ascii="Garamond" w:hAnsi="Garamond" w:cstheme="minorHAnsi"/>
          <w:sz w:val="24"/>
          <w:szCs w:val="24"/>
        </w:rPr>
        <w:lastRenderedPageBreak/>
        <w:t xml:space="preserve">understands the </w:t>
      </w:r>
      <w:r w:rsidRPr="00461D74">
        <w:rPr>
          <w:rFonts w:ascii="Garamond" w:hAnsi="Garamond" w:cstheme="minorHAnsi"/>
          <w:sz w:val="24"/>
          <w:szCs w:val="24"/>
        </w:rPr>
        <w:t xml:space="preserve">relationship between </w:t>
      </w:r>
      <w:r w:rsidR="00016049" w:rsidRPr="00461D74">
        <w:rPr>
          <w:rFonts w:ascii="Garamond" w:hAnsi="Garamond" w:cstheme="minorHAnsi"/>
          <w:sz w:val="24"/>
          <w:szCs w:val="24"/>
        </w:rPr>
        <w:t xml:space="preserve">common good </w:t>
      </w:r>
      <w:r w:rsidRPr="00461D74">
        <w:rPr>
          <w:rFonts w:ascii="Garamond" w:hAnsi="Garamond" w:cstheme="minorHAnsi"/>
          <w:sz w:val="24"/>
          <w:szCs w:val="24"/>
        </w:rPr>
        <w:t>and individual good as one that is</w:t>
      </w:r>
      <w:r w:rsidR="00016049" w:rsidRPr="00461D74">
        <w:rPr>
          <w:rFonts w:ascii="Garamond" w:hAnsi="Garamond" w:cstheme="minorHAnsi"/>
          <w:sz w:val="24"/>
          <w:szCs w:val="24"/>
        </w:rPr>
        <w:t xml:space="preserve"> irreducibl</w:t>
      </w:r>
      <w:r w:rsidRPr="00461D74">
        <w:rPr>
          <w:rFonts w:ascii="Garamond" w:hAnsi="Garamond" w:cstheme="minorHAnsi"/>
          <w:sz w:val="24"/>
          <w:szCs w:val="24"/>
        </w:rPr>
        <w:t>y</w:t>
      </w:r>
      <w:r w:rsidR="00016049" w:rsidRPr="00461D74">
        <w:rPr>
          <w:rFonts w:ascii="Garamond" w:hAnsi="Garamond" w:cstheme="minorHAnsi"/>
          <w:sz w:val="24"/>
          <w:szCs w:val="24"/>
        </w:rPr>
        <w:t xml:space="preserve"> social</w:t>
      </w:r>
      <w:r w:rsidRPr="00461D74">
        <w:rPr>
          <w:rFonts w:ascii="Garamond" w:hAnsi="Garamond" w:cstheme="minorHAnsi"/>
          <w:sz w:val="24"/>
          <w:szCs w:val="24"/>
        </w:rPr>
        <w:t xml:space="preserve">; namely, that the individual good is </w:t>
      </w:r>
      <w:r w:rsidR="006D7147" w:rsidRPr="00461D74">
        <w:rPr>
          <w:rFonts w:ascii="Garamond" w:hAnsi="Garamond" w:cstheme="minorHAnsi"/>
          <w:sz w:val="24"/>
          <w:szCs w:val="24"/>
        </w:rPr>
        <w:t>(</w:t>
      </w:r>
      <w:r w:rsidRPr="00461D74">
        <w:rPr>
          <w:rFonts w:ascii="Garamond" w:hAnsi="Garamond" w:cstheme="minorHAnsi"/>
          <w:sz w:val="24"/>
          <w:szCs w:val="24"/>
        </w:rPr>
        <w:t>at least in part</w:t>
      </w:r>
      <w:r w:rsidR="006D7147" w:rsidRPr="00461D74">
        <w:rPr>
          <w:rFonts w:ascii="Garamond" w:hAnsi="Garamond" w:cstheme="minorHAnsi"/>
          <w:sz w:val="24"/>
          <w:szCs w:val="24"/>
        </w:rPr>
        <w:t>)</w:t>
      </w:r>
      <w:r w:rsidRPr="00461D74">
        <w:rPr>
          <w:rFonts w:ascii="Garamond" w:hAnsi="Garamond" w:cstheme="minorHAnsi"/>
          <w:sz w:val="24"/>
          <w:szCs w:val="24"/>
        </w:rPr>
        <w:t xml:space="preserve"> </w:t>
      </w:r>
      <w:r w:rsidR="00751F07" w:rsidRPr="00461D74">
        <w:rPr>
          <w:rFonts w:ascii="Garamond" w:hAnsi="Garamond" w:cstheme="minorHAnsi"/>
          <w:sz w:val="24"/>
          <w:szCs w:val="24"/>
        </w:rPr>
        <w:t>realised only as part of a shared realisation of the good through participation in shared social activity</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309"/>
      </w:r>
    </w:p>
    <w:p w:rsidR="00665157" w:rsidRDefault="00751F07">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Mark Murphy, a political philosopher who </w:t>
      </w:r>
      <w:r w:rsidR="006C5BFB" w:rsidRPr="00461D74">
        <w:rPr>
          <w:rFonts w:ascii="Garamond" w:hAnsi="Garamond" w:cstheme="minorHAnsi"/>
          <w:sz w:val="24"/>
          <w:szCs w:val="24"/>
        </w:rPr>
        <w:t xml:space="preserve">has regularly </w:t>
      </w:r>
      <w:r w:rsidRPr="00461D74">
        <w:rPr>
          <w:rFonts w:ascii="Garamond" w:hAnsi="Garamond" w:cstheme="minorHAnsi"/>
          <w:sz w:val="24"/>
          <w:szCs w:val="24"/>
        </w:rPr>
        <w:t>engage</w:t>
      </w:r>
      <w:r w:rsidR="006C5BFB" w:rsidRPr="00461D74">
        <w:rPr>
          <w:rFonts w:ascii="Garamond" w:hAnsi="Garamond" w:cstheme="minorHAnsi"/>
          <w:sz w:val="24"/>
          <w:szCs w:val="24"/>
        </w:rPr>
        <w:t xml:space="preserve">d </w:t>
      </w:r>
      <w:r w:rsidRPr="00461D74">
        <w:rPr>
          <w:rFonts w:ascii="Garamond" w:hAnsi="Garamond" w:cstheme="minorHAnsi"/>
          <w:sz w:val="24"/>
          <w:szCs w:val="24"/>
        </w:rPr>
        <w:t xml:space="preserve">with MacIntyre’s work, </w:t>
      </w:r>
      <w:r w:rsidR="00016049" w:rsidRPr="00461D74">
        <w:rPr>
          <w:rFonts w:ascii="Garamond" w:hAnsi="Garamond" w:cstheme="minorHAnsi"/>
          <w:sz w:val="24"/>
          <w:szCs w:val="24"/>
        </w:rPr>
        <w:t xml:space="preserve">contrasts </w:t>
      </w:r>
      <w:r w:rsidR="006C5BFB" w:rsidRPr="00461D74">
        <w:rPr>
          <w:rFonts w:ascii="Garamond" w:hAnsi="Garamond" w:cstheme="minorHAnsi"/>
          <w:sz w:val="24"/>
          <w:szCs w:val="24"/>
        </w:rPr>
        <w:t>MacIntyre’s</w:t>
      </w:r>
      <w:r w:rsidR="00016049" w:rsidRPr="00461D74">
        <w:rPr>
          <w:rFonts w:ascii="Garamond" w:hAnsi="Garamond" w:cstheme="minorHAnsi"/>
          <w:sz w:val="24"/>
          <w:szCs w:val="24"/>
        </w:rPr>
        <w:t xml:space="preserve"> conception of the common good</w:t>
      </w:r>
      <w:r w:rsidR="006C5BFB" w:rsidRPr="00461D74">
        <w:rPr>
          <w:rFonts w:ascii="Garamond" w:hAnsi="Garamond" w:cstheme="minorHAnsi"/>
          <w:sz w:val="24"/>
          <w:szCs w:val="24"/>
        </w:rPr>
        <w:t>,</w:t>
      </w:r>
      <w:r w:rsidR="00016049" w:rsidRPr="00461D74">
        <w:rPr>
          <w:rFonts w:ascii="Garamond" w:hAnsi="Garamond" w:cstheme="minorHAnsi"/>
          <w:sz w:val="24"/>
          <w:szCs w:val="24"/>
        </w:rPr>
        <w:t xml:space="preserve"> with the concept of </w:t>
      </w:r>
      <w:r w:rsidR="00016049" w:rsidRPr="00461D74">
        <w:rPr>
          <w:rFonts w:ascii="Garamond" w:hAnsi="Garamond" w:cstheme="minorHAnsi"/>
          <w:i/>
          <w:iCs/>
          <w:sz w:val="24"/>
          <w:szCs w:val="24"/>
        </w:rPr>
        <w:t>public interest</w:t>
      </w:r>
      <w:r w:rsidRPr="00461D74">
        <w:rPr>
          <w:rFonts w:ascii="Garamond" w:hAnsi="Garamond" w:cstheme="minorHAnsi"/>
          <w:sz w:val="24"/>
          <w:szCs w:val="24"/>
        </w:rPr>
        <w:t xml:space="preserve"> </w:t>
      </w:r>
      <w:r w:rsidR="006D7147" w:rsidRPr="00461D74">
        <w:rPr>
          <w:rFonts w:ascii="Garamond" w:hAnsi="Garamond" w:cstheme="minorHAnsi"/>
          <w:sz w:val="24"/>
          <w:szCs w:val="24"/>
        </w:rPr>
        <w:t xml:space="preserve">as </w:t>
      </w:r>
      <w:r w:rsidR="006C5BFB" w:rsidRPr="00461D74">
        <w:rPr>
          <w:rFonts w:ascii="Garamond" w:hAnsi="Garamond" w:cstheme="minorHAnsi"/>
          <w:sz w:val="24"/>
          <w:szCs w:val="24"/>
        </w:rPr>
        <w:t>defined by MacIntyre</w:t>
      </w:r>
      <w:r w:rsidR="00016049" w:rsidRPr="00461D74">
        <w:rPr>
          <w:rFonts w:ascii="Garamond" w:hAnsi="Garamond" w:cstheme="minorHAnsi"/>
          <w:sz w:val="24"/>
          <w:szCs w:val="24"/>
        </w:rPr>
        <w:t>.</w:t>
      </w:r>
      <w:r w:rsidR="00C05DC7" w:rsidRPr="00461D74">
        <w:rPr>
          <w:rStyle w:val="FootnoteReference"/>
          <w:rFonts w:ascii="Garamond" w:hAnsi="Garamond" w:cstheme="minorHAnsi"/>
          <w:sz w:val="24"/>
          <w:szCs w:val="24"/>
        </w:rPr>
        <w:footnoteReference w:id="310"/>
      </w:r>
      <w:r w:rsidR="00016049" w:rsidRPr="00461D74">
        <w:rPr>
          <w:rFonts w:ascii="Garamond" w:hAnsi="Garamond" w:cstheme="minorHAnsi"/>
          <w:sz w:val="24"/>
          <w:szCs w:val="24"/>
        </w:rPr>
        <w:t xml:space="preserve"> </w:t>
      </w:r>
      <w:r w:rsidR="006C5BFB" w:rsidRPr="00461D74">
        <w:rPr>
          <w:rFonts w:ascii="Garamond" w:hAnsi="Garamond" w:cstheme="minorHAnsi"/>
          <w:sz w:val="24"/>
          <w:szCs w:val="24"/>
        </w:rPr>
        <w:t>For MacIntyre,</w:t>
      </w:r>
      <w:r w:rsidR="00016049" w:rsidRPr="00461D74">
        <w:rPr>
          <w:rFonts w:ascii="Garamond" w:hAnsi="Garamond" w:cstheme="minorHAnsi"/>
          <w:sz w:val="24"/>
          <w:szCs w:val="24"/>
        </w:rPr>
        <w:t xml:space="preserve"> the notion of public interest prioritizes the individual good over that of public interest – </w:t>
      </w:r>
      <w:r w:rsidR="00C05DC7">
        <w:rPr>
          <w:rFonts w:ascii="Garamond" w:hAnsi="Garamond" w:cstheme="minorHAnsi"/>
          <w:sz w:val="24"/>
          <w:szCs w:val="24"/>
        </w:rPr>
        <w:t>here</w:t>
      </w:r>
      <w:r w:rsidR="00016049" w:rsidRPr="00461D74">
        <w:rPr>
          <w:rFonts w:ascii="Garamond" w:hAnsi="Garamond" w:cstheme="minorHAnsi"/>
          <w:sz w:val="24"/>
          <w:szCs w:val="24"/>
        </w:rPr>
        <w:t xml:space="preserve">, </w:t>
      </w:r>
      <w:r w:rsidR="006C5BFB" w:rsidRPr="00461D74">
        <w:rPr>
          <w:rFonts w:ascii="Garamond" w:hAnsi="Garamond" w:cstheme="minorHAnsi"/>
          <w:sz w:val="24"/>
          <w:szCs w:val="24"/>
        </w:rPr>
        <w:t xml:space="preserve">the concept of </w:t>
      </w:r>
      <w:r w:rsidR="00016049" w:rsidRPr="00461D74">
        <w:rPr>
          <w:rFonts w:ascii="Garamond" w:hAnsi="Garamond" w:cstheme="minorHAnsi"/>
          <w:sz w:val="24"/>
          <w:szCs w:val="24"/>
        </w:rPr>
        <w:t>public interest is</w:t>
      </w:r>
      <w:r w:rsidR="006C5BFB" w:rsidRPr="00461D74">
        <w:rPr>
          <w:rFonts w:ascii="Garamond" w:hAnsi="Garamond" w:cstheme="minorHAnsi"/>
          <w:sz w:val="24"/>
          <w:szCs w:val="24"/>
        </w:rPr>
        <w:t xml:space="preserve"> </w:t>
      </w:r>
      <w:r w:rsidR="00016049" w:rsidRPr="00461D74">
        <w:rPr>
          <w:rFonts w:ascii="Garamond" w:hAnsi="Garamond" w:cstheme="minorHAnsi"/>
          <w:sz w:val="24"/>
          <w:szCs w:val="24"/>
        </w:rPr>
        <w:t>subordina</w:t>
      </w:r>
      <w:r w:rsidR="009543C1">
        <w:rPr>
          <w:rFonts w:ascii="Garamond" w:hAnsi="Garamond" w:cstheme="minorHAnsi"/>
          <w:sz w:val="24"/>
          <w:szCs w:val="24"/>
        </w:rPr>
        <w:t>te</w:t>
      </w:r>
      <w:r w:rsidR="006C5BFB" w:rsidRPr="00461D74">
        <w:rPr>
          <w:rFonts w:ascii="Garamond" w:hAnsi="Garamond" w:cstheme="minorHAnsi"/>
          <w:sz w:val="24"/>
          <w:szCs w:val="24"/>
        </w:rPr>
        <w:t xml:space="preserve"> to the </w:t>
      </w:r>
      <w:r w:rsidR="00016049" w:rsidRPr="00461D74">
        <w:rPr>
          <w:rFonts w:ascii="Garamond" w:hAnsi="Garamond" w:cstheme="minorHAnsi"/>
          <w:sz w:val="24"/>
          <w:szCs w:val="24"/>
        </w:rPr>
        <w:t>individual</w:t>
      </w:r>
      <w:r w:rsidR="00C05DC7">
        <w:rPr>
          <w:rFonts w:ascii="Garamond" w:hAnsi="Garamond" w:cstheme="minorHAnsi"/>
          <w:sz w:val="24"/>
          <w:szCs w:val="24"/>
        </w:rPr>
        <w:t>’s</w:t>
      </w:r>
      <w:r w:rsidR="00016049" w:rsidRPr="00461D74">
        <w:rPr>
          <w:rFonts w:ascii="Garamond" w:hAnsi="Garamond" w:cstheme="minorHAnsi"/>
          <w:sz w:val="24"/>
          <w:szCs w:val="24"/>
        </w:rPr>
        <w:t xml:space="preserve"> good. </w:t>
      </w:r>
      <w:r w:rsidR="006C5BFB" w:rsidRPr="00461D74">
        <w:rPr>
          <w:rFonts w:ascii="Garamond" w:hAnsi="Garamond" w:cstheme="minorHAnsi"/>
          <w:sz w:val="24"/>
          <w:szCs w:val="24"/>
        </w:rPr>
        <w:t>Murphy summarises this contrast in the following way</w:t>
      </w:r>
      <w:r w:rsidR="004741D0" w:rsidRPr="00461D74">
        <w:rPr>
          <w:rFonts w:ascii="Garamond" w:hAnsi="Garamond" w:cstheme="minorHAnsi"/>
          <w:sz w:val="24"/>
          <w:szCs w:val="24"/>
        </w:rPr>
        <w:t xml:space="preserve">. In </w:t>
      </w:r>
      <w:r w:rsidR="00016049" w:rsidRPr="00461D74">
        <w:rPr>
          <w:rFonts w:ascii="Garamond" w:hAnsi="Garamond" w:cstheme="minorHAnsi"/>
          <w:sz w:val="24"/>
          <w:szCs w:val="24"/>
        </w:rPr>
        <w:t>contemporary liberal politics</w:t>
      </w:r>
    </w:p>
    <w:p w:rsidR="00665157" w:rsidRDefault="00016049">
      <w:pPr>
        <w:spacing w:line="360" w:lineRule="auto"/>
        <w:ind w:left="1440"/>
        <w:jc w:val="both"/>
        <w:rPr>
          <w:rFonts w:ascii="Garamond" w:hAnsi="Garamond" w:cstheme="minorHAnsi"/>
        </w:rPr>
      </w:pPr>
      <w:r w:rsidRPr="00461D74">
        <w:rPr>
          <w:rFonts w:ascii="Garamond" w:hAnsi="Garamond" w:cstheme="minorHAnsi"/>
        </w:rPr>
        <w:t>“</w:t>
      </w:r>
      <w:proofErr w:type="gramStart"/>
      <w:r w:rsidRPr="00461D74">
        <w:rPr>
          <w:rFonts w:ascii="Garamond" w:hAnsi="Garamond" w:cstheme="minorHAnsi"/>
        </w:rPr>
        <w:t>public</w:t>
      </w:r>
      <w:proofErr w:type="gramEnd"/>
      <w:r w:rsidRPr="00461D74">
        <w:rPr>
          <w:rFonts w:ascii="Garamond" w:hAnsi="Garamond" w:cstheme="minorHAnsi"/>
        </w:rPr>
        <w:t xml:space="preserve"> interest is defined in such a way as to be logically posterior to the goods of the members of the public: it is a set of conditions that support individuals’ good. We would have to be able to provide an account of the individual’s good that is independent of the notion of public interest in order to make sense of that idea</w:t>
      </w:r>
      <w:r w:rsidR="00D6631D">
        <w:rPr>
          <w:rFonts w:ascii="Garamond" w:hAnsi="Garamond" w:cstheme="minorHAnsi"/>
        </w:rPr>
        <w:t>.</w:t>
      </w:r>
      <w:r w:rsidRPr="00461D74">
        <w:rPr>
          <w:rFonts w:ascii="Garamond" w:hAnsi="Garamond" w:cstheme="minorHAnsi"/>
        </w:rPr>
        <w:t>”</w:t>
      </w:r>
      <w:r w:rsidRPr="00461D74">
        <w:rPr>
          <w:rStyle w:val="FootnoteReference"/>
          <w:rFonts w:ascii="Garamond" w:hAnsi="Garamond" w:cstheme="minorHAnsi"/>
        </w:rPr>
        <w:footnoteReference w:id="311"/>
      </w:r>
    </w:p>
    <w:p w:rsidR="00665157" w:rsidRDefault="00CD39C5">
      <w:pPr>
        <w:spacing w:line="360" w:lineRule="auto"/>
        <w:ind w:firstLine="720"/>
        <w:jc w:val="both"/>
        <w:rPr>
          <w:rFonts w:ascii="Garamond" w:hAnsi="Garamond" w:cstheme="minorHAnsi"/>
          <w:sz w:val="24"/>
          <w:szCs w:val="24"/>
        </w:rPr>
      </w:pPr>
      <w:r>
        <w:rPr>
          <w:rFonts w:ascii="Garamond" w:hAnsi="Garamond" w:cstheme="minorHAnsi"/>
          <w:sz w:val="24"/>
          <w:szCs w:val="24"/>
        </w:rPr>
        <w:t>Therefore</w:t>
      </w:r>
      <w:r w:rsidR="002E03AA" w:rsidRPr="00461D74">
        <w:rPr>
          <w:rFonts w:ascii="Garamond" w:hAnsi="Garamond" w:cstheme="minorHAnsi"/>
          <w:sz w:val="24"/>
          <w:szCs w:val="24"/>
        </w:rPr>
        <w:t xml:space="preserve">, the </w:t>
      </w:r>
      <w:r w:rsidR="00016049" w:rsidRPr="00461D74">
        <w:rPr>
          <w:rFonts w:ascii="Garamond" w:hAnsi="Garamond" w:cstheme="minorHAnsi"/>
          <w:sz w:val="24"/>
          <w:szCs w:val="24"/>
        </w:rPr>
        <w:t xml:space="preserve">concept of the individual good – in the liberal state – is prior to the notion of public interest. Public interest is </w:t>
      </w:r>
      <w:r>
        <w:rPr>
          <w:rFonts w:ascii="Garamond" w:hAnsi="Garamond" w:cstheme="minorHAnsi"/>
          <w:sz w:val="24"/>
          <w:szCs w:val="24"/>
        </w:rPr>
        <w:t xml:space="preserve">then </w:t>
      </w:r>
      <w:r w:rsidR="00016049" w:rsidRPr="00461D74">
        <w:rPr>
          <w:rFonts w:ascii="Garamond" w:hAnsi="Garamond" w:cstheme="minorHAnsi"/>
          <w:sz w:val="24"/>
          <w:szCs w:val="24"/>
        </w:rPr>
        <w:t xml:space="preserve">a set of political conditions that best realize </w:t>
      </w:r>
      <w:r>
        <w:rPr>
          <w:rFonts w:ascii="Garamond" w:hAnsi="Garamond" w:cstheme="minorHAnsi"/>
          <w:sz w:val="24"/>
          <w:szCs w:val="24"/>
        </w:rPr>
        <w:t>a diverse range of</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goods </w:t>
      </w:r>
      <w:r>
        <w:rPr>
          <w:rFonts w:ascii="Garamond" w:hAnsi="Garamond" w:cstheme="minorHAnsi"/>
          <w:sz w:val="24"/>
          <w:szCs w:val="24"/>
        </w:rPr>
        <w:t>for</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individuals </w:t>
      </w:r>
      <w:r>
        <w:rPr>
          <w:rFonts w:ascii="Garamond" w:hAnsi="Garamond" w:cstheme="minorHAnsi"/>
          <w:sz w:val="24"/>
          <w:szCs w:val="24"/>
        </w:rPr>
        <w:t xml:space="preserve">who reside </w:t>
      </w:r>
      <w:r w:rsidR="00016049" w:rsidRPr="00461D74">
        <w:rPr>
          <w:rFonts w:ascii="Garamond" w:hAnsi="Garamond" w:cstheme="minorHAnsi"/>
          <w:sz w:val="24"/>
          <w:szCs w:val="24"/>
        </w:rPr>
        <w:t>in society – goods which are defined in terms of the individual’s own subjective preferences</w:t>
      </w:r>
      <w:r>
        <w:rPr>
          <w:rFonts w:ascii="Garamond" w:hAnsi="Garamond" w:cstheme="minorHAnsi"/>
          <w:sz w:val="24"/>
          <w:szCs w:val="24"/>
        </w:rPr>
        <w:t xml:space="preserve">, and therefore, a </w:t>
      </w:r>
      <w:r w:rsidR="00307F05">
        <w:rPr>
          <w:rFonts w:ascii="Garamond" w:hAnsi="Garamond" w:cstheme="minorHAnsi"/>
          <w:sz w:val="24"/>
          <w:szCs w:val="24"/>
        </w:rPr>
        <w:t xml:space="preserve">purely </w:t>
      </w:r>
      <w:r>
        <w:rPr>
          <w:rFonts w:ascii="Garamond" w:hAnsi="Garamond" w:cstheme="minorHAnsi"/>
          <w:sz w:val="24"/>
          <w:szCs w:val="24"/>
        </w:rPr>
        <w:t xml:space="preserve">first-person perspective account of </w:t>
      </w:r>
      <w:r w:rsidR="007C05E4">
        <w:rPr>
          <w:rFonts w:ascii="Garamond" w:hAnsi="Garamond" w:cstheme="minorHAnsi"/>
          <w:sz w:val="24"/>
          <w:szCs w:val="24"/>
        </w:rPr>
        <w:t>an individual’s</w:t>
      </w:r>
      <w:r>
        <w:rPr>
          <w:rFonts w:ascii="Garamond" w:hAnsi="Garamond" w:cstheme="minorHAnsi"/>
          <w:sz w:val="24"/>
          <w:szCs w:val="24"/>
        </w:rPr>
        <w:t xml:space="preserve"> </w:t>
      </w:r>
      <w:r w:rsidR="007C05E4">
        <w:rPr>
          <w:rFonts w:ascii="Garamond" w:hAnsi="Garamond" w:cstheme="minorHAnsi"/>
          <w:sz w:val="24"/>
          <w:szCs w:val="24"/>
        </w:rPr>
        <w:t>good</w:t>
      </w:r>
      <w:r w:rsidR="00016049" w:rsidRPr="00461D74">
        <w:rPr>
          <w:rFonts w:ascii="Garamond" w:hAnsi="Garamond" w:cstheme="minorHAnsi"/>
          <w:sz w:val="24"/>
          <w:szCs w:val="24"/>
        </w:rPr>
        <w:t xml:space="preserve">. </w:t>
      </w:r>
      <w:r w:rsidR="00307F05">
        <w:rPr>
          <w:rFonts w:ascii="Garamond" w:hAnsi="Garamond" w:cstheme="minorHAnsi"/>
          <w:sz w:val="24"/>
          <w:szCs w:val="24"/>
        </w:rPr>
        <w:t>Now, t</w:t>
      </w:r>
      <w:r w:rsidR="00016049" w:rsidRPr="00461D74">
        <w:rPr>
          <w:rFonts w:ascii="Garamond" w:hAnsi="Garamond" w:cstheme="minorHAnsi"/>
          <w:sz w:val="24"/>
          <w:szCs w:val="24"/>
        </w:rPr>
        <w:t xml:space="preserve">his account of public interest can be understood in either utilitarian or </w:t>
      </w:r>
      <w:proofErr w:type="spellStart"/>
      <w:r w:rsidR="00016049" w:rsidRPr="00461D74">
        <w:rPr>
          <w:rFonts w:ascii="Garamond" w:hAnsi="Garamond" w:cstheme="minorHAnsi"/>
          <w:sz w:val="24"/>
          <w:szCs w:val="24"/>
        </w:rPr>
        <w:t>Rawlsian</w:t>
      </w:r>
      <w:proofErr w:type="spellEnd"/>
      <w:r w:rsidR="00016049" w:rsidRPr="00461D74">
        <w:rPr>
          <w:rFonts w:ascii="Garamond" w:hAnsi="Garamond" w:cstheme="minorHAnsi"/>
          <w:sz w:val="24"/>
          <w:szCs w:val="24"/>
        </w:rPr>
        <w:t xml:space="preserve"> terms. So for example, on the utilitarian view, public interest can be understood either as a set of conditions that achieves the greatest happiness – namely, the happiness of the greatest number of individuals – or alternatively, it </w:t>
      </w:r>
      <w:r w:rsidR="00016049" w:rsidRPr="00461D74">
        <w:rPr>
          <w:rFonts w:ascii="Garamond" w:hAnsi="Garamond" w:cstheme="minorHAnsi"/>
          <w:sz w:val="24"/>
          <w:szCs w:val="24"/>
        </w:rPr>
        <w:lastRenderedPageBreak/>
        <w:t xml:space="preserve">can be understood as an aggregate of the happiness of greatest number of individuals. In either case, the notion of public interest is defined in terms of the individual’s good. </w:t>
      </w:r>
      <w:r w:rsidR="00307F05">
        <w:rPr>
          <w:rFonts w:ascii="Garamond" w:hAnsi="Garamond" w:cstheme="minorHAnsi"/>
          <w:sz w:val="24"/>
          <w:szCs w:val="24"/>
        </w:rPr>
        <w:t>In a parallel fashion</w:t>
      </w:r>
      <w:r w:rsidR="00016049" w:rsidRPr="00461D74">
        <w:rPr>
          <w:rFonts w:ascii="Garamond" w:hAnsi="Garamond" w:cstheme="minorHAnsi"/>
          <w:sz w:val="24"/>
          <w:szCs w:val="24"/>
        </w:rPr>
        <w:t xml:space="preserve">, for the </w:t>
      </w:r>
      <w:proofErr w:type="spellStart"/>
      <w:r w:rsidR="00016049" w:rsidRPr="00461D74">
        <w:rPr>
          <w:rFonts w:ascii="Garamond" w:hAnsi="Garamond" w:cstheme="minorHAnsi"/>
          <w:sz w:val="24"/>
          <w:szCs w:val="24"/>
        </w:rPr>
        <w:t>Rawlsian</w:t>
      </w:r>
      <w:proofErr w:type="spellEnd"/>
      <w:r w:rsidR="00016049" w:rsidRPr="00461D74">
        <w:rPr>
          <w:rFonts w:ascii="Garamond" w:hAnsi="Garamond" w:cstheme="minorHAnsi"/>
          <w:sz w:val="24"/>
          <w:szCs w:val="24"/>
        </w:rPr>
        <w:t xml:space="preserve">, an overlapping consensus on a principle of justice generates a set of conditions that best realizes the right kind of political institutions. And the set of conditions that realize the right sort of political institutions are those that generate a type of society </w:t>
      </w:r>
      <w:r w:rsidR="002E03AA" w:rsidRPr="00461D74">
        <w:rPr>
          <w:rFonts w:ascii="Garamond" w:hAnsi="Garamond" w:cstheme="minorHAnsi"/>
          <w:sz w:val="24"/>
          <w:szCs w:val="24"/>
        </w:rPr>
        <w:t xml:space="preserve">in which </w:t>
      </w:r>
      <w:r w:rsidR="00016049" w:rsidRPr="00461D74">
        <w:rPr>
          <w:rFonts w:ascii="Garamond" w:hAnsi="Garamond" w:cstheme="minorHAnsi"/>
          <w:sz w:val="24"/>
          <w:szCs w:val="24"/>
        </w:rPr>
        <w:t xml:space="preserve">the individual </w:t>
      </w:r>
      <w:r w:rsidR="00307F05">
        <w:rPr>
          <w:rFonts w:ascii="Garamond" w:hAnsi="Garamond" w:cstheme="minorHAnsi"/>
          <w:sz w:val="24"/>
          <w:szCs w:val="24"/>
        </w:rPr>
        <w:t xml:space="preserve">person </w:t>
      </w:r>
      <w:r w:rsidR="00016049" w:rsidRPr="00461D74">
        <w:rPr>
          <w:rFonts w:ascii="Garamond" w:hAnsi="Garamond" w:cstheme="minorHAnsi"/>
          <w:sz w:val="24"/>
          <w:szCs w:val="24"/>
        </w:rPr>
        <w:t>can pursue his or her own autonomously chosen individual good</w:t>
      </w:r>
      <w:r w:rsidR="00307F05">
        <w:rPr>
          <w:rFonts w:ascii="Garamond" w:hAnsi="Garamond" w:cstheme="minorHAnsi"/>
          <w:sz w:val="24"/>
          <w:szCs w:val="24"/>
        </w:rPr>
        <w:t>, defined in terms of his or her own subjective preference</w:t>
      </w:r>
      <w:r w:rsidR="00016049" w:rsidRPr="00461D74">
        <w:rPr>
          <w:rFonts w:ascii="Garamond" w:hAnsi="Garamond" w:cstheme="minorHAnsi"/>
          <w:sz w:val="24"/>
          <w:szCs w:val="24"/>
        </w:rPr>
        <w:t>.</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 xml:space="preserve">We </w:t>
      </w:r>
      <w:r w:rsidR="002E03AA" w:rsidRPr="00461D74">
        <w:rPr>
          <w:rFonts w:ascii="Garamond" w:hAnsi="Garamond" w:cstheme="minorHAnsi"/>
          <w:sz w:val="24"/>
          <w:szCs w:val="24"/>
        </w:rPr>
        <w:t xml:space="preserve">can now safely accept </w:t>
      </w:r>
      <w:r w:rsidRPr="00461D74">
        <w:rPr>
          <w:rFonts w:ascii="Garamond" w:hAnsi="Garamond" w:cstheme="minorHAnsi"/>
          <w:sz w:val="24"/>
          <w:szCs w:val="24"/>
        </w:rPr>
        <w:t xml:space="preserve">that public interest </w:t>
      </w:r>
      <w:r w:rsidR="002E03AA" w:rsidRPr="00461D74">
        <w:rPr>
          <w:rFonts w:ascii="Garamond" w:hAnsi="Garamond" w:cstheme="minorHAnsi"/>
          <w:sz w:val="24"/>
          <w:szCs w:val="24"/>
        </w:rPr>
        <w:t xml:space="preserve">is </w:t>
      </w:r>
      <w:r w:rsidRPr="00461D74">
        <w:rPr>
          <w:rFonts w:ascii="Garamond" w:hAnsi="Garamond" w:cstheme="minorHAnsi"/>
          <w:sz w:val="24"/>
          <w:szCs w:val="24"/>
        </w:rPr>
        <w:t xml:space="preserve">defined as a set of conditions that best realize the social and political conditions </w:t>
      </w:r>
      <w:r w:rsidR="002E03AA" w:rsidRPr="00461D74">
        <w:rPr>
          <w:rFonts w:ascii="Garamond" w:hAnsi="Garamond" w:cstheme="minorHAnsi"/>
          <w:sz w:val="24"/>
          <w:szCs w:val="24"/>
        </w:rPr>
        <w:t xml:space="preserve">in which </w:t>
      </w:r>
      <w:r w:rsidRPr="00461D74">
        <w:rPr>
          <w:rFonts w:ascii="Garamond" w:hAnsi="Garamond" w:cstheme="minorHAnsi"/>
          <w:sz w:val="24"/>
          <w:szCs w:val="24"/>
        </w:rPr>
        <w:t>individuals can freely pursue their subjective preferences</w:t>
      </w:r>
      <w:r w:rsidR="002E03AA" w:rsidRPr="00461D74">
        <w:rPr>
          <w:rFonts w:ascii="Garamond" w:hAnsi="Garamond" w:cstheme="minorHAnsi"/>
          <w:sz w:val="24"/>
          <w:szCs w:val="24"/>
        </w:rPr>
        <w:t xml:space="preserve">. Needless to </w:t>
      </w:r>
      <w:r w:rsidR="004741D0" w:rsidRPr="00461D74">
        <w:rPr>
          <w:rFonts w:ascii="Garamond" w:hAnsi="Garamond" w:cstheme="minorHAnsi"/>
          <w:sz w:val="24"/>
          <w:szCs w:val="24"/>
        </w:rPr>
        <w:t>say</w:t>
      </w:r>
      <w:r w:rsidR="006D7147" w:rsidRPr="00461D74">
        <w:rPr>
          <w:rFonts w:ascii="Garamond" w:hAnsi="Garamond" w:cstheme="minorHAnsi"/>
          <w:sz w:val="24"/>
          <w:szCs w:val="24"/>
        </w:rPr>
        <w:t>,</w:t>
      </w:r>
      <w:r w:rsidR="004741D0" w:rsidRPr="00461D74">
        <w:rPr>
          <w:rFonts w:ascii="Garamond" w:hAnsi="Garamond" w:cstheme="minorHAnsi"/>
          <w:sz w:val="24"/>
          <w:szCs w:val="24"/>
        </w:rPr>
        <w:t xml:space="preserve"> </w:t>
      </w:r>
      <w:r w:rsidR="002E03AA" w:rsidRPr="00461D74">
        <w:rPr>
          <w:rFonts w:ascii="Garamond" w:hAnsi="Garamond" w:cstheme="minorHAnsi"/>
          <w:sz w:val="24"/>
          <w:szCs w:val="24"/>
        </w:rPr>
        <w:t>that public interest</w:t>
      </w:r>
      <w:r w:rsidR="004741D0" w:rsidRPr="00461D74">
        <w:rPr>
          <w:rFonts w:ascii="Garamond" w:hAnsi="Garamond" w:cstheme="minorHAnsi"/>
          <w:sz w:val="24"/>
          <w:szCs w:val="24"/>
        </w:rPr>
        <w:t>, defined in this way,</w:t>
      </w:r>
      <w:r w:rsidR="002E03AA" w:rsidRPr="00461D74">
        <w:rPr>
          <w:rFonts w:ascii="Garamond" w:hAnsi="Garamond" w:cstheme="minorHAnsi"/>
          <w:sz w:val="24"/>
          <w:szCs w:val="24"/>
        </w:rPr>
        <w:t xml:space="preserve"> </w:t>
      </w:r>
      <w:r w:rsidRPr="00461D74">
        <w:rPr>
          <w:rFonts w:ascii="Garamond" w:hAnsi="Garamond" w:cstheme="minorHAnsi"/>
          <w:sz w:val="24"/>
          <w:szCs w:val="24"/>
        </w:rPr>
        <w:t xml:space="preserve">is very different from the </w:t>
      </w:r>
      <w:r w:rsidR="004741D0" w:rsidRPr="00461D74">
        <w:rPr>
          <w:rFonts w:ascii="Garamond" w:hAnsi="Garamond" w:cstheme="minorHAnsi"/>
          <w:sz w:val="24"/>
          <w:szCs w:val="24"/>
        </w:rPr>
        <w:t xml:space="preserve">sort of </w:t>
      </w:r>
      <w:r w:rsidRPr="00461D74">
        <w:rPr>
          <w:rFonts w:ascii="Garamond" w:hAnsi="Garamond" w:cstheme="minorHAnsi"/>
          <w:sz w:val="24"/>
          <w:szCs w:val="24"/>
        </w:rPr>
        <w:t xml:space="preserve">common good </w:t>
      </w:r>
      <w:r w:rsidR="004741D0" w:rsidRPr="00461D74">
        <w:rPr>
          <w:rFonts w:ascii="Garamond" w:hAnsi="Garamond" w:cstheme="minorHAnsi"/>
          <w:sz w:val="24"/>
          <w:szCs w:val="24"/>
        </w:rPr>
        <w:t xml:space="preserve">that </w:t>
      </w:r>
      <w:r w:rsidRPr="00461D74">
        <w:rPr>
          <w:rFonts w:ascii="Garamond" w:hAnsi="Garamond" w:cstheme="minorHAnsi"/>
          <w:sz w:val="24"/>
          <w:szCs w:val="24"/>
        </w:rPr>
        <w:t>MacIntyre</w:t>
      </w:r>
      <w:r w:rsidR="004741D0" w:rsidRPr="00461D74">
        <w:rPr>
          <w:rFonts w:ascii="Garamond" w:hAnsi="Garamond" w:cstheme="minorHAnsi"/>
          <w:sz w:val="24"/>
          <w:szCs w:val="24"/>
        </w:rPr>
        <w:t xml:space="preserve"> identifies</w:t>
      </w:r>
      <w:r w:rsidRPr="00461D74">
        <w:rPr>
          <w:rFonts w:ascii="Garamond" w:hAnsi="Garamond" w:cstheme="minorHAnsi"/>
          <w:sz w:val="24"/>
          <w:szCs w:val="24"/>
        </w:rPr>
        <w:t>. On this account</w:t>
      </w:r>
      <w:r w:rsidR="00B93A4A">
        <w:rPr>
          <w:rFonts w:ascii="Garamond" w:hAnsi="Garamond" w:cstheme="minorHAnsi"/>
          <w:sz w:val="24"/>
          <w:szCs w:val="24"/>
        </w:rPr>
        <w:t>,</w:t>
      </w:r>
      <w:r w:rsidRPr="00461D74">
        <w:rPr>
          <w:rFonts w:ascii="Garamond" w:hAnsi="Garamond" w:cstheme="minorHAnsi"/>
          <w:sz w:val="24"/>
          <w:szCs w:val="24"/>
        </w:rPr>
        <w:t xml:space="preserve"> the individual realizes his or her good through participation in social practices, and social practices when well-ordered, realize the common good. In addition, the account of public interest in liberal theory is very different from the Aristotelian common good; common good</w:t>
      </w:r>
      <w:r w:rsidR="002868C7">
        <w:rPr>
          <w:rFonts w:ascii="Garamond" w:hAnsi="Garamond" w:cstheme="minorHAnsi"/>
          <w:sz w:val="24"/>
          <w:szCs w:val="24"/>
        </w:rPr>
        <w:t>,</w:t>
      </w:r>
      <w:r w:rsidRPr="00461D74">
        <w:rPr>
          <w:rFonts w:ascii="Garamond" w:hAnsi="Garamond" w:cstheme="minorHAnsi"/>
          <w:sz w:val="24"/>
          <w:szCs w:val="24"/>
        </w:rPr>
        <w:t xml:space="preserve"> thus conceived</w:t>
      </w:r>
      <w:r w:rsidR="002868C7">
        <w:rPr>
          <w:rFonts w:ascii="Garamond" w:hAnsi="Garamond" w:cstheme="minorHAnsi"/>
          <w:sz w:val="24"/>
          <w:szCs w:val="24"/>
        </w:rPr>
        <w:t>,</w:t>
      </w:r>
      <w:r w:rsidRPr="00461D74">
        <w:rPr>
          <w:rFonts w:ascii="Garamond" w:hAnsi="Garamond" w:cstheme="minorHAnsi"/>
          <w:sz w:val="24"/>
          <w:szCs w:val="24"/>
        </w:rPr>
        <w:t xml:space="preserve"> </w:t>
      </w:r>
      <w:r w:rsidR="00307F05">
        <w:rPr>
          <w:rFonts w:ascii="Garamond" w:hAnsi="Garamond" w:cstheme="minorHAnsi"/>
          <w:sz w:val="24"/>
          <w:szCs w:val="24"/>
        </w:rPr>
        <w:t>necessitates</w:t>
      </w:r>
      <w:r w:rsidR="00307F05" w:rsidRPr="00461D74">
        <w:rPr>
          <w:rFonts w:ascii="Garamond" w:hAnsi="Garamond" w:cstheme="minorHAnsi"/>
          <w:sz w:val="24"/>
          <w:szCs w:val="24"/>
        </w:rPr>
        <w:t xml:space="preserve"> </w:t>
      </w:r>
      <w:r w:rsidRPr="00461D74">
        <w:rPr>
          <w:rFonts w:ascii="Garamond" w:hAnsi="Garamond" w:cstheme="minorHAnsi"/>
          <w:sz w:val="24"/>
          <w:szCs w:val="24"/>
        </w:rPr>
        <w:t xml:space="preserve">engaged practical deliberation by individuals </w:t>
      </w:r>
      <w:r w:rsidR="00307F05">
        <w:rPr>
          <w:rFonts w:ascii="Garamond" w:hAnsi="Garamond" w:cstheme="minorHAnsi"/>
          <w:sz w:val="24"/>
          <w:szCs w:val="24"/>
        </w:rPr>
        <w:t xml:space="preserve">not only </w:t>
      </w:r>
      <w:r w:rsidRPr="00461D74">
        <w:rPr>
          <w:rFonts w:ascii="Garamond" w:hAnsi="Garamond" w:cstheme="minorHAnsi"/>
          <w:sz w:val="24"/>
          <w:szCs w:val="24"/>
        </w:rPr>
        <w:t xml:space="preserve">for the purpose of evaluating the goods of various practices, but </w:t>
      </w:r>
      <w:r w:rsidR="002868C7">
        <w:rPr>
          <w:rFonts w:ascii="Garamond" w:hAnsi="Garamond" w:cstheme="minorHAnsi"/>
          <w:sz w:val="24"/>
          <w:szCs w:val="24"/>
        </w:rPr>
        <w:t xml:space="preserve">also, </w:t>
      </w:r>
      <w:r w:rsidRPr="00461D74">
        <w:rPr>
          <w:rFonts w:ascii="Garamond" w:hAnsi="Garamond" w:cstheme="minorHAnsi"/>
          <w:sz w:val="24"/>
          <w:szCs w:val="24"/>
        </w:rPr>
        <w:t xml:space="preserve">ordering the goods of a </w:t>
      </w:r>
      <w:r w:rsidR="002868C7">
        <w:rPr>
          <w:rFonts w:ascii="Garamond" w:hAnsi="Garamond" w:cstheme="minorHAnsi"/>
          <w:sz w:val="24"/>
          <w:szCs w:val="24"/>
        </w:rPr>
        <w:t>range</w:t>
      </w:r>
      <w:r w:rsidRPr="00461D74">
        <w:rPr>
          <w:rFonts w:ascii="Garamond" w:hAnsi="Garamond" w:cstheme="minorHAnsi"/>
          <w:sz w:val="24"/>
          <w:szCs w:val="24"/>
        </w:rPr>
        <w:t xml:space="preserve"> of </w:t>
      </w:r>
      <w:r w:rsidR="002868C7">
        <w:rPr>
          <w:rFonts w:ascii="Garamond" w:hAnsi="Garamond" w:cstheme="minorHAnsi"/>
          <w:sz w:val="24"/>
          <w:szCs w:val="24"/>
        </w:rPr>
        <w:t xml:space="preserve">different </w:t>
      </w:r>
      <w:r w:rsidRPr="00461D74">
        <w:rPr>
          <w:rFonts w:ascii="Garamond" w:hAnsi="Garamond" w:cstheme="minorHAnsi"/>
          <w:sz w:val="24"/>
          <w:szCs w:val="24"/>
        </w:rPr>
        <w:t xml:space="preserve">practices. Politics </w:t>
      </w:r>
      <w:r w:rsidR="002868C7">
        <w:rPr>
          <w:rFonts w:ascii="Garamond" w:hAnsi="Garamond" w:cstheme="minorHAnsi"/>
          <w:sz w:val="24"/>
          <w:szCs w:val="24"/>
        </w:rPr>
        <w:t xml:space="preserve">thus defined </w:t>
      </w:r>
      <w:r w:rsidRPr="00461D74">
        <w:rPr>
          <w:rFonts w:ascii="Garamond" w:hAnsi="Garamond" w:cstheme="minorHAnsi"/>
          <w:sz w:val="24"/>
          <w:szCs w:val="24"/>
        </w:rPr>
        <w:t xml:space="preserve">is </w:t>
      </w:r>
      <w:r w:rsidR="0015553A" w:rsidRPr="00461D74">
        <w:rPr>
          <w:rFonts w:ascii="Garamond" w:hAnsi="Garamond" w:cstheme="minorHAnsi"/>
          <w:sz w:val="24"/>
          <w:szCs w:val="24"/>
        </w:rPr>
        <w:t xml:space="preserve">then </w:t>
      </w:r>
      <w:r w:rsidRPr="00461D74">
        <w:rPr>
          <w:rFonts w:ascii="Garamond" w:hAnsi="Garamond" w:cstheme="minorHAnsi"/>
          <w:sz w:val="24"/>
          <w:szCs w:val="24"/>
        </w:rPr>
        <w:t xml:space="preserve">a </w:t>
      </w:r>
      <w:r w:rsidR="0015553A" w:rsidRPr="00461D74">
        <w:rPr>
          <w:rFonts w:ascii="Garamond" w:hAnsi="Garamond" w:cstheme="minorHAnsi"/>
          <w:sz w:val="24"/>
          <w:szCs w:val="24"/>
        </w:rPr>
        <w:t xml:space="preserve">kind </w:t>
      </w:r>
      <w:r w:rsidRPr="00461D74">
        <w:rPr>
          <w:rFonts w:ascii="Garamond" w:hAnsi="Garamond" w:cstheme="minorHAnsi"/>
          <w:sz w:val="24"/>
          <w:szCs w:val="24"/>
        </w:rPr>
        <w:t>of sovereign practice</w:t>
      </w:r>
      <w:r w:rsidR="0015553A" w:rsidRPr="00461D74">
        <w:rPr>
          <w:rFonts w:ascii="Garamond" w:hAnsi="Garamond" w:cstheme="minorHAnsi"/>
          <w:sz w:val="24"/>
          <w:szCs w:val="24"/>
        </w:rPr>
        <w:t xml:space="preserve"> – one</w:t>
      </w:r>
      <w:r w:rsidRPr="00461D74">
        <w:rPr>
          <w:rFonts w:ascii="Garamond" w:hAnsi="Garamond" w:cstheme="minorHAnsi"/>
          <w:sz w:val="24"/>
          <w:szCs w:val="24"/>
        </w:rPr>
        <w:t xml:space="preserve"> that orders the various goods</w:t>
      </w:r>
      <w:r w:rsidR="00CC4C3B" w:rsidRPr="00461D74">
        <w:rPr>
          <w:rStyle w:val="FootnoteReference"/>
          <w:rFonts w:ascii="Garamond" w:hAnsi="Garamond" w:cstheme="minorHAnsi"/>
          <w:sz w:val="24"/>
          <w:szCs w:val="24"/>
        </w:rPr>
        <w:footnoteReference w:id="312"/>
      </w:r>
      <w:r w:rsidRPr="00461D74">
        <w:rPr>
          <w:rFonts w:ascii="Garamond" w:hAnsi="Garamond" w:cstheme="minorHAnsi"/>
          <w:sz w:val="24"/>
          <w:szCs w:val="24"/>
        </w:rPr>
        <w:t xml:space="preserve"> of the </w:t>
      </w:r>
      <w:r w:rsidR="0015553A" w:rsidRPr="00461D74">
        <w:rPr>
          <w:rFonts w:ascii="Garamond" w:hAnsi="Garamond" w:cstheme="minorHAnsi"/>
          <w:sz w:val="24"/>
          <w:szCs w:val="24"/>
        </w:rPr>
        <w:t xml:space="preserve">different </w:t>
      </w:r>
      <w:r w:rsidR="007A6C06">
        <w:rPr>
          <w:rFonts w:ascii="Garamond" w:hAnsi="Garamond" w:cstheme="minorHAnsi"/>
          <w:sz w:val="24"/>
          <w:szCs w:val="24"/>
        </w:rPr>
        <w:t xml:space="preserve">social </w:t>
      </w:r>
      <w:r w:rsidRPr="00461D74">
        <w:rPr>
          <w:rFonts w:ascii="Garamond" w:hAnsi="Garamond" w:cstheme="minorHAnsi"/>
          <w:sz w:val="24"/>
          <w:szCs w:val="24"/>
        </w:rPr>
        <w:t xml:space="preserve">practices in which a community engages. By contrast contemporary liberal politics is not </w:t>
      </w:r>
      <w:r w:rsidR="00CC4C3B" w:rsidRPr="00461D74">
        <w:rPr>
          <w:rFonts w:ascii="Garamond" w:hAnsi="Garamond" w:cstheme="minorHAnsi"/>
          <w:sz w:val="24"/>
          <w:szCs w:val="24"/>
        </w:rPr>
        <w:t>primarily</w:t>
      </w:r>
      <w:r w:rsidRPr="00461D74">
        <w:rPr>
          <w:rFonts w:ascii="Garamond" w:hAnsi="Garamond" w:cstheme="minorHAnsi"/>
          <w:sz w:val="24"/>
          <w:szCs w:val="24"/>
        </w:rPr>
        <w:t xml:space="preserve"> aimed at ordering various social goods</w:t>
      </w:r>
      <w:r w:rsidR="006D7147" w:rsidRPr="00461D74">
        <w:rPr>
          <w:rFonts w:ascii="Garamond" w:hAnsi="Garamond" w:cstheme="minorHAnsi"/>
          <w:sz w:val="24"/>
          <w:szCs w:val="24"/>
        </w:rPr>
        <w:t>;</w:t>
      </w:r>
      <w:r w:rsidRPr="00461D74">
        <w:rPr>
          <w:rFonts w:ascii="Garamond" w:hAnsi="Garamond" w:cstheme="minorHAnsi"/>
          <w:sz w:val="24"/>
          <w:szCs w:val="24"/>
        </w:rPr>
        <w:t xml:space="preserve"> </w:t>
      </w:r>
      <w:r w:rsidR="00CC4C3B" w:rsidRPr="00461D74">
        <w:rPr>
          <w:rFonts w:ascii="Garamond" w:hAnsi="Garamond" w:cstheme="minorHAnsi"/>
          <w:sz w:val="24"/>
          <w:szCs w:val="24"/>
        </w:rPr>
        <w:t xml:space="preserve">rather </w:t>
      </w:r>
      <w:r w:rsidRPr="00461D74">
        <w:rPr>
          <w:rFonts w:ascii="Garamond" w:hAnsi="Garamond" w:cstheme="minorHAnsi"/>
          <w:sz w:val="24"/>
          <w:szCs w:val="24"/>
        </w:rPr>
        <w:t xml:space="preserve">it </w:t>
      </w:r>
      <w:r w:rsidR="00CC4C3B" w:rsidRPr="00461D74">
        <w:rPr>
          <w:rFonts w:ascii="Garamond" w:hAnsi="Garamond" w:cstheme="minorHAnsi"/>
          <w:sz w:val="24"/>
          <w:szCs w:val="24"/>
        </w:rPr>
        <w:t>is for the most part concerned with realising</w:t>
      </w:r>
      <w:r w:rsidRPr="00461D74">
        <w:rPr>
          <w:rFonts w:ascii="Garamond" w:hAnsi="Garamond" w:cstheme="minorHAnsi"/>
          <w:sz w:val="24"/>
          <w:szCs w:val="24"/>
        </w:rPr>
        <w:t xml:space="preserve"> a minimal</w:t>
      </w:r>
      <w:r w:rsidR="004741D0" w:rsidRPr="00461D74">
        <w:rPr>
          <w:rFonts w:ascii="Garamond" w:hAnsi="Garamond" w:cstheme="minorHAnsi"/>
          <w:sz w:val="24"/>
          <w:szCs w:val="24"/>
        </w:rPr>
        <w:t xml:space="preserve"> set of</w:t>
      </w:r>
      <w:r w:rsidRPr="00461D74">
        <w:rPr>
          <w:rFonts w:ascii="Garamond" w:hAnsi="Garamond" w:cstheme="minorHAnsi"/>
          <w:sz w:val="24"/>
          <w:szCs w:val="24"/>
        </w:rPr>
        <w:t xml:space="preserve"> condition</w:t>
      </w:r>
      <w:r w:rsidR="00CC4C3B" w:rsidRPr="00461D74">
        <w:rPr>
          <w:rFonts w:ascii="Garamond" w:hAnsi="Garamond" w:cstheme="minorHAnsi"/>
          <w:sz w:val="24"/>
          <w:szCs w:val="24"/>
        </w:rPr>
        <w:t>s</w:t>
      </w:r>
      <w:r w:rsidRPr="00461D74">
        <w:rPr>
          <w:rFonts w:ascii="Garamond" w:hAnsi="Garamond" w:cstheme="minorHAnsi"/>
          <w:sz w:val="24"/>
          <w:szCs w:val="24"/>
        </w:rPr>
        <w:t xml:space="preserve"> </w:t>
      </w:r>
      <w:r w:rsidR="004741D0" w:rsidRPr="00461D74">
        <w:rPr>
          <w:rFonts w:ascii="Garamond" w:hAnsi="Garamond" w:cstheme="minorHAnsi"/>
          <w:sz w:val="24"/>
          <w:szCs w:val="24"/>
        </w:rPr>
        <w:t xml:space="preserve">which empowers each </w:t>
      </w:r>
      <w:r w:rsidRPr="00461D74">
        <w:rPr>
          <w:rFonts w:ascii="Garamond" w:hAnsi="Garamond" w:cstheme="minorHAnsi"/>
          <w:sz w:val="24"/>
          <w:szCs w:val="24"/>
        </w:rPr>
        <w:t>individual</w:t>
      </w:r>
      <w:r w:rsidR="00CC4C3B" w:rsidRPr="00461D74">
        <w:rPr>
          <w:rFonts w:ascii="Garamond" w:hAnsi="Garamond" w:cstheme="minorHAnsi"/>
          <w:sz w:val="24"/>
          <w:szCs w:val="24"/>
        </w:rPr>
        <w:t xml:space="preserve"> </w:t>
      </w:r>
      <w:r w:rsidR="004741D0" w:rsidRPr="00461D74">
        <w:rPr>
          <w:rFonts w:ascii="Garamond" w:hAnsi="Garamond" w:cstheme="minorHAnsi"/>
          <w:sz w:val="24"/>
          <w:szCs w:val="24"/>
        </w:rPr>
        <w:t>person</w:t>
      </w:r>
      <w:r w:rsidR="00CC4C3B" w:rsidRPr="00461D74">
        <w:rPr>
          <w:rFonts w:ascii="Garamond" w:hAnsi="Garamond" w:cstheme="minorHAnsi"/>
          <w:sz w:val="24"/>
          <w:szCs w:val="24"/>
        </w:rPr>
        <w:t xml:space="preserve"> </w:t>
      </w:r>
      <w:r w:rsidR="004741D0" w:rsidRPr="00461D74">
        <w:rPr>
          <w:rFonts w:ascii="Garamond" w:hAnsi="Garamond" w:cstheme="minorHAnsi"/>
          <w:sz w:val="24"/>
          <w:szCs w:val="24"/>
        </w:rPr>
        <w:t xml:space="preserve">to </w:t>
      </w:r>
      <w:r w:rsidRPr="00461D74">
        <w:rPr>
          <w:rFonts w:ascii="Garamond" w:hAnsi="Garamond" w:cstheme="minorHAnsi"/>
          <w:sz w:val="24"/>
          <w:szCs w:val="24"/>
        </w:rPr>
        <w:t xml:space="preserve">pursue their </w:t>
      </w:r>
      <w:r w:rsidR="004741D0" w:rsidRPr="00461D74">
        <w:rPr>
          <w:rFonts w:ascii="Garamond" w:hAnsi="Garamond" w:cstheme="minorHAnsi"/>
          <w:sz w:val="24"/>
          <w:szCs w:val="24"/>
        </w:rPr>
        <w:t xml:space="preserve">own particular </w:t>
      </w:r>
      <w:r w:rsidRPr="00461D74">
        <w:rPr>
          <w:rFonts w:ascii="Garamond" w:hAnsi="Garamond" w:cstheme="minorHAnsi"/>
          <w:sz w:val="24"/>
          <w:szCs w:val="24"/>
        </w:rPr>
        <w:t>interests</w:t>
      </w:r>
      <w:r w:rsidR="004741D0" w:rsidRPr="00461D74">
        <w:rPr>
          <w:rFonts w:ascii="Garamond" w:hAnsi="Garamond" w:cstheme="minorHAnsi"/>
          <w:sz w:val="24"/>
          <w:szCs w:val="24"/>
        </w:rPr>
        <w:t>, whatever they may be</w:t>
      </w:r>
      <w:r w:rsidRPr="00461D74">
        <w:rPr>
          <w:rFonts w:ascii="Garamond" w:hAnsi="Garamond" w:cstheme="minorHAnsi"/>
          <w:sz w:val="24"/>
          <w:szCs w:val="24"/>
        </w:rPr>
        <w:t xml:space="preserve">. </w:t>
      </w:r>
      <w:r w:rsidR="00CC4C3B" w:rsidRPr="00461D74">
        <w:rPr>
          <w:rFonts w:ascii="Garamond" w:hAnsi="Garamond" w:cstheme="minorHAnsi"/>
          <w:sz w:val="24"/>
          <w:szCs w:val="24"/>
        </w:rPr>
        <w:t>On this view, t</w:t>
      </w:r>
      <w:r w:rsidRPr="00461D74">
        <w:rPr>
          <w:rFonts w:ascii="Garamond" w:hAnsi="Garamond" w:cstheme="minorHAnsi"/>
          <w:sz w:val="24"/>
          <w:szCs w:val="24"/>
        </w:rPr>
        <w:t xml:space="preserve">he ordering of various social goods is </w:t>
      </w:r>
      <w:r w:rsidR="00CC4C3B" w:rsidRPr="00461D74">
        <w:rPr>
          <w:rFonts w:ascii="Garamond" w:hAnsi="Garamond" w:cstheme="minorHAnsi"/>
          <w:sz w:val="24"/>
          <w:szCs w:val="24"/>
        </w:rPr>
        <w:t xml:space="preserve">ultimately reducible to an </w:t>
      </w:r>
      <w:r w:rsidRPr="00461D74">
        <w:rPr>
          <w:rFonts w:ascii="Garamond" w:hAnsi="Garamond" w:cstheme="minorHAnsi"/>
          <w:sz w:val="24"/>
          <w:szCs w:val="24"/>
        </w:rPr>
        <w:lastRenderedPageBreak/>
        <w:t>individual</w:t>
      </w:r>
      <w:r w:rsidR="002868C7">
        <w:rPr>
          <w:rFonts w:ascii="Garamond" w:hAnsi="Garamond" w:cstheme="minorHAnsi"/>
          <w:sz w:val="24"/>
          <w:szCs w:val="24"/>
        </w:rPr>
        <w:t>,</w:t>
      </w:r>
      <w:r w:rsidRPr="00461D74">
        <w:rPr>
          <w:rFonts w:ascii="Garamond" w:hAnsi="Garamond" w:cstheme="minorHAnsi"/>
          <w:sz w:val="24"/>
          <w:szCs w:val="24"/>
        </w:rPr>
        <w:t xml:space="preserve"> </w:t>
      </w:r>
      <w:r w:rsidR="002868C7">
        <w:rPr>
          <w:rFonts w:ascii="Garamond" w:hAnsi="Garamond" w:cstheme="minorHAnsi"/>
          <w:sz w:val="24"/>
          <w:szCs w:val="24"/>
        </w:rPr>
        <w:t xml:space="preserve">first-person </w:t>
      </w:r>
      <w:proofErr w:type="spellStart"/>
      <w:r w:rsidR="002868C7" w:rsidRPr="002868C7">
        <w:rPr>
          <w:rFonts w:ascii="Garamond" w:hAnsi="Garamond" w:cstheme="minorHAnsi"/>
          <w:sz w:val="24"/>
          <w:szCs w:val="24"/>
        </w:rPr>
        <w:t>perspectival</w:t>
      </w:r>
      <w:proofErr w:type="spellEnd"/>
      <w:r w:rsidR="002868C7">
        <w:rPr>
          <w:rFonts w:ascii="Garamond" w:hAnsi="Garamond" w:cstheme="minorHAnsi"/>
          <w:sz w:val="24"/>
          <w:szCs w:val="24"/>
        </w:rPr>
        <w:t xml:space="preserve"> </w:t>
      </w:r>
      <w:r w:rsidRPr="00461D74">
        <w:rPr>
          <w:rFonts w:ascii="Garamond" w:hAnsi="Garamond" w:cstheme="minorHAnsi"/>
          <w:sz w:val="24"/>
          <w:szCs w:val="24"/>
        </w:rPr>
        <w:t xml:space="preserve">exercise </w:t>
      </w:r>
      <w:r w:rsidR="00CC4C3B" w:rsidRPr="00461D74">
        <w:rPr>
          <w:rFonts w:ascii="Garamond" w:hAnsi="Garamond" w:cstheme="minorHAnsi"/>
          <w:sz w:val="24"/>
          <w:szCs w:val="24"/>
        </w:rPr>
        <w:t xml:space="preserve">of </w:t>
      </w:r>
      <w:r w:rsidRPr="00461D74">
        <w:rPr>
          <w:rFonts w:ascii="Garamond" w:hAnsi="Garamond" w:cstheme="minorHAnsi"/>
          <w:sz w:val="24"/>
          <w:szCs w:val="24"/>
        </w:rPr>
        <w:t xml:space="preserve">ordering one’s </w:t>
      </w:r>
      <w:r w:rsidR="00CC4C3B" w:rsidRPr="00461D74">
        <w:rPr>
          <w:rFonts w:ascii="Garamond" w:hAnsi="Garamond" w:cstheme="minorHAnsi"/>
          <w:sz w:val="24"/>
          <w:szCs w:val="24"/>
        </w:rPr>
        <w:t xml:space="preserve">own </w:t>
      </w:r>
      <w:r w:rsidRPr="00461D74">
        <w:rPr>
          <w:rFonts w:ascii="Garamond" w:hAnsi="Garamond" w:cstheme="minorHAnsi"/>
          <w:sz w:val="24"/>
          <w:szCs w:val="24"/>
        </w:rPr>
        <w:t>subjective preferences.</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However, for MacIntyre, this account of public interest in liberal politics generates an important problem for the liberal state.</w:t>
      </w:r>
      <w:r w:rsidR="0027198E" w:rsidRPr="00461D74">
        <w:rPr>
          <w:rStyle w:val="FootnoteReference"/>
          <w:rFonts w:ascii="Garamond" w:hAnsi="Garamond" w:cstheme="minorHAnsi"/>
          <w:sz w:val="24"/>
          <w:szCs w:val="24"/>
        </w:rPr>
        <w:footnoteReference w:id="313"/>
      </w:r>
      <w:r w:rsidRPr="00461D74">
        <w:rPr>
          <w:rFonts w:ascii="Garamond" w:hAnsi="Garamond" w:cstheme="minorHAnsi"/>
          <w:sz w:val="24"/>
          <w:szCs w:val="24"/>
        </w:rPr>
        <w:t xml:space="preserve"> Every state </w:t>
      </w:r>
      <w:r w:rsidR="00A3194D">
        <w:rPr>
          <w:rFonts w:ascii="Garamond" w:hAnsi="Garamond" w:cstheme="minorHAnsi"/>
          <w:sz w:val="24"/>
          <w:szCs w:val="24"/>
        </w:rPr>
        <w:t>must obtain</w:t>
      </w:r>
      <w:r w:rsidR="00A3194D" w:rsidRPr="00461D74">
        <w:rPr>
          <w:rFonts w:ascii="Garamond" w:hAnsi="Garamond" w:cstheme="minorHAnsi"/>
          <w:sz w:val="24"/>
          <w:szCs w:val="24"/>
        </w:rPr>
        <w:t xml:space="preserve"> </w:t>
      </w:r>
      <w:r w:rsidRPr="00461D74">
        <w:rPr>
          <w:rFonts w:ascii="Garamond" w:hAnsi="Garamond" w:cstheme="minorHAnsi"/>
          <w:sz w:val="24"/>
          <w:szCs w:val="24"/>
        </w:rPr>
        <w:t xml:space="preserve">the services of </w:t>
      </w:r>
      <w:r w:rsidR="00A3194D">
        <w:rPr>
          <w:rFonts w:ascii="Garamond" w:hAnsi="Garamond" w:cstheme="minorHAnsi"/>
          <w:sz w:val="24"/>
          <w:szCs w:val="24"/>
        </w:rPr>
        <w:t>a number of</w:t>
      </w:r>
      <w:r w:rsidR="00A3194D" w:rsidRPr="00461D74">
        <w:rPr>
          <w:rFonts w:ascii="Garamond" w:hAnsi="Garamond" w:cstheme="minorHAnsi"/>
          <w:sz w:val="24"/>
          <w:szCs w:val="24"/>
        </w:rPr>
        <w:t xml:space="preserve"> </w:t>
      </w:r>
      <w:r w:rsidRPr="00461D74">
        <w:rPr>
          <w:rFonts w:ascii="Garamond" w:hAnsi="Garamond" w:cstheme="minorHAnsi"/>
          <w:sz w:val="24"/>
          <w:szCs w:val="24"/>
        </w:rPr>
        <w:t xml:space="preserve">individuals who </w:t>
      </w:r>
      <w:r w:rsidR="00A3194D">
        <w:rPr>
          <w:rFonts w:ascii="Garamond" w:hAnsi="Garamond" w:cstheme="minorHAnsi"/>
          <w:sz w:val="24"/>
          <w:szCs w:val="24"/>
        </w:rPr>
        <w:t>are then tasked</w:t>
      </w:r>
      <w:r w:rsidR="00A3194D" w:rsidRPr="00461D74">
        <w:rPr>
          <w:rFonts w:ascii="Garamond" w:hAnsi="Garamond" w:cstheme="minorHAnsi"/>
          <w:sz w:val="24"/>
          <w:szCs w:val="24"/>
        </w:rPr>
        <w:t xml:space="preserve"> </w:t>
      </w:r>
      <w:r w:rsidR="00A3194D">
        <w:rPr>
          <w:rFonts w:ascii="Garamond" w:hAnsi="Garamond" w:cstheme="minorHAnsi"/>
          <w:sz w:val="24"/>
          <w:szCs w:val="24"/>
        </w:rPr>
        <w:t>with the</w:t>
      </w:r>
      <w:r w:rsidR="00A3194D" w:rsidRPr="00461D74">
        <w:rPr>
          <w:rFonts w:ascii="Garamond" w:hAnsi="Garamond" w:cstheme="minorHAnsi"/>
          <w:sz w:val="24"/>
          <w:szCs w:val="24"/>
        </w:rPr>
        <w:t xml:space="preserve"> </w:t>
      </w:r>
      <w:r w:rsidRPr="00461D74">
        <w:rPr>
          <w:rFonts w:ascii="Garamond" w:hAnsi="Garamond" w:cstheme="minorHAnsi"/>
          <w:sz w:val="24"/>
          <w:szCs w:val="24"/>
        </w:rPr>
        <w:t>perform</w:t>
      </w:r>
      <w:r w:rsidR="00A3194D">
        <w:rPr>
          <w:rFonts w:ascii="Garamond" w:hAnsi="Garamond" w:cstheme="minorHAnsi"/>
          <w:sz w:val="24"/>
          <w:szCs w:val="24"/>
        </w:rPr>
        <w:t>ance of</w:t>
      </w:r>
      <w:r w:rsidRPr="00461D74">
        <w:rPr>
          <w:rFonts w:ascii="Garamond" w:hAnsi="Garamond" w:cstheme="minorHAnsi"/>
          <w:sz w:val="24"/>
          <w:szCs w:val="24"/>
        </w:rPr>
        <w:t xml:space="preserve"> certain dangerous tasks on behalf of the state, without which the state could not function.</w:t>
      </w:r>
      <w:r w:rsidRPr="00461D74">
        <w:rPr>
          <w:rStyle w:val="FootnoteReference"/>
          <w:rFonts w:ascii="Garamond" w:hAnsi="Garamond" w:cstheme="minorHAnsi"/>
          <w:sz w:val="24"/>
          <w:szCs w:val="24"/>
        </w:rPr>
        <w:footnoteReference w:id="314"/>
      </w:r>
      <w:r w:rsidRPr="00461D74">
        <w:rPr>
          <w:rFonts w:ascii="Garamond" w:hAnsi="Garamond" w:cstheme="minorHAnsi"/>
          <w:sz w:val="24"/>
          <w:szCs w:val="24"/>
        </w:rPr>
        <w:t xml:space="preserve"> On MacIntyre’s view, politics in the liberal state generates the type of conditions where it is not clear why </w:t>
      </w:r>
      <w:r w:rsidR="00A3194D">
        <w:rPr>
          <w:rFonts w:ascii="Garamond" w:hAnsi="Garamond" w:cstheme="minorHAnsi"/>
          <w:sz w:val="24"/>
          <w:szCs w:val="24"/>
        </w:rPr>
        <w:t>an</w:t>
      </w:r>
      <w:r w:rsidR="00A3194D" w:rsidRPr="00461D74">
        <w:rPr>
          <w:rFonts w:ascii="Garamond" w:hAnsi="Garamond" w:cstheme="minorHAnsi"/>
          <w:sz w:val="24"/>
          <w:szCs w:val="24"/>
        </w:rPr>
        <w:t xml:space="preserve"> </w:t>
      </w:r>
      <w:r w:rsidRPr="00461D74">
        <w:rPr>
          <w:rFonts w:ascii="Garamond" w:hAnsi="Garamond" w:cstheme="minorHAnsi"/>
          <w:sz w:val="24"/>
          <w:szCs w:val="24"/>
        </w:rPr>
        <w:t xml:space="preserve">individual should subordinate his or her own good </w:t>
      </w:r>
      <w:r w:rsidR="00A3194D">
        <w:rPr>
          <w:rFonts w:ascii="Garamond" w:hAnsi="Garamond" w:cstheme="minorHAnsi"/>
          <w:sz w:val="24"/>
          <w:szCs w:val="24"/>
        </w:rPr>
        <w:t>for the sake</w:t>
      </w:r>
      <w:r w:rsidRPr="00461D74">
        <w:rPr>
          <w:rFonts w:ascii="Garamond" w:hAnsi="Garamond" w:cstheme="minorHAnsi"/>
          <w:sz w:val="24"/>
          <w:szCs w:val="24"/>
        </w:rPr>
        <w:t xml:space="preserve"> of public interest</w:t>
      </w:r>
      <w:r w:rsidR="00891275">
        <w:rPr>
          <w:rFonts w:ascii="Garamond" w:hAnsi="Garamond" w:cstheme="minorHAnsi"/>
          <w:sz w:val="24"/>
          <w:szCs w:val="24"/>
        </w:rPr>
        <w:t>, given that the individual’s good is defined prior to and separate from the concept of public interest</w:t>
      </w:r>
      <w:r w:rsidRPr="00461D74">
        <w:rPr>
          <w:rFonts w:ascii="Garamond" w:hAnsi="Garamond" w:cstheme="minorHAnsi"/>
          <w:sz w:val="24"/>
          <w:szCs w:val="24"/>
        </w:rPr>
        <w:t xml:space="preserve">. </w:t>
      </w:r>
      <w:r w:rsidR="00891275">
        <w:rPr>
          <w:rFonts w:ascii="Garamond" w:hAnsi="Garamond" w:cstheme="minorHAnsi"/>
          <w:sz w:val="24"/>
          <w:szCs w:val="24"/>
        </w:rPr>
        <w:t>Here, l</w:t>
      </w:r>
      <w:r w:rsidRPr="00461D74">
        <w:rPr>
          <w:rFonts w:ascii="Garamond" w:hAnsi="Garamond" w:cstheme="minorHAnsi"/>
          <w:sz w:val="24"/>
          <w:szCs w:val="24"/>
        </w:rPr>
        <w:t xml:space="preserve">iberalism’s appeal to impartial principles of morality understands them in a way in which rules of justice are justified without any appeal to one’s own particular conception of the good. Hence, it is difficult to see </w:t>
      </w:r>
      <w:r w:rsidR="00891275">
        <w:rPr>
          <w:rFonts w:ascii="Garamond" w:hAnsi="Garamond" w:cstheme="minorHAnsi"/>
          <w:sz w:val="24"/>
          <w:szCs w:val="24"/>
        </w:rPr>
        <w:t>how</w:t>
      </w:r>
      <w:r w:rsidRPr="00461D74">
        <w:rPr>
          <w:rFonts w:ascii="Garamond" w:hAnsi="Garamond" w:cstheme="minorHAnsi"/>
          <w:sz w:val="24"/>
          <w:szCs w:val="24"/>
        </w:rPr>
        <w:t xml:space="preserve"> we can make sense of justice as allegiance </w:t>
      </w:r>
      <w:r w:rsidR="004E1386">
        <w:rPr>
          <w:rFonts w:ascii="Garamond" w:hAnsi="Garamond" w:cstheme="minorHAnsi"/>
          <w:sz w:val="24"/>
          <w:szCs w:val="24"/>
        </w:rPr>
        <w:t>that</w:t>
      </w:r>
      <w:r w:rsidR="00891275">
        <w:rPr>
          <w:rFonts w:ascii="Garamond" w:hAnsi="Garamond" w:cstheme="minorHAnsi"/>
          <w:sz w:val="24"/>
          <w:szCs w:val="24"/>
        </w:rPr>
        <w:t xml:space="preserve"> an individual owes </w:t>
      </w:r>
      <w:r w:rsidRPr="00461D74">
        <w:rPr>
          <w:rFonts w:ascii="Garamond" w:hAnsi="Garamond" w:cstheme="minorHAnsi"/>
          <w:sz w:val="24"/>
          <w:szCs w:val="24"/>
        </w:rPr>
        <w:t>to a particular state</w:t>
      </w:r>
      <w:r w:rsidR="00C40F20">
        <w:rPr>
          <w:rFonts w:ascii="Garamond" w:hAnsi="Garamond" w:cstheme="minorHAnsi"/>
          <w:sz w:val="24"/>
          <w:szCs w:val="24"/>
        </w:rPr>
        <w:t>,</w:t>
      </w:r>
      <w:r w:rsidRPr="00461D74">
        <w:rPr>
          <w:rFonts w:ascii="Garamond" w:hAnsi="Garamond" w:cstheme="minorHAnsi"/>
          <w:sz w:val="24"/>
          <w:szCs w:val="24"/>
        </w:rPr>
        <w:t xml:space="preserve"> if </w:t>
      </w:r>
      <w:r w:rsidR="00891275">
        <w:rPr>
          <w:rFonts w:ascii="Garamond" w:hAnsi="Garamond" w:cstheme="minorHAnsi"/>
          <w:sz w:val="24"/>
          <w:szCs w:val="24"/>
        </w:rPr>
        <w:t xml:space="preserve">that </w:t>
      </w:r>
      <w:r w:rsidR="004E1386">
        <w:rPr>
          <w:rFonts w:ascii="Garamond" w:hAnsi="Garamond" w:cstheme="minorHAnsi"/>
          <w:sz w:val="24"/>
          <w:szCs w:val="24"/>
        </w:rPr>
        <w:t xml:space="preserve">same </w:t>
      </w:r>
      <w:r w:rsidR="00891275">
        <w:rPr>
          <w:rFonts w:ascii="Garamond" w:hAnsi="Garamond" w:cstheme="minorHAnsi"/>
          <w:sz w:val="24"/>
          <w:szCs w:val="24"/>
        </w:rPr>
        <w:t xml:space="preserve">individual </w:t>
      </w:r>
      <w:r w:rsidR="004E1386">
        <w:rPr>
          <w:rFonts w:ascii="Garamond" w:hAnsi="Garamond" w:cstheme="minorHAnsi"/>
          <w:sz w:val="24"/>
          <w:szCs w:val="24"/>
        </w:rPr>
        <w:t>fails to embrace any</w:t>
      </w:r>
      <w:r w:rsidR="004E1386" w:rsidRPr="00461D74">
        <w:rPr>
          <w:rFonts w:ascii="Garamond" w:hAnsi="Garamond" w:cstheme="minorHAnsi"/>
          <w:sz w:val="24"/>
          <w:szCs w:val="24"/>
        </w:rPr>
        <w:t xml:space="preserve"> </w:t>
      </w:r>
      <w:r w:rsidRPr="00461D74">
        <w:rPr>
          <w:rFonts w:ascii="Garamond" w:hAnsi="Garamond" w:cstheme="minorHAnsi"/>
          <w:sz w:val="24"/>
          <w:szCs w:val="24"/>
        </w:rPr>
        <w:t xml:space="preserve">particular </w:t>
      </w:r>
      <w:r w:rsidR="004E1386">
        <w:rPr>
          <w:rFonts w:ascii="Garamond" w:hAnsi="Garamond" w:cstheme="minorHAnsi"/>
          <w:sz w:val="24"/>
          <w:szCs w:val="24"/>
        </w:rPr>
        <w:t xml:space="preserve">(public) </w:t>
      </w:r>
      <w:r w:rsidRPr="00461D74">
        <w:rPr>
          <w:rFonts w:ascii="Garamond" w:hAnsi="Garamond" w:cstheme="minorHAnsi"/>
          <w:sz w:val="24"/>
          <w:szCs w:val="24"/>
        </w:rPr>
        <w:t xml:space="preserve">conception of the good. Since justice can only be realized within a particular setting and under particular institutions, the appeal to the neutral state and its accompanying thin conception of the good, fails to generate a substantive notion of </w:t>
      </w:r>
      <w:r w:rsidR="002B770C">
        <w:rPr>
          <w:rFonts w:ascii="Garamond" w:hAnsi="Garamond" w:cstheme="minorHAnsi"/>
          <w:sz w:val="24"/>
          <w:szCs w:val="24"/>
        </w:rPr>
        <w:t xml:space="preserve">a common or </w:t>
      </w:r>
      <w:r w:rsidRPr="00461D74">
        <w:rPr>
          <w:rFonts w:ascii="Garamond" w:hAnsi="Garamond" w:cstheme="minorHAnsi"/>
          <w:sz w:val="24"/>
          <w:szCs w:val="24"/>
        </w:rPr>
        <w:t>communal good.</w:t>
      </w:r>
      <w:r w:rsidRPr="00461D74">
        <w:rPr>
          <w:rStyle w:val="FootnoteReference"/>
          <w:rFonts w:ascii="Garamond" w:hAnsi="Garamond" w:cstheme="minorHAnsi"/>
          <w:sz w:val="24"/>
          <w:szCs w:val="24"/>
        </w:rPr>
        <w:footnoteReference w:id="315"/>
      </w:r>
      <w:r w:rsidRPr="00461D74">
        <w:rPr>
          <w:rFonts w:ascii="Garamond" w:hAnsi="Garamond" w:cstheme="minorHAnsi"/>
          <w:sz w:val="24"/>
          <w:szCs w:val="24"/>
        </w:rPr>
        <w:t xml:space="preserve"> </w:t>
      </w:r>
      <w:r w:rsidR="002F22F3" w:rsidRPr="00461D74">
        <w:rPr>
          <w:rFonts w:ascii="Garamond" w:hAnsi="Garamond" w:cstheme="minorHAnsi"/>
          <w:sz w:val="24"/>
          <w:szCs w:val="24"/>
        </w:rPr>
        <w:t xml:space="preserve">Therefore, </w:t>
      </w:r>
      <w:r w:rsidRPr="00461D74">
        <w:rPr>
          <w:rFonts w:ascii="Garamond" w:hAnsi="Garamond" w:cstheme="minorHAnsi"/>
          <w:sz w:val="24"/>
          <w:szCs w:val="24"/>
        </w:rPr>
        <w:t>it is not clear why one should sacrifice the pursuit of one’s own</w:t>
      </w:r>
      <w:r w:rsidR="002B770C">
        <w:rPr>
          <w:rFonts w:ascii="Garamond" w:hAnsi="Garamond" w:cstheme="minorHAnsi"/>
          <w:sz w:val="24"/>
          <w:szCs w:val="24"/>
        </w:rPr>
        <w:t xml:space="preserve"> desires and</w:t>
      </w:r>
      <w:r w:rsidRPr="00461D74">
        <w:rPr>
          <w:rFonts w:ascii="Garamond" w:hAnsi="Garamond" w:cstheme="minorHAnsi"/>
          <w:sz w:val="24"/>
          <w:szCs w:val="24"/>
        </w:rPr>
        <w:t xml:space="preserve"> interest</w:t>
      </w:r>
      <w:r w:rsidR="002B770C">
        <w:rPr>
          <w:rFonts w:ascii="Garamond" w:hAnsi="Garamond" w:cstheme="minorHAnsi"/>
          <w:sz w:val="24"/>
          <w:szCs w:val="24"/>
        </w:rPr>
        <w:t>s</w:t>
      </w:r>
      <w:r w:rsidRPr="00461D74">
        <w:rPr>
          <w:rFonts w:ascii="Garamond" w:hAnsi="Garamond" w:cstheme="minorHAnsi"/>
          <w:sz w:val="24"/>
          <w:szCs w:val="24"/>
        </w:rPr>
        <w:t xml:space="preserve">, </w:t>
      </w:r>
      <w:r w:rsidR="002F22F3" w:rsidRPr="00461D74">
        <w:rPr>
          <w:rFonts w:ascii="Garamond" w:hAnsi="Garamond" w:cstheme="minorHAnsi"/>
          <w:sz w:val="24"/>
          <w:szCs w:val="24"/>
        </w:rPr>
        <w:t>for the sake of</w:t>
      </w:r>
      <w:r w:rsidRPr="00461D74">
        <w:rPr>
          <w:rFonts w:ascii="Garamond" w:hAnsi="Garamond" w:cstheme="minorHAnsi"/>
          <w:sz w:val="24"/>
          <w:szCs w:val="24"/>
        </w:rPr>
        <w:t xml:space="preserve"> </w:t>
      </w:r>
      <w:r w:rsidR="002F22F3" w:rsidRPr="00461D74">
        <w:rPr>
          <w:rFonts w:ascii="Garamond" w:hAnsi="Garamond" w:cstheme="minorHAnsi"/>
          <w:sz w:val="24"/>
          <w:szCs w:val="24"/>
        </w:rPr>
        <w:t xml:space="preserve">the </w:t>
      </w:r>
      <w:r w:rsidRPr="00461D74">
        <w:rPr>
          <w:rFonts w:ascii="Garamond" w:hAnsi="Garamond" w:cstheme="minorHAnsi"/>
          <w:sz w:val="24"/>
          <w:szCs w:val="24"/>
        </w:rPr>
        <w:t>public</w:t>
      </w:r>
      <w:r w:rsidR="002B770C">
        <w:rPr>
          <w:rFonts w:ascii="Garamond" w:hAnsi="Garamond" w:cstheme="minorHAnsi"/>
          <w:sz w:val="24"/>
          <w:szCs w:val="24"/>
        </w:rPr>
        <w:t>’s</w:t>
      </w:r>
      <w:r w:rsidRPr="00461D74">
        <w:rPr>
          <w:rFonts w:ascii="Garamond" w:hAnsi="Garamond" w:cstheme="minorHAnsi"/>
          <w:sz w:val="24"/>
          <w:szCs w:val="24"/>
        </w:rPr>
        <w:t xml:space="preserve"> interest.</w:t>
      </w:r>
    </w:p>
    <w:p w:rsidR="009D5F3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On MacIntyre’s view, the question of allegiance to the state, to this or that political authority</w:t>
      </w:r>
      <w:r w:rsidR="006D7147" w:rsidRPr="00461D74">
        <w:rPr>
          <w:rFonts w:ascii="Garamond" w:hAnsi="Garamond" w:cstheme="minorHAnsi"/>
          <w:sz w:val="24"/>
          <w:szCs w:val="24"/>
        </w:rPr>
        <w:t>,</w:t>
      </w:r>
      <w:r w:rsidRPr="00461D74">
        <w:rPr>
          <w:rFonts w:ascii="Garamond" w:hAnsi="Garamond" w:cstheme="minorHAnsi"/>
          <w:sz w:val="24"/>
          <w:szCs w:val="24"/>
        </w:rPr>
        <w:t xml:space="preserve"> </w:t>
      </w:r>
      <w:r w:rsidR="00D464BD">
        <w:rPr>
          <w:rFonts w:ascii="Garamond" w:hAnsi="Garamond" w:cstheme="minorHAnsi"/>
          <w:sz w:val="24"/>
          <w:szCs w:val="24"/>
        </w:rPr>
        <w:t>is</w:t>
      </w:r>
      <w:r w:rsidR="00D464BD" w:rsidRPr="00461D74">
        <w:rPr>
          <w:rFonts w:ascii="Garamond" w:hAnsi="Garamond" w:cstheme="minorHAnsi"/>
          <w:sz w:val="24"/>
          <w:szCs w:val="24"/>
        </w:rPr>
        <w:t xml:space="preserve"> </w:t>
      </w:r>
      <w:r w:rsidR="00D464BD">
        <w:rPr>
          <w:rFonts w:ascii="Garamond" w:hAnsi="Garamond" w:cstheme="minorHAnsi"/>
          <w:sz w:val="24"/>
          <w:szCs w:val="24"/>
        </w:rPr>
        <w:t>unresolved under the liberal order</w:t>
      </w:r>
      <w:r w:rsidR="00471871">
        <w:rPr>
          <w:rFonts w:ascii="Garamond" w:hAnsi="Garamond" w:cstheme="minorHAnsi"/>
          <w:sz w:val="24"/>
          <w:szCs w:val="24"/>
        </w:rPr>
        <w:t xml:space="preserve">, owing to the fact that </w:t>
      </w:r>
      <w:r w:rsidRPr="00461D74">
        <w:rPr>
          <w:rFonts w:ascii="Garamond" w:hAnsi="Garamond" w:cstheme="minorHAnsi"/>
          <w:sz w:val="24"/>
          <w:szCs w:val="24"/>
        </w:rPr>
        <w:t xml:space="preserve">the </w:t>
      </w:r>
      <w:r w:rsidRPr="00461D74">
        <w:rPr>
          <w:rFonts w:ascii="Garamond" w:hAnsi="Garamond" w:cstheme="minorHAnsi"/>
          <w:sz w:val="24"/>
          <w:szCs w:val="24"/>
        </w:rPr>
        <w:lastRenderedPageBreak/>
        <w:t xml:space="preserve">individual’s good </w:t>
      </w:r>
      <w:r w:rsidR="002E7629">
        <w:rPr>
          <w:rFonts w:ascii="Garamond" w:hAnsi="Garamond" w:cstheme="minorHAnsi"/>
          <w:sz w:val="24"/>
          <w:szCs w:val="24"/>
        </w:rPr>
        <w:t xml:space="preserve">sits prior to, and </w:t>
      </w:r>
      <w:r w:rsidRPr="00461D74">
        <w:rPr>
          <w:rFonts w:ascii="Garamond" w:hAnsi="Garamond" w:cstheme="minorHAnsi"/>
          <w:sz w:val="24"/>
          <w:szCs w:val="24"/>
        </w:rPr>
        <w:t xml:space="preserve">is defined </w:t>
      </w:r>
      <w:r w:rsidR="002E7629">
        <w:rPr>
          <w:rFonts w:ascii="Garamond" w:hAnsi="Garamond" w:cstheme="minorHAnsi"/>
          <w:sz w:val="24"/>
          <w:szCs w:val="24"/>
        </w:rPr>
        <w:t xml:space="preserve">in </w:t>
      </w:r>
      <w:r w:rsidRPr="00461D74">
        <w:rPr>
          <w:rFonts w:ascii="Garamond" w:hAnsi="Garamond" w:cstheme="minorHAnsi"/>
          <w:sz w:val="24"/>
          <w:szCs w:val="24"/>
        </w:rPr>
        <w:t>independen</w:t>
      </w:r>
      <w:r w:rsidR="00471871">
        <w:rPr>
          <w:rFonts w:ascii="Garamond" w:hAnsi="Garamond" w:cstheme="minorHAnsi"/>
          <w:sz w:val="24"/>
          <w:szCs w:val="24"/>
        </w:rPr>
        <w:t>ce</w:t>
      </w:r>
      <w:r w:rsidRPr="00461D74">
        <w:rPr>
          <w:rFonts w:ascii="Garamond" w:hAnsi="Garamond" w:cstheme="minorHAnsi"/>
          <w:sz w:val="24"/>
          <w:szCs w:val="24"/>
        </w:rPr>
        <w:t xml:space="preserve"> of </w:t>
      </w:r>
      <w:r w:rsidR="00471871">
        <w:rPr>
          <w:rFonts w:ascii="Garamond" w:hAnsi="Garamond" w:cstheme="minorHAnsi"/>
          <w:sz w:val="24"/>
          <w:szCs w:val="24"/>
        </w:rPr>
        <w:t xml:space="preserve">the </w:t>
      </w:r>
      <w:r w:rsidRPr="00461D74">
        <w:rPr>
          <w:rFonts w:ascii="Garamond" w:hAnsi="Garamond" w:cstheme="minorHAnsi"/>
          <w:sz w:val="24"/>
          <w:szCs w:val="24"/>
        </w:rPr>
        <w:t>public</w:t>
      </w:r>
      <w:r w:rsidR="00471871">
        <w:rPr>
          <w:rFonts w:ascii="Garamond" w:hAnsi="Garamond" w:cstheme="minorHAnsi"/>
          <w:sz w:val="24"/>
          <w:szCs w:val="24"/>
        </w:rPr>
        <w:t>’s</w:t>
      </w:r>
      <w:r w:rsidRPr="00461D74">
        <w:rPr>
          <w:rFonts w:ascii="Garamond" w:hAnsi="Garamond" w:cstheme="minorHAnsi"/>
          <w:sz w:val="24"/>
          <w:szCs w:val="24"/>
        </w:rPr>
        <w:t xml:space="preserve"> </w:t>
      </w:r>
      <w:r w:rsidR="002E7629">
        <w:rPr>
          <w:rFonts w:ascii="Garamond" w:hAnsi="Garamond" w:cstheme="minorHAnsi"/>
          <w:sz w:val="24"/>
          <w:szCs w:val="24"/>
        </w:rPr>
        <w:t xml:space="preserve">wider </w:t>
      </w:r>
      <w:r w:rsidRPr="00461D74">
        <w:rPr>
          <w:rFonts w:ascii="Garamond" w:hAnsi="Garamond" w:cstheme="minorHAnsi"/>
          <w:sz w:val="24"/>
          <w:szCs w:val="24"/>
        </w:rPr>
        <w:t>interest</w:t>
      </w:r>
      <w:r w:rsidR="002E7629">
        <w:rPr>
          <w:rFonts w:ascii="Garamond" w:hAnsi="Garamond" w:cstheme="minorHAnsi"/>
          <w:sz w:val="24"/>
          <w:szCs w:val="24"/>
        </w:rPr>
        <w:t>s</w:t>
      </w:r>
      <w:r w:rsidRPr="00461D74">
        <w:rPr>
          <w:rFonts w:ascii="Garamond" w:hAnsi="Garamond" w:cstheme="minorHAnsi"/>
          <w:sz w:val="24"/>
          <w:szCs w:val="24"/>
        </w:rPr>
        <w:t xml:space="preserve">; hence, the </w:t>
      </w:r>
      <w:r w:rsidR="00B916EB">
        <w:rPr>
          <w:rFonts w:ascii="Garamond" w:hAnsi="Garamond" w:cstheme="minorHAnsi"/>
          <w:sz w:val="24"/>
          <w:szCs w:val="24"/>
        </w:rPr>
        <w:t xml:space="preserve">relationship between the </w:t>
      </w:r>
      <w:r w:rsidRPr="00461D74">
        <w:rPr>
          <w:rFonts w:ascii="Garamond" w:hAnsi="Garamond" w:cstheme="minorHAnsi"/>
          <w:sz w:val="24"/>
          <w:szCs w:val="24"/>
        </w:rPr>
        <w:t xml:space="preserve">set of actions that </w:t>
      </w:r>
      <w:r w:rsidR="002E7629">
        <w:rPr>
          <w:rFonts w:ascii="Garamond" w:hAnsi="Garamond" w:cstheme="minorHAnsi"/>
          <w:sz w:val="24"/>
          <w:szCs w:val="24"/>
        </w:rPr>
        <w:t>potentially advance</w:t>
      </w:r>
      <w:r w:rsidRPr="00461D74">
        <w:rPr>
          <w:rFonts w:ascii="Garamond" w:hAnsi="Garamond" w:cstheme="minorHAnsi"/>
          <w:sz w:val="24"/>
          <w:szCs w:val="24"/>
        </w:rPr>
        <w:t xml:space="preserve"> public interest</w:t>
      </w:r>
      <w:r w:rsidR="00B916EB">
        <w:rPr>
          <w:rFonts w:ascii="Garamond" w:hAnsi="Garamond" w:cstheme="minorHAnsi"/>
          <w:sz w:val="24"/>
          <w:szCs w:val="24"/>
        </w:rPr>
        <w:t>,</w:t>
      </w:r>
      <w:r w:rsidRPr="00461D74">
        <w:rPr>
          <w:rFonts w:ascii="Garamond" w:hAnsi="Garamond" w:cstheme="minorHAnsi"/>
          <w:sz w:val="24"/>
          <w:szCs w:val="24"/>
        </w:rPr>
        <w:t xml:space="preserve"> </w:t>
      </w:r>
      <w:r w:rsidR="00B916EB">
        <w:rPr>
          <w:rFonts w:ascii="Garamond" w:hAnsi="Garamond" w:cstheme="minorHAnsi"/>
          <w:sz w:val="24"/>
          <w:szCs w:val="24"/>
        </w:rPr>
        <w:t>and</w:t>
      </w:r>
      <w:r w:rsidRPr="00461D74">
        <w:rPr>
          <w:rFonts w:ascii="Garamond" w:hAnsi="Garamond" w:cstheme="minorHAnsi"/>
          <w:sz w:val="24"/>
          <w:szCs w:val="24"/>
        </w:rPr>
        <w:t xml:space="preserve"> those actions that </w:t>
      </w:r>
      <w:r w:rsidR="00B916EB">
        <w:rPr>
          <w:rFonts w:ascii="Garamond" w:hAnsi="Garamond" w:cstheme="minorHAnsi"/>
          <w:sz w:val="24"/>
          <w:szCs w:val="24"/>
        </w:rPr>
        <w:t>best realise</w:t>
      </w:r>
      <w:r w:rsidR="00B916EB" w:rsidRPr="00461D74">
        <w:rPr>
          <w:rFonts w:ascii="Garamond" w:hAnsi="Garamond" w:cstheme="minorHAnsi"/>
          <w:sz w:val="24"/>
          <w:szCs w:val="24"/>
        </w:rPr>
        <w:t xml:space="preserve"> </w:t>
      </w:r>
      <w:r w:rsidR="00B916EB">
        <w:rPr>
          <w:rFonts w:ascii="Garamond" w:hAnsi="Garamond" w:cstheme="minorHAnsi"/>
          <w:sz w:val="24"/>
          <w:szCs w:val="24"/>
        </w:rPr>
        <w:t>an</w:t>
      </w:r>
      <w:r w:rsidR="00B916EB" w:rsidRPr="00461D74">
        <w:rPr>
          <w:rFonts w:ascii="Garamond" w:hAnsi="Garamond" w:cstheme="minorHAnsi"/>
          <w:sz w:val="24"/>
          <w:szCs w:val="24"/>
        </w:rPr>
        <w:t xml:space="preserve"> </w:t>
      </w:r>
      <w:r w:rsidRPr="00461D74">
        <w:rPr>
          <w:rFonts w:ascii="Garamond" w:hAnsi="Garamond" w:cstheme="minorHAnsi"/>
          <w:sz w:val="24"/>
          <w:szCs w:val="24"/>
        </w:rPr>
        <w:t xml:space="preserve">individual’s </w:t>
      </w:r>
      <w:r w:rsidR="00B916EB">
        <w:rPr>
          <w:rFonts w:ascii="Garamond" w:hAnsi="Garamond" w:cstheme="minorHAnsi"/>
          <w:sz w:val="24"/>
          <w:szCs w:val="24"/>
        </w:rPr>
        <w:t>subjective desires and preferences</w:t>
      </w:r>
      <w:r w:rsidRPr="00461D74">
        <w:rPr>
          <w:rFonts w:ascii="Garamond" w:hAnsi="Garamond" w:cstheme="minorHAnsi"/>
          <w:sz w:val="24"/>
          <w:szCs w:val="24"/>
        </w:rPr>
        <w:t>, can pull apart.</w:t>
      </w:r>
      <w:r w:rsidRPr="00461D74">
        <w:rPr>
          <w:rStyle w:val="FootnoteReference"/>
          <w:rFonts w:ascii="Garamond" w:hAnsi="Garamond" w:cstheme="minorHAnsi"/>
          <w:sz w:val="24"/>
          <w:szCs w:val="24"/>
        </w:rPr>
        <w:footnoteReference w:id="316"/>
      </w:r>
      <w:r w:rsidRPr="00461D74">
        <w:rPr>
          <w:rFonts w:ascii="Garamond" w:hAnsi="Garamond" w:cstheme="minorHAnsi"/>
          <w:sz w:val="24"/>
          <w:szCs w:val="24"/>
        </w:rPr>
        <w:t xml:space="preserve"> By contrast, the concept of the common good, on MacIntyre’s view, is not subordina</w:t>
      </w:r>
      <w:r w:rsidR="00C40F20">
        <w:rPr>
          <w:rFonts w:ascii="Garamond" w:hAnsi="Garamond" w:cstheme="minorHAnsi"/>
          <w:sz w:val="24"/>
          <w:szCs w:val="24"/>
        </w:rPr>
        <w:t>te</w:t>
      </w:r>
      <w:r w:rsidRPr="00461D74">
        <w:rPr>
          <w:rFonts w:ascii="Garamond" w:hAnsi="Garamond" w:cstheme="minorHAnsi"/>
          <w:sz w:val="24"/>
          <w:szCs w:val="24"/>
        </w:rPr>
        <w:t xml:space="preserve"> to the individual</w:t>
      </w:r>
      <w:r w:rsidR="009D5F37">
        <w:rPr>
          <w:rFonts w:ascii="Garamond" w:hAnsi="Garamond" w:cstheme="minorHAnsi"/>
          <w:sz w:val="24"/>
          <w:szCs w:val="24"/>
        </w:rPr>
        <w:t>’s notion of the</w:t>
      </w:r>
      <w:r w:rsidRPr="00461D74">
        <w:rPr>
          <w:rFonts w:ascii="Garamond" w:hAnsi="Garamond" w:cstheme="minorHAnsi"/>
          <w:sz w:val="24"/>
          <w:szCs w:val="24"/>
        </w:rPr>
        <w:t xml:space="preserve"> good. For MacIntyre, because the </w:t>
      </w:r>
      <w:r w:rsidR="006C7903" w:rsidRPr="00461D74">
        <w:rPr>
          <w:rFonts w:ascii="Garamond" w:hAnsi="Garamond" w:cstheme="minorHAnsi"/>
          <w:sz w:val="24"/>
          <w:szCs w:val="24"/>
        </w:rPr>
        <w:t xml:space="preserve">concept </w:t>
      </w:r>
      <w:r w:rsidRPr="00461D74">
        <w:rPr>
          <w:rFonts w:ascii="Garamond" w:hAnsi="Garamond" w:cstheme="minorHAnsi"/>
          <w:sz w:val="24"/>
          <w:szCs w:val="24"/>
        </w:rPr>
        <w:t>of common good is not defined separately from the individual</w:t>
      </w:r>
      <w:r w:rsidR="006C7903" w:rsidRPr="00461D74">
        <w:rPr>
          <w:rFonts w:ascii="Garamond" w:hAnsi="Garamond" w:cstheme="minorHAnsi"/>
          <w:sz w:val="24"/>
          <w:szCs w:val="24"/>
        </w:rPr>
        <w:t>’s</w:t>
      </w:r>
      <w:r w:rsidRPr="00461D74">
        <w:rPr>
          <w:rFonts w:ascii="Garamond" w:hAnsi="Garamond" w:cstheme="minorHAnsi"/>
          <w:sz w:val="24"/>
          <w:szCs w:val="24"/>
        </w:rPr>
        <w:t xml:space="preserve"> good, it </w:t>
      </w:r>
      <w:r w:rsidR="006C7903" w:rsidRPr="00461D74">
        <w:rPr>
          <w:rFonts w:ascii="Garamond" w:hAnsi="Garamond" w:cstheme="minorHAnsi"/>
          <w:sz w:val="24"/>
          <w:szCs w:val="24"/>
        </w:rPr>
        <w:t>is not susceptible to this sort of criticism.</w:t>
      </w:r>
      <w:r w:rsidRPr="00461D74">
        <w:rPr>
          <w:rFonts w:ascii="Garamond" w:hAnsi="Garamond" w:cstheme="minorHAnsi"/>
          <w:sz w:val="24"/>
          <w:szCs w:val="24"/>
        </w:rPr>
        <w:t xml:space="preserve"> </w:t>
      </w:r>
    </w:p>
    <w:p w:rsidR="00665157" w:rsidRDefault="009D5F37">
      <w:pPr>
        <w:spacing w:line="360" w:lineRule="auto"/>
        <w:ind w:firstLine="720"/>
        <w:jc w:val="both"/>
        <w:rPr>
          <w:rFonts w:ascii="Garamond" w:hAnsi="Garamond" w:cstheme="minorHAnsi"/>
          <w:sz w:val="24"/>
          <w:szCs w:val="24"/>
        </w:rPr>
      </w:pPr>
      <w:r>
        <w:rPr>
          <w:rFonts w:ascii="Garamond" w:hAnsi="Garamond" w:cstheme="minorHAnsi"/>
          <w:sz w:val="24"/>
          <w:szCs w:val="24"/>
        </w:rPr>
        <w:t>On the one hand, t</w:t>
      </w:r>
      <w:r w:rsidR="00016049" w:rsidRPr="00461D74">
        <w:rPr>
          <w:rFonts w:ascii="Garamond" w:hAnsi="Garamond" w:cstheme="minorHAnsi"/>
          <w:sz w:val="24"/>
          <w:szCs w:val="24"/>
        </w:rPr>
        <w:t xml:space="preserve">he concept of public interest, as either a set of conditions that realizes the right sort of political conditions for the pursuit of individual preferences, or as the sum of all such preferences, is conceptually distanced from understanding one’s own good viewed as the pursuit of subjective preferences. On the other hand, </w:t>
      </w:r>
      <w:r w:rsidR="001C7FA5" w:rsidRPr="00461D74">
        <w:rPr>
          <w:rFonts w:ascii="Garamond" w:hAnsi="Garamond" w:cstheme="minorHAnsi"/>
          <w:sz w:val="24"/>
          <w:szCs w:val="24"/>
        </w:rPr>
        <w:t>MacIntyre</w:t>
      </w:r>
      <w:r>
        <w:rPr>
          <w:rFonts w:ascii="Garamond" w:hAnsi="Garamond" w:cstheme="minorHAnsi"/>
          <w:sz w:val="24"/>
          <w:szCs w:val="24"/>
        </w:rPr>
        <w:t xml:space="preserve"> understands common good in a way that it continues to remain closely connected to the</w:t>
      </w:r>
      <w:r w:rsidR="008F714F" w:rsidRPr="00461D74">
        <w:rPr>
          <w:rFonts w:ascii="Garamond" w:hAnsi="Garamond" w:cstheme="minorHAnsi"/>
          <w:sz w:val="24"/>
          <w:szCs w:val="24"/>
        </w:rPr>
        <w:t xml:space="preserve"> </w:t>
      </w:r>
      <w:r w:rsidR="00FA3AA4" w:rsidRPr="00461D74">
        <w:rPr>
          <w:rFonts w:ascii="Garamond" w:hAnsi="Garamond" w:cstheme="minorHAnsi"/>
          <w:sz w:val="24"/>
          <w:szCs w:val="24"/>
        </w:rPr>
        <w:t>individual</w:t>
      </w:r>
      <w:r>
        <w:rPr>
          <w:rFonts w:ascii="Garamond" w:hAnsi="Garamond" w:cstheme="minorHAnsi"/>
          <w:sz w:val="24"/>
          <w:szCs w:val="24"/>
        </w:rPr>
        <w:t>’s</w:t>
      </w:r>
      <w:r w:rsidR="00FA3AA4" w:rsidRPr="00461D74">
        <w:rPr>
          <w:rFonts w:ascii="Garamond" w:hAnsi="Garamond" w:cstheme="minorHAnsi"/>
          <w:sz w:val="24"/>
          <w:szCs w:val="24"/>
        </w:rPr>
        <w:t xml:space="preserve"> good</w:t>
      </w:r>
      <w:r w:rsidR="00B355FB">
        <w:rPr>
          <w:rFonts w:ascii="Garamond" w:hAnsi="Garamond" w:cstheme="minorHAnsi"/>
          <w:sz w:val="24"/>
          <w:szCs w:val="24"/>
        </w:rPr>
        <w:t>.</w:t>
      </w:r>
      <w:r w:rsidR="00FA3AA4" w:rsidRPr="00461D74">
        <w:rPr>
          <w:rFonts w:ascii="Garamond" w:hAnsi="Garamond" w:cstheme="minorHAnsi"/>
          <w:sz w:val="24"/>
          <w:szCs w:val="24"/>
        </w:rPr>
        <w:t xml:space="preserve"> </w:t>
      </w:r>
      <w:r w:rsidR="00B355FB">
        <w:rPr>
          <w:rFonts w:ascii="Garamond" w:hAnsi="Garamond" w:cstheme="minorHAnsi"/>
          <w:sz w:val="24"/>
          <w:szCs w:val="24"/>
        </w:rPr>
        <w:t>For MacIntyre</w:t>
      </w:r>
      <w:r w:rsidR="00FA3AA4" w:rsidRPr="00461D74">
        <w:rPr>
          <w:rFonts w:ascii="Garamond" w:hAnsi="Garamond" w:cstheme="minorHAnsi"/>
          <w:sz w:val="24"/>
          <w:szCs w:val="24"/>
        </w:rPr>
        <w:t>, m</w:t>
      </w:r>
      <w:r w:rsidR="008F714F" w:rsidRPr="00461D74">
        <w:rPr>
          <w:rFonts w:ascii="Garamond" w:hAnsi="Garamond" w:cstheme="minorHAnsi"/>
          <w:sz w:val="24"/>
          <w:szCs w:val="24"/>
        </w:rPr>
        <w:t xml:space="preserve">any important </w:t>
      </w:r>
      <w:r w:rsidR="00016049" w:rsidRPr="00461D74">
        <w:rPr>
          <w:rFonts w:ascii="Garamond" w:hAnsi="Garamond" w:cstheme="minorHAnsi"/>
          <w:sz w:val="24"/>
          <w:szCs w:val="24"/>
        </w:rPr>
        <w:t>individual good</w:t>
      </w:r>
      <w:r w:rsidR="008F714F"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8F714F" w:rsidRPr="00461D74">
        <w:rPr>
          <w:rFonts w:ascii="Garamond" w:hAnsi="Garamond" w:cstheme="minorHAnsi"/>
          <w:sz w:val="24"/>
          <w:szCs w:val="24"/>
        </w:rPr>
        <w:t xml:space="preserve">are essentially </w:t>
      </w:r>
      <w:r w:rsidR="001C7FA5" w:rsidRPr="00461D74">
        <w:rPr>
          <w:rFonts w:ascii="Garamond" w:hAnsi="Garamond" w:cstheme="minorHAnsi"/>
          <w:sz w:val="24"/>
          <w:szCs w:val="24"/>
        </w:rPr>
        <w:t xml:space="preserve">derived from the individual’s </w:t>
      </w:r>
      <w:r w:rsidR="008F714F" w:rsidRPr="00461D74">
        <w:rPr>
          <w:rFonts w:ascii="Garamond" w:hAnsi="Garamond" w:cstheme="minorHAnsi"/>
          <w:sz w:val="24"/>
          <w:szCs w:val="24"/>
        </w:rPr>
        <w:t xml:space="preserve">participation in </w:t>
      </w:r>
      <w:r w:rsidR="001C7FA5" w:rsidRPr="00461D74">
        <w:rPr>
          <w:rFonts w:ascii="Garamond" w:hAnsi="Garamond" w:cstheme="minorHAnsi"/>
          <w:sz w:val="24"/>
          <w:szCs w:val="24"/>
        </w:rPr>
        <w:t>a diverse set of social practices that simultaneously advances the common</w:t>
      </w:r>
      <w:r w:rsidR="00FA3AA4" w:rsidRPr="00461D74">
        <w:rPr>
          <w:rFonts w:ascii="Garamond" w:hAnsi="Garamond" w:cstheme="minorHAnsi"/>
          <w:sz w:val="24"/>
          <w:szCs w:val="24"/>
        </w:rPr>
        <w:t xml:space="preserve"> </w:t>
      </w:r>
      <w:r w:rsidR="001C7FA5" w:rsidRPr="00461D74">
        <w:rPr>
          <w:rFonts w:ascii="Garamond" w:hAnsi="Garamond" w:cstheme="minorHAnsi"/>
          <w:sz w:val="24"/>
          <w:szCs w:val="24"/>
        </w:rPr>
        <w:t>good</w:t>
      </w:r>
      <w:r w:rsidR="008F714F" w:rsidRPr="00461D74">
        <w:rPr>
          <w:rFonts w:ascii="Garamond" w:hAnsi="Garamond" w:cstheme="minorHAnsi"/>
          <w:sz w:val="24"/>
          <w:szCs w:val="24"/>
        </w:rPr>
        <w:t xml:space="preserve">. </w:t>
      </w:r>
      <w:r w:rsidR="001C7FA5" w:rsidRPr="00461D74">
        <w:rPr>
          <w:rFonts w:ascii="Garamond" w:hAnsi="Garamond" w:cstheme="minorHAnsi"/>
          <w:sz w:val="24"/>
          <w:szCs w:val="24"/>
        </w:rPr>
        <w:t>Nevertheless</w:t>
      </w:r>
      <w:r w:rsidR="00FA3AA4" w:rsidRPr="00461D74">
        <w:rPr>
          <w:rFonts w:ascii="Garamond" w:hAnsi="Garamond" w:cstheme="minorHAnsi"/>
          <w:sz w:val="24"/>
          <w:szCs w:val="24"/>
        </w:rPr>
        <w:t xml:space="preserve">, </w:t>
      </w:r>
      <w:r w:rsidR="00FA3AA4" w:rsidRPr="00461D74">
        <w:rPr>
          <w:rFonts w:ascii="Garamond" w:hAnsi="Garamond" w:cstheme="minorHAnsi"/>
          <w:i/>
          <w:sz w:val="24"/>
          <w:szCs w:val="24"/>
        </w:rPr>
        <w:t>p</w:t>
      </w:r>
      <w:r w:rsidR="00016049" w:rsidRPr="00461D74">
        <w:rPr>
          <w:rFonts w:ascii="Garamond" w:hAnsi="Garamond" w:cstheme="minorHAnsi"/>
          <w:i/>
          <w:sz w:val="24"/>
          <w:szCs w:val="24"/>
        </w:rPr>
        <w:t>ublic interest</w:t>
      </w:r>
      <w:r w:rsidR="00016049" w:rsidRPr="00461D74">
        <w:rPr>
          <w:rFonts w:ascii="Garamond" w:hAnsi="Garamond" w:cstheme="minorHAnsi"/>
          <w:sz w:val="24"/>
          <w:szCs w:val="24"/>
        </w:rPr>
        <w:t xml:space="preserve">, because it doesn’t quite capture the </w:t>
      </w:r>
      <w:r w:rsidR="00A74539" w:rsidRPr="00461D74">
        <w:rPr>
          <w:rFonts w:ascii="Garamond" w:hAnsi="Garamond" w:cstheme="minorHAnsi"/>
          <w:sz w:val="24"/>
          <w:szCs w:val="24"/>
        </w:rPr>
        <w:t>appropriate form</w:t>
      </w:r>
      <w:r w:rsidR="00016049" w:rsidRPr="00461D74">
        <w:rPr>
          <w:rFonts w:ascii="Garamond" w:hAnsi="Garamond" w:cstheme="minorHAnsi"/>
          <w:sz w:val="24"/>
          <w:szCs w:val="24"/>
        </w:rPr>
        <w:t xml:space="preserve"> of </w:t>
      </w:r>
      <w:r w:rsidR="00016049" w:rsidRPr="00461D74">
        <w:rPr>
          <w:rFonts w:ascii="Garamond" w:hAnsi="Garamond" w:cstheme="minorHAnsi"/>
          <w:i/>
          <w:sz w:val="24"/>
          <w:szCs w:val="24"/>
        </w:rPr>
        <w:t>common good</w:t>
      </w:r>
      <w:r w:rsidR="003414D4" w:rsidRPr="00461D74">
        <w:rPr>
          <w:rFonts w:ascii="Garamond" w:hAnsi="Garamond" w:cstheme="minorHAnsi"/>
          <w:i/>
          <w:sz w:val="24"/>
          <w:szCs w:val="24"/>
        </w:rPr>
        <w:t xml:space="preserve"> </w:t>
      </w:r>
      <w:r w:rsidR="00A74539" w:rsidRPr="00461D74">
        <w:rPr>
          <w:rFonts w:ascii="Garamond" w:hAnsi="Garamond" w:cstheme="minorHAnsi"/>
          <w:sz w:val="24"/>
          <w:szCs w:val="24"/>
        </w:rPr>
        <w:t>–</w:t>
      </w:r>
      <w:r w:rsidR="003414D4" w:rsidRPr="00461D74">
        <w:rPr>
          <w:rFonts w:ascii="Garamond" w:hAnsi="Garamond" w:cstheme="minorHAnsi"/>
          <w:sz w:val="24"/>
          <w:szCs w:val="24"/>
        </w:rPr>
        <w:t xml:space="preserve"> </w:t>
      </w:r>
      <w:r w:rsidR="00A74539" w:rsidRPr="00461D74">
        <w:rPr>
          <w:rFonts w:ascii="Garamond" w:hAnsi="Garamond" w:cstheme="minorHAnsi"/>
          <w:sz w:val="24"/>
          <w:szCs w:val="24"/>
        </w:rPr>
        <w:t xml:space="preserve">a common good that on </w:t>
      </w:r>
      <w:r w:rsidR="00016049" w:rsidRPr="00461D74">
        <w:rPr>
          <w:rFonts w:ascii="Garamond" w:hAnsi="Garamond" w:cstheme="minorHAnsi"/>
          <w:sz w:val="24"/>
          <w:szCs w:val="24"/>
        </w:rPr>
        <w:t>MacIntyre’s view is irreducibly part of the individual’s good</w:t>
      </w:r>
      <w:r w:rsidR="003414D4" w:rsidRPr="00461D74">
        <w:rPr>
          <w:rFonts w:ascii="Garamond" w:hAnsi="Garamond" w:cstheme="minorHAnsi"/>
          <w:sz w:val="24"/>
          <w:szCs w:val="24"/>
        </w:rPr>
        <w:t xml:space="preserve"> </w:t>
      </w:r>
      <w:r w:rsidR="00A74539" w:rsidRPr="00461D74">
        <w:rPr>
          <w:rFonts w:ascii="Garamond" w:hAnsi="Garamond" w:cstheme="minorHAnsi"/>
          <w:sz w:val="24"/>
          <w:szCs w:val="24"/>
        </w:rPr>
        <w:t>–</w:t>
      </w:r>
      <w:r w:rsidR="003414D4" w:rsidRPr="00461D74">
        <w:rPr>
          <w:rFonts w:ascii="Garamond" w:hAnsi="Garamond" w:cstheme="minorHAnsi"/>
          <w:sz w:val="24"/>
          <w:szCs w:val="24"/>
        </w:rPr>
        <w:t xml:space="preserve"> </w:t>
      </w:r>
      <w:r w:rsidR="00A74539" w:rsidRPr="00461D74">
        <w:rPr>
          <w:rFonts w:ascii="Garamond" w:hAnsi="Garamond" w:cstheme="minorHAnsi"/>
          <w:sz w:val="24"/>
          <w:szCs w:val="24"/>
        </w:rPr>
        <w:t>fails to</w:t>
      </w:r>
      <w:r w:rsidR="00FA3AA4" w:rsidRPr="00461D74">
        <w:rPr>
          <w:rFonts w:ascii="Garamond" w:hAnsi="Garamond" w:cstheme="minorHAnsi"/>
          <w:sz w:val="24"/>
          <w:szCs w:val="24"/>
        </w:rPr>
        <w:t xml:space="preserve"> offer an adequate </w:t>
      </w:r>
      <w:r w:rsidR="00DC30EE" w:rsidRPr="00461D74">
        <w:rPr>
          <w:rFonts w:ascii="Garamond" w:hAnsi="Garamond" w:cstheme="minorHAnsi"/>
          <w:sz w:val="24"/>
          <w:szCs w:val="24"/>
        </w:rPr>
        <w:t>resolution for the problem</w:t>
      </w:r>
      <w:r w:rsidR="00FA3AA4" w:rsidRPr="00461D74">
        <w:rPr>
          <w:rFonts w:ascii="Garamond" w:hAnsi="Garamond" w:cstheme="minorHAnsi"/>
          <w:sz w:val="24"/>
          <w:szCs w:val="24"/>
        </w:rPr>
        <w:t xml:space="preserve"> of allegiance</w:t>
      </w:r>
      <w:r w:rsidR="003414D4" w:rsidRPr="00461D74">
        <w:rPr>
          <w:rFonts w:ascii="Garamond" w:hAnsi="Garamond" w:cstheme="minorHAnsi"/>
          <w:sz w:val="24"/>
          <w:szCs w:val="24"/>
        </w:rPr>
        <w:t>,</w:t>
      </w:r>
      <w:r w:rsidR="00FA3AA4" w:rsidRPr="00461D74">
        <w:rPr>
          <w:rFonts w:ascii="Garamond" w:hAnsi="Garamond" w:cstheme="minorHAnsi"/>
          <w:sz w:val="24"/>
          <w:szCs w:val="24"/>
        </w:rPr>
        <w:t xml:space="preserve"> </w:t>
      </w:r>
      <w:r w:rsidR="00B355FB">
        <w:rPr>
          <w:rFonts w:ascii="Garamond" w:hAnsi="Garamond" w:cstheme="minorHAnsi"/>
          <w:sz w:val="24"/>
          <w:szCs w:val="24"/>
        </w:rPr>
        <w:t>given that</w:t>
      </w:r>
      <w:r w:rsidR="00B355FB" w:rsidRPr="00461D74">
        <w:rPr>
          <w:rFonts w:ascii="Garamond" w:hAnsi="Garamond" w:cstheme="minorHAnsi"/>
          <w:sz w:val="24"/>
          <w:szCs w:val="24"/>
        </w:rPr>
        <w:t xml:space="preserve"> </w:t>
      </w:r>
      <w:r w:rsidR="00FA3AA4" w:rsidRPr="00461D74">
        <w:rPr>
          <w:rFonts w:ascii="Garamond" w:hAnsi="Garamond" w:cstheme="minorHAnsi"/>
          <w:sz w:val="24"/>
          <w:szCs w:val="24"/>
        </w:rPr>
        <w:t xml:space="preserve">it is not </w:t>
      </w:r>
      <w:r w:rsidR="00B355FB">
        <w:rPr>
          <w:rFonts w:ascii="Garamond" w:hAnsi="Garamond" w:cstheme="minorHAnsi"/>
          <w:sz w:val="24"/>
          <w:szCs w:val="24"/>
        </w:rPr>
        <w:t xml:space="preserve">altogether </w:t>
      </w:r>
      <w:r w:rsidR="00FA3AA4" w:rsidRPr="00461D74">
        <w:rPr>
          <w:rFonts w:ascii="Garamond" w:hAnsi="Garamond" w:cstheme="minorHAnsi"/>
          <w:sz w:val="24"/>
          <w:szCs w:val="24"/>
        </w:rPr>
        <w:t xml:space="preserve">clear why </w:t>
      </w:r>
      <w:r w:rsidR="00113D9C" w:rsidRPr="00461D74">
        <w:rPr>
          <w:rFonts w:ascii="Garamond" w:hAnsi="Garamond" w:cstheme="minorHAnsi"/>
          <w:sz w:val="24"/>
          <w:szCs w:val="24"/>
        </w:rPr>
        <w:t xml:space="preserve">we </w:t>
      </w:r>
      <w:r w:rsidR="00FA3AA4" w:rsidRPr="00461D74">
        <w:rPr>
          <w:rFonts w:ascii="Garamond" w:hAnsi="Garamond" w:cstheme="minorHAnsi"/>
          <w:sz w:val="24"/>
          <w:szCs w:val="24"/>
        </w:rPr>
        <w:t xml:space="preserve">should </w:t>
      </w:r>
      <w:r w:rsidR="00DC30EE" w:rsidRPr="00461D74">
        <w:rPr>
          <w:rFonts w:ascii="Garamond" w:hAnsi="Garamond" w:cstheme="minorHAnsi"/>
          <w:sz w:val="24"/>
          <w:szCs w:val="24"/>
        </w:rPr>
        <w:t xml:space="preserve">sacrifice our </w:t>
      </w:r>
      <w:r w:rsidR="00DC30EE" w:rsidRPr="00461D74">
        <w:rPr>
          <w:rFonts w:ascii="Garamond" w:hAnsi="Garamond" w:cstheme="minorHAnsi"/>
          <w:i/>
          <w:sz w:val="24"/>
          <w:szCs w:val="24"/>
        </w:rPr>
        <w:t>individual good</w:t>
      </w:r>
      <w:r w:rsidR="00DC30EE" w:rsidRPr="00461D74">
        <w:rPr>
          <w:rFonts w:ascii="Garamond" w:hAnsi="Garamond" w:cstheme="minorHAnsi"/>
          <w:sz w:val="24"/>
          <w:szCs w:val="24"/>
        </w:rPr>
        <w:t xml:space="preserve">, for the sake of </w:t>
      </w:r>
      <w:r w:rsidR="00FA3AA4" w:rsidRPr="00461D74">
        <w:rPr>
          <w:rFonts w:ascii="Garamond" w:hAnsi="Garamond" w:cstheme="minorHAnsi"/>
          <w:i/>
          <w:sz w:val="24"/>
          <w:szCs w:val="24"/>
        </w:rPr>
        <w:t>public interest</w:t>
      </w:r>
      <w:r w:rsidR="00FA3AA4" w:rsidRPr="00461D74">
        <w:rPr>
          <w:rFonts w:ascii="Garamond" w:hAnsi="Garamond" w:cstheme="minorHAnsi"/>
          <w:sz w:val="24"/>
          <w:szCs w:val="24"/>
        </w:rPr>
        <w:t>.</w:t>
      </w:r>
      <w:r w:rsidR="00113D9C" w:rsidRPr="00461D74">
        <w:rPr>
          <w:rFonts w:ascii="Garamond" w:hAnsi="Garamond" w:cstheme="minorHAnsi"/>
          <w:sz w:val="24"/>
          <w:szCs w:val="24"/>
        </w:rPr>
        <w:t xml:space="preserve"> On this view, </w:t>
      </w:r>
      <w:r w:rsidR="00016049" w:rsidRPr="00461D74">
        <w:rPr>
          <w:rFonts w:ascii="Garamond" w:hAnsi="Garamond" w:cstheme="minorHAnsi"/>
          <w:sz w:val="24"/>
          <w:szCs w:val="24"/>
        </w:rPr>
        <w:t>liberal principles of justice can’t offer a convincing explanation for subordinating the individual</w:t>
      </w:r>
      <w:r w:rsidR="00B355FB">
        <w:rPr>
          <w:rFonts w:ascii="Garamond" w:hAnsi="Garamond" w:cstheme="minorHAnsi"/>
          <w:sz w:val="24"/>
          <w:szCs w:val="24"/>
        </w:rPr>
        <w:t>’s</w:t>
      </w:r>
      <w:r w:rsidR="00016049" w:rsidRPr="00461D74">
        <w:rPr>
          <w:rFonts w:ascii="Garamond" w:hAnsi="Garamond" w:cstheme="minorHAnsi"/>
          <w:sz w:val="24"/>
          <w:szCs w:val="24"/>
        </w:rPr>
        <w:t xml:space="preserve"> good</w:t>
      </w:r>
      <w:r w:rsidR="003D411A">
        <w:rPr>
          <w:rFonts w:ascii="Garamond" w:hAnsi="Garamond" w:cstheme="minorHAnsi"/>
          <w:sz w:val="24"/>
          <w:szCs w:val="24"/>
        </w:rPr>
        <w:t>,</w:t>
      </w:r>
      <w:r w:rsidR="00016049" w:rsidRPr="00461D74">
        <w:rPr>
          <w:rFonts w:ascii="Garamond" w:hAnsi="Garamond" w:cstheme="minorHAnsi"/>
          <w:sz w:val="24"/>
          <w:szCs w:val="24"/>
        </w:rPr>
        <w:t xml:space="preserve"> </w:t>
      </w:r>
      <w:r w:rsidR="003D411A">
        <w:rPr>
          <w:rFonts w:ascii="Garamond" w:hAnsi="Garamond" w:cstheme="minorHAnsi"/>
          <w:sz w:val="24"/>
          <w:szCs w:val="24"/>
        </w:rPr>
        <w:t>in the interest</w:t>
      </w:r>
      <w:r w:rsidR="00016049" w:rsidRPr="00461D74">
        <w:rPr>
          <w:rFonts w:ascii="Garamond" w:hAnsi="Garamond" w:cstheme="minorHAnsi"/>
          <w:sz w:val="24"/>
          <w:szCs w:val="24"/>
        </w:rPr>
        <w:t xml:space="preserve"> of </w:t>
      </w:r>
      <w:r w:rsidR="00B355FB">
        <w:rPr>
          <w:rFonts w:ascii="Garamond" w:hAnsi="Garamond" w:cstheme="minorHAnsi"/>
          <w:sz w:val="24"/>
          <w:szCs w:val="24"/>
        </w:rPr>
        <w:t xml:space="preserve">the </w:t>
      </w:r>
      <w:r w:rsidR="00016049" w:rsidRPr="00461D74">
        <w:rPr>
          <w:rFonts w:ascii="Garamond" w:hAnsi="Garamond" w:cstheme="minorHAnsi"/>
          <w:sz w:val="24"/>
          <w:szCs w:val="24"/>
        </w:rPr>
        <w:t>public</w:t>
      </w:r>
      <w:r w:rsidR="003D411A">
        <w:rPr>
          <w:rFonts w:ascii="Garamond" w:hAnsi="Garamond" w:cstheme="minorHAnsi"/>
          <w:sz w:val="24"/>
          <w:szCs w:val="24"/>
        </w:rPr>
        <w:t>’s</w:t>
      </w:r>
      <w:r w:rsidR="00016049" w:rsidRPr="00461D74">
        <w:rPr>
          <w:rFonts w:ascii="Garamond" w:hAnsi="Garamond" w:cstheme="minorHAnsi"/>
          <w:sz w:val="24"/>
          <w:szCs w:val="24"/>
        </w:rPr>
        <w:t xml:space="preserve"> interest. </w:t>
      </w:r>
      <w:r w:rsidR="00B355FB">
        <w:rPr>
          <w:rFonts w:ascii="Garamond" w:hAnsi="Garamond" w:cstheme="minorHAnsi"/>
          <w:sz w:val="24"/>
          <w:szCs w:val="24"/>
        </w:rPr>
        <w:t>Therefore</w:t>
      </w:r>
      <w:r w:rsidR="00016049" w:rsidRPr="00461D74">
        <w:rPr>
          <w:rFonts w:ascii="Garamond" w:hAnsi="Garamond" w:cstheme="minorHAnsi"/>
          <w:sz w:val="24"/>
          <w:szCs w:val="24"/>
        </w:rPr>
        <w:t xml:space="preserve">, under the conditions of modern liberal politics, individuals </w:t>
      </w:r>
      <w:r w:rsidR="00113D9C" w:rsidRPr="00461D74">
        <w:rPr>
          <w:rFonts w:ascii="Garamond" w:hAnsi="Garamond" w:cstheme="minorHAnsi"/>
          <w:sz w:val="24"/>
          <w:szCs w:val="24"/>
        </w:rPr>
        <w:t xml:space="preserve">will often </w:t>
      </w:r>
      <w:r w:rsidR="00016049" w:rsidRPr="00461D74">
        <w:rPr>
          <w:rFonts w:ascii="Garamond" w:hAnsi="Garamond" w:cstheme="minorHAnsi"/>
          <w:sz w:val="24"/>
          <w:szCs w:val="24"/>
        </w:rPr>
        <w:t xml:space="preserve">fail to see </w:t>
      </w:r>
      <w:r w:rsidR="00113D9C" w:rsidRPr="00461D74">
        <w:rPr>
          <w:rFonts w:ascii="Garamond" w:hAnsi="Garamond" w:cstheme="minorHAnsi"/>
          <w:sz w:val="24"/>
          <w:szCs w:val="24"/>
        </w:rPr>
        <w:t xml:space="preserve">how </w:t>
      </w:r>
      <w:r w:rsidR="00016049" w:rsidRPr="00461D74">
        <w:rPr>
          <w:rFonts w:ascii="Garamond" w:hAnsi="Garamond" w:cstheme="minorHAnsi"/>
          <w:sz w:val="24"/>
          <w:szCs w:val="24"/>
        </w:rPr>
        <w:t xml:space="preserve">their own </w:t>
      </w:r>
      <w:r w:rsidR="00113D9C" w:rsidRPr="00461D74">
        <w:rPr>
          <w:rFonts w:ascii="Garamond" w:hAnsi="Garamond" w:cstheme="minorHAnsi"/>
          <w:sz w:val="24"/>
          <w:szCs w:val="24"/>
        </w:rPr>
        <w:t xml:space="preserve">individual good </w:t>
      </w:r>
      <w:r w:rsidR="00016049" w:rsidRPr="00461D74">
        <w:rPr>
          <w:rFonts w:ascii="Garamond" w:hAnsi="Garamond" w:cstheme="minorHAnsi"/>
          <w:sz w:val="24"/>
          <w:szCs w:val="24"/>
        </w:rPr>
        <w:t xml:space="preserve">is closely connected to </w:t>
      </w:r>
      <w:r w:rsidR="00113D9C" w:rsidRPr="00461D74">
        <w:rPr>
          <w:rFonts w:ascii="Garamond" w:hAnsi="Garamond" w:cstheme="minorHAnsi"/>
          <w:sz w:val="24"/>
          <w:szCs w:val="24"/>
        </w:rPr>
        <w:t>shared (or common) goods</w:t>
      </w:r>
      <w:r w:rsidR="00DC30EE" w:rsidRPr="00461D74">
        <w:rPr>
          <w:rFonts w:ascii="Garamond" w:hAnsi="Garamond" w:cstheme="minorHAnsi"/>
          <w:sz w:val="24"/>
          <w:szCs w:val="24"/>
        </w:rPr>
        <w:t>;</w:t>
      </w:r>
      <w:r w:rsidR="00113D9C" w:rsidRPr="00461D74">
        <w:rPr>
          <w:rFonts w:ascii="Garamond" w:hAnsi="Garamond" w:cstheme="minorHAnsi"/>
          <w:sz w:val="24"/>
          <w:szCs w:val="24"/>
        </w:rPr>
        <w:t xml:space="preserve"> and why </w:t>
      </w:r>
      <w:r w:rsidR="00DC30EE" w:rsidRPr="00461D74">
        <w:rPr>
          <w:rFonts w:ascii="Garamond" w:hAnsi="Garamond" w:cstheme="minorHAnsi"/>
          <w:sz w:val="24"/>
          <w:szCs w:val="24"/>
        </w:rPr>
        <w:t>the individual</w:t>
      </w:r>
      <w:r w:rsidR="00113D9C" w:rsidRPr="00461D74">
        <w:rPr>
          <w:rFonts w:ascii="Garamond" w:hAnsi="Garamond" w:cstheme="minorHAnsi"/>
          <w:sz w:val="24"/>
          <w:szCs w:val="24"/>
        </w:rPr>
        <w:t xml:space="preserve"> </w:t>
      </w:r>
      <w:r w:rsidR="00DC30EE" w:rsidRPr="00461D74">
        <w:rPr>
          <w:rFonts w:ascii="Garamond" w:hAnsi="Garamond" w:cstheme="minorHAnsi"/>
          <w:sz w:val="24"/>
          <w:szCs w:val="24"/>
        </w:rPr>
        <w:t xml:space="preserve">possesses good reasons </w:t>
      </w:r>
      <w:r w:rsidR="00B355FB">
        <w:rPr>
          <w:rFonts w:ascii="Garamond" w:hAnsi="Garamond" w:cstheme="minorHAnsi"/>
          <w:sz w:val="24"/>
          <w:szCs w:val="24"/>
        </w:rPr>
        <w:t>for</w:t>
      </w:r>
      <w:r w:rsidR="00B355FB" w:rsidRPr="00461D74">
        <w:rPr>
          <w:rFonts w:ascii="Garamond" w:hAnsi="Garamond" w:cstheme="minorHAnsi"/>
          <w:sz w:val="24"/>
          <w:szCs w:val="24"/>
        </w:rPr>
        <w:t xml:space="preserve"> </w:t>
      </w:r>
      <w:r w:rsidR="00113D9C" w:rsidRPr="00461D74">
        <w:rPr>
          <w:rFonts w:ascii="Garamond" w:hAnsi="Garamond" w:cstheme="minorHAnsi"/>
          <w:sz w:val="24"/>
          <w:szCs w:val="24"/>
        </w:rPr>
        <w:t>subordinat</w:t>
      </w:r>
      <w:r w:rsidR="00B355FB">
        <w:rPr>
          <w:rFonts w:ascii="Garamond" w:hAnsi="Garamond" w:cstheme="minorHAnsi"/>
          <w:sz w:val="24"/>
          <w:szCs w:val="24"/>
        </w:rPr>
        <w:t>ing</w:t>
      </w:r>
      <w:r w:rsidR="00113D9C" w:rsidRPr="00461D74">
        <w:rPr>
          <w:rFonts w:ascii="Garamond" w:hAnsi="Garamond" w:cstheme="minorHAnsi"/>
          <w:sz w:val="24"/>
          <w:szCs w:val="24"/>
        </w:rPr>
        <w:t xml:space="preserve"> what they take to be their own good, </w:t>
      </w:r>
      <w:r w:rsidR="00DC30EE" w:rsidRPr="00461D74">
        <w:rPr>
          <w:rFonts w:ascii="Garamond" w:hAnsi="Garamond" w:cstheme="minorHAnsi"/>
          <w:sz w:val="24"/>
          <w:szCs w:val="24"/>
        </w:rPr>
        <w:t xml:space="preserve">desire, and preferences, </w:t>
      </w:r>
      <w:r w:rsidR="00113D9C" w:rsidRPr="00461D74">
        <w:rPr>
          <w:rFonts w:ascii="Garamond" w:hAnsi="Garamond" w:cstheme="minorHAnsi"/>
          <w:sz w:val="24"/>
          <w:szCs w:val="24"/>
        </w:rPr>
        <w:t>for the sake of</w:t>
      </w:r>
      <w:r w:rsidR="00DC30EE" w:rsidRPr="00461D74">
        <w:rPr>
          <w:rFonts w:ascii="Garamond" w:hAnsi="Garamond" w:cstheme="minorHAnsi"/>
          <w:sz w:val="24"/>
          <w:szCs w:val="24"/>
        </w:rPr>
        <w:t xml:space="preserve"> the</w:t>
      </w:r>
      <w:r w:rsidR="00113D9C" w:rsidRPr="00461D74">
        <w:rPr>
          <w:rFonts w:ascii="Garamond" w:hAnsi="Garamond" w:cstheme="minorHAnsi"/>
          <w:sz w:val="24"/>
          <w:szCs w:val="24"/>
        </w:rPr>
        <w:t xml:space="preserve"> </w:t>
      </w:r>
      <w:r w:rsidR="00016049" w:rsidRPr="00461D74">
        <w:rPr>
          <w:rFonts w:ascii="Garamond" w:hAnsi="Garamond" w:cstheme="minorHAnsi"/>
          <w:sz w:val="24"/>
          <w:szCs w:val="24"/>
        </w:rPr>
        <w:t>public interest.</w:t>
      </w:r>
    </w:p>
    <w:p w:rsidR="006F7CF6" w:rsidRDefault="00016049" w:rsidP="006F7CF6">
      <w:pPr>
        <w:spacing w:line="360" w:lineRule="auto"/>
        <w:jc w:val="both"/>
        <w:rPr>
          <w:rFonts w:ascii="Garamond" w:hAnsi="Garamond" w:cstheme="minorHAnsi"/>
          <w:sz w:val="24"/>
          <w:szCs w:val="24"/>
        </w:rPr>
      </w:pPr>
      <w:r w:rsidRPr="00461D74">
        <w:rPr>
          <w:rFonts w:ascii="Garamond" w:hAnsi="Garamond" w:cstheme="minorHAnsi"/>
          <w:sz w:val="24"/>
          <w:szCs w:val="24"/>
        </w:rPr>
        <w:lastRenderedPageBreak/>
        <w:tab/>
      </w:r>
      <w:r w:rsidR="003D411A">
        <w:rPr>
          <w:rFonts w:ascii="Garamond" w:hAnsi="Garamond" w:cstheme="minorHAnsi"/>
          <w:sz w:val="24"/>
          <w:szCs w:val="24"/>
        </w:rPr>
        <w:t>Now, t</w:t>
      </w:r>
      <w:r w:rsidR="00FA6AEA" w:rsidRPr="00461D74">
        <w:rPr>
          <w:rFonts w:ascii="Garamond" w:hAnsi="Garamond" w:cstheme="minorHAnsi"/>
          <w:sz w:val="24"/>
          <w:szCs w:val="24"/>
        </w:rPr>
        <w:t xml:space="preserve">he </w:t>
      </w:r>
      <w:r w:rsidRPr="00461D74">
        <w:rPr>
          <w:rFonts w:ascii="Garamond" w:hAnsi="Garamond" w:cstheme="minorHAnsi"/>
          <w:sz w:val="24"/>
          <w:szCs w:val="24"/>
        </w:rPr>
        <w:t xml:space="preserve">distinction between public interest and common good is important because it </w:t>
      </w:r>
      <w:r w:rsidR="00FA6AEA" w:rsidRPr="00461D74">
        <w:rPr>
          <w:rFonts w:ascii="Garamond" w:hAnsi="Garamond" w:cstheme="minorHAnsi"/>
          <w:sz w:val="24"/>
          <w:szCs w:val="24"/>
        </w:rPr>
        <w:t xml:space="preserve">potentially offers </w:t>
      </w:r>
      <w:r w:rsidR="003D411A">
        <w:rPr>
          <w:rFonts w:ascii="Garamond" w:hAnsi="Garamond" w:cstheme="minorHAnsi"/>
          <w:sz w:val="24"/>
          <w:szCs w:val="24"/>
        </w:rPr>
        <w:t xml:space="preserve">MacIntyre </w:t>
      </w:r>
      <w:r w:rsidR="00FA6AEA" w:rsidRPr="00461D74">
        <w:rPr>
          <w:rFonts w:ascii="Garamond" w:hAnsi="Garamond" w:cstheme="minorHAnsi"/>
          <w:sz w:val="24"/>
          <w:szCs w:val="24"/>
        </w:rPr>
        <w:t xml:space="preserve">good </w:t>
      </w:r>
      <w:r w:rsidRPr="00461D74">
        <w:rPr>
          <w:rFonts w:ascii="Garamond" w:hAnsi="Garamond" w:cstheme="minorHAnsi"/>
          <w:sz w:val="24"/>
          <w:szCs w:val="24"/>
        </w:rPr>
        <w:t>reasons for rejectin</w:t>
      </w:r>
      <w:r w:rsidR="003D411A">
        <w:rPr>
          <w:rFonts w:ascii="Garamond" w:hAnsi="Garamond" w:cstheme="minorHAnsi"/>
          <w:sz w:val="24"/>
          <w:szCs w:val="24"/>
        </w:rPr>
        <w:t>g</w:t>
      </w:r>
      <w:r w:rsidRPr="00461D74">
        <w:rPr>
          <w:rFonts w:ascii="Garamond" w:hAnsi="Garamond" w:cstheme="minorHAnsi"/>
          <w:sz w:val="24"/>
          <w:szCs w:val="24"/>
        </w:rPr>
        <w:t xml:space="preserve"> </w:t>
      </w:r>
      <w:r w:rsidR="003D411A">
        <w:rPr>
          <w:rFonts w:ascii="Garamond" w:hAnsi="Garamond" w:cstheme="minorHAnsi"/>
          <w:sz w:val="24"/>
          <w:szCs w:val="24"/>
        </w:rPr>
        <w:t>the</w:t>
      </w:r>
      <w:r w:rsidR="003D411A" w:rsidRPr="00461D74">
        <w:rPr>
          <w:rFonts w:ascii="Garamond" w:hAnsi="Garamond" w:cstheme="minorHAnsi"/>
          <w:sz w:val="24"/>
          <w:szCs w:val="24"/>
        </w:rPr>
        <w:t xml:space="preserve"> </w:t>
      </w:r>
      <w:r w:rsidRPr="00461D74">
        <w:rPr>
          <w:rFonts w:ascii="Garamond" w:hAnsi="Garamond" w:cstheme="minorHAnsi"/>
          <w:sz w:val="24"/>
          <w:szCs w:val="24"/>
        </w:rPr>
        <w:t xml:space="preserve">politics </w:t>
      </w:r>
      <w:r w:rsidR="003D411A">
        <w:rPr>
          <w:rFonts w:ascii="Garamond" w:hAnsi="Garamond" w:cstheme="minorHAnsi"/>
          <w:sz w:val="24"/>
          <w:szCs w:val="24"/>
        </w:rPr>
        <w:t>of</w:t>
      </w:r>
      <w:r w:rsidR="003D411A" w:rsidRPr="00461D74">
        <w:rPr>
          <w:rFonts w:ascii="Garamond" w:hAnsi="Garamond" w:cstheme="minorHAnsi"/>
          <w:sz w:val="24"/>
          <w:szCs w:val="24"/>
        </w:rPr>
        <w:t xml:space="preserve"> </w:t>
      </w:r>
      <w:r w:rsidRPr="00461D74">
        <w:rPr>
          <w:rFonts w:ascii="Garamond" w:hAnsi="Garamond" w:cstheme="minorHAnsi"/>
          <w:sz w:val="24"/>
          <w:szCs w:val="24"/>
        </w:rPr>
        <w:t xml:space="preserve">the liberal state. Why? Politics in the liberal state </w:t>
      </w:r>
      <w:r w:rsidR="006F565B">
        <w:rPr>
          <w:rFonts w:ascii="Garamond" w:hAnsi="Garamond" w:cstheme="minorHAnsi"/>
          <w:sz w:val="24"/>
          <w:szCs w:val="24"/>
        </w:rPr>
        <w:t>limits</w:t>
      </w:r>
      <w:r w:rsidR="006F565B" w:rsidRPr="00461D74">
        <w:rPr>
          <w:rFonts w:ascii="Garamond" w:hAnsi="Garamond" w:cstheme="minorHAnsi"/>
          <w:sz w:val="24"/>
          <w:szCs w:val="24"/>
        </w:rPr>
        <w:t xml:space="preserve"> </w:t>
      </w:r>
      <w:r w:rsidRPr="00461D74">
        <w:rPr>
          <w:rFonts w:ascii="Garamond" w:hAnsi="Garamond" w:cstheme="minorHAnsi"/>
          <w:sz w:val="24"/>
          <w:szCs w:val="24"/>
        </w:rPr>
        <w:t xml:space="preserve">the realization of the sort of common good </w:t>
      </w:r>
      <w:r w:rsidR="006F565B">
        <w:rPr>
          <w:rFonts w:ascii="Garamond" w:hAnsi="Garamond" w:cstheme="minorHAnsi"/>
          <w:sz w:val="24"/>
          <w:szCs w:val="24"/>
        </w:rPr>
        <w:t>that</w:t>
      </w:r>
      <w:r w:rsidRPr="00461D74">
        <w:rPr>
          <w:rFonts w:ascii="Garamond" w:hAnsi="Garamond" w:cstheme="minorHAnsi"/>
          <w:sz w:val="24"/>
          <w:szCs w:val="24"/>
        </w:rPr>
        <w:t xml:space="preserve"> MacIntyre</w:t>
      </w:r>
      <w:r w:rsidR="006F565B">
        <w:rPr>
          <w:rFonts w:ascii="Garamond" w:hAnsi="Garamond" w:cstheme="minorHAnsi"/>
          <w:sz w:val="24"/>
          <w:szCs w:val="24"/>
        </w:rPr>
        <w:t xml:space="preserve"> desires</w:t>
      </w:r>
      <w:r w:rsidRPr="00461D74">
        <w:rPr>
          <w:rFonts w:ascii="Garamond" w:hAnsi="Garamond" w:cstheme="minorHAnsi"/>
          <w:sz w:val="24"/>
          <w:szCs w:val="24"/>
        </w:rPr>
        <w:t xml:space="preserve">. While </w:t>
      </w:r>
      <w:r w:rsidRPr="00461D74">
        <w:rPr>
          <w:rFonts w:ascii="Garamond" w:hAnsi="Garamond" w:cstheme="minorHAnsi"/>
          <w:i/>
          <w:iCs/>
          <w:sz w:val="24"/>
          <w:szCs w:val="24"/>
        </w:rPr>
        <w:t>public interest</w:t>
      </w:r>
      <w:r w:rsidRPr="00461D74">
        <w:rPr>
          <w:rFonts w:ascii="Garamond" w:hAnsi="Garamond" w:cstheme="minorHAnsi"/>
          <w:sz w:val="24"/>
          <w:szCs w:val="24"/>
        </w:rPr>
        <w:t xml:space="preserve"> is the realization of a set of conditions </w:t>
      </w:r>
      <w:r w:rsidR="006F565B">
        <w:rPr>
          <w:rFonts w:ascii="Garamond" w:hAnsi="Garamond" w:cstheme="minorHAnsi"/>
          <w:sz w:val="24"/>
          <w:szCs w:val="24"/>
        </w:rPr>
        <w:t xml:space="preserve">which are supposed to empower </w:t>
      </w:r>
      <w:r w:rsidRPr="00461D74">
        <w:rPr>
          <w:rFonts w:ascii="Garamond" w:hAnsi="Garamond" w:cstheme="minorHAnsi"/>
          <w:sz w:val="24"/>
          <w:szCs w:val="24"/>
        </w:rPr>
        <w:t>individual</w:t>
      </w:r>
      <w:r w:rsidR="006F565B">
        <w:rPr>
          <w:rFonts w:ascii="Garamond" w:hAnsi="Garamond" w:cstheme="minorHAnsi"/>
          <w:sz w:val="24"/>
          <w:szCs w:val="24"/>
        </w:rPr>
        <w:t>s to pursue their diverse, and often diverging, set of</w:t>
      </w:r>
      <w:r w:rsidRPr="00461D74">
        <w:rPr>
          <w:rFonts w:ascii="Garamond" w:hAnsi="Garamond" w:cstheme="minorHAnsi"/>
          <w:sz w:val="24"/>
          <w:szCs w:val="24"/>
        </w:rPr>
        <w:t xml:space="preserve"> preferences, MacIntyre’s conception of the common good</w:t>
      </w:r>
      <w:r w:rsidR="006F565B">
        <w:rPr>
          <w:rFonts w:ascii="Garamond" w:hAnsi="Garamond" w:cstheme="minorHAnsi"/>
          <w:sz w:val="24"/>
          <w:szCs w:val="24"/>
        </w:rPr>
        <w:t xml:space="preserve"> </w:t>
      </w:r>
      <w:r w:rsidR="00ED4A70">
        <w:rPr>
          <w:rFonts w:ascii="Garamond" w:hAnsi="Garamond" w:cstheme="minorHAnsi"/>
          <w:sz w:val="24"/>
          <w:szCs w:val="24"/>
        </w:rPr>
        <w:t>entails</w:t>
      </w:r>
      <w:r w:rsidR="006F565B">
        <w:rPr>
          <w:rFonts w:ascii="Garamond" w:hAnsi="Garamond" w:cstheme="minorHAnsi"/>
          <w:sz w:val="24"/>
          <w:szCs w:val="24"/>
        </w:rPr>
        <w:t xml:space="preserve"> that an individual’s</w:t>
      </w:r>
      <w:r w:rsidRPr="00461D74">
        <w:rPr>
          <w:rFonts w:ascii="Garamond" w:hAnsi="Garamond" w:cstheme="minorHAnsi"/>
          <w:sz w:val="24"/>
          <w:szCs w:val="24"/>
        </w:rPr>
        <w:t xml:space="preserve"> good is realized insofar as </w:t>
      </w:r>
      <w:r w:rsidR="006F565B">
        <w:rPr>
          <w:rFonts w:ascii="Garamond" w:hAnsi="Garamond" w:cstheme="minorHAnsi"/>
          <w:sz w:val="24"/>
          <w:szCs w:val="24"/>
        </w:rPr>
        <w:t>that</w:t>
      </w:r>
      <w:r w:rsidR="006F565B" w:rsidRPr="00461D74">
        <w:rPr>
          <w:rFonts w:ascii="Garamond" w:hAnsi="Garamond" w:cstheme="minorHAnsi"/>
          <w:sz w:val="24"/>
          <w:szCs w:val="24"/>
        </w:rPr>
        <w:t xml:space="preserve"> </w:t>
      </w:r>
      <w:r w:rsidR="006F565B">
        <w:rPr>
          <w:rFonts w:ascii="Garamond" w:hAnsi="Garamond" w:cstheme="minorHAnsi"/>
          <w:sz w:val="24"/>
          <w:szCs w:val="24"/>
        </w:rPr>
        <w:t>person</w:t>
      </w:r>
      <w:r w:rsidR="006F565B" w:rsidRPr="00461D74">
        <w:rPr>
          <w:rFonts w:ascii="Garamond" w:hAnsi="Garamond" w:cstheme="minorHAnsi"/>
          <w:sz w:val="24"/>
          <w:szCs w:val="24"/>
        </w:rPr>
        <w:t xml:space="preserve"> </w:t>
      </w:r>
      <w:r w:rsidRPr="00461D74">
        <w:rPr>
          <w:rFonts w:ascii="Garamond" w:hAnsi="Garamond" w:cstheme="minorHAnsi"/>
          <w:sz w:val="24"/>
          <w:szCs w:val="24"/>
        </w:rPr>
        <w:t xml:space="preserve">participates in </w:t>
      </w:r>
      <w:r w:rsidR="006F565B">
        <w:rPr>
          <w:rFonts w:ascii="Garamond" w:hAnsi="Garamond" w:cstheme="minorHAnsi"/>
          <w:sz w:val="24"/>
          <w:szCs w:val="24"/>
        </w:rPr>
        <w:t>a range of</w:t>
      </w:r>
      <w:r w:rsidR="006F565B" w:rsidRPr="00461D74">
        <w:rPr>
          <w:rFonts w:ascii="Garamond" w:hAnsi="Garamond" w:cstheme="minorHAnsi"/>
          <w:sz w:val="24"/>
          <w:szCs w:val="24"/>
        </w:rPr>
        <w:t xml:space="preserve"> </w:t>
      </w:r>
      <w:r w:rsidRPr="00461D74">
        <w:rPr>
          <w:rFonts w:ascii="Garamond" w:hAnsi="Garamond" w:cstheme="minorHAnsi"/>
          <w:sz w:val="24"/>
          <w:szCs w:val="24"/>
        </w:rPr>
        <w:t>social practices (practices that are well-ordered)</w:t>
      </w:r>
      <w:r w:rsidR="006F565B">
        <w:rPr>
          <w:rFonts w:ascii="Garamond" w:hAnsi="Garamond" w:cstheme="minorHAnsi"/>
          <w:sz w:val="24"/>
          <w:szCs w:val="24"/>
        </w:rPr>
        <w:t>;</w:t>
      </w:r>
      <w:r w:rsidRPr="00461D74">
        <w:rPr>
          <w:rFonts w:ascii="Garamond" w:hAnsi="Garamond" w:cstheme="minorHAnsi"/>
          <w:sz w:val="24"/>
          <w:szCs w:val="24"/>
        </w:rPr>
        <w:t xml:space="preserve"> and </w:t>
      </w:r>
      <w:r w:rsidR="00ED4A70">
        <w:rPr>
          <w:rFonts w:ascii="Garamond" w:hAnsi="Garamond" w:cstheme="minorHAnsi"/>
          <w:sz w:val="24"/>
          <w:szCs w:val="24"/>
        </w:rPr>
        <w:t>the</w:t>
      </w:r>
      <w:r w:rsidR="006F7CF6">
        <w:rPr>
          <w:rFonts w:ascii="Garamond" w:hAnsi="Garamond" w:cstheme="minorHAnsi"/>
          <w:sz w:val="24"/>
          <w:szCs w:val="24"/>
        </w:rPr>
        <w:t xml:space="preserve"> individual’s participation in a range of social practices likewise advances a number of shared goods </w:t>
      </w:r>
      <w:r w:rsidR="00ED4A70">
        <w:rPr>
          <w:rFonts w:ascii="Garamond" w:hAnsi="Garamond" w:cstheme="minorHAnsi"/>
          <w:sz w:val="24"/>
          <w:szCs w:val="24"/>
        </w:rPr>
        <w:t>in the context</w:t>
      </w:r>
      <w:r w:rsidR="006F7CF6">
        <w:rPr>
          <w:rFonts w:ascii="Garamond" w:hAnsi="Garamond" w:cstheme="minorHAnsi"/>
          <w:sz w:val="24"/>
          <w:szCs w:val="24"/>
        </w:rPr>
        <w:t xml:space="preserve"> of the practices of a community, </w:t>
      </w:r>
      <w:r w:rsidR="004823C0">
        <w:rPr>
          <w:rFonts w:ascii="Garamond" w:hAnsi="Garamond" w:cstheme="minorHAnsi"/>
          <w:sz w:val="24"/>
          <w:szCs w:val="24"/>
        </w:rPr>
        <w:t>and</w:t>
      </w:r>
      <w:r w:rsidR="006F7CF6">
        <w:rPr>
          <w:rFonts w:ascii="Garamond" w:hAnsi="Garamond" w:cstheme="minorHAnsi"/>
          <w:sz w:val="24"/>
          <w:szCs w:val="24"/>
        </w:rPr>
        <w:t xml:space="preserve"> </w:t>
      </w:r>
      <w:r w:rsidR="00ED4A70">
        <w:rPr>
          <w:rFonts w:ascii="Garamond" w:hAnsi="Garamond" w:cstheme="minorHAnsi"/>
          <w:sz w:val="24"/>
          <w:szCs w:val="24"/>
        </w:rPr>
        <w:t xml:space="preserve">in </w:t>
      </w:r>
      <w:r w:rsidR="006F7CF6">
        <w:rPr>
          <w:rFonts w:ascii="Garamond" w:hAnsi="Garamond" w:cstheme="minorHAnsi"/>
          <w:sz w:val="24"/>
          <w:szCs w:val="24"/>
        </w:rPr>
        <w:t xml:space="preserve">part </w:t>
      </w:r>
      <w:r w:rsidR="006F7CF6" w:rsidRPr="00461D74">
        <w:rPr>
          <w:rFonts w:ascii="Garamond" w:hAnsi="Garamond" w:cstheme="minorHAnsi"/>
          <w:sz w:val="24"/>
          <w:szCs w:val="24"/>
        </w:rPr>
        <w:t>constitut</w:t>
      </w:r>
      <w:r w:rsidR="00ED4A70">
        <w:rPr>
          <w:rFonts w:ascii="Garamond" w:hAnsi="Garamond" w:cstheme="minorHAnsi"/>
          <w:sz w:val="24"/>
          <w:szCs w:val="24"/>
        </w:rPr>
        <w:t xml:space="preserve">e </w:t>
      </w:r>
      <w:r w:rsidR="006F7CF6" w:rsidRPr="00461D74">
        <w:rPr>
          <w:rFonts w:ascii="Garamond" w:hAnsi="Garamond" w:cstheme="minorHAnsi"/>
          <w:sz w:val="24"/>
          <w:szCs w:val="24"/>
        </w:rPr>
        <w:t xml:space="preserve">the </w:t>
      </w:r>
      <w:r w:rsidR="006F7CF6" w:rsidRPr="00461D74">
        <w:rPr>
          <w:rFonts w:ascii="Garamond" w:hAnsi="Garamond" w:cstheme="minorHAnsi"/>
          <w:i/>
          <w:iCs/>
          <w:sz w:val="24"/>
          <w:szCs w:val="24"/>
        </w:rPr>
        <w:t>common good</w:t>
      </w:r>
      <w:r w:rsidR="006F7CF6" w:rsidRPr="00461D74">
        <w:rPr>
          <w:rFonts w:ascii="Garamond" w:hAnsi="Garamond" w:cstheme="minorHAnsi"/>
          <w:sz w:val="24"/>
          <w:szCs w:val="24"/>
        </w:rPr>
        <w:t xml:space="preserve"> of the whole community.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Politics in communities of the common good is then a democratic deliberative process of sorting through, and arranging</w:t>
      </w:r>
      <w:r w:rsidR="003414D4" w:rsidRPr="00461D74">
        <w:rPr>
          <w:rFonts w:ascii="Garamond" w:hAnsi="Garamond" w:cstheme="minorHAnsi"/>
          <w:sz w:val="24"/>
          <w:szCs w:val="24"/>
        </w:rPr>
        <w:t>,</w:t>
      </w:r>
      <w:r w:rsidRPr="00461D74">
        <w:rPr>
          <w:rFonts w:ascii="Garamond" w:hAnsi="Garamond" w:cstheme="minorHAnsi"/>
          <w:sz w:val="24"/>
          <w:szCs w:val="24"/>
        </w:rPr>
        <w:t xml:space="preserve"> the goods of various social practices. </w:t>
      </w:r>
      <w:r w:rsidR="00BA7495">
        <w:rPr>
          <w:rFonts w:ascii="Garamond" w:hAnsi="Garamond" w:cstheme="minorHAnsi"/>
          <w:sz w:val="24"/>
          <w:szCs w:val="24"/>
        </w:rPr>
        <w:t>Now, t</w:t>
      </w:r>
      <w:r w:rsidRPr="00461D74">
        <w:rPr>
          <w:rFonts w:ascii="Garamond" w:hAnsi="Garamond" w:cstheme="minorHAnsi"/>
          <w:sz w:val="24"/>
          <w:szCs w:val="24"/>
        </w:rPr>
        <w:t xml:space="preserve">his </w:t>
      </w:r>
      <w:r w:rsidR="00BA7495">
        <w:rPr>
          <w:rFonts w:ascii="Garamond" w:hAnsi="Garamond" w:cstheme="minorHAnsi"/>
          <w:sz w:val="24"/>
          <w:szCs w:val="24"/>
        </w:rPr>
        <w:t xml:space="preserve">task </w:t>
      </w:r>
      <w:r w:rsidRPr="00461D74">
        <w:rPr>
          <w:rFonts w:ascii="Garamond" w:hAnsi="Garamond" w:cstheme="minorHAnsi"/>
          <w:sz w:val="24"/>
          <w:szCs w:val="24"/>
        </w:rPr>
        <w:t xml:space="preserve">is accomplished </w:t>
      </w:r>
      <w:r w:rsidR="00BA7495">
        <w:rPr>
          <w:rFonts w:ascii="Garamond" w:hAnsi="Garamond" w:cstheme="minorHAnsi"/>
          <w:sz w:val="24"/>
          <w:szCs w:val="24"/>
        </w:rPr>
        <w:t>within a framework that is directed towards</w:t>
      </w:r>
      <w:r w:rsidRPr="00461D74">
        <w:rPr>
          <w:rFonts w:ascii="Garamond" w:hAnsi="Garamond" w:cstheme="minorHAnsi"/>
          <w:sz w:val="24"/>
          <w:szCs w:val="24"/>
        </w:rPr>
        <w:t xml:space="preserve"> the </w:t>
      </w:r>
      <w:r w:rsidR="00BA7495">
        <w:rPr>
          <w:rFonts w:ascii="Garamond" w:hAnsi="Garamond" w:cstheme="minorHAnsi"/>
          <w:sz w:val="24"/>
          <w:szCs w:val="24"/>
        </w:rPr>
        <w:t xml:space="preserve">broader </w:t>
      </w:r>
      <w:r w:rsidRPr="00461D74">
        <w:rPr>
          <w:rFonts w:ascii="Garamond" w:hAnsi="Garamond" w:cstheme="minorHAnsi"/>
          <w:sz w:val="24"/>
          <w:szCs w:val="24"/>
        </w:rPr>
        <w:t xml:space="preserve">common good, and more generally, it is in this </w:t>
      </w:r>
      <w:r w:rsidR="00FA6AEA" w:rsidRPr="00461D74">
        <w:rPr>
          <w:rFonts w:ascii="Garamond" w:hAnsi="Garamond" w:cstheme="minorHAnsi"/>
          <w:sz w:val="24"/>
          <w:szCs w:val="24"/>
        </w:rPr>
        <w:t xml:space="preserve">sense </w:t>
      </w:r>
      <w:r w:rsidRPr="00461D74">
        <w:rPr>
          <w:rFonts w:ascii="Garamond" w:hAnsi="Garamond" w:cstheme="minorHAnsi"/>
          <w:sz w:val="24"/>
          <w:szCs w:val="24"/>
        </w:rPr>
        <w:t xml:space="preserve">that </w:t>
      </w:r>
      <w:r w:rsidR="00FA6AEA" w:rsidRPr="00461D74">
        <w:rPr>
          <w:rFonts w:ascii="Garamond" w:hAnsi="Garamond" w:cstheme="minorHAnsi"/>
          <w:sz w:val="24"/>
          <w:szCs w:val="24"/>
        </w:rPr>
        <w:t xml:space="preserve">we achieve </w:t>
      </w:r>
      <w:r w:rsidRPr="00461D74">
        <w:rPr>
          <w:rFonts w:ascii="Garamond" w:hAnsi="Garamond" w:cstheme="minorHAnsi"/>
          <w:sz w:val="24"/>
          <w:szCs w:val="24"/>
        </w:rPr>
        <w:t>flourishing human communities.</w:t>
      </w:r>
      <w:r w:rsidRPr="00461D74">
        <w:rPr>
          <w:rFonts w:ascii="Garamond" w:hAnsi="Garamond" w:cstheme="minorHAnsi"/>
          <w:sz w:val="24"/>
          <w:szCs w:val="24"/>
          <w:vertAlign w:val="superscript"/>
        </w:rPr>
        <w:footnoteReference w:id="317"/>
      </w:r>
      <w:r w:rsidRPr="00461D74">
        <w:rPr>
          <w:rFonts w:ascii="Garamond" w:hAnsi="Garamond" w:cstheme="minorHAnsi"/>
          <w:sz w:val="24"/>
          <w:szCs w:val="24"/>
        </w:rPr>
        <w:t xml:space="preserve"> Effective common deliberation by members of the community, that is to say, the practice of politics, is central </w:t>
      </w:r>
      <w:r w:rsidR="00FA6AEA" w:rsidRPr="00461D74">
        <w:rPr>
          <w:rFonts w:ascii="Garamond" w:hAnsi="Garamond" w:cstheme="minorHAnsi"/>
          <w:sz w:val="24"/>
          <w:szCs w:val="24"/>
        </w:rPr>
        <w:t>to generating</w:t>
      </w:r>
      <w:r w:rsidRPr="00461D74">
        <w:rPr>
          <w:rFonts w:ascii="Garamond" w:hAnsi="Garamond" w:cstheme="minorHAnsi"/>
          <w:sz w:val="24"/>
          <w:szCs w:val="24"/>
        </w:rPr>
        <w:t xml:space="preserve"> certain common actions that advance the common good.</w:t>
      </w:r>
      <w:r w:rsidRPr="00461D74">
        <w:rPr>
          <w:rFonts w:ascii="Garamond" w:hAnsi="Garamond" w:cstheme="minorHAnsi"/>
          <w:sz w:val="24"/>
          <w:szCs w:val="24"/>
          <w:vertAlign w:val="superscript"/>
        </w:rPr>
        <w:footnoteReference w:id="318"/>
      </w:r>
      <w:r w:rsidRPr="00461D74">
        <w:rPr>
          <w:rFonts w:ascii="Garamond" w:hAnsi="Garamond" w:cstheme="minorHAnsi"/>
          <w:sz w:val="24"/>
          <w:szCs w:val="24"/>
        </w:rPr>
        <w:t xml:space="preserve"> </w:t>
      </w:r>
      <w:r w:rsidR="00FA6AEA" w:rsidRPr="00461D74">
        <w:rPr>
          <w:rFonts w:ascii="Garamond" w:hAnsi="Garamond" w:cstheme="minorHAnsi"/>
          <w:sz w:val="24"/>
          <w:szCs w:val="24"/>
        </w:rPr>
        <w:t xml:space="preserve">Nevertheless </w:t>
      </w:r>
      <w:r w:rsidRPr="00461D74">
        <w:rPr>
          <w:rFonts w:ascii="Garamond" w:hAnsi="Garamond" w:cstheme="minorHAnsi"/>
          <w:sz w:val="24"/>
          <w:szCs w:val="24"/>
        </w:rPr>
        <w:t xml:space="preserve">on MacIntyre’s view, this can only be achieved at the level of local communities. Why? Because effective democratic deliberation is in practice only possible when individual members of the community are engaged in the discussion </w:t>
      </w:r>
      <w:r w:rsidR="00026C49">
        <w:rPr>
          <w:rFonts w:ascii="Garamond" w:hAnsi="Garamond" w:cstheme="minorHAnsi"/>
          <w:sz w:val="24"/>
          <w:szCs w:val="24"/>
        </w:rPr>
        <w:t xml:space="preserve">and evaluation </w:t>
      </w:r>
      <w:r w:rsidRPr="00461D74">
        <w:rPr>
          <w:rFonts w:ascii="Garamond" w:hAnsi="Garamond" w:cstheme="minorHAnsi"/>
          <w:sz w:val="24"/>
          <w:szCs w:val="24"/>
        </w:rPr>
        <w:t xml:space="preserve">of their common good, namely, that of arranging the shared </w:t>
      </w:r>
      <w:r w:rsidR="003312D8" w:rsidRPr="00461D74">
        <w:rPr>
          <w:rFonts w:ascii="Garamond" w:hAnsi="Garamond" w:cstheme="minorHAnsi"/>
          <w:sz w:val="24"/>
          <w:szCs w:val="24"/>
        </w:rPr>
        <w:t xml:space="preserve">(or common) </w:t>
      </w:r>
      <w:r w:rsidRPr="00461D74">
        <w:rPr>
          <w:rFonts w:ascii="Garamond" w:hAnsi="Garamond" w:cstheme="minorHAnsi"/>
          <w:sz w:val="24"/>
          <w:szCs w:val="24"/>
        </w:rPr>
        <w:t>goods of the various practices.</w:t>
      </w:r>
      <w:r w:rsidR="003312D8" w:rsidRPr="00461D74">
        <w:rPr>
          <w:rFonts w:ascii="Garamond" w:hAnsi="Garamond" w:cstheme="minorHAnsi"/>
          <w:sz w:val="24"/>
          <w:szCs w:val="24"/>
        </w:rPr>
        <w:t xml:space="preserve"> </w:t>
      </w:r>
      <w:r w:rsidR="003312D8" w:rsidRPr="009A2E82">
        <w:rPr>
          <w:rFonts w:ascii="Garamond" w:hAnsi="Garamond" w:cstheme="minorHAnsi"/>
          <w:sz w:val="24"/>
          <w:szCs w:val="24"/>
        </w:rPr>
        <w:t>And it seems that f</w:t>
      </w:r>
      <w:r w:rsidR="007839E4">
        <w:rPr>
          <w:rFonts w:ascii="Garamond" w:hAnsi="Garamond" w:cstheme="minorHAnsi"/>
          <w:sz w:val="24"/>
          <w:szCs w:val="24"/>
        </w:rPr>
        <w:t>rom a practical standpoint, this sort of politics is just not feasible on large scales, something that is nevertheless a demographic and political reality in the liberal state</w:t>
      </w:r>
      <w:r w:rsidRPr="00461D74">
        <w:rPr>
          <w:rFonts w:ascii="Garamond" w:hAnsi="Garamond" w:cstheme="minorHAnsi"/>
          <w:sz w:val="24"/>
          <w:szCs w:val="24"/>
        </w:rPr>
        <w:t xml:space="preserve">. But there are </w:t>
      </w:r>
      <w:r w:rsidRPr="00461D74">
        <w:rPr>
          <w:rFonts w:ascii="Garamond" w:hAnsi="Garamond" w:cstheme="minorHAnsi"/>
          <w:sz w:val="24"/>
          <w:szCs w:val="24"/>
        </w:rPr>
        <w:lastRenderedPageBreak/>
        <w:t xml:space="preserve">three </w:t>
      </w:r>
      <w:r w:rsidR="007E5D71">
        <w:rPr>
          <w:rFonts w:ascii="Garamond" w:hAnsi="Garamond" w:cstheme="minorHAnsi"/>
          <w:sz w:val="24"/>
          <w:szCs w:val="24"/>
        </w:rPr>
        <w:t>additional</w:t>
      </w:r>
      <w:r w:rsidRPr="00461D74">
        <w:rPr>
          <w:rFonts w:ascii="Garamond" w:hAnsi="Garamond" w:cstheme="minorHAnsi"/>
          <w:sz w:val="24"/>
          <w:szCs w:val="24"/>
        </w:rPr>
        <w:t xml:space="preserve"> differences between the politics of the common good</w:t>
      </w:r>
      <w:r w:rsidR="006F53F6">
        <w:rPr>
          <w:rFonts w:ascii="Garamond" w:hAnsi="Garamond" w:cstheme="minorHAnsi"/>
          <w:sz w:val="24"/>
          <w:szCs w:val="24"/>
        </w:rPr>
        <w:t>,</w:t>
      </w:r>
      <w:r w:rsidRPr="00461D74">
        <w:rPr>
          <w:rFonts w:ascii="Garamond" w:hAnsi="Garamond" w:cstheme="minorHAnsi"/>
          <w:sz w:val="24"/>
          <w:szCs w:val="24"/>
        </w:rPr>
        <w:t xml:space="preserve"> and the </w:t>
      </w:r>
      <w:r w:rsidR="006F53F6">
        <w:rPr>
          <w:rFonts w:ascii="Garamond" w:hAnsi="Garamond" w:cstheme="minorHAnsi"/>
          <w:sz w:val="24"/>
          <w:szCs w:val="24"/>
        </w:rPr>
        <w:t>kind</w:t>
      </w:r>
      <w:r w:rsidR="006F53F6" w:rsidRPr="00461D74">
        <w:rPr>
          <w:rFonts w:ascii="Garamond" w:hAnsi="Garamond" w:cstheme="minorHAnsi"/>
          <w:sz w:val="24"/>
          <w:szCs w:val="24"/>
        </w:rPr>
        <w:t xml:space="preserve"> </w:t>
      </w:r>
      <w:r w:rsidRPr="00461D74">
        <w:rPr>
          <w:rFonts w:ascii="Garamond" w:hAnsi="Garamond" w:cstheme="minorHAnsi"/>
          <w:sz w:val="24"/>
          <w:szCs w:val="24"/>
        </w:rPr>
        <w:t xml:space="preserve">of politics </w:t>
      </w:r>
      <w:r w:rsidR="006F53F6">
        <w:rPr>
          <w:rFonts w:ascii="Garamond" w:hAnsi="Garamond" w:cstheme="minorHAnsi"/>
          <w:sz w:val="24"/>
          <w:szCs w:val="24"/>
        </w:rPr>
        <w:t xml:space="preserve">that is practiced </w:t>
      </w:r>
      <w:r w:rsidRPr="00461D74">
        <w:rPr>
          <w:rFonts w:ascii="Garamond" w:hAnsi="Garamond" w:cstheme="minorHAnsi"/>
          <w:sz w:val="24"/>
          <w:szCs w:val="24"/>
        </w:rPr>
        <w:t>in the modern state.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First, MacIntyre’s common good politics is partly </w:t>
      </w:r>
      <w:r w:rsidR="004707C4">
        <w:rPr>
          <w:rFonts w:ascii="Garamond" w:hAnsi="Garamond" w:cstheme="minorHAnsi"/>
          <w:sz w:val="24"/>
          <w:szCs w:val="24"/>
        </w:rPr>
        <w:t>consists</w:t>
      </w:r>
      <w:r w:rsidR="004707C4" w:rsidRPr="00461D74">
        <w:rPr>
          <w:rFonts w:ascii="Garamond" w:hAnsi="Garamond" w:cstheme="minorHAnsi"/>
          <w:sz w:val="24"/>
          <w:szCs w:val="24"/>
        </w:rPr>
        <w:t xml:space="preserve"> </w:t>
      </w:r>
      <w:r w:rsidRPr="00461D74">
        <w:rPr>
          <w:rFonts w:ascii="Garamond" w:hAnsi="Garamond" w:cstheme="minorHAnsi"/>
          <w:sz w:val="24"/>
          <w:szCs w:val="24"/>
        </w:rPr>
        <w:t xml:space="preserve">in ranking and ordering the various internal goods of practices. Internal goods of practice are the goods of the virtues. This sort of community </w:t>
      </w:r>
      <w:r w:rsidR="003312D8" w:rsidRPr="00461D74">
        <w:rPr>
          <w:rFonts w:ascii="Garamond" w:hAnsi="Garamond" w:cstheme="minorHAnsi"/>
          <w:sz w:val="24"/>
          <w:szCs w:val="24"/>
        </w:rPr>
        <w:t>is actively engaged in</w:t>
      </w:r>
      <w:r w:rsidRPr="00461D74">
        <w:rPr>
          <w:rFonts w:ascii="Garamond" w:hAnsi="Garamond" w:cstheme="minorHAnsi"/>
          <w:sz w:val="24"/>
          <w:szCs w:val="24"/>
        </w:rPr>
        <w:t xml:space="preserve"> first order discussions on substantive conceptions of the good.</w:t>
      </w:r>
      <w:r w:rsidRPr="00461D74">
        <w:rPr>
          <w:rStyle w:val="FootnoteReference"/>
          <w:rFonts w:ascii="Garamond" w:hAnsi="Garamond" w:cstheme="minorHAnsi"/>
          <w:sz w:val="24"/>
          <w:szCs w:val="24"/>
        </w:rPr>
        <w:footnoteReference w:id="319"/>
      </w:r>
      <w:r w:rsidRPr="00461D74">
        <w:rPr>
          <w:rFonts w:ascii="Garamond" w:hAnsi="Garamond" w:cstheme="minorHAnsi"/>
          <w:sz w:val="24"/>
          <w:szCs w:val="24"/>
        </w:rPr>
        <w:t xml:space="preserve"> </w:t>
      </w:r>
      <w:r w:rsidR="00026C49">
        <w:rPr>
          <w:rFonts w:ascii="Garamond" w:hAnsi="Garamond" w:cstheme="minorHAnsi"/>
          <w:sz w:val="24"/>
          <w:szCs w:val="24"/>
        </w:rPr>
        <w:t>Nevertheless</w:t>
      </w:r>
      <w:r w:rsidR="003312D8" w:rsidRPr="00461D74">
        <w:rPr>
          <w:rFonts w:ascii="Garamond" w:hAnsi="Garamond" w:cstheme="minorHAnsi"/>
          <w:sz w:val="24"/>
          <w:szCs w:val="24"/>
        </w:rPr>
        <w:t xml:space="preserve">, </w:t>
      </w:r>
      <w:r w:rsidRPr="00461D74">
        <w:rPr>
          <w:rFonts w:ascii="Garamond" w:hAnsi="Garamond" w:cstheme="minorHAnsi"/>
          <w:sz w:val="24"/>
          <w:szCs w:val="24"/>
        </w:rPr>
        <w:t>the principle of neutrality in the liberal state</w:t>
      </w:r>
      <w:r w:rsidR="003312D8" w:rsidRPr="00461D74">
        <w:rPr>
          <w:rStyle w:val="FootnoteReference"/>
          <w:rFonts w:ascii="Garamond" w:hAnsi="Garamond" w:cstheme="minorHAnsi"/>
          <w:sz w:val="24"/>
          <w:szCs w:val="24"/>
        </w:rPr>
        <w:footnoteReference w:id="320"/>
      </w:r>
      <w:r w:rsidRPr="00461D74">
        <w:rPr>
          <w:rFonts w:ascii="Garamond" w:hAnsi="Garamond" w:cstheme="minorHAnsi"/>
          <w:sz w:val="24"/>
          <w:szCs w:val="24"/>
        </w:rPr>
        <w:t xml:space="preserve"> </w:t>
      </w:r>
      <w:r w:rsidR="008F615D">
        <w:rPr>
          <w:rFonts w:ascii="Garamond" w:hAnsi="Garamond" w:cstheme="minorHAnsi"/>
          <w:sz w:val="24"/>
          <w:szCs w:val="24"/>
        </w:rPr>
        <w:t xml:space="preserve">implicitly </w:t>
      </w:r>
      <w:r w:rsidRPr="00461D74">
        <w:rPr>
          <w:rFonts w:ascii="Garamond" w:hAnsi="Garamond" w:cstheme="minorHAnsi"/>
          <w:sz w:val="24"/>
          <w:szCs w:val="24"/>
        </w:rPr>
        <w:t xml:space="preserve">rejects a politics of the common good, </w:t>
      </w:r>
      <w:r w:rsidR="003312D8" w:rsidRPr="00461D74">
        <w:rPr>
          <w:rFonts w:ascii="Garamond" w:hAnsi="Garamond" w:cstheme="minorHAnsi"/>
          <w:sz w:val="24"/>
          <w:szCs w:val="24"/>
        </w:rPr>
        <w:t xml:space="preserve">for </w:t>
      </w:r>
      <w:r w:rsidRPr="00461D74">
        <w:rPr>
          <w:rFonts w:ascii="Garamond" w:hAnsi="Garamond" w:cstheme="minorHAnsi"/>
          <w:sz w:val="24"/>
          <w:szCs w:val="24"/>
        </w:rPr>
        <w:t xml:space="preserve">it rules out </w:t>
      </w:r>
      <w:r w:rsidR="008F615D">
        <w:rPr>
          <w:rFonts w:ascii="Garamond" w:hAnsi="Garamond" w:cstheme="minorHAnsi"/>
          <w:sz w:val="24"/>
          <w:szCs w:val="24"/>
        </w:rPr>
        <w:t>all appeals</w:t>
      </w:r>
      <w:r w:rsidR="008F615D" w:rsidRPr="00461D74">
        <w:rPr>
          <w:rFonts w:ascii="Garamond" w:hAnsi="Garamond" w:cstheme="minorHAnsi"/>
          <w:sz w:val="24"/>
          <w:szCs w:val="24"/>
        </w:rPr>
        <w:t xml:space="preserve"> </w:t>
      </w:r>
      <w:r w:rsidRPr="00461D74">
        <w:rPr>
          <w:rFonts w:ascii="Garamond" w:hAnsi="Garamond" w:cstheme="minorHAnsi"/>
          <w:sz w:val="24"/>
          <w:szCs w:val="24"/>
        </w:rPr>
        <w:t>to first order good</w:t>
      </w:r>
      <w:r w:rsidR="008F615D">
        <w:rPr>
          <w:rFonts w:ascii="Garamond" w:hAnsi="Garamond" w:cstheme="minorHAnsi"/>
          <w:sz w:val="24"/>
          <w:szCs w:val="24"/>
        </w:rPr>
        <w:t>s</w:t>
      </w:r>
      <w:r w:rsidRPr="00461D74">
        <w:rPr>
          <w:rFonts w:ascii="Garamond" w:hAnsi="Garamond" w:cstheme="minorHAnsi"/>
          <w:sz w:val="24"/>
          <w:szCs w:val="24"/>
        </w:rPr>
        <w:t>.</w:t>
      </w:r>
    </w:p>
    <w:p w:rsidR="00665157" w:rsidRDefault="00016049" w:rsidP="003010E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Second, under the conditions of the liberal state, the external goods of practices are dealt with through the mechanism of the market. While this mechanism is supposed to be more or less neutral, in practice this is not </w:t>
      </w:r>
      <w:r w:rsidR="003312D8" w:rsidRPr="00461D74">
        <w:rPr>
          <w:rFonts w:ascii="Garamond" w:hAnsi="Garamond" w:cstheme="minorHAnsi"/>
          <w:sz w:val="24"/>
          <w:szCs w:val="24"/>
        </w:rPr>
        <w:t>the case</w:t>
      </w:r>
      <w:r w:rsidR="00310259">
        <w:rPr>
          <w:rFonts w:ascii="Garamond" w:hAnsi="Garamond" w:cstheme="minorHAnsi"/>
          <w:sz w:val="24"/>
          <w:szCs w:val="24"/>
        </w:rPr>
        <w:t xml:space="preserve">, for the </w:t>
      </w:r>
      <w:r w:rsidR="00E26FEE" w:rsidRPr="00461D74">
        <w:rPr>
          <w:rFonts w:ascii="Garamond" w:hAnsi="Garamond" w:cstheme="minorHAnsi"/>
          <w:sz w:val="24"/>
          <w:szCs w:val="24"/>
        </w:rPr>
        <w:t xml:space="preserve">reason </w:t>
      </w:r>
      <w:r w:rsidR="00310259">
        <w:rPr>
          <w:rFonts w:ascii="Garamond" w:hAnsi="Garamond" w:cstheme="minorHAnsi"/>
          <w:sz w:val="24"/>
          <w:szCs w:val="24"/>
        </w:rPr>
        <w:t>that</w:t>
      </w:r>
      <w:r w:rsidR="00310259" w:rsidRPr="00461D74">
        <w:rPr>
          <w:rFonts w:ascii="Garamond" w:hAnsi="Garamond" w:cstheme="minorHAnsi"/>
          <w:sz w:val="24"/>
          <w:szCs w:val="24"/>
        </w:rPr>
        <w:t xml:space="preserve"> </w:t>
      </w:r>
      <w:r w:rsidRPr="00461D74">
        <w:rPr>
          <w:rFonts w:ascii="Garamond" w:hAnsi="Garamond" w:cstheme="minorHAnsi"/>
          <w:sz w:val="24"/>
          <w:szCs w:val="24"/>
        </w:rPr>
        <w:t>markets pursue goods of eff</w:t>
      </w:r>
      <w:r w:rsidR="00E26FEE" w:rsidRPr="00461D74">
        <w:rPr>
          <w:rFonts w:ascii="Garamond" w:hAnsi="Garamond" w:cstheme="minorHAnsi"/>
          <w:sz w:val="24"/>
          <w:szCs w:val="24"/>
        </w:rPr>
        <w:t>ectiveness</w:t>
      </w:r>
      <w:r w:rsidRPr="00461D74">
        <w:rPr>
          <w:rFonts w:ascii="Garamond" w:hAnsi="Garamond" w:cstheme="minorHAnsi"/>
          <w:sz w:val="24"/>
          <w:szCs w:val="24"/>
        </w:rPr>
        <w:t>,</w:t>
      </w:r>
      <w:r w:rsidR="00E26FEE" w:rsidRPr="00461D74">
        <w:rPr>
          <w:rFonts w:ascii="Garamond" w:hAnsi="Garamond" w:cstheme="minorHAnsi"/>
          <w:sz w:val="24"/>
          <w:szCs w:val="24"/>
        </w:rPr>
        <w:t xml:space="preserve"> and for the most part</w:t>
      </w:r>
      <w:r w:rsidR="00012AE7" w:rsidRPr="00461D74">
        <w:rPr>
          <w:rFonts w:ascii="Garamond" w:hAnsi="Garamond" w:cstheme="minorHAnsi"/>
          <w:sz w:val="24"/>
          <w:szCs w:val="24"/>
        </w:rPr>
        <w:t xml:space="preserve"> those goods</w:t>
      </w:r>
      <w:r w:rsidR="00E26FEE" w:rsidRPr="00461D74">
        <w:rPr>
          <w:rFonts w:ascii="Garamond" w:hAnsi="Garamond" w:cstheme="minorHAnsi"/>
          <w:sz w:val="24"/>
          <w:szCs w:val="24"/>
        </w:rPr>
        <w:t xml:space="preserve"> are external material goods</w:t>
      </w:r>
      <w:r w:rsidRPr="00461D74">
        <w:rPr>
          <w:rFonts w:ascii="Garamond" w:hAnsi="Garamond" w:cstheme="minorHAnsi"/>
          <w:sz w:val="24"/>
          <w:szCs w:val="24"/>
        </w:rPr>
        <w:t xml:space="preserve"> </w:t>
      </w:r>
      <w:r w:rsidR="00E26FEE" w:rsidRPr="00461D74">
        <w:rPr>
          <w:rFonts w:ascii="Garamond" w:hAnsi="Garamond" w:cstheme="minorHAnsi"/>
          <w:sz w:val="24"/>
          <w:szCs w:val="24"/>
        </w:rPr>
        <w:t>(</w:t>
      </w:r>
      <w:r w:rsidRPr="00461D74">
        <w:rPr>
          <w:rFonts w:ascii="Garamond" w:hAnsi="Garamond" w:cstheme="minorHAnsi"/>
          <w:sz w:val="24"/>
          <w:szCs w:val="24"/>
        </w:rPr>
        <w:t xml:space="preserve">i.e. goods that can be </w:t>
      </w:r>
      <w:r w:rsidR="00310259">
        <w:rPr>
          <w:rFonts w:ascii="Garamond" w:hAnsi="Garamond" w:cstheme="minorHAnsi"/>
          <w:sz w:val="24"/>
          <w:szCs w:val="24"/>
        </w:rPr>
        <w:t xml:space="preserve">quantified and </w:t>
      </w:r>
      <w:r w:rsidRPr="00461D74">
        <w:rPr>
          <w:rFonts w:ascii="Garamond" w:hAnsi="Garamond" w:cstheme="minorHAnsi"/>
          <w:sz w:val="24"/>
          <w:szCs w:val="24"/>
        </w:rPr>
        <w:t>monetized</w:t>
      </w:r>
      <w:r w:rsidR="00E26FEE" w:rsidRPr="00461D74">
        <w:rPr>
          <w:rFonts w:ascii="Garamond" w:hAnsi="Garamond" w:cstheme="minorHAnsi"/>
          <w:sz w:val="24"/>
          <w:szCs w:val="24"/>
        </w:rPr>
        <w:t>)</w:t>
      </w:r>
      <w:r w:rsidRPr="00461D74">
        <w:rPr>
          <w:rFonts w:ascii="Garamond" w:hAnsi="Garamond" w:cstheme="minorHAnsi"/>
          <w:sz w:val="24"/>
          <w:szCs w:val="24"/>
        </w:rPr>
        <w:t xml:space="preserve">. The pursuit of money and monetary goods then privileges an excessively materialist conception of the good. </w:t>
      </w:r>
      <w:r w:rsidR="003414D4" w:rsidRPr="00461D74">
        <w:rPr>
          <w:rFonts w:ascii="Garamond" w:hAnsi="Garamond" w:cstheme="minorHAnsi"/>
          <w:sz w:val="24"/>
          <w:szCs w:val="24"/>
        </w:rPr>
        <w:t>By</w:t>
      </w:r>
      <w:r w:rsidRPr="00461D74">
        <w:rPr>
          <w:rFonts w:ascii="Garamond" w:hAnsi="Garamond" w:cstheme="minorHAnsi"/>
          <w:sz w:val="24"/>
          <w:szCs w:val="24"/>
        </w:rPr>
        <w:t xml:space="preserve"> contrast</w:t>
      </w:r>
      <w:r w:rsidR="003414D4" w:rsidRPr="00461D74">
        <w:rPr>
          <w:rFonts w:ascii="Garamond" w:hAnsi="Garamond" w:cstheme="minorHAnsi"/>
          <w:sz w:val="24"/>
          <w:szCs w:val="24"/>
        </w:rPr>
        <w:t>,</w:t>
      </w:r>
      <w:r w:rsidRPr="00461D74">
        <w:rPr>
          <w:rFonts w:ascii="Garamond" w:hAnsi="Garamond" w:cstheme="minorHAnsi"/>
          <w:sz w:val="24"/>
          <w:szCs w:val="24"/>
        </w:rPr>
        <w:t xml:space="preserve"> MacIntyre’s account of common good politics </w:t>
      </w:r>
      <w:r w:rsidR="0009652B">
        <w:rPr>
          <w:rFonts w:ascii="Garamond" w:hAnsi="Garamond" w:cstheme="minorHAnsi"/>
          <w:sz w:val="24"/>
          <w:szCs w:val="24"/>
        </w:rPr>
        <w:t>not only undertake</w:t>
      </w:r>
      <w:r w:rsidR="00074BC3">
        <w:rPr>
          <w:rFonts w:ascii="Garamond" w:hAnsi="Garamond" w:cstheme="minorHAnsi"/>
          <w:sz w:val="24"/>
          <w:szCs w:val="24"/>
        </w:rPr>
        <w:t>s</w:t>
      </w:r>
      <w:r w:rsidR="0009652B">
        <w:rPr>
          <w:rFonts w:ascii="Garamond" w:hAnsi="Garamond" w:cstheme="minorHAnsi"/>
          <w:sz w:val="24"/>
          <w:szCs w:val="24"/>
        </w:rPr>
        <w:t xml:space="preserve"> </w:t>
      </w:r>
      <w:r w:rsidRPr="00461D74">
        <w:rPr>
          <w:rFonts w:ascii="Garamond" w:hAnsi="Garamond" w:cstheme="minorHAnsi"/>
          <w:sz w:val="24"/>
          <w:szCs w:val="24"/>
        </w:rPr>
        <w:t xml:space="preserve">ordering the internal goods of practices, </w:t>
      </w:r>
      <w:r w:rsidR="00C40F20">
        <w:rPr>
          <w:rFonts w:ascii="Garamond" w:hAnsi="Garamond" w:cstheme="minorHAnsi"/>
          <w:sz w:val="24"/>
          <w:szCs w:val="24"/>
        </w:rPr>
        <w:t xml:space="preserve">but </w:t>
      </w:r>
      <w:r w:rsidRPr="00461D74">
        <w:rPr>
          <w:rFonts w:ascii="Garamond" w:hAnsi="Garamond" w:cstheme="minorHAnsi"/>
          <w:sz w:val="24"/>
          <w:szCs w:val="24"/>
        </w:rPr>
        <w:t xml:space="preserve">it also </w:t>
      </w:r>
      <w:r w:rsidR="0009652B">
        <w:rPr>
          <w:rFonts w:ascii="Garamond" w:hAnsi="Garamond" w:cstheme="minorHAnsi"/>
          <w:sz w:val="24"/>
          <w:szCs w:val="24"/>
        </w:rPr>
        <w:t>tasks itself</w:t>
      </w:r>
      <w:r w:rsidR="0009652B" w:rsidRPr="00461D74">
        <w:rPr>
          <w:rFonts w:ascii="Garamond" w:hAnsi="Garamond" w:cstheme="minorHAnsi"/>
          <w:sz w:val="24"/>
          <w:szCs w:val="24"/>
        </w:rPr>
        <w:t xml:space="preserve"> </w:t>
      </w:r>
      <w:r w:rsidRPr="00461D74">
        <w:rPr>
          <w:rFonts w:ascii="Garamond" w:hAnsi="Garamond" w:cstheme="minorHAnsi"/>
          <w:sz w:val="24"/>
          <w:szCs w:val="24"/>
        </w:rPr>
        <w:t>with ordering the various external goods of practices</w:t>
      </w:r>
      <w:r w:rsidR="0009652B">
        <w:rPr>
          <w:rFonts w:ascii="Garamond" w:hAnsi="Garamond" w:cstheme="minorHAnsi"/>
          <w:sz w:val="24"/>
          <w:szCs w:val="24"/>
        </w:rPr>
        <w:t>;</w:t>
      </w:r>
      <w:r w:rsidRPr="00461D74">
        <w:rPr>
          <w:rFonts w:ascii="Garamond" w:hAnsi="Garamond" w:cstheme="minorHAnsi"/>
          <w:sz w:val="24"/>
          <w:szCs w:val="24"/>
        </w:rPr>
        <w:t xml:space="preserve"> </w:t>
      </w:r>
      <w:r w:rsidR="0009652B">
        <w:rPr>
          <w:rFonts w:ascii="Garamond" w:hAnsi="Garamond" w:cstheme="minorHAnsi"/>
          <w:sz w:val="24"/>
          <w:szCs w:val="24"/>
        </w:rPr>
        <w:t xml:space="preserve">and these tasks are then </w:t>
      </w:r>
      <w:r w:rsidRPr="00461D74">
        <w:rPr>
          <w:rFonts w:ascii="Garamond" w:hAnsi="Garamond" w:cstheme="minorHAnsi"/>
          <w:sz w:val="24"/>
          <w:szCs w:val="24"/>
        </w:rPr>
        <w:t>grounded in an Aristotelian</w:t>
      </w:r>
      <w:r w:rsidR="00E26FEE" w:rsidRPr="00461D74">
        <w:rPr>
          <w:rFonts w:ascii="Garamond" w:hAnsi="Garamond" w:cstheme="minorHAnsi"/>
          <w:sz w:val="24"/>
          <w:szCs w:val="24"/>
        </w:rPr>
        <w:t xml:space="preserve"> inspired</w:t>
      </w:r>
      <w:r w:rsidRPr="00461D74">
        <w:rPr>
          <w:rFonts w:ascii="Garamond" w:hAnsi="Garamond" w:cstheme="minorHAnsi"/>
          <w:sz w:val="24"/>
          <w:szCs w:val="24"/>
        </w:rPr>
        <w:t xml:space="preserve"> account of justice.</w:t>
      </w:r>
      <w:r w:rsidRPr="00461D74">
        <w:rPr>
          <w:rStyle w:val="FootnoteReference"/>
          <w:rFonts w:ascii="Garamond" w:hAnsi="Garamond" w:cstheme="minorHAnsi"/>
          <w:sz w:val="24"/>
          <w:szCs w:val="24"/>
        </w:rPr>
        <w:footnoteReference w:id="321"/>
      </w:r>
      <w:r w:rsidRPr="00461D74">
        <w:rPr>
          <w:rFonts w:ascii="Garamond" w:hAnsi="Garamond" w:cstheme="minorHAnsi"/>
          <w:sz w:val="24"/>
          <w:szCs w:val="24"/>
        </w:rPr>
        <w:t xml:space="preserve"> This means that MacIntyre’s politics has to balance the re-appropriation of some external goods, against the needs of the community to ensure that the conditions for the realization of the </w:t>
      </w:r>
      <w:r w:rsidR="0009652B">
        <w:rPr>
          <w:rFonts w:ascii="Garamond" w:hAnsi="Garamond" w:cstheme="minorHAnsi"/>
          <w:sz w:val="24"/>
          <w:szCs w:val="24"/>
        </w:rPr>
        <w:t>wider</w:t>
      </w:r>
      <w:r w:rsidR="0009652B" w:rsidRPr="00461D74">
        <w:rPr>
          <w:rFonts w:ascii="Garamond" w:hAnsi="Garamond" w:cstheme="minorHAnsi"/>
          <w:sz w:val="24"/>
          <w:szCs w:val="24"/>
        </w:rPr>
        <w:t xml:space="preserve"> </w:t>
      </w:r>
      <w:r w:rsidRPr="00461D74">
        <w:rPr>
          <w:rFonts w:ascii="Garamond" w:hAnsi="Garamond" w:cstheme="minorHAnsi"/>
          <w:sz w:val="24"/>
          <w:szCs w:val="24"/>
        </w:rPr>
        <w:t xml:space="preserve">common good </w:t>
      </w:r>
      <w:r w:rsidR="0009652B">
        <w:rPr>
          <w:rFonts w:ascii="Garamond" w:hAnsi="Garamond" w:cstheme="minorHAnsi"/>
          <w:sz w:val="24"/>
          <w:szCs w:val="24"/>
        </w:rPr>
        <w:t>(</w:t>
      </w:r>
      <w:r w:rsidRPr="00461D74">
        <w:rPr>
          <w:rFonts w:ascii="Garamond" w:hAnsi="Garamond" w:cstheme="minorHAnsi"/>
          <w:sz w:val="24"/>
          <w:szCs w:val="24"/>
        </w:rPr>
        <w:t>of the community</w:t>
      </w:r>
      <w:r w:rsidR="0009652B">
        <w:rPr>
          <w:rFonts w:ascii="Garamond" w:hAnsi="Garamond" w:cstheme="minorHAnsi"/>
          <w:sz w:val="24"/>
          <w:szCs w:val="24"/>
        </w:rPr>
        <w:t>)</w:t>
      </w:r>
      <w:r w:rsidRPr="00461D74">
        <w:rPr>
          <w:rFonts w:ascii="Garamond" w:hAnsi="Garamond" w:cstheme="minorHAnsi"/>
          <w:sz w:val="24"/>
          <w:szCs w:val="24"/>
        </w:rPr>
        <w:t xml:space="preserve"> are not undermined. Yet</w:t>
      </w:r>
      <w:r w:rsidR="002B7E33" w:rsidRPr="00461D74">
        <w:rPr>
          <w:rFonts w:ascii="Garamond" w:hAnsi="Garamond" w:cstheme="minorHAnsi"/>
          <w:sz w:val="24"/>
          <w:szCs w:val="24"/>
        </w:rPr>
        <w:t>,</w:t>
      </w:r>
      <w:r w:rsidRPr="00461D74">
        <w:rPr>
          <w:rFonts w:ascii="Garamond" w:hAnsi="Garamond" w:cstheme="minorHAnsi"/>
          <w:sz w:val="24"/>
          <w:szCs w:val="24"/>
        </w:rPr>
        <w:t xml:space="preserve"> conditions </w:t>
      </w:r>
      <w:r w:rsidR="00E26FEE" w:rsidRPr="00461D74">
        <w:rPr>
          <w:rFonts w:ascii="Garamond" w:hAnsi="Garamond" w:cstheme="minorHAnsi"/>
          <w:sz w:val="24"/>
          <w:szCs w:val="24"/>
        </w:rPr>
        <w:t xml:space="preserve">in </w:t>
      </w:r>
      <w:r w:rsidRPr="00461D74">
        <w:rPr>
          <w:rFonts w:ascii="Garamond" w:hAnsi="Garamond" w:cstheme="minorHAnsi"/>
          <w:sz w:val="24"/>
          <w:szCs w:val="24"/>
        </w:rPr>
        <w:t xml:space="preserve">the liberal state </w:t>
      </w:r>
      <w:r w:rsidR="00012AE7" w:rsidRPr="00461D74">
        <w:rPr>
          <w:rFonts w:ascii="Garamond" w:hAnsi="Garamond" w:cstheme="minorHAnsi"/>
          <w:sz w:val="24"/>
          <w:szCs w:val="24"/>
        </w:rPr>
        <w:t>preclude us from pursuing</w:t>
      </w:r>
      <w:r w:rsidR="002B7E33" w:rsidRPr="00461D74">
        <w:rPr>
          <w:rFonts w:ascii="Garamond" w:hAnsi="Garamond" w:cstheme="minorHAnsi"/>
          <w:sz w:val="24"/>
          <w:szCs w:val="24"/>
        </w:rPr>
        <w:t xml:space="preserve"> this possibility</w:t>
      </w:r>
      <w:r w:rsidR="003010EE">
        <w:rPr>
          <w:rFonts w:ascii="Garamond" w:hAnsi="Garamond" w:cstheme="minorHAnsi"/>
          <w:sz w:val="24"/>
          <w:szCs w:val="24"/>
        </w:rPr>
        <w:t xml:space="preserve">, owing to the fact that the liberal state </w:t>
      </w:r>
      <w:r w:rsidR="003010EE" w:rsidRPr="00461D74">
        <w:rPr>
          <w:rFonts w:ascii="Garamond" w:hAnsi="Garamond" w:cstheme="minorHAnsi"/>
          <w:sz w:val="24"/>
          <w:szCs w:val="24"/>
        </w:rPr>
        <w:t>limits first-order appeals to substantive conceptions of the good</w:t>
      </w:r>
      <w:r w:rsidR="003010EE">
        <w:rPr>
          <w:rFonts w:ascii="Garamond" w:hAnsi="Garamond" w:cstheme="minorHAnsi"/>
          <w:sz w:val="24"/>
          <w:szCs w:val="24"/>
        </w:rPr>
        <w:t xml:space="preserve"> – i.e., it rules out public discussion of internal </w:t>
      </w:r>
      <w:r w:rsidR="003010EE">
        <w:rPr>
          <w:rFonts w:ascii="Garamond" w:hAnsi="Garamond" w:cstheme="minorHAnsi"/>
          <w:sz w:val="24"/>
          <w:szCs w:val="24"/>
        </w:rPr>
        <w:lastRenderedPageBreak/>
        <w:t xml:space="preserve">goods of practices – </w:t>
      </w:r>
      <w:r w:rsidR="003010EE" w:rsidRPr="00461D74">
        <w:rPr>
          <w:rFonts w:ascii="Garamond" w:hAnsi="Garamond" w:cstheme="minorHAnsi"/>
          <w:sz w:val="24"/>
          <w:szCs w:val="24"/>
        </w:rPr>
        <w:t>and</w:t>
      </w:r>
      <w:r w:rsidR="003010EE">
        <w:rPr>
          <w:rFonts w:ascii="Garamond" w:hAnsi="Garamond" w:cstheme="minorHAnsi"/>
          <w:sz w:val="24"/>
          <w:szCs w:val="24"/>
        </w:rPr>
        <w:t xml:space="preserve"> instead it</w:t>
      </w:r>
      <w:r w:rsidR="003010EE" w:rsidRPr="00461D74">
        <w:rPr>
          <w:rFonts w:ascii="Garamond" w:hAnsi="Garamond" w:cstheme="minorHAnsi"/>
          <w:sz w:val="24"/>
          <w:szCs w:val="24"/>
        </w:rPr>
        <w:t xml:space="preserve"> utilises the mechanism of the market to arrange </w:t>
      </w:r>
      <w:r w:rsidR="003010EE">
        <w:rPr>
          <w:rFonts w:ascii="Garamond" w:hAnsi="Garamond" w:cstheme="minorHAnsi"/>
          <w:sz w:val="24"/>
          <w:szCs w:val="24"/>
        </w:rPr>
        <w:t xml:space="preserve">material goods produced by society – i.e., </w:t>
      </w:r>
      <w:r w:rsidR="003010EE" w:rsidRPr="00461D74">
        <w:rPr>
          <w:rFonts w:ascii="Garamond" w:hAnsi="Garamond" w:cstheme="minorHAnsi"/>
          <w:sz w:val="24"/>
          <w:szCs w:val="24"/>
        </w:rPr>
        <w:t>the exte</w:t>
      </w:r>
      <w:r w:rsidR="003010EE">
        <w:rPr>
          <w:rFonts w:ascii="Garamond" w:hAnsi="Garamond" w:cstheme="minorHAnsi"/>
          <w:sz w:val="24"/>
          <w:szCs w:val="24"/>
        </w:rPr>
        <w:t>rnal goods of practices</w:t>
      </w:r>
      <w:r w:rsidRPr="00461D74">
        <w:rPr>
          <w:rFonts w:ascii="Garamond" w:hAnsi="Garamond" w:cstheme="minorHAnsi"/>
          <w:sz w:val="24"/>
          <w:szCs w:val="24"/>
        </w:rPr>
        <w:t>.</w:t>
      </w:r>
      <w:r w:rsidR="002B7E33" w:rsidRPr="00461D74">
        <w:rPr>
          <w:rFonts w:ascii="Garamond" w:hAnsi="Garamond" w:cstheme="minorHAnsi"/>
          <w:sz w:val="24"/>
          <w:szCs w:val="24"/>
        </w:rPr>
        <w:t xml:space="preserve"> </w:t>
      </w:r>
      <w:r w:rsidRPr="00461D74">
        <w:rPr>
          <w:rFonts w:ascii="Garamond" w:hAnsi="Garamond" w:cstheme="minorHAnsi"/>
          <w:sz w:val="24"/>
          <w:szCs w:val="24"/>
        </w:rPr>
        <w:t xml:space="preserve">MacIntyre does not </w:t>
      </w:r>
      <w:r w:rsidR="00012AE7" w:rsidRPr="00461D74">
        <w:rPr>
          <w:rFonts w:ascii="Garamond" w:hAnsi="Garamond" w:cstheme="minorHAnsi"/>
          <w:sz w:val="24"/>
          <w:szCs w:val="24"/>
        </w:rPr>
        <w:t xml:space="preserve">of course </w:t>
      </w:r>
      <w:r w:rsidRPr="00461D74">
        <w:rPr>
          <w:rFonts w:ascii="Garamond" w:hAnsi="Garamond" w:cstheme="minorHAnsi"/>
          <w:sz w:val="24"/>
          <w:szCs w:val="24"/>
        </w:rPr>
        <w:t xml:space="preserve">deny that </w:t>
      </w:r>
      <w:r w:rsidR="00012AE7" w:rsidRPr="00461D74">
        <w:rPr>
          <w:rFonts w:ascii="Garamond" w:hAnsi="Garamond" w:cstheme="minorHAnsi"/>
          <w:sz w:val="24"/>
          <w:szCs w:val="24"/>
        </w:rPr>
        <w:t xml:space="preserve">local communities possess some sort of </w:t>
      </w:r>
      <w:r w:rsidRPr="00461D74">
        <w:rPr>
          <w:rFonts w:ascii="Garamond" w:hAnsi="Garamond" w:cstheme="minorHAnsi"/>
          <w:sz w:val="24"/>
          <w:szCs w:val="24"/>
        </w:rPr>
        <w:t>exchange mechanism</w:t>
      </w:r>
      <w:r w:rsidR="00012AE7" w:rsidRPr="00461D74">
        <w:rPr>
          <w:rFonts w:ascii="Garamond" w:hAnsi="Garamond" w:cstheme="minorHAnsi"/>
          <w:sz w:val="24"/>
          <w:szCs w:val="24"/>
        </w:rPr>
        <w:t xml:space="preserve">; </w:t>
      </w:r>
      <w:r w:rsidRPr="00461D74">
        <w:rPr>
          <w:rFonts w:ascii="Garamond" w:hAnsi="Garamond" w:cstheme="minorHAnsi"/>
          <w:sz w:val="24"/>
          <w:szCs w:val="24"/>
        </w:rPr>
        <w:t xml:space="preserve">rather </w:t>
      </w:r>
      <w:r w:rsidR="00012AE7" w:rsidRPr="00461D74">
        <w:rPr>
          <w:rFonts w:ascii="Garamond" w:hAnsi="Garamond" w:cstheme="minorHAnsi"/>
          <w:sz w:val="24"/>
          <w:szCs w:val="24"/>
        </w:rPr>
        <w:t xml:space="preserve">his argument is </w:t>
      </w:r>
      <w:r w:rsidRPr="00461D74">
        <w:rPr>
          <w:rFonts w:ascii="Garamond" w:hAnsi="Garamond" w:cstheme="minorHAnsi"/>
          <w:sz w:val="24"/>
          <w:szCs w:val="24"/>
        </w:rPr>
        <w:t xml:space="preserve">that the mechanism of exchange in </w:t>
      </w:r>
      <w:r w:rsidR="00012AE7" w:rsidRPr="00461D74">
        <w:rPr>
          <w:rFonts w:ascii="Garamond" w:hAnsi="Garamond" w:cstheme="minorHAnsi"/>
          <w:sz w:val="24"/>
          <w:szCs w:val="24"/>
        </w:rPr>
        <w:t xml:space="preserve">local </w:t>
      </w:r>
      <w:r w:rsidRPr="00461D74">
        <w:rPr>
          <w:rFonts w:ascii="Garamond" w:hAnsi="Garamond" w:cstheme="minorHAnsi"/>
          <w:sz w:val="24"/>
          <w:szCs w:val="24"/>
        </w:rPr>
        <w:t xml:space="preserve">communities is better able to balance the pursuit of profit (external goods) against the </w:t>
      </w:r>
      <w:r w:rsidR="003010EE">
        <w:rPr>
          <w:rFonts w:ascii="Garamond" w:hAnsi="Garamond" w:cstheme="minorHAnsi"/>
          <w:sz w:val="24"/>
          <w:szCs w:val="24"/>
        </w:rPr>
        <w:t xml:space="preserve">social/normative </w:t>
      </w:r>
      <w:r w:rsidRPr="00461D74">
        <w:rPr>
          <w:rFonts w:ascii="Garamond" w:hAnsi="Garamond" w:cstheme="minorHAnsi"/>
          <w:sz w:val="24"/>
          <w:szCs w:val="24"/>
        </w:rPr>
        <w:t xml:space="preserve">needs of </w:t>
      </w:r>
      <w:r w:rsidR="003010EE">
        <w:rPr>
          <w:rFonts w:ascii="Garamond" w:hAnsi="Garamond" w:cstheme="minorHAnsi"/>
          <w:sz w:val="24"/>
          <w:szCs w:val="24"/>
        </w:rPr>
        <w:t>a</w:t>
      </w:r>
      <w:r w:rsidR="003010EE" w:rsidRPr="00461D74">
        <w:rPr>
          <w:rFonts w:ascii="Garamond" w:hAnsi="Garamond" w:cstheme="minorHAnsi"/>
          <w:sz w:val="24"/>
          <w:szCs w:val="24"/>
        </w:rPr>
        <w:t xml:space="preserve"> </w:t>
      </w:r>
      <w:r w:rsidRPr="00461D74">
        <w:rPr>
          <w:rFonts w:ascii="Garamond" w:hAnsi="Garamond" w:cstheme="minorHAnsi"/>
          <w:sz w:val="24"/>
          <w:szCs w:val="24"/>
        </w:rPr>
        <w:t>community</w:t>
      </w:r>
      <w:r w:rsidR="003010EE">
        <w:rPr>
          <w:rFonts w:ascii="Garamond" w:hAnsi="Garamond" w:cstheme="minorHAnsi"/>
          <w:sz w:val="24"/>
          <w:szCs w:val="24"/>
        </w:rPr>
        <w:t xml:space="preserve"> (internal goods)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22"/>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But </w:t>
      </w:r>
      <w:r w:rsidR="002B7E33" w:rsidRPr="00461D74">
        <w:rPr>
          <w:rFonts w:ascii="Garamond" w:hAnsi="Garamond" w:cstheme="minorHAnsi"/>
          <w:sz w:val="24"/>
          <w:szCs w:val="24"/>
        </w:rPr>
        <w:t xml:space="preserve">it seems that the liberal state and its institutions, especially </w:t>
      </w:r>
      <w:r w:rsidRPr="00461D74">
        <w:rPr>
          <w:rFonts w:ascii="Garamond" w:hAnsi="Garamond" w:cstheme="minorHAnsi"/>
          <w:sz w:val="24"/>
          <w:szCs w:val="24"/>
        </w:rPr>
        <w:t xml:space="preserve">in the </w:t>
      </w:r>
      <w:r w:rsidR="00396EA1" w:rsidRPr="00461D74">
        <w:rPr>
          <w:rFonts w:ascii="Garamond" w:hAnsi="Garamond" w:cstheme="minorHAnsi"/>
          <w:sz w:val="24"/>
          <w:szCs w:val="24"/>
        </w:rPr>
        <w:t xml:space="preserve">era </w:t>
      </w:r>
      <w:r w:rsidRPr="00461D74">
        <w:rPr>
          <w:rFonts w:ascii="Garamond" w:hAnsi="Garamond" w:cstheme="minorHAnsi"/>
          <w:sz w:val="24"/>
          <w:szCs w:val="24"/>
        </w:rPr>
        <w:t xml:space="preserve">of </w:t>
      </w:r>
      <w:r w:rsidR="002B7E33" w:rsidRPr="00461D74">
        <w:rPr>
          <w:rFonts w:ascii="Garamond" w:hAnsi="Garamond" w:cstheme="minorHAnsi"/>
          <w:sz w:val="24"/>
          <w:szCs w:val="24"/>
        </w:rPr>
        <w:t xml:space="preserve">increasing globalisation </w:t>
      </w:r>
      <w:r w:rsidR="00DC30EE" w:rsidRPr="00461D74">
        <w:rPr>
          <w:rFonts w:ascii="Garamond" w:hAnsi="Garamond" w:cstheme="minorHAnsi"/>
          <w:sz w:val="24"/>
          <w:szCs w:val="24"/>
        </w:rPr>
        <w:t xml:space="preserve">(including </w:t>
      </w:r>
      <w:r w:rsidR="002B7E33" w:rsidRPr="00461D74">
        <w:rPr>
          <w:rFonts w:ascii="Garamond" w:hAnsi="Garamond" w:cstheme="minorHAnsi"/>
          <w:sz w:val="24"/>
          <w:szCs w:val="24"/>
        </w:rPr>
        <w:t xml:space="preserve">closer integration </w:t>
      </w:r>
      <w:r w:rsidR="00DC30EE" w:rsidRPr="00461D74">
        <w:rPr>
          <w:rFonts w:ascii="Garamond" w:hAnsi="Garamond" w:cstheme="minorHAnsi"/>
          <w:sz w:val="24"/>
          <w:szCs w:val="24"/>
        </w:rPr>
        <w:t>of</w:t>
      </w:r>
      <w:r w:rsidR="002B7E33" w:rsidRPr="00461D74">
        <w:rPr>
          <w:rFonts w:ascii="Garamond" w:hAnsi="Garamond" w:cstheme="minorHAnsi"/>
          <w:sz w:val="24"/>
          <w:szCs w:val="24"/>
        </w:rPr>
        <w:t xml:space="preserve"> trade</w:t>
      </w:r>
      <w:r w:rsidR="00DC30EE" w:rsidRPr="00461D74">
        <w:rPr>
          <w:rFonts w:ascii="Garamond" w:hAnsi="Garamond" w:cstheme="minorHAnsi"/>
          <w:sz w:val="24"/>
          <w:szCs w:val="24"/>
        </w:rPr>
        <w:t xml:space="preserve"> and legal</w:t>
      </w:r>
      <w:r w:rsidR="002B7E33" w:rsidRPr="00461D74">
        <w:rPr>
          <w:rFonts w:ascii="Garamond" w:hAnsi="Garamond" w:cstheme="minorHAnsi"/>
          <w:sz w:val="24"/>
          <w:szCs w:val="24"/>
        </w:rPr>
        <w:t xml:space="preserve"> </w:t>
      </w:r>
      <w:r w:rsidR="00DC30EE" w:rsidRPr="00461D74">
        <w:rPr>
          <w:rFonts w:ascii="Garamond" w:hAnsi="Garamond" w:cstheme="minorHAnsi"/>
          <w:sz w:val="24"/>
          <w:szCs w:val="24"/>
        </w:rPr>
        <w:t xml:space="preserve">mechanisms for the settlements of disputes often reached through compromise with </w:t>
      </w:r>
      <w:r w:rsidRPr="00461D74">
        <w:rPr>
          <w:rFonts w:ascii="Garamond" w:hAnsi="Garamond" w:cstheme="minorHAnsi"/>
          <w:sz w:val="24"/>
          <w:szCs w:val="24"/>
        </w:rPr>
        <w:t>trans-national conglomerates</w:t>
      </w:r>
      <w:r w:rsidR="00DC30EE" w:rsidRPr="00461D74">
        <w:rPr>
          <w:rFonts w:ascii="Garamond" w:hAnsi="Garamond" w:cstheme="minorHAnsi"/>
          <w:sz w:val="24"/>
          <w:szCs w:val="24"/>
        </w:rPr>
        <w:t>),</w:t>
      </w:r>
      <w:r w:rsidRPr="00461D74">
        <w:rPr>
          <w:rFonts w:ascii="Garamond" w:hAnsi="Garamond" w:cstheme="minorHAnsi"/>
          <w:sz w:val="24"/>
          <w:szCs w:val="24"/>
        </w:rPr>
        <w:t xml:space="preserve"> has </w:t>
      </w:r>
      <w:r w:rsidR="00DC30EE" w:rsidRPr="00461D74">
        <w:rPr>
          <w:rFonts w:ascii="Garamond" w:hAnsi="Garamond" w:cstheme="minorHAnsi"/>
          <w:sz w:val="24"/>
          <w:szCs w:val="24"/>
        </w:rPr>
        <w:t xml:space="preserve">little choice but </w:t>
      </w:r>
      <w:r w:rsidRPr="00461D74">
        <w:rPr>
          <w:rFonts w:ascii="Garamond" w:hAnsi="Garamond" w:cstheme="minorHAnsi"/>
          <w:sz w:val="24"/>
          <w:szCs w:val="24"/>
        </w:rPr>
        <w:t>to restrict the sort of activity that is characteristic of MacIntyre’s communities</w:t>
      </w:r>
      <w:r w:rsidR="003414D4" w:rsidRPr="00461D74">
        <w:rPr>
          <w:rFonts w:ascii="Garamond" w:hAnsi="Garamond" w:cstheme="minorHAnsi"/>
          <w:sz w:val="24"/>
          <w:szCs w:val="24"/>
        </w:rPr>
        <w:t xml:space="preserve"> </w:t>
      </w:r>
      <w:r w:rsidRPr="00461D74">
        <w:rPr>
          <w:rFonts w:ascii="Garamond" w:hAnsi="Garamond" w:cstheme="minorHAnsi"/>
          <w:sz w:val="24"/>
          <w:szCs w:val="24"/>
        </w:rPr>
        <w:t>–</w:t>
      </w:r>
      <w:r w:rsidR="003414D4" w:rsidRPr="00461D74">
        <w:rPr>
          <w:rFonts w:ascii="Garamond" w:hAnsi="Garamond" w:cstheme="minorHAnsi"/>
          <w:sz w:val="24"/>
          <w:szCs w:val="24"/>
        </w:rPr>
        <w:t xml:space="preserve"> </w:t>
      </w:r>
      <w:r w:rsidRPr="00461D74">
        <w:rPr>
          <w:rFonts w:ascii="Garamond" w:hAnsi="Garamond" w:cstheme="minorHAnsi"/>
          <w:sz w:val="24"/>
          <w:szCs w:val="24"/>
        </w:rPr>
        <w:t>that of ongoing deliberations on how to evaluate and arrange the internal and external goods of various social practices</w:t>
      </w:r>
      <w:r w:rsidR="003414D4" w:rsidRPr="00461D74">
        <w:rPr>
          <w:rFonts w:ascii="Garamond" w:hAnsi="Garamond" w:cstheme="minorHAnsi"/>
          <w:sz w:val="24"/>
          <w:szCs w:val="24"/>
        </w:rPr>
        <w:t xml:space="preserve"> </w:t>
      </w:r>
      <w:r w:rsidRPr="00461D74">
        <w:rPr>
          <w:rFonts w:ascii="Garamond" w:hAnsi="Garamond" w:cstheme="minorHAnsi"/>
          <w:sz w:val="24"/>
          <w:szCs w:val="24"/>
        </w:rPr>
        <w:t>–</w:t>
      </w:r>
      <w:r w:rsidR="003414D4" w:rsidRPr="00461D74">
        <w:rPr>
          <w:rFonts w:ascii="Garamond" w:hAnsi="Garamond" w:cstheme="minorHAnsi"/>
          <w:sz w:val="24"/>
          <w:szCs w:val="24"/>
        </w:rPr>
        <w:t xml:space="preserve"> </w:t>
      </w:r>
      <w:r w:rsidR="003010EE">
        <w:rPr>
          <w:rFonts w:ascii="Garamond" w:hAnsi="Garamond" w:cstheme="minorHAnsi"/>
          <w:sz w:val="24"/>
          <w:szCs w:val="24"/>
        </w:rPr>
        <w:t>for the reason that</w:t>
      </w:r>
      <w:r w:rsidR="003010EE" w:rsidRPr="00461D74">
        <w:rPr>
          <w:rFonts w:ascii="Garamond" w:hAnsi="Garamond" w:cstheme="minorHAnsi"/>
          <w:sz w:val="24"/>
          <w:szCs w:val="24"/>
        </w:rPr>
        <w:t xml:space="preserve"> </w:t>
      </w:r>
      <w:r w:rsidRPr="00461D74">
        <w:rPr>
          <w:rFonts w:ascii="Garamond" w:hAnsi="Garamond" w:cstheme="minorHAnsi"/>
          <w:sz w:val="24"/>
          <w:szCs w:val="24"/>
        </w:rPr>
        <w:t xml:space="preserve">some of those activities are accomplished through the market and the institutions of the market economy. The structure of politics in the liberal state is then not only incompatible with the sort of politics advocated by MacIntyre, but the conditions for the realization of MacIntyre’s common good politics </w:t>
      </w:r>
      <w:r w:rsidR="00E75E13">
        <w:rPr>
          <w:rFonts w:ascii="Garamond" w:hAnsi="Garamond" w:cstheme="minorHAnsi"/>
          <w:sz w:val="24"/>
          <w:szCs w:val="24"/>
        </w:rPr>
        <w:t>remain</w:t>
      </w:r>
      <w:r w:rsidR="00E75E13" w:rsidRPr="00461D74">
        <w:rPr>
          <w:rFonts w:ascii="Garamond" w:hAnsi="Garamond" w:cstheme="minorHAnsi"/>
          <w:sz w:val="24"/>
          <w:szCs w:val="24"/>
        </w:rPr>
        <w:t xml:space="preserve"> </w:t>
      </w:r>
      <w:r w:rsidRPr="00461D74">
        <w:rPr>
          <w:rFonts w:ascii="Garamond" w:hAnsi="Garamond" w:cstheme="minorHAnsi"/>
          <w:sz w:val="24"/>
          <w:szCs w:val="24"/>
        </w:rPr>
        <w:t>unrealized.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Lastly, MacIntyre’s common good politics must adhere to some fundamental precepts of natural law. What are such precepts? They are rules against the use of force, lying to, or betraying other members of the community, who are involved in the common enterprise of politics.</w:t>
      </w:r>
      <w:r w:rsidRPr="00461D74">
        <w:rPr>
          <w:rFonts w:ascii="Garamond" w:hAnsi="Garamond" w:cstheme="minorHAnsi"/>
          <w:sz w:val="24"/>
          <w:szCs w:val="24"/>
          <w:vertAlign w:val="superscript"/>
        </w:rPr>
        <w:footnoteReference w:id="323"/>
      </w:r>
      <w:r w:rsidRPr="00461D74">
        <w:rPr>
          <w:rFonts w:ascii="Garamond" w:hAnsi="Garamond" w:cstheme="minorHAnsi"/>
          <w:sz w:val="24"/>
          <w:szCs w:val="24"/>
        </w:rPr>
        <w:t xml:space="preserve"> Put differently, it is a prohibition against engaging in activities that undermine practical reasoning </w:t>
      </w:r>
      <w:r w:rsidR="002A4AA9">
        <w:rPr>
          <w:rFonts w:ascii="Garamond" w:hAnsi="Garamond" w:cstheme="minorHAnsi"/>
          <w:sz w:val="24"/>
          <w:szCs w:val="24"/>
        </w:rPr>
        <w:t>directed towards the realisation of</w:t>
      </w:r>
      <w:r w:rsidRPr="00461D74">
        <w:rPr>
          <w:rFonts w:ascii="Garamond" w:hAnsi="Garamond" w:cstheme="minorHAnsi"/>
          <w:sz w:val="24"/>
          <w:szCs w:val="24"/>
        </w:rPr>
        <w:t xml:space="preserve"> the common good. </w:t>
      </w:r>
      <w:r w:rsidR="00F04758" w:rsidRPr="00461D74">
        <w:rPr>
          <w:rFonts w:ascii="Garamond" w:hAnsi="Garamond" w:cstheme="minorHAnsi"/>
          <w:sz w:val="24"/>
          <w:szCs w:val="24"/>
        </w:rPr>
        <w:t xml:space="preserve">Yet, for MacIntyre, the liberal state </w:t>
      </w:r>
      <w:r w:rsidRPr="00461D74">
        <w:rPr>
          <w:rFonts w:ascii="Garamond" w:hAnsi="Garamond" w:cstheme="minorHAnsi"/>
          <w:sz w:val="24"/>
          <w:szCs w:val="24"/>
        </w:rPr>
        <w:t xml:space="preserve">doesn’t </w:t>
      </w:r>
      <w:r w:rsidR="002A4AA9">
        <w:rPr>
          <w:rFonts w:ascii="Garamond" w:hAnsi="Garamond" w:cstheme="minorHAnsi"/>
          <w:sz w:val="24"/>
          <w:szCs w:val="24"/>
        </w:rPr>
        <w:t>engender</w:t>
      </w:r>
      <w:r w:rsidR="002A4AA9" w:rsidRPr="00461D74">
        <w:rPr>
          <w:rFonts w:ascii="Garamond" w:hAnsi="Garamond" w:cstheme="minorHAnsi"/>
          <w:sz w:val="24"/>
          <w:szCs w:val="24"/>
        </w:rPr>
        <w:t xml:space="preserve"> </w:t>
      </w:r>
      <w:r w:rsidRPr="00461D74">
        <w:rPr>
          <w:rFonts w:ascii="Garamond" w:hAnsi="Garamond" w:cstheme="minorHAnsi"/>
          <w:sz w:val="24"/>
          <w:szCs w:val="24"/>
        </w:rPr>
        <w:t xml:space="preserve">the </w:t>
      </w:r>
      <w:r w:rsidR="00F04758" w:rsidRPr="00461D74">
        <w:rPr>
          <w:rFonts w:ascii="Garamond" w:hAnsi="Garamond" w:cstheme="minorHAnsi"/>
          <w:sz w:val="24"/>
          <w:szCs w:val="24"/>
        </w:rPr>
        <w:t xml:space="preserve">conditions </w:t>
      </w:r>
      <w:r w:rsidR="002F304A" w:rsidRPr="00461D74">
        <w:rPr>
          <w:rFonts w:ascii="Garamond" w:hAnsi="Garamond" w:cstheme="minorHAnsi"/>
          <w:sz w:val="24"/>
          <w:szCs w:val="24"/>
        </w:rPr>
        <w:t>where</w:t>
      </w:r>
      <w:r w:rsidR="00F04758" w:rsidRPr="00461D74">
        <w:rPr>
          <w:rFonts w:ascii="Garamond" w:hAnsi="Garamond" w:cstheme="minorHAnsi"/>
          <w:sz w:val="24"/>
          <w:szCs w:val="24"/>
        </w:rPr>
        <w:t xml:space="preserve"> </w:t>
      </w:r>
      <w:r w:rsidR="009321F9" w:rsidRPr="00461D74">
        <w:rPr>
          <w:rFonts w:ascii="Garamond" w:hAnsi="Garamond" w:cstheme="minorHAnsi"/>
          <w:sz w:val="24"/>
          <w:szCs w:val="24"/>
        </w:rPr>
        <w:t xml:space="preserve">all </w:t>
      </w:r>
      <w:r w:rsidR="00DC30EE" w:rsidRPr="00461D74">
        <w:rPr>
          <w:rFonts w:ascii="Garamond" w:hAnsi="Garamond" w:cstheme="minorHAnsi"/>
          <w:sz w:val="24"/>
          <w:szCs w:val="24"/>
        </w:rPr>
        <w:t xml:space="preserve">individuals are </w:t>
      </w:r>
      <w:r w:rsidR="009321F9" w:rsidRPr="00461D74">
        <w:rPr>
          <w:rFonts w:ascii="Garamond" w:hAnsi="Garamond" w:cstheme="minorHAnsi"/>
          <w:sz w:val="24"/>
          <w:szCs w:val="24"/>
        </w:rPr>
        <w:t>capable of effective and productive</w:t>
      </w:r>
      <w:r w:rsidR="00F04758" w:rsidRPr="00461D74">
        <w:rPr>
          <w:rFonts w:ascii="Garamond" w:hAnsi="Garamond" w:cstheme="minorHAnsi"/>
          <w:sz w:val="24"/>
          <w:szCs w:val="24"/>
        </w:rPr>
        <w:t xml:space="preserve"> engage</w:t>
      </w:r>
      <w:r w:rsidR="009321F9" w:rsidRPr="00461D74">
        <w:rPr>
          <w:rFonts w:ascii="Garamond" w:hAnsi="Garamond" w:cstheme="minorHAnsi"/>
          <w:sz w:val="24"/>
          <w:szCs w:val="24"/>
        </w:rPr>
        <w:t>ment</w:t>
      </w:r>
      <w:r w:rsidR="00F04758" w:rsidRPr="00461D74">
        <w:rPr>
          <w:rFonts w:ascii="Garamond" w:hAnsi="Garamond" w:cstheme="minorHAnsi"/>
          <w:sz w:val="24"/>
          <w:szCs w:val="24"/>
        </w:rPr>
        <w:t xml:space="preserve"> in</w:t>
      </w:r>
      <w:r w:rsidR="009321F9" w:rsidRPr="00461D74">
        <w:rPr>
          <w:rFonts w:ascii="Garamond" w:hAnsi="Garamond" w:cstheme="minorHAnsi"/>
          <w:sz w:val="24"/>
          <w:szCs w:val="24"/>
        </w:rPr>
        <w:t xml:space="preserve"> the</w:t>
      </w:r>
      <w:r w:rsidR="00F04758" w:rsidRPr="00461D74">
        <w:rPr>
          <w:rFonts w:ascii="Garamond" w:hAnsi="Garamond" w:cstheme="minorHAnsi"/>
          <w:sz w:val="24"/>
          <w:szCs w:val="24"/>
        </w:rPr>
        <w:t xml:space="preserve"> </w:t>
      </w:r>
      <w:r w:rsidRPr="00461D74">
        <w:rPr>
          <w:rFonts w:ascii="Garamond" w:hAnsi="Garamond" w:cstheme="minorHAnsi"/>
          <w:sz w:val="24"/>
          <w:szCs w:val="24"/>
        </w:rPr>
        <w:t>politic</w:t>
      </w:r>
      <w:r w:rsidR="009321F9" w:rsidRPr="00461D74">
        <w:rPr>
          <w:rFonts w:ascii="Garamond" w:hAnsi="Garamond" w:cstheme="minorHAnsi"/>
          <w:sz w:val="24"/>
          <w:szCs w:val="24"/>
        </w:rPr>
        <w:t xml:space="preserve">al </w:t>
      </w:r>
      <w:r w:rsidRPr="00461D74">
        <w:rPr>
          <w:rFonts w:ascii="Garamond" w:hAnsi="Garamond" w:cstheme="minorHAnsi"/>
          <w:sz w:val="24"/>
          <w:szCs w:val="24"/>
        </w:rPr>
        <w:t>s</w:t>
      </w:r>
      <w:r w:rsidR="009321F9" w:rsidRPr="00461D74">
        <w:rPr>
          <w:rFonts w:ascii="Garamond" w:hAnsi="Garamond" w:cstheme="minorHAnsi"/>
          <w:sz w:val="24"/>
          <w:szCs w:val="24"/>
        </w:rPr>
        <w:t>ystem,</w:t>
      </w:r>
      <w:r w:rsidRPr="00461D74">
        <w:rPr>
          <w:rFonts w:ascii="Garamond" w:hAnsi="Garamond" w:cstheme="minorHAnsi"/>
          <w:sz w:val="24"/>
          <w:szCs w:val="24"/>
        </w:rPr>
        <w:t xml:space="preserve"> without abandoning at least some of th</w:t>
      </w:r>
      <w:r w:rsidR="00F04758" w:rsidRPr="00461D74">
        <w:rPr>
          <w:rFonts w:ascii="Garamond" w:hAnsi="Garamond" w:cstheme="minorHAnsi"/>
          <w:sz w:val="24"/>
          <w:szCs w:val="24"/>
        </w:rPr>
        <w:t>os</w:t>
      </w:r>
      <w:r w:rsidRPr="00461D74">
        <w:rPr>
          <w:rFonts w:ascii="Garamond" w:hAnsi="Garamond" w:cstheme="minorHAnsi"/>
          <w:sz w:val="24"/>
          <w:szCs w:val="24"/>
        </w:rPr>
        <w:t>e precepts.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MacIntyre also rejects the other possibility, that of a state appealing to some non-neutral conception of the good. MacIntyre believes that a non-neutral state that pursues some substantive conception of the good, a position that </w:t>
      </w:r>
      <w:r w:rsidR="00D1782C" w:rsidRPr="00461D74">
        <w:rPr>
          <w:rFonts w:ascii="Garamond" w:hAnsi="Garamond" w:cstheme="minorHAnsi"/>
          <w:sz w:val="24"/>
          <w:szCs w:val="24"/>
        </w:rPr>
        <w:t xml:space="preserve">is parallel to </w:t>
      </w:r>
      <w:r w:rsidRPr="00461D74">
        <w:rPr>
          <w:rFonts w:ascii="Garamond" w:hAnsi="Garamond" w:cstheme="minorHAnsi"/>
          <w:sz w:val="24"/>
          <w:szCs w:val="24"/>
        </w:rPr>
        <w:t xml:space="preserve">some communitarian </w:t>
      </w:r>
      <w:r w:rsidR="00D1782C" w:rsidRPr="00461D74">
        <w:rPr>
          <w:rFonts w:ascii="Garamond" w:hAnsi="Garamond" w:cstheme="minorHAnsi"/>
          <w:sz w:val="24"/>
          <w:szCs w:val="24"/>
        </w:rPr>
        <w:t>accounts</w:t>
      </w:r>
      <w:r w:rsidRPr="00461D74">
        <w:rPr>
          <w:rFonts w:ascii="Garamond" w:hAnsi="Garamond" w:cstheme="minorHAnsi"/>
          <w:sz w:val="24"/>
          <w:szCs w:val="24"/>
        </w:rPr>
        <w:t>,</w:t>
      </w:r>
      <w:r w:rsidR="002A4AA9" w:rsidRPr="00461D74">
        <w:rPr>
          <w:rStyle w:val="FootnoteReference"/>
          <w:rFonts w:ascii="Garamond" w:hAnsi="Garamond" w:cstheme="minorHAnsi"/>
          <w:sz w:val="24"/>
          <w:szCs w:val="24"/>
        </w:rPr>
        <w:footnoteReference w:id="324"/>
      </w:r>
      <w:r w:rsidRPr="00461D74">
        <w:rPr>
          <w:rFonts w:ascii="Garamond" w:hAnsi="Garamond" w:cstheme="minorHAnsi"/>
          <w:sz w:val="24"/>
          <w:szCs w:val="24"/>
        </w:rPr>
        <w:t xml:space="preserve"> can </w:t>
      </w:r>
      <w:r w:rsidR="00A15BEC">
        <w:rPr>
          <w:rFonts w:ascii="Garamond" w:hAnsi="Garamond" w:cstheme="minorHAnsi"/>
          <w:sz w:val="24"/>
          <w:szCs w:val="24"/>
        </w:rPr>
        <w:t>precipitate</w:t>
      </w:r>
      <w:r w:rsidR="00A15BEC" w:rsidRPr="00461D74">
        <w:rPr>
          <w:rFonts w:ascii="Garamond" w:hAnsi="Garamond" w:cstheme="minorHAnsi"/>
          <w:sz w:val="24"/>
          <w:szCs w:val="24"/>
        </w:rPr>
        <w:t xml:space="preserve"> </w:t>
      </w:r>
      <w:r w:rsidRPr="00461D74">
        <w:rPr>
          <w:rFonts w:ascii="Garamond" w:hAnsi="Garamond" w:cstheme="minorHAnsi"/>
          <w:sz w:val="24"/>
          <w:szCs w:val="24"/>
        </w:rPr>
        <w:t xml:space="preserve">the evils </w:t>
      </w:r>
      <w:r w:rsidR="00CF11D8">
        <w:rPr>
          <w:rFonts w:ascii="Garamond" w:hAnsi="Garamond" w:cstheme="minorHAnsi"/>
          <w:sz w:val="24"/>
          <w:szCs w:val="24"/>
        </w:rPr>
        <w:t>normally associated with</w:t>
      </w:r>
      <w:r w:rsidRPr="00461D74">
        <w:rPr>
          <w:rFonts w:ascii="Garamond" w:hAnsi="Garamond" w:cstheme="minorHAnsi"/>
          <w:sz w:val="24"/>
          <w:szCs w:val="24"/>
        </w:rPr>
        <w:t xml:space="preserve"> totalitarianism. Why? For the important reason that on MacIntyre’s account, </w:t>
      </w:r>
      <w:r w:rsidR="000B4E77">
        <w:rPr>
          <w:rFonts w:ascii="Garamond" w:hAnsi="Garamond" w:cstheme="minorHAnsi"/>
          <w:sz w:val="24"/>
          <w:szCs w:val="24"/>
        </w:rPr>
        <w:t>a top-down</w:t>
      </w:r>
      <w:r w:rsidR="000B4E77" w:rsidRPr="00461D74">
        <w:rPr>
          <w:rFonts w:ascii="Garamond" w:hAnsi="Garamond" w:cstheme="minorHAnsi"/>
          <w:sz w:val="24"/>
          <w:szCs w:val="24"/>
        </w:rPr>
        <w:t xml:space="preserve"> </w:t>
      </w:r>
      <w:r w:rsidRPr="00461D74">
        <w:rPr>
          <w:rFonts w:ascii="Garamond" w:hAnsi="Garamond" w:cstheme="minorHAnsi"/>
          <w:sz w:val="24"/>
          <w:szCs w:val="24"/>
        </w:rPr>
        <w:t xml:space="preserve">imposition of a </w:t>
      </w:r>
      <w:r w:rsidR="000B4E77">
        <w:rPr>
          <w:rFonts w:ascii="Garamond" w:hAnsi="Garamond" w:cstheme="minorHAnsi"/>
          <w:sz w:val="24"/>
          <w:szCs w:val="24"/>
        </w:rPr>
        <w:t xml:space="preserve">first-order </w:t>
      </w:r>
      <w:r w:rsidRPr="00461D74">
        <w:rPr>
          <w:rFonts w:ascii="Garamond" w:hAnsi="Garamond" w:cstheme="minorHAnsi"/>
          <w:sz w:val="24"/>
          <w:szCs w:val="24"/>
        </w:rPr>
        <w:t xml:space="preserve">conception of the good by the state is intolerable since the decision making processes at the level of the state are isolated from procedures of rational inquiry – that of moral and political deliberations conducted at the </w:t>
      </w:r>
      <w:r w:rsidR="00D77645" w:rsidRPr="00461D74">
        <w:rPr>
          <w:rFonts w:ascii="Garamond" w:hAnsi="Garamond" w:cstheme="minorHAnsi"/>
          <w:sz w:val="24"/>
          <w:szCs w:val="24"/>
        </w:rPr>
        <w:t xml:space="preserve">level of </w:t>
      </w:r>
      <w:r w:rsidRPr="00461D74">
        <w:rPr>
          <w:rFonts w:ascii="Garamond" w:hAnsi="Garamond" w:cstheme="minorHAnsi"/>
          <w:sz w:val="24"/>
          <w:szCs w:val="24"/>
        </w:rPr>
        <w:t xml:space="preserve">individual </w:t>
      </w:r>
      <w:r w:rsidR="00D77645" w:rsidRPr="00461D74">
        <w:rPr>
          <w:rFonts w:ascii="Garamond" w:hAnsi="Garamond" w:cstheme="minorHAnsi"/>
          <w:sz w:val="24"/>
          <w:szCs w:val="24"/>
        </w:rPr>
        <w:t>participants</w:t>
      </w:r>
      <w:r w:rsidR="000B4E77">
        <w:rPr>
          <w:rFonts w:ascii="Garamond" w:hAnsi="Garamond" w:cstheme="minorHAnsi"/>
          <w:sz w:val="24"/>
          <w:szCs w:val="24"/>
        </w:rPr>
        <w:t xml:space="preserve"> in the context of small-scale political associations</w:t>
      </w:r>
      <w:r w:rsidRPr="00461D74">
        <w:rPr>
          <w:rFonts w:ascii="Garamond" w:hAnsi="Garamond" w:cstheme="minorHAnsi"/>
          <w:sz w:val="24"/>
          <w:szCs w:val="24"/>
        </w:rPr>
        <w:t xml:space="preserve">. This is unacceptable </w:t>
      </w:r>
      <w:r w:rsidR="00D77645" w:rsidRPr="00461D74">
        <w:rPr>
          <w:rFonts w:ascii="Garamond" w:hAnsi="Garamond" w:cstheme="minorHAnsi"/>
          <w:sz w:val="24"/>
          <w:szCs w:val="24"/>
        </w:rPr>
        <w:t xml:space="preserve">on </w:t>
      </w:r>
      <w:r w:rsidRPr="00461D74">
        <w:rPr>
          <w:rFonts w:ascii="Garamond" w:hAnsi="Garamond" w:cstheme="minorHAnsi"/>
          <w:sz w:val="24"/>
          <w:szCs w:val="24"/>
        </w:rPr>
        <w:t xml:space="preserve">MacIntyre’s Aristotelian view, for the common good is realized </w:t>
      </w:r>
      <w:r w:rsidR="000B4E77">
        <w:rPr>
          <w:rFonts w:ascii="Garamond" w:hAnsi="Garamond" w:cstheme="minorHAnsi"/>
          <w:sz w:val="24"/>
          <w:szCs w:val="24"/>
        </w:rPr>
        <w:t>on account of</w:t>
      </w:r>
      <w:r w:rsidR="000B4E77" w:rsidRPr="00461D74">
        <w:rPr>
          <w:rFonts w:ascii="Garamond" w:hAnsi="Garamond" w:cstheme="minorHAnsi"/>
          <w:sz w:val="24"/>
          <w:szCs w:val="24"/>
        </w:rPr>
        <w:t xml:space="preserve"> </w:t>
      </w:r>
      <w:r w:rsidRPr="00461D74">
        <w:rPr>
          <w:rFonts w:ascii="Garamond" w:hAnsi="Garamond" w:cstheme="minorHAnsi"/>
          <w:sz w:val="24"/>
          <w:szCs w:val="24"/>
        </w:rPr>
        <w:t>the discussion</w:t>
      </w:r>
      <w:r w:rsidR="000B4E77">
        <w:rPr>
          <w:rFonts w:ascii="Garamond" w:hAnsi="Garamond" w:cstheme="minorHAnsi"/>
          <w:sz w:val="24"/>
          <w:szCs w:val="24"/>
        </w:rPr>
        <w:t>s</w:t>
      </w:r>
      <w:r w:rsidRPr="00461D74">
        <w:rPr>
          <w:rFonts w:ascii="Garamond" w:hAnsi="Garamond" w:cstheme="minorHAnsi"/>
          <w:sz w:val="24"/>
          <w:szCs w:val="24"/>
        </w:rPr>
        <w:t xml:space="preserve"> individuals </w:t>
      </w:r>
      <w:r w:rsidR="000B4E77">
        <w:rPr>
          <w:rFonts w:ascii="Garamond" w:hAnsi="Garamond" w:cstheme="minorHAnsi"/>
          <w:sz w:val="24"/>
          <w:szCs w:val="24"/>
        </w:rPr>
        <w:t>undertake in</w:t>
      </w:r>
      <w:r w:rsidRPr="00461D74">
        <w:rPr>
          <w:rFonts w:ascii="Garamond" w:hAnsi="Garamond" w:cstheme="minorHAnsi"/>
          <w:sz w:val="24"/>
          <w:szCs w:val="24"/>
        </w:rPr>
        <w:t xml:space="preserve"> their community, </w:t>
      </w:r>
      <w:r w:rsidR="000B4E77">
        <w:rPr>
          <w:rFonts w:ascii="Garamond" w:hAnsi="Garamond" w:cstheme="minorHAnsi"/>
          <w:sz w:val="24"/>
          <w:szCs w:val="24"/>
        </w:rPr>
        <w:t>for the purpose of</w:t>
      </w:r>
      <w:r w:rsidRPr="00461D74">
        <w:rPr>
          <w:rFonts w:ascii="Garamond" w:hAnsi="Garamond" w:cstheme="minorHAnsi"/>
          <w:sz w:val="24"/>
          <w:szCs w:val="24"/>
        </w:rPr>
        <w:t xml:space="preserve"> rank</w:t>
      </w:r>
      <w:r w:rsidR="009A22DD">
        <w:rPr>
          <w:rFonts w:ascii="Garamond" w:hAnsi="Garamond" w:cstheme="minorHAnsi"/>
          <w:sz w:val="24"/>
          <w:szCs w:val="24"/>
        </w:rPr>
        <w:t>ing</w:t>
      </w:r>
      <w:r w:rsidRPr="00461D74">
        <w:rPr>
          <w:rFonts w:ascii="Garamond" w:hAnsi="Garamond" w:cstheme="minorHAnsi"/>
          <w:sz w:val="24"/>
          <w:szCs w:val="24"/>
        </w:rPr>
        <w:t xml:space="preserve"> the goods </w:t>
      </w:r>
      <w:r w:rsidR="009A22DD">
        <w:rPr>
          <w:rFonts w:ascii="Garamond" w:hAnsi="Garamond" w:cstheme="minorHAnsi"/>
          <w:sz w:val="24"/>
          <w:szCs w:val="24"/>
        </w:rPr>
        <w:t>derived from</w:t>
      </w:r>
      <w:r w:rsidR="009A22DD" w:rsidRPr="00461D74">
        <w:rPr>
          <w:rFonts w:ascii="Garamond" w:hAnsi="Garamond" w:cstheme="minorHAnsi"/>
          <w:sz w:val="24"/>
          <w:szCs w:val="24"/>
        </w:rPr>
        <w:t xml:space="preserve"> </w:t>
      </w:r>
      <w:r w:rsidR="009A22DD">
        <w:rPr>
          <w:rFonts w:ascii="Garamond" w:hAnsi="Garamond" w:cstheme="minorHAnsi"/>
          <w:sz w:val="24"/>
          <w:szCs w:val="24"/>
        </w:rPr>
        <w:t>a range of</w:t>
      </w:r>
      <w:r w:rsidR="009A22DD" w:rsidRPr="00461D74">
        <w:rPr>
          <w:rFonts w:ascii="Garamond" w:hAnsi="Garamond" w:cstheme="minorHAnsi"/>
          <w:sz w:val="24"/>
          <w:szCs w:val="24"/>
        </w:rPr>
        <w:t xml:space="preserve"> </w:t>
      </w:r>
      <w:r w:rsidRPr="00461D74">
        <w:rPr>
          <w:rFonts w:ascii="Garamond" w:hAnsi="Garamond" w:cstheme="minorHAnsi"/>
          <w:sz w:val="24"/>
          <w:szCs w:val="24"/>
        </w:rPr>
        <w:t xml:space="preserve">practices; </w:t>
      </w:r>
      <w:r w:rsidR="009A22DD">
        <w:rPr>
          <w:rFonts w:ascii="Garamond" w:hAnsi="Garamond" w:cstheme="minorHAnsi"/>
          <w:sz w:val="24"/>
          <w:szCs w:val="24"/>
        </w:rPr>
        <w:t>therefore, a</w:t>
      </w:r>
      <w:r w:rsidRPr="00461D74">
        <w:rPr>
          <w:rFonts w:ascii="Garamond" w:hAnsi="Garamond" w:cstheme="minorHAnsi"/>
          <w:sz w:val="24"/>
          <w:szCs w:val="24"/>
        </w:rPr>
        <w:t xml:space="preserve"> politics of the common good </w:t>
      </w:r>
      <w:r w:rsidR="009A22DD">
        <w:rPr>
          <w:rFonts w:ascii="Garamond" w:hAnsi="Garamond" w:cstheme="minorHAnsi"/>
          <w:sz w:val="24"/>
          <w:szCs w:val="24"/>
        </w:rPr>
        <w:t>must</w:t>
      </w:r>
      <w:r w:rsidR="00D77645" w:rsidRPr="00461D74">
        <w:rPr>
          <w:rFonts w:ascii="Garamond" w:hAnsi="Garamond" w:cstheme="minorHAnsi"/>
          <w:sz w:val="24"/>
          <w:szCs w:val="24"/>
        </w:rPr>
        <w:t xml:space="preserve"> meet this condition</w:t>
      </w:r>
      <w:r w:rsidRPr="00461D74">
        <w:rPr>
          <w:rFonts w:ascii="Garamond" w:hAnsi="Garamond" w:cstheme="minorHAnsi"/>
          <w:sz w:val="24"/>
          <w:szCs w:val="24"/>
        </w:rPr>
        <w:t xml:space="preserve">. </w:t>
      </w:r>
      <w:r w:rsidR="00280194">
        <w:rPr>
          <w:rFonts w:ascii="Garamond" w:hAnsi="Garamond" w:cstheme="minorHAnsi"/>
          <w:sz w:val="24"/>
          <w:szCs w:val="24"/>
        </w:rPr>
        <w:t>Now, i</w:t>
      </w:r>
      <w:r w:rsidRPr="00461D74">
        <w:rPr>
          <w:rFonts w:ascii="Garamond" w:hAnsi="Garamond" w:cstheme="minorHAnsi"/>
          <w:sz w:val="24"/>
          <w:szCs w:val="24"/>
        </w:rPr>
        <w:t xml:space="preserve">f </w:t>
      </w:r>
      <w:r w:rsidR="00280194">
        <w:rPr>
          <w:rFonts w:ascii="Garamond" w:hAnsi="Garamond" w:cstheme="minorHAnsi"/>
          <w:sz w:val="24"/>
          <w:szCs w:val="24"/>
        </w:rPr>
        <w:t>a (top-down)</w:t>
      </w:r>
      <w:r w:rsidR="00280194" w:rsidRPr="00461D74">
        <w:rPr>
          <w:rFonts w:ascii="Garamond" w:hAnsi="Garamond" w:cstheme="minorHAnsi"/>
          <w:sz w:val="24"/>
          <w:szCs w:val="24"/>
        </w:rPr>
        <w:t xml:space="preserve"> </w:t>
      </w:r>
      <w:r w:rsidRPr="00461D74">
        <w:rPr>
          <w:rFonts w:ascii="Garamond" w:hAnsi="Garamond" w:cstheme="minorHAnsi"/>
          <w:sz w:val="24"/>
          <w:szCs w:val="24"/>
        </w:rPr>
        <w:t xml:space="preserve">conception of the good is imposed </w:t>
      </w:r>
      <w:r w:rsidR="00280194">
        <w:rPr>
          <w:rFonts w:ascii="Garamond" w:hAnsi="Garamond" w:cstheme="minorHAnsi"/>
          <w:sz w:val="24"/>
          <w:szCs w:val="24"/>
        </w:rPr>
        <w:t>and enforced on the citizenry</w:t>
      </w:r>
      <w:r w:rsidRPr="00461D74">
        <w:rPr>
          <w:rFonts w:ascii="Garamond" w:hAnsi="Garamond" w:cstheme="minorHAnsi"/>
          <w:sz w:val="24"/>
          <w:szCs w:val="24"/>
        </w:rPr>
        <w:t xml:space="preserve">, </w:t>
      </w:r>
      <w:r w:rsidR="00280194">
        <w:rPr>
          <w:rFonts w:ascii="Garamond" w:hAnsi="Garamond" w:cstheme="minorHAnsi"/>
          <w:sz w:val="24"/>
          <w:szCs w:val="24"/>
        </w:rPr>
        <w:t xml:space="preserve">members of the community will have little </w:t>
      </w:r>
      <w:r w:rsidRPr="00461D74">
        <w:rPr>
          <w:rFonts w:ascii="Garamond" w:hAnsi="Garamond" w:cstheme="minorHAnsi"/>
          <w:sz w:val="24"/>
          <w:szCs w:val="24"/>
        </w:rPr>
        <w:t xml:space="preserve">opportunity </w:t>
      </w:r>
      <w:r w:rsidR="0001615F">
        <w:rPr>
          <w:rFonts w:ascii="Garamond" w:hAnsi="Garamond" w:cstheme="minorHAnsi"/>
          <w:sz w:val="24"/>
          <w:szCs w:val="24"/>
        </w:rPr>
        <w:t xml:space="preserve">to realise </w:t>
      </w:r>
      <w:r w:rsidR="00280194">
        <w:rPr>
          <w:rFonts w:ascii="Garamond" w:hAnsi="Garamond" w:cstheme="minorHAnsi"/>
          <w:sz w:val="24"/>
          <w:szCs w:val="24"/>
        </w:rPr>
        <w:t>their</w:t>
      </w:r>
      <w:r w:rsidRPr="00461D74">
        <w:rPr>
          <w:rFonts w:ascii="Garamond" w:hAnsi="Garamond" w:cstheme="minorHAnsi"/>
          <w:sz w:val="24"/>
          <w:szCs w:val="24"/>
        </w:rPr>
        <w:t xml:space="preserve"> good</w:t>
      </w:r>
      <w:r w:rsidR="0001615F">
        <w:rPr>
          <w:rFonts w:ascii="Garamond" w:hAnsi="Garamond" w:cstheme="minorHAnsi"/>
          <w:sz w:val="24"/>
          <w:szCs w:val="24"/>
        </w:rPr>
        <w:t>, since</w:t>
      </w:r>
      <w:r w:rsidRPr="00461D74">
        <w:rPr>
          <w:rFonts w:ascii="Garamond" w:hAnsi="Garamond" w:cstheme="minorHAnsi"/>
          <w:sz w:val="24"/>
          <w:szCs w:val="24"/>
        </w:rPr>
        <w:t xml:space="preserve"> the process of practical reasoning is frustrated by state oppression.</w:t>
      </w:r>
      <w:r w:rsidRPr="00461D74">
        <w:rPr>
          <w:rFonts w:ascii="Garamond" w:hAnsi="Garamond" w:cstheme="minorHAnsi"/>
          <w:sz w:val="24"/>
          <w:szCs w:val="24"/>
          <w:vertAlign w:val="superscript"/>
        </w:rPr>
        <w:footnoteReference w:id="325"/>
      </w:r>
    </w:p>
    <w:p w:rsidR="00665157" w:rsidRDefault="00D77645">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rPr>
        <w:t xml:space="preserve">Thus far, we have observed that </w:t>
      </w:r>
      <w:r w:rsidR="00016049" w:rsidRPr="00461D74">
        <w:rPr>
          <w:rFonts w:ascii="Garamond" w:hAnsi="Garamond" w:cstheme="minorHAnsi"/>
          <w:sz w:val="24"/>
          <w:szCs w:val="24"/>
        </w:rPr>
        <w:t>MacIntyre’s account suggest</w:t>
      </w:r>
      <w:r w:rsidRPr="00461D74">
        <w:rPr>
          <w:rFonts w:ascii="Garamond" w:hAnsi="Garamond" w:cstheme="minorHAnsi"/>
          <w:sz w:val="24"/>
          <w:szCs w:val="24"/>
        </w:rPr>
        <w:t>s</w:t>
      </w:r>
      <w:r w:rsidR="00016049" w:rsidRPr="00461D74">
        <w:rPr>
          <w:rFonts w:ascii="Garamond" w:hAnsi="Garamond" w:cstheme="minorHAnsi"/>
          <w:sz w:val="24"/>
          <w:szCs w:val="24"/>
        </w:rPr>
        <w:t xml:space="preserve"> that the neutral liberal state</w:t>
      </w:r>
      <w:r w:rsidR="006045C4">
        <w:rPr>
          <w:rFonts w:ascii="Garamond" w:hAnsi="Garamond" w:cstheme="minorHAnsi"/>
          <w:sz w:val="24"/>
          <w:szCs w:val="24"/>
        </w:rPr>
        <w:t xml:space="preserve">’s attempt at advancing </w:t>
      </w:r>
      <w:r w:rsidR="00016049" w:rsidRPr="00461D74">
        <w:rPr>
          <w:rFonts w:ascii="Garamond" w:hAnsi="Garamond" w:cstheme="minorHAnsi"/>
          <w:sz w:val="24"/>
          <w:szCs w:val="24"/>
        </w:rPr>
        <w:t xml:space="preserve">an account of allegiance to a political authority </w:t>
      </w:r>
      <w:r w:rsidR="006045C4">
        <w:rPr>
          <w:rFonts w:ascii="Garamond" w:hAnsi="Garamond" w:cstheme="minorHAnsi"/>
          <w:sz w:val="24"/>
          <w:szCs w:val="24"/>
        </w:rPr>
        <w:t xml:space="preserve">is frustrated, </w:t>
      </w:r>
      <w:r w:rsidR="00016049" w:rsidRPr="00461D74">
        <w:rPr>
          <w:rFonts w:ascii="Garamond" w:hAnsi="Garamond" w:cstheme="minorHAnsi"/>
          <w:sz w:val="24"/>
          <w:szCs w:val="24"/>
        </w:rPr>
        <w:t xml:space="preserve">because its thin account of public interest lacks a more substantive notion of </w:t>
      </w:r>
      <w:r w:rsidRPr="00461D74">
        <w:rPr>
          <w:rFonts w:ascii="Garamond" w:hAnsi="Garamond" w:cstheme="minorHAnsi"/>
          <w:sz w:val="24"/>
          <w:szCs w:val="24"/>
        </w:rPr>
        <w:t xml:space="preserve">common </w:t>
      </w:r>
      <w:r w:rsidR="00016049" w:rsidRPr="00461D74">
        <w:rPr>
          <w:rFonts w:ascii="Garamond" w:hAnsi="Garamond" w:cstheme="minorHAnsi"/>
          <w:sz w:val="24"/>
          <w:szCs w:val="24"/>
        </w:rPr>
        <w:t>good not found</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our contemporary </w:t>
      </w:r>
      <w:r w:rsidRPr="00461D74">
        <w:rPr>
          <w:rFonts w:ascii="Garamond" w:hAnsi="Garamond" w:cstheme="minorHAnsi"/>
          <w:sz w:val="24"/>
          <w:szCs w:val="24"/>
        </w:rPr>
        <w:t xml:space="preserve">liberal </w:t>
      </w:r>
      <w:r w:rsidR="00016049" w:rsidRPr="00461D74">
        <w:rPr>
          <w:rFonts w:ascii="Garamond" w:hAnsi="Garamond" w:cstheme="minorHAnsi"/>
          <w:sz w:val="24"/>
          <w:szCs w:val="24"/>
        </w:rPr>
        <w:t xml:space="preserve">social </w:t>
      </w:r>
      <w:r w:rsidRPr="00461D74">
        <w:rPr>
          <w:rFonts w:ascii="Garamond" w:hAnsi="Garamond" w:cstheme="minorHAnsi"/>
          <w:sz w:val="24"/>
          <w:szCs w:val="24"/>
        </w:rPr>
        <w:t xml:space="preserve">context, </w:t>
      </w:r>
      <w:r w:rsidR="00016049" w:rsidRPr="00461D74">
        <w:rPr>
          <w:rFonts w:ascii="Garamond" w:hAnsi="Garamond" w:cstheme="minorHAnsi"/>
          <w:sz w:val="24"/>
          <w:szCs w:val="24"/>
        </w:rPr>
        <w:t xml:space="preserve">and large scale political </w:t>
      </w:r>
      <w:r w:rsidRPr="00461D74">
        <w:rPr>
          <w:rFonts w:ascii="Garamond" w:hAnsi="Garamond" w:cstheme="minorHAnsi"/>
          <w:sz w:val="24"/>
          <w:szCs w:val="24"/>
        </w:rPr>
        <w:t>structures and institutions</w:t>
      </w:r>
      <w:r w:rsidR="00016049" w:rsidRPr="00461D74">
        <w:rPr>
          <w:rFonts w:ascii="Garamond" w:hAnsi="Garamond" w:cstheme="minorHAnsi"/>
          <w:sz w:val="24"/>
          <w:szCs w:val="24"/>
        </w:rPr>
        <w:t>.</w:t>
      </w:r>
      <w:r w:rsidR="00016049" w:rsidRPr="00461D74">
        <w:rPr>
          <w:rFonts w:ascii="Garamond" w:hAnsi="Garamond" w:cstheme="minorHAnsi"/>
          <w:sz w:val="24"/>
          <w:szCs w:val="24"/>
          <w:vertAlign w:val="superscript"/>
        </w:rPr>
        <w:footnoteReference w:id="326"/>
      </w:r>
      <w:r w:rsidR="00016049" w:rsidRPr="00461D74">
        <w:rPr>
          <w:rFonts w:ascii="Garamond" w:hAnsi="Garamond" w:cstheme="minorHAnsi"/>
          <w:sz w:val="24"/>
          <w:szCs w:val="24"/>
        </w:rPr>
        <w:t xml:space="preserve"> What is implicit in this critique is that the condition for practical deliberation by individual members of the community does not exist, and so efforts to arrive at a substantive conception of the good</w:t>
      </w:r>
      <w:r w:rsidR="006045C4">
        <w:rPr>
          <w:rFonts w:ascii="Garamond" w:hAnsi="Garamond" w:cstheme="minorHAnsi"/>
          <w:sz w:val="24"/>
          <w:szCs w:val="24"/>
        </w:rPr>
        <w:t>,</w:t>
      </w:r>
      <w:r w:rsidR="00016049" w:rsidRPr="00461D74">
        <w:rPr>
          <w:rFonts w:ascii="Garamond" w:hAnsi="Garamond" w:cstheme="minorHAnsi"/>
          <w:sz w:val="24"/>
          <w:szCs w:val="24"/>
        </w:rPr>
        <w:t xml:space="preserve"> and </w:t>
      </w:r>
      <w:r w:rsidR="006045C4">
        <w:rPr>
          <w:rFonts w:ascii="Garamond" w:hAnsi="Garamond" w:cstheme="minorHAnsi"/>
          <w:sz w:val="24"/>
          <w:szCs w:val="24"/>
        </w:rPr>
        <w:t>attempts to</w:t>
      </w:r>
      <w:r w:rsidR="006045C4" w:rsidRPr="00461D74">
        <w:rPr>
          <w:rFonts w:ascii="Garamond" w:hAnsi="Garamond" w:cstheme="minorHAnsi"/>
          <w:sz w:val="24"/>
          <w:szCs w:val="24"/>
        </w:rPr>
        <w:t xml:space="preserve"> </w:t>
      </w:r>
      <w:r w:rsidR="00016049" w:rsidRPr="00461D74">
        <w:rPr>
          <w:rFonts w:ascii="Garamond" w:hAnsi="Garamond" w:cstheme="minorHAnsi"/>
          <w:sz w:val="24"/>
          <w:szCs w:val="24"/>
        </w:rPr>
        <w:t>order</w:t>
      </w:r>
      <w:r w:rsidR="006045C4">
        <w:rPr>
          <w:rFonts w:ascii="Garamond" w:hAnsi="Garamond" w:cstheme="minorHAnsi"/>
          <w:sz w:val="24"/>
          <w:szCs w:val="24"/>
        </w:rPr>
        <w:t xml:space="preserve"> the</w:t>
      </w:r>
      <w:r w:rsidR="00016049" w:rsidRPr="00461D74">
        <w:rPr>
          <w:rFonts w:ascii="Garamond" w:hAnsi="Garamond" w:cstheme="minorHAnsi"/>
          <w:sz w:val="24"/>
          <w:szCs w:val="24"/>
        </w:rPr>
        <w:t xml:space="preserve"> various goods </w:t>
      </w:r>
      <w:r w:rsidR="006045C4">
        <w:rPr>
          <w:rFonts w:ascii="Garamond" w:hAnsi="Garamond" w:cstheme="minorHAnsi"/>
          <w:sz w:val="24"/>
          <w:szCs w:val="24"/>
        </w:rPr>
        <w:t xml:space="preserve">of practices </w:t>
      </w:r>
      <w:r w:rsidR="003B4B9C" w:rsidRPr="00461D74">
        <w:rPr>
          <w:rFonts w:ascii="Garamond" w:hAnsi="Garamond" w:cstheme="minorHAnsi"/>
          <w:sz w:val="24"/>
          <w:szCs w:val="24"/>
        </w:rPr>
        <w:t xml:space="preserve">for </w:t>
      </w:r>
      <w:r w:rsidR="003B4B9C" w:rsidRPr="00461D74">
        <w:rPr>
          <w:rFonts w:ascii="Garamond" w:hAnsi="Garamond" w:cstheme="minorHAnsi"/>
          <w:sz w:val="24"/>
          <w:szCs w:val="24"/>
        </w:rPr>
        <w:lastRenderedPageBreak/>
        <w:t xml:space="preserve">the sake of </w:t>
      </w:r>
      <w:r w:rsidR="006045C4">
        <w:rPr>
          <w:rFonts w:ascii="Garamond" w:hAnsi="Garamond" w:cstheme="minorHAnsi"/>
          <w:sz w:val="24"/>
          <w:szCs w:val="24"/>
        </w:rPr>
        <w:t>the</w:t>
      </w:r>
      <w:r w:rsidR="006045C4" w:rsidRPr="00461D74">
        <w:rPr>
          <w:rFonts w:ascii="Garamond" w:hAnsi="Garamond" w:cstheme="minorHAnsi"/>
          <w:sz w:val="24"/>
          <w:szCs w:val="24"/>
        </w:rPr>
        <w:t xml:space="preserve"> </w:t>
      </w:r>
      <w:r w:rsidR="003B4B9C" w:rsidRPr="00461D74">
        <w:rPr>
          <w:rFonts w:ascii="Garamond" w:hAnsi="Garamond" w:cstheme="minorHAnsi"/>
          <w:sz w:val="24"/>
          <w:szCs w:val="24"/>
        </w:rPr>
        <w:t>common good</w:t>
      </w:r>
      <w:r w:rsidR="003414D4" w:rsidRPr="00461D74">
        <w:rPr>
          <w:rFonts w:ascii="Garamond" w:hAnsi="Garamond" w:cstheme="minorHAnsi"/>
          <w:sz w:val="24"/>
          <w:szCs w:val="24"/>
        </w:rPr>
        <w:t xml:space="preserve"> </w:t>
      </w:r>
      <w:r w:rsidR="00016049" w:rsidRPr="00461D74">
        <w:rPr>
          <w:rFonts w:ascii="Garamond" w:hAnsi="Garamond" w:cstheme="minorHAnsi"/>
          <w:sz w:val="24"/>
          <w:szCs w:val="24"/>
        </w:rPr>
        <w:t>–</w:t>
      </w:r>
      <w:r w:rsidR="003414D4" w:rsidRPr="00461D74">
        <w:rPr>
          <w:rFonts w:ascii="Garamond" w:hAnsi="Garamond" w:cstheme="minorHAnsi"/>
          <w:sz w:val="24"/>
          <w:szCs w:val="24"/>
        </w:rPr>
        <w:t xml:space="preserve"> </w:t>
      </w:r>
      <w:r w:rsidR="003B4B9C" w:rsidRPr="00461D74">
        <w:rPr>
          <w:rFonts w:ascii="Garamond" w:hAnsi="Garamond" w:cstheme="minorHAnsi"/>
          <w:sz w:val="24"/>
          <w:szCs w:val="24"/>
        </w:rPr>
        <w:t>that is</w:t>
      </w:r>
      <w:r w:rsidR="00016049" w:rsidRPr="00461D74">
        <w:rPr>
          <w:rFonts w:ascii="Garamond" w:hAnsi="Garamond" w:cstheme="minorHAnsi"/>
          <w:sz w:val="24"/>
          <w:szCs w:val="24"/>
        </w:rPr>
        <w:t>, the practice of politics</w:t>
      </w:r>
      <w:r w:rsidR="003414D4" w:rsidRPr="00461D74">
        <w:rPr>
          <w:rFonts w:ascii="Garamond" w:hAnsi="Garamond" w:cstheme="minorHAnsi"/>
          <w:sz w:val="24"/>
          <w:szCs w:val="24"/>
        </w:rPr>
        <w:t xml:space="preserve"> </w:t>
      </w:r>
      <w:r w:rsidR="00016049" w:rsidRPr="00461D74">
        <w:rPr>
          <w:rFonts w:ascii="Garamond" w:hAnsi="Garamond" w:cstheme="minorHAnsi"/>
          <w:sz w:val="24"/>
          <w:szCs w:val="24"/>
        </w:rPr>
        <w:t>–</w:t>
      </w:r>
      <w:r w:rsidR="003414D4" w:rsidRPr="00461D74">
        <w:rPr>
          <w:rFonts w:ascii="Garamond" w:hAnsi="Garamond" w:cstheme="minorHAnsi"/>
          <w:sz w:val="24"/>
          <w:szCs w:val="24"/>
        </w:rPr>
        <w:t xml:space="preserve"> </w:t>
      </w:r>
      <w:r w:rsidR="00016049" w:rsidRPr="00461D74">
        <w:rPr>
          <w:rFonts w:ascii="Garamond" w:hAnsi="Garamond" w:cstheme="minorHAnsi"/>
          <w:sz w:val="24"/>
          <w:szCs w:val="24"/>
        </w:rPr>
        <w:t>must inevitably fail.</w:t>
      </w:r>
      <w:r w:rsidR="00016049" w:rsidRPr="00461D74">
        <w:rPr>
          <w:rFonts w:ascii="Garamond" w:hAnsi="Garamond" w:cstheme="minorHAnsi"/>
          <w:sz w:val="24"/>
          <w:szCs w:val="24"/>
          <w:vertAlign w:val="superscript"/>
        </w:rPr>
        <w:footnoteReference w:id="327"/>
      </w:r>
      <w:r w:rsidR="00016049" w:rsidRPr="00461D74">
        <w:rPr>
          <w:rFonts w:ascii="Garamond" w:hAnsi="Garamond" w:cstheme="minorHAnsi"/>
          <w:sz w:val="24"/>
          <w:szCs w:val="24"/>
        </w:rPr>
        <w:t xml:space="preserve"> </w:t>
      </w:r>
      <w:r w:rsidR="00016049" w:rsidRPr="00461D74">
        <w:rPr>
          <w:rFonts w:ascii="Garamond" w:hAnsi="Garamond" w:cstheme="minorHAnsi"/>
          <w:sz w:val="24"/>
          <w:szCs w:val="24"/>
          <w:lang w:val="en-US"/>
        </w:rPr>
        <w:t xml:space="preserve">The upshot of MacIntyre’s account of local politics is that the state’s pseudo-neutral materialist conception of the good is inimical to the type of values that engender flourishing </w:t>
      </w:r>
      <w:r w:rsidR="009509DC" w:rsidRPr="00461D74">
        <w:rPr>
          <w:rFonts w:ascii="Garamond" w:hAnsi="Garamond" w:cstheme="minorHAnsi"/>
          <w:sz w:val="24"/>
          <w:szCs w:val="24"/>
          <w:lang w:val="en-US"/>
        </w:rPr>
        <w:t xml:space="preserve">local </w:t>
      </w:r>
      <w:r w:rsidR="00016049" w:rsidRPr="00461D74">
        <w:rPr>
          <w:rFonts w:ascii="Garamond" w:hAnsi="Garamond" w:cstheme="minorHAnsi"/>
          <w:sz w:val="24"/>
          <w:szCs w:val="24"/>
          <w:lang w:val="en-US"/>
        </w:rPr>
        <w:t xml:space="preserve">communities. State institutions pursue the goods of </w:t>
      </w:r>
      <w:r w:rsidR="009509DC" w:rsidRPr="00461D74">
        <w:rPr>
          <w:rFonts w:ascii="Garamond" w:hAnsi="Garamond" w:cstheme="minorHAnsi"/>
          <w:sz w:val="24"/>
          <w:szCs w:val="24"/>
          <w:lang w:val="en-US"/>
        </w:rPr>
        <w:t>effectiveness</w:t>
      </w:r>
      <w:r w:rsidR="003414D4" w:rsidRPr="00461D74">
        <w:rPr>
          <w:rFonts w:ascii="Garamond" w:hAnsi="Garamond" w:cstheme="minorHAnsi"/>
          <w:sz w:val="24"/>
          <w:szCs w:val="24"/>
          <w:lang w:val="en-US"/>
        </w:rPr>
        <w:t>,</w:t>
      </w:r>
      <w:r w:rsidR="00016049" w:rsidRPr="00461D74">
        <w:rPr>
          <w:rStyle w:val="FootnoteReference"/>
          <w:rFonts w:ascii="Garamond" w:hAnsi="Garamond" w:cstheme="minorHAnsi"/>
          <w:sz w:val="24"/>
          <w:szCs w:val="24"/>
          <w:lang w:val="en-US"/>
        </w:rPr>
        <w:footnoteReference w:id="328"/>
      </w:r>
      <w:r w:rsidR="00016049" w:rsidRPr="00461D74">
        <w:rPr>
          <w:rFonts w:ascii="Garamond" w:hAnsi="Garamond" w:cstheme="minorHAnsi"/>
          <w:sz w:val="24"/>
          <w:szCs w:val="24"/>
          <w:lang w:val="en-US"/>
        </w:rPr>
        <w:t xml:space="preserve"> those of power, money, fame, etc.</w:t>
      </w:r>
      <w:r w:rsidR="009509DC" w:rsidRPr="00461D74">
        <w:rPr>
          <w:rFonts w:ascii="Garamond" w:hAnsi="Garamond" w:cstheme="minorHAnsi"/>
          <w:sz w:val="24"/>
          <w:szCs w:val="24"/>
          <w:lang w:val="en-US"/>
        </w:rPr>
        <w:t xml:space="preserve">; </w:t>
      </w:r>
      <w:r w:rsidR="006045C4">
        <w:rPr>
          <w:rFonts w:ascii="Garamond" w:hAnsi="Garamond" w:cstheme="minorHAnsi"/>
          <w:sz w:val="24"/>
          <w:szCs w:val="24"/>
          <w:lang w:val="en-US"/>
        </w:rPr>
        <w:t xml:space="preserve">yet, </w:t>
      </w:r>
      <w:r w:rsidR="009509DC" w:rsidRPr="00461D74">
        <w:rPr>
          <w:rFonts w:ascii="Garamond" w:hAnsi="Garamond" w:cstheme="minorHAnsi"/>
          <w:sz w:val="24"/>
          <w:szCs w:val="24"/>
          <w:lang w:val="en-US"/>
        </w:rPr>
        <w:t>in direct contrast</w:t>
      </w:r>
      <w:r w:rsidR="00016049" w:rsidRPr="00461D74">
        <w:rPr>
          <w:rFonts w:ascii="Garamond" w:hAnsi="Garamond" w:cstheme="minorHAnsi"/>
          <w:sz w:val="24"/>
          <w:szCs w:val="24"/>
          <w:lang w:val="en-US"/>
        </w:rPr>
        <w:t>, the common good of local communities is constitutive of those goods that enable the community to flourish, namely, goods of excellence</w:t>
      </w:r>
      <w:r w:rsidR="003414D4" w:rsidRPr="00461D74">
        <w:rPr>
          <w:rFonts w:ascii="Garamond" w:hAnsi="Garamond" w:cstheme="minorHAnsi"/>
          <w:sz w:val="24"/>
          <w:szCs w:val="24"/>
          <w:lang w:val="en-US"/>
        </w:rPr>
        <w:t xml:space="preserve"> </w:t>
      </w:r>
      <w:r w:rsidR="009509DC" w:rsidRPr="00461D74">
        <w:rPr>
          <w:rFonts w:ascii="Garamond" w:hAnsi="Garamond" w:cstheme="minorHAnsi"/>
          <w:sz w:val="24"/>
          <w:szCs w:val="24"/>
          <w:lang w:val="en-US"/>
        </w:rPr>
        <w:t>–</w:t>
      </w:r>
      <w:r w:rsidR="003414D4" w:rsidRPr="00461D74">
        <w:rPr>
          <w:rFonts w:ascii="Garamond" w:hAnsi="Garamond" w:cstheme="minorHAnsi"/>
          <w:sz w:val="24"/>
          <w:szCs w:val="24"/>
          <w:lang w:val="en-US"/>
        </w:rPr>
        <w:t xml:space="preserve"> </w:t>
      </w:r>
      <w:r w:rsidR="009509DC" w:rsidRPr="00461D74">
        <w:rPr>
          <w:rFonts w:ascii="Garamond" w:hAnsi="Garamond" w:cstheme="minorHAnsi"/>
          <w:sz w:val="24"/>
          <w:szCs w:val="24"/>
          <w:lang w:val="en-US"/>
        </w:rPr>
        <w:t>goods that are</w:t>
      </w:r>
      <w:r w:rsidR="00016049" w:rsidRPr="00461D74">
        <w:rPr>
          <w:rFonts w:ascii="Garamond" w:hAnsi="Garamond" w:cstheme="minorHAnsi"/>
          <w:sz w:val="24"/>
          <w:szCs w:val="24"/>
          <w:lang w:val="en-US"/>
        </w:rPr>
        <w:t xml:space="preserve"> </w:t>
      </w:r>
      <w:r w:rsidR="009509DC" w:rsidRPr="00461D74">
        <w:rPr>
          <w:rFonts w:ascii="Garamond" w:hAnsi="Garamond" w:cstheme="minorHAnsi"/>
          <w:sz w:val="24"/>
          <w:szCs w:val="24"/>
          <w:lang w:val="en-US"/>
        </w:rPr>
        <w:t xml:space="preserve">generated by achieving </w:t>
      </w:r>
      <w:r w:rsidR="00016049" w:rsidRPr="00461D74">
        <w:rPr>
          <w:rFonts w:ascii="Garamond" w:hAnsi="Garamond" w:cstheme="minorHAnsi"/>
          <w:sz w:val="24"/>
          <w:szCs w:val="24"/>
          <w:lang w:val="en-US"/>
        </w:rPr>
        <w:t xml:space="preserve">the internal goods of </w:t>
      </w:r>
      <w:r w:rsidR="009509DC" w:rsidRPr="00461D74">
        <w:rPr>
          <w:rFonts w:ascii="Garamond" w:hAnsi="Garamond" w:cstheme="minorHAnsi"/>
          <w:sz w:val="24"/>
          <w:szCs w:val="24"/>
          <w:lang w:val="en-US"/>
        </w:rPr>
        <w:t xml:space="preserve">different (social) </w:t>
      </w:r>
      <w:r w:rsidR="00016049" w:rsidRPr="00461D74">
        <w:rPr>
          <w:rFonts w:ascii="Garamond" w:hAnsi="Garamond" w:cstheme="minorHAnsi"/>
          <w:sz w:val="24"/>
          <w:szCs w:val="24"/>
          <w:lang w:val="en-US"/>
        </w:rPr>
        <w:t xml:space="preserve">practices. </w:t>
      </w:r>
      <w:r w:rsidR="00681DCE" w:rsidRPr="00461D74">
        <w:rPr>
          <w:rFonts w:ascii="Garamond" w:hAnsi="Garamond" w:cstheme="minorHAnsi"/>
          <w:sz w:val="24"/>
          <w:szCs w:val="24"/>
          <w:lang w:val="en-US"/>
        </w:rPr>
        <w:t>And because the state, through various coercive means, exerts considerable influence</w:t>
      </w:r>
      <w:r w:rsidR="006045C4">
        <w:rPr>
          <w:rFonts w:ascii="Garamond" w:hAnsi="Garamond" w:cstheme="minorHAnsi"/>
          <w:sz w:val="24"/>
          <w:szCs w:val="24"/>
          <w:lang w:val="en-US"/>
        </w:rPr>
        <w:t xml:space="preserve"> on local political </w:t>
      </w:r>
      <w:r w:rsidR="00B56F06">
        <w:rPr>
          <w:rFonts w:ascii="Garamond" w:hAnsi="Garamond" w:cstheme="minorHAnsi"/>
          <w:sz w:val="24"/>
          <w:szCs w:val="24"/>
          <w:lang w:val="en-US"/>
        </w:rPr>
        <w:t>structures</w:t>
      </w:r>
      <w:r w:rsidR="00681DCE" w:rsidRPr="00461D74">
        <w:rPr>
          <w:rFonts w:ascii="Garamond" w:hAnsi="Garamond" w:cstheme="minorHAnsi"/>
          <w:sz w:val="24"/>
          <w:szCs w:val="24"/>
          <w:lang w:val="en-US"/>
        </w:rPr>
        <w:t xml:space="preserve">, there is a tendency for the goods of effectiveness </w:t>
      </w:r>
      <w:r w:rsidR="00B56F06">
        <w:rPr>
          <w:rFonts w:ascii="Garamond" w:hAnsi="Garamond" w:cstheme="minorHAnsi"/>
          <w:sz w:val="24"/>
          <w:szCs w:val="24"/>
          <w:lang w:val="en-US"/>
        </w:rPr>
        <w:t xml:space="preserve">– </w:t>
      </w:r>
      <w:r w:rsidR="00681DCE" w:rsidRPr="00461D74">
        <w:rPr>
          <w:rFonts w:ascii="Garamond" w:hAnsi="Garamond" w:cstheme="minorHAnsi"/>
          <w:sz w:val="24"/>
          <w:szCs w:val="24"/>
          <w:lang w:val="en-US"/>
        </w:rPr>
        <w:t>pursued by the state and market</w:t>
      </w:r>
      <w:r w:rsidR="00B56F06">
        <w:rPr>
          <w:rFonts w:ascii="Garamond" w:hAnsi="Garamond" w:cstheme="minorHAnsi"/>
          <w:sz w:val="24"/>
          <w:szCs w:val="24"/>
          <w:lang w:val="en-US"/>
        </w:rPr>
        <w:t xml:space="preserve"> institutions –</w:t>
      </w:r>
      <w:r w:rsidR="00681DCE" w:rsidRPr="00461D74">
        <w:rPr>
          <w:rFonts w:ascii="Garamond" w:hAnsi="Garamond" w:cstheme="minorHAnsi"/>
          <w:sz w:val="24"/>
          <w:szCs w:val="24"/>
          <w:lang w:val="en-US"/>
        </w:rPr>
        <w:t xml:space="preserve"> to overshadow </w:t>
      </w:r>
      <w:r w:rsidR="00B56F06">
        <w:rPr>
          <w:rFonts w:ascii="Garamond" w:hAnsi="Garamond" w:cstheme="minorHAnsi"/>
          <w:sz w:val="24"/>
          <w:szCs w:val="24"/>
          <w:lang w:val="en-US"/>
        </w:rPr>
        <w:t xml:space="preserve">(or subvert) </w:t>
      </w:r>
      <w:r w:rsidR="00681DCE" w:rsidRPr="00461D74">
        <w:rPr>
          <w:rFonts w:ascii="Garamond" w:hAnsi="Garamond" w:cstheme="minorHAnsi"/>
          <w:sz w:val="24"/>
          <w:szCs w:val="24"/>
          <w:lang w:val="en-US"/>
        </w:rPr>
        <w:t xml:space="preserve">the internal goods pursued by local communities. </w:t>
      </w:r>
      <w:r w:rsidR="00016049" w:rsidRPr="00461D74">
        <w:rPr>
          <w:rFonts w:ascii="Garamond" w:hAnsi="Garamond" w:cstheme="minorHAnsi"/>
          <w:sz w:val="24"/>
          <w:szCs w:val="24"/>
          <w:lang w:val="en-US"/>
        </w:rPr>
        <w:t xml:space="preserve">Thus, </w:t>
      </w:r>
      <w:r w:rsidR="00681DCE" w:rsidRPr="00461D74">
        <w:rPr>
          <w:rFonts w:ascii="Garamond" w:hAnsi="Garamond" w:cstheme="minorHAnsi"/>
          <w:sz w:val="24"/>
          <w:szCs w:val="24"/>
          <w:lang w:val="en-US"/>
        </w:rPr>
        <w:t>an important</w:t>
      </w:r>
      <w:r w:rsidR="009509DC" w:rsidRPr="00461D74">
        <w:rPr>
          <w:rFonts w:ascii="Garamond" w:hAnsi="Garamond" w:cstheme="minorHAnsi"/>
          <w:sz w:val="24"/>
          <w:szCs w:val="24"/>
          <w:lang w:val="en-US"/>
        </w:rPr>
        <w:t xml:space="preserve"> </w:t>
      </w:r>
      <w:r w:rsidR="00681DCE" w:rsidRPr="00461D74">
        <w:rPr>
          <w:rFonts w:ascii="Garamond" w:hAnsi="Garamond" w:cstheme="minorHAnsi"/>
          <w:sz w:val="24"/>
          <w:szCs w:val="24"/>
          <w:lang w:val="en-US"/>
        </w:rPr>
        <w:t>condition</w:t>
      </w:r>
      <w:r w:rsidR="009509DC" w:rsidRPr="00461D74">
        <w:rPr>
          <w:rFonts w:ascii="Garamond" w:hAnsi="Garamond" w:cstheme="minorHAnsi"/>
          <w:sz w:val="24"/>
          <w:szCs w:val="24"/>
          <w:lang w:val="en-US"/>
        </w:rPr>
        <w:t xml:space="preserve"> for </w:t>
      </w:r>
      <w:r w:rsidR="00681DCE" w:rsidRPr="00461D74">
        <w:rPr>
          <w:rFonts w:ascii="Garamond" w:hAnsi="Garamond" w:cstheme="minorHAnsi"/>
          <w:sz w:val="24"/>
          <w:szCs w:val="24"/>
          <w:lang w:val="en-US"/>
        </w:rPr>
        <w:t xml:space="preserve">the realization of flourishing at the level of </w:t>
      </w:r>
      <w:r w:rsidR="00016049" w:rsidRPr="00461D74">
        <w:rPr>
          <w:rFonts w:ascii="Garamond" w:hAnsi="Garamond" w:cstheme="minorHAnsi"/>
          <w:sz w:val="24"/>
          <w:szCs w:val="24"/>
          <w:lang w:val="en-US"/>
        </w:rPr>
        <w:t xml:space="preserve">local communities is in an important sense in conflict with the demands put forth by the </w:t>
      </w:r>
      <w:r w:rsidR="00681DCE" w:rsidRPr="00461D74">
        <w:rPr>
          <w:rFonts w:ascii="Garamond" w:hAnsi="Garamond" w:cstheme="minorHAnsi"/>
          <w:sz w:val="24"/>
          <w:szCs w:val="24"/>
          <w:lang w:val="en-US"/>
        </w:rPr>
        <w:t xml:space="preserve">liberal </w:t>
      </w:r>
      <w:r w:rsidR="00016049" w:rsidRPr="00461D74">
        <w:rPr>
          <w:rFonts w:ascii="Garamond" w:hAnsi="Garamond" w:cstheme="minorHAnsi"/>
          <w:sz w:val="24"/>
          <w:szCs w:val="24"/>
          <w:lang w:val="en-US"/>
        </w:rPr>
        <w:t>state</w:t>
      </w:r>
      <w:r w:rsidR="00681DCE" w:rsidRPr="00461D74">
        <w:rPr>
          <w:rFonts w:ascii="Garamond" w:hAnsi="Garamond" w:cstheme="minorHAnsi"/>
          <w:sz w:val="24"/>
          <w:szCs w:val="24"/>
          <w:lang w:val="en-US"/>
        </w:rPr>
        <w:t xml:space="preserve"> and market institutions</w:t>
      </w:r>
      <w:r w:rsidR="00016049" w:rsidRPr="00461D74">
        <w:rPr>
          <w:rFonts w:ascii="Garamond" w:hAnsi="Garamond" w:cstheme="minorHAnsi"/>
          <w:sz w:val="24"/>
          <w:szCs w:val="24"/>
          <w:lang w:val="en-US"/>
        </w:rPr>
        <w:t>.</w:t>
      </w:r>
      <w:r w:rsidR="00016049" w:rsidRPr="00461D74">
        <w:rPr>
          <w:rStyle w:val="FootnoteReference"/>
          <w:rFonts w:ascii="Garamond" w:hAnsi="Garamond" w:cstheme="minorHAnsi"/>
          <w:sz w:val="24"/>
          <w:szCs w:val="24"/>
          <w:lang w:val="en-US"/>
        </w:rPr>
        <w:footnoteReference w:id="329"/>
      </w:r>
    </w:p>
    <w:p w:rsidR="00665157" w:rsidRDefault="00016049">
      <w:pPr>
        <w:shd w:val="clear" w:color="auto" w:fill="FFFFFF"/>
        <w:spacing w:after="0"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may therefore summarize MacIntyre’s position as follows. First, MacIntyre focuses on the question of public interest because he takes that </w:t>
      </w:r>
      <w:r w:rsidR="00F337D1">
        <w:rPr>
          <w:rFonts w:ascii="Garamond" w:hAnsi="Garamond" w:cstheme="minorHAnsi"/>
          <w:sz w:val="24"/>
          <w:szCs w:val="24"/>
        </w:rPr>
        <w:t xml:space="preserve">concept </w:t>
      </w:r>
      <w:r w:rsidRPr="00461D74">
        <w:rPr>
          <w:rFonts w:ascii="Garamond" w:hAnsi="Garamond" w:cstheme="minorHAnsi"/>
          <w:sz w:val="24"/>
          <w:szCs w:val="24"/>
        </w:rPr>
        <w:t xml:space="preserve">to </w:t>
      </w:r>
      <w:r w:rsidR="00F337D1">
        <w:rPr>
          <w:rFonts w:ascii="Garamond" w:hAnsi="Garamond" w:cstheme="minorHAnsi"/>
          <w:sz w:val="24"/>
          <w:szCs w:val="24"/>
        </w:rPr>
        <w:t>represent</w:t>
      </w:r>
      <w:r w:rsidR="00F337D1"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425F7B">
        <w:rPr>
          <w:rFonts w:ascii="Garamond" w:hAnsi="Garamond" w:cstheme="minorHAnsi"/>
          <w:sz w:val="24"/>
          <w:szCs w:val="24"/>
        </w:rPr>
        <w:t>pseudo-</w:t>
      </w:r>
      <w:r w:rsidRPr="00461D74">
        <w:rPr>
          <w:rFonts w:ascii="Garamond" w:hAnsi="Garamond" w:cstheme="minorHAnsi"/>
          <w:sz w:val="24"/>
          <w:szCs w:val="24"/>
        </w:rPr>
        <w:t xml:space="preserve">communal notion of the good available in the neutral state. Second, we observed that MacIntyre’s notion of common good is not equivalent to the notion of public interest in the liberal </w:t>
      </w:r>
      <w:r w:rsidR="00425F7B">
        <w:rPr>
          <w:rFonts w:ascii="Garamond" w:hAnsi="Garamond" w:cstheme="minorHAnsi"/>
          <w:sz w:val="24"/>
          <w:szCs w:val="24"/>
        </w:rPr>
        <w:t>(</w:t>
      </w:r>
      <w:r w:rsidRPr="00461D74">
        <w:rPr>
          <w:rFonts w:ascii="Garamond" w:hAnsi="Garamond" w:cstheme="minorHAnsi"/>
          <w:sz w:val="24"/>
          <w:szCs w:val="24"/>
        </w:rPr>
        <w:t>neutral</w:t>
      </w:r>
      <w:r w:rsidR="00425F7B">
        <w:rPr>
          <w:rFonts w:ascii="Garamond" w:hAnsi="Garamond" w:cstheme="minorHAnsi"/>
          <w:sz w:val="24"/>
          <w:szCs w:val="24"/>
        </w:rPr>
        <w:t>)</w:t>
      </w:r>
      <w:r w:rsidRPr="00461D74">
        <w:rPr>
          <w:rFonts w:ascii="Garamond" w:hAnsi="Garamond" w:cstheme="minorHAnsi"/>
          <w:sz w:val="24"/>
          <w:szCs w:val="24"/>
        </w:rPr>
        <w:t xml:space="preserve"> state, because public interest is defined separately and </w:t>
      </w:r>
      <w:r w:rsidR="00F337D1">
        <w:rPr>
          <w:rFonts w:ascii="Garamond" w:hAnsi="Garamond" w:cstheme="minorHAnsi"/>
          <w:sz w:val="24"/>
          <w:szCs w:val="24"/>
        </w:rPr>
        <w:t>remains</w:t>
      </w:r>
      <w:r w:rsidRPr="00461D74">
        <w:rPr>
          <w:rFonts w:ascii="Garamond" w:hAnsi="Garamond" w:cstheme="minorHAnsi"/>
          <w:sz w:val="24"/>
          <w:szCs w:val="24"/>
        </w:rPr>
        <w:t xml:space="preserve"> subordina</w:t>
      </w:r>
      <w:r w:rsidR="00C40F20">
        <w:rPr>
          <w:rFonts w:ascii="Garamond" w:hAnsi="Garamond" w:cstheme="minorHAnsi"/>
          <w:sz w:val="24"/>
          <w:szCs w:val="24"/>
        </w:rPr>
        <w:t>te</w:t>
      </w:r>
      <w:r w:rsidRPr="00461D74">
        <w:rPr>
          <w:rFonts w:ascii="Garamond" w:hAnsi="Garamond" w:cstheme="minorHAnsi"/>
          <w:sz w:val="24"/>
          <w:szCs w:val="24"/>
        </w:rPr>
        <w:t xml:space="preserve"> to a prior notion of the individual good; on the other hand, the common good in MacIntyre’s politics is in part constitutive of the individual good. Third, </w:t>
      </w:r>
      <w:r w:rsidR="00F337D1">
        <w:rPr>
          <w:rFonts w:ascii="Garamond" w:hAnsi="Garamond" w:cstheme="minorHAnsi"/>
          <w:sz w:val="24"/>
          <w:szCs w:val="24"/>
        </w:rPr>
        <w:t>on</w:t>
      </w:r>
      <w:r w:rsidRPr="00461D74">
        <w:rPr>
          <w:rFonts w:ascii="Garamond" w:hAnsi="Garamond" w:cstheme="minorHAnsi"/>
          <w:sz w:val="24"/>
          <w:szCs w:val="24"/>
        </w:rPr>
        <w:t xml:space="preserve"> MacIntyre’s account</w:t>
      </w:r>
      <w:r w:rsidR="00C40F20">
        <w:rPr>
          <w:rFonts w:ascii="Garamond" w:hAnsi="Garamond" w:cstheme="minorHAnsi"/>
          <w:sz w:val="24"/>
          <w:szCs w:val="24"/>
        </w:rPr>
        <w:t>,</w:t>
      </w:r>
      <w:r w:rsidRPr="00461D74">
        <w:rPr>
          <w:rFonts w:ascii="Garamond" w:hAnsi="Garamond" w:cstheme="minorHAnsi"/>
          <w:sz w:val="24"/>
          <w:szCs w:val="24"/>
        </w:rPr>
        <w:t xml:space="preserve"> politics is defined as a second order practice</w:t>
      </w:r>
      <w:r w:rsidR="00F337D1">
        <w:rPr>
          <w:rFonts w:ascii="Garamond" w:hAnsi="Garamond" w:cstheme="minorHAnsi"/>
          <w:sz w:val="24"/>
          <w:szCs w:val="24"/>
        </w:rPr>
        <w:t>,</w:t>
      </w:r>
      <w:r w:rsidRPr="00461D74">
        <w:rPr>
          <w:rFonts w:ascii="Garamond" w:hAnsi="Garamond" w:cstheme="minorHAnsi"/>
          <w:sz w:val="24"/>
          <w:szCs w:val="24"/>
        </w:rPr>
        <w:t xml:space="preserve"> yet the conditions </w:t>
      </w:r>
      <w:r w:rsidR="00F337D1">
        <w:rPr>
          <w:rFonts w:ascii="Garamond" w:hAnsi="Garamond" w:cstheme="minorHAnsi"/>
          <w:sz w:val="24"/>
          <w:szCs w:val="24"/>
        </w:rPr>
        <w:t>that could generate this sort of</w:t>
      </w:r>
      <w:r w:rsidR="00F337D1" w:rsidRPr="00461D74">
        <w:rPr>
          <w:rFonts w:ascii="Garamond" w:hAnsi="Garamond" w:cstheme="minorHAnsi"/>
          <w:sz w:val="24"/>
          <w:szCs w:val="24"/>
        </w:rPr>
        <w:t xml:space="preserve"> </w:t>
      </w:r>
      <w:r w:rsidRPr="00461D74">
        <w:rPr>
          <w:rFonts w:ascii="Garamond" w:hAnsi="Garamond" w:cstheme="minorHAnsi"/>
          <w:sz w:val="24"/>
          <w:szCs w:val="24"/>
        </w:rPr>
        <w:t xml:space="preserve">politics are not realized in the liberal state. Finally, we </w:t>
      </w:r>
      <w:r w:rsidR="00E2378A" w:rsidRPr="00461D74">
        <w:rPr>
          <w:rFonts w:ascii="Garamond" w:hAnsi="Garamond" w:cstheme="minorHAnsi"/>
          <w:sz w:val="24"/>
          <w:szCs w:val="24"/>
        </w:rPr>
        <w:t xml:space="preserve">observed </w:t>
      </w:r>
      <w:r w:rsidRPr="00461D74">
        <w:rPr>
          <w:rFonts w:ascii="Garamond" w:hAnsi="Garamond" w:cstheme="minorHAnsi"/>
          <w:sz w:val="24"/>
          <w:szCs w:val="24"/>
        </w:rPr>
        <w:t xml:space="preserve">that a thick conception of the good adopted </w:t>
      </w:r>
      <w:r w:rsidR="00E2378A" w:rsidRPr="00461D74">
        <w:rPr>
          <w:rFonts w:ascii="Garamond" w:hAnsi="Garamond" w:cstheme="minorHAnsi"/>
          <w:sz w:val="24"/>
          <w:szCs w:val="24"/>
        </w:rPr>
        <w:t>at the level of the</w:t>
      </w:r>
      <w:r w:rsidRPr="00461D74">
        <w:rPr>
          <w:rFonts w:ascii="Garamond" w:hAnsi="Garamond" w:cstheme="minorHAnsi"/>
          <w:sz w:val="24"/>
          <w:szCs w:val="24"/>
        </w:rPr>
        <w:t xml:space="preserve"> non-neutral state is similarly </w:t>
      </w:r>
      <w:r w:rsidRPr="00461D74">
        <w:rPr>
          <w:rFonts w:ascii="Garamond" w:hAnsi="Garamond" w:cstheme="minorHAnsi"/>
          <w:sz w:val="24"/>
          <w:szCs w:val="24"/>
        </w:rPr>
        <w:lastRenderedPageBreak/>
        <w:t xml:space="preserve">unacceptable, </w:t>
      </w:r>
      <w:r w:rsidR="00F337D1">
        <w:rPr>
          <w:rFonts w:ascii="Garamond" w:hAnsi="Garamond" w:cstheme="minorHAnsi"/>
          <w:sz w:val="24"/>
          <w:szCs w:val="24"/>
        </w:rPr>
        <w:t>for the reason that</w:t>
      </w:r>
      <w:r w:rsidR="00F337D1" w:rsidRPr="00461D74">
        <w:rPr>
          <w:rFonts w:ascii="Garamond" w:hAnsi="Garamond" w:cstheme="minorHAnsi"/>
          <w:sz w:val="24"/>
          <w:szCs w:val="24"/>
        </w:rPr>
        <w:t xml:space="preserve"> </w:t>
      </w:r>
      <w:r w:rsidRPr="00461D74">
        <w:rPr>
          <w:rFonts w:ascii="Garamond" w:hAnsi="Garamond" w:cstheme="minorHAnsi"/>
          <w:sz w:val="24"/>
          <w:szCs w:val="24"/>
        </w:rPr>
        <w:t>MacIntyre’s notion of common good</w:t>
      </w:r>
      <w:r w:rsidR="00E2378A" w:rsidRPr="00461D74">
        <w:rPr>
          <w:rFonts w:ascii="Garamond" w:hAnsi="Garamond" w:cstheme="minorHAnsi"/>
          <w:sz w:val="24"/>
          <w:szCs w:val="24"/>
        </w:rPr>
        <w:t xml:space="preserve"> </w:t>
      </w:r>
      <w:r w:rsidR="00C40F20">
        <w:rPr>
          <w:rFonts w:ascii="Garamond" w:hAnsi="Garamond" w:cstheme="minorHAnsi"/>
          <w:sz w:val="24"/>
          <w:szCs w:val="24"/>
        </w:rPr>
        <w:t xml:space="preserve">has its place </w:t>
      </w:r>
      <w:r w:rsidR="00E2378A" w:rsidRPr="00461D74">
        <w:rPr>
          <w:rFonts w:ascii="Garamond" w:hAnsi="Garamond" w:cstheme="minorHAnsi"/>
          <w:sz w:val="24"/>
          <w:szCs w:val="24"/>
        </w:rPr>
        <w:t xml:space="preserve">at the level of individuals, participating as co-interlocutors in </w:t>
      </w:r>
      <w:r w:rsidRPr="00461D74">
        <w:rPr>
          <w:rFonts w:ascii="Garamond" w:hAnsi="Garamond" w:cstheme="minorHAnsi"/>
          <w:sz w:val="24"/>
          <w:szCs w:val="24"/>
        </w:rPr>
        <w:t>practical deliberation</w:t>
      </w:r>
      <w:r w:rsidR="00E2378A" w:rsidRPr="00461D74">
        <w:rPr>
          <w:rFonts w:ascii="Garamond" w:hAnsi="Garamond" w:cstheme="minorHAnsi"/>
          <w:sz w:val="24"/>
          <w:szCs w:val="24"/>
        </w:rPr>
        <w:t>s with respect to the common good</w:t>
      </w:r>
      <w:r w:rsidRPr="00461D74">
        <w:rPr>
          <w:rFonts w:ascii="Garamond" w:hAnsi="Garamond" w:cstheme="minorHAnsi"/>
          <w:sz w:val="24"/>
          <w:szCs w:val="24"/>
        </w:rPr>
        <w:t xml:space="preserve">. Hence implicitly, a top-down conception of the good fails to </w:t>
      </w:r>
      <w:r w:rsidR="009D29F3" w:rsidRPr="00461D74">
        <w:rPr>
          <w:rFonts w:ascii="Garamond" w:hAnsi="Garamond" w:cstheme="minorHAnsi"/>
          <w:sz w:val="24"/>
          <w:szCs w:val="24"/>
        </w:rPr>
        <w:t xml:space="preserve">advance </w:t>
      </w:r>
      <w:r w:rsidRPr="00461D74">
        <w:rPr>
          <w:rFonts w:ascii="Garamond" w:hAnsi="Garamond" w:cstheme="minorHAnsi"/>
          <w:sz w:val="24"/>
          <w:szCs w:val="24"/>
        </w:rPr>
        <w:t xml:space="preserve">the </w:t>
      </w:r>
      <w:r w:rsidR="009321F9" w:rsidRPr="00461D74">
        <w:rPr>
          <w:rFonts w:ascii="Garamond" w:hAnsi="Garamond" w:cstheme="minorHAnsi"/>
          <w:sz w:val="24"/>
          <w:szCs w:val="24"/>
        </w:rPr>
        <w:t xml:space="preserve">sort of </w:t>
      </w:r>
      <w:r w:rsidRPr="00461D74">
        <w:rPr>
          <w:rFonts w:ascii="Garamond" w:hAnsi="Garamond" w:cstheme="minorHAnsi"/>
          <w:sz w:val="24"/>
          <w:szCs w:val="24"/>
        </w:rPr>
        <w:t>common good</w:t>
      </w:r>
      <w:r w:rsidR="00E2378A" w:rsidRPr="00461D74">
        <w:rPr>
          <w:rFonts w:ascii="Garamond" w:hAnsi="Garamond" w:cstheme="minorHAnsi"/>
          <w:sz w:val="24"/>
          <w:szCs w:val="24"/>
        </w:rPr>
        <w:t xml:space="preserve"> </w:t>
      </w:r>
      <w:r w:rsidR="009321F9" w:rsidRPr="00461D74">
        <w:rPr>
          <w:rFonts w:ascii="Garamond" w:hAnsi="Garamond" w:cstheme="minorHAnsi"/>
          <w:sz w:val="24"/>
          <w:szCs w:val="24"/>
        </w:rPr>
        <w:t>which MacIntyre advocates</w:t>
      </w:r>
      <w:r w:rsidRPr="00461D74">
        <w:rPr>
          <w:rFonts w:ascii="Garamond" w:hAnsi="Garamond" w:cstheme="minorHAnsi"/>
          <w:sz w:val="24"/>
          <w:szCs w:val="24"/>
        </w:rPr>
        <w:t xml:space="preserve">. </w:t>
      </w:r>
    </w:p>
    <w:p w:rsidR="00665157" w:rsidRDefault="00016049">
      <w:pPr>
        <w:shd w:val="clear" w:color="auto" w:fill="FFFFFF"/>
        <w:spacing w:after="0" w:line="360" w:lineRule="auto"/>
        <w:ind w:firstLine="720"/>
        <w:jc w:val="both"/>
        <w:rPr>
          <w:rFonts w:ascii="Garamond" w:hAnsi="Garamond" w:cstheme="minorHAnsi"/>
          <w:sz w:val="24"/>
          <w:szCs w:val="24"/>
        </w:rPr>
      </w:pPr>
      <w:r w:rsidRPr="00461D74">
        <w:rPr>
          <w:rFonts w:ascii="Garamond" w:hAnsi="Garamond" w:cstheme="minorHAnsi"/>
          <w:sz w:val="24"/>
          <w:szCs w:val="24"/>
        </w:rPr>
        <w:t>While I have summarized four distinct claims</w:t>
      </w:r>
      <w:r w:rsidR="00737967">
        <w:rPr>
          <w:rFonts w:ascii="Garamond" w:hAnsi="Garamond" w:cstheme="minorHAnsi"/>
          <w:sz w:val="24"/>
          <w:szCs w:val="24"/>
        </w:rPr>
        <w:t xml:space="preserve"> generated by MacIntyre’s politics, </w:t>
      </w:r>
      <w:r w:rsidRPr="00461D74">
        <w:rPr>
          <w:rFonts w:ascii="Garamond" w:hAnsi="Garamond" w:cstheme="minorHAnsi"/>
          <w:sz w:val="24"/>
          <w:szCs w:val="24"/>
        </w:rPr>
        <w:t>the second and third claim</w:t>
      </w:r>
      <w:r w:rsidR="009B7CE3" w:rsidRPr="00461D74">
        <w:rPr>
          <w:rFonts w:ascii="Garamond" w:hAnsi="Garamond" w:cstheme="minorHAnsi"/>
          <w:sz w:val="24"/>
          <w:szCs w:val="24"/>
        </w:rPr>
        <w:t>s</w:t>
      </w:r>
      <w:r w:rsidRPr="00461D74">
        <w:rPr>
          <w:rFonts w:ascii="Garamond" w:hAnsi="Garamond" w:cstheme="minorHAnsi"/>
          <w:sz w:val="24"/>
          <w:szCs w:val="24"/>
        </w:rPr>
        <w:t xml:space="preserve"> are </w:t>
      </w:r>
      <w:r w:rsidR="005E4879" w:rsidRPr="00461D74">
        <w:rPr>
          <w:rFonts w:ascii="Garamond" w:hAnsi="Garamond" w:cstheme="minorHAnsi"/>
          <w:sz w:val="24"/>
          <w:szCs w:val="24"/>
        </w:rPr>
        <w:t xml:space="preserve">more </w:t>
      </w:r>
      <w:r w:rsidR="00737967">
        <w:rPr>
          <w:rFonts w:ascii="Garamond" w:hAnsi="Garamond" w:cstheme="minorHAnsi"/>
          <w:sz w:val="24"/>
          <w:szCs w:val="24"/>
        </w:rPr>
        <w:t>crucial</w:t>
      </w:r>
      <w:r w:rsidR="00737967" w:rsidRPr="00461D74">
        <w:rPr>
          <w:rFonts w:ascii="Garamond" w:hAnsi="Garamond" w:cstheme="minorHAnsi"/>
          <w:sz w:val="24"/>
          <w:szCs w:val="24"/>
        </w:rPr>
        <w:t xml:space="preserve"> </w:t>
      </w:r>
      <w:r w:rsidR="005E4879" w:rsidRPr="00461D74">
        <w:rPr>
          <w:rFonts w:ascii="Garamond" w:hAnsi="Garamond" w:cstheme="minorHAnsi"/>
          <w:sz w:val="24"/>
          <w:szCs w:val="24"/>
        </w:rPr>
        <w:t xml:space="preserve">to </w:t>
      </w:r>
      <w:r w:rsidRPr="00461D74">
        <w:rPr>
          <w:rFonts w:ascii="Garamond" w:hAnsi="Garamond" w:cstheme="minorHAnsi"/>
          <w:sz w:val="24"/>
          <w:szCs w:val="24"/>
        </w:rPr>
        <w:t>advancing our discussion</w:t>
      </w:r>
      <w:r w:rsidR="005E4879" w:rsidRPr="00461D74">
        <w:rPr>
          <w:rFonts w:ascii="Garamond" w:hAnsi="Garamond" w:cstheme="minorHAnsi"/>
          <w:sz w:val="24"/>
          <w:szCs w:val="24"/>
        </w:rPr>
        <w:t>. I will identify the second and third claim as A and B, respectively.</w:t>
      </w:r>
    </w:p>
    <w:p w:rsidR="00665157" w:rsidRDefault="00665157">
      <w:pPr>
        <w:shd w:val="clear" w:color="auto" w:fill="FFFFFF"/>
        <w:spacing w:after="0" w:line="360" w:lineRule="auto"/>
        <w:ind w:firstLine="720"/>
        <w:jc w:val="both"/>
        <w:rPr>
          <w:rFonts w:ascii="Garamond" w:hAnsi="Garamond" w:cstheme="minorHAnsi"/>
          <w:sz w:val="24"/>
          <w:szCs w:val="24"/>
        </w:rPr>
      </w:pPr>
    </w:p>
    <w:p w:rsidR="00665157" w:rsidRDefault="00016049">
      <w:pPr>
        <w:pStyle w:val="ListParagraph"/>
        <w:numPr>
          <w:ilvl w:val="0"/>
          <w:numId w:val="2"/>
        </w:numPr>
        <w:shd w:val="clear" w:color="auto" w:fill="FFFFFF"/>
        <w:spacing w:line="360" w:lineRule="auto"/>
        <w:jc w:val="both"/>
        <w:rPr>
          <w:rFonts w:ascii="Garamond" w:eastAsia="Times New Roman" w:hAnsi="Garamond" w:cstheme="minorHAnsi"/>
          <w:i/>
          <w:iCs/>
          <w:color w:val="222222"/>
        </w:rPr>
      </w:pPr>
      <w:r w:rsidRPr="00461D74">
        <w:rPr>
          <w:rFonts w:ascii="Garamond" w:eastAsia="Times New Roman" w:hAnsi="Garamond" w:cstheme="minorHAnsi"/>
          <w:color w:val="222222"/>
        </w:rPr>
        <w:t xml:space="preserve">Public interest is a set of conditions </w:t>
      </w:r>
      <w:r w:rsidR="00B35317">
        <w:rPr>
          <w:rFonts w:ascii="Garamond" w:eastAsia="Times New Roman" w:hAnsi="Garamond" w:cstheme="minorHAnsi"/>
          <w:color w:val="222222"/>
        </w:rPr>
        <w:t xml:space="preserve">directed towards the </w:t>
      </w:r>
      <w:proofErr w:type="gramStart"/>
      <w:r w:rsidR="00B35317">
        <w:rPr>
          <w:rFonts w:ascii="Garamond" w:eastAsia="Times New Roman" w:hAnsi="Garamond" w:cstheme="minorHAnsi"/>
          <w:color w:val="222222"/>
        </w:rPr>
        <w:t>realization  of</w:t>
      </w:r>
      <w:proofErr w:type="gramEnd"/>
      <w:r w:rsidR="00B35317">
        <w:rPr>
          <w:rFonts w:ascii="Garamond" w:eastAsia="Times New Roman" w:hAnsi="Garamond" w:cstheme="minorHAnsi"/>
          <w:color w:val="222222"/>
        </w:rPr>
        <w:t xml:space="preserve"> a state of affairs</w:t>
      </w:r>
      <w:r w:rsidR="003D3657" w:rsidRPr="00461D74">
        <w:rPr>
          <w:rFonts w:ascii="Garamond" w:eastAsia="Times New Roman" w:hAnsi="Garamond" w:cstheme="minorHAnsi"/>
          <w:color w:val="222222"/>
        </w:rPr>
        <w:t xml:space="preserve"> in which </w:t>
      </w:r>
      <w:r w:rsidRPr="00461D74">
        <w:rPr>
          <w:rFonts w:ascii="Garamond" w:eastAsia="Times New Roman" w:hAnsi="Garamond" w:cstheme="minorHAnsi"/>
          <w:color w:val="222222"/>
        </w:rPr>
        <w:t>individual</w:t>
      </w:r>
      <w:r w:rsidR="003D3657" w:rsidRPr="00461D74">
        <w:rPr>
          <w:rFonts w:ascii="Garamond" w:eastAsia="Times New Roman" w:hAnsi="Garamond" w:cstheme="minorHAnsi"/>
          <w:color w:val="222222"/>
        </w:rPr>
        <w:t>s can freely</w:t>
      </w:r>
      <w:r w:rsidRPr="00461D74">
        <w:rPr>
          <w:rFonts w:ascii="Garamond" w:eastAsia="Times New Roman" w:hAnsi="Garamond" w:cstheme="minorHAnsi"/>
          <w:color w:val="222222"/>
        </w:rPr>
        <w:t xml:space="preserve"> pursu</w:t>
      </w:r>
      <w:r w:rsidR="003D3657" w:rsidRPr="00461D74">
        <w:rPr>
          <w:rFonts w:ascii="Garamond" w:eastAsia="Times New Roman" w:hAnsi="Garamond" w:cstheme="minorHAnsi"/>
          <w:color w:val="222222"/>
        </w:rPr>
        <w:t>e their diverse and varied</w:t>
      </w:r>
      <w:r w:rsidRPr="00461D74">
        <w:rPr>
          <w:rFonts w:ascii="Garamond" w:eastAsia="Times New Roman" w:hAnsi="Garamond" w:cstheme="minorHAnsi"/>
          <w:color w:val="222222"/>
        </w:rPr>
        <w:t xml:space="preserve"> preferences</w:t>
      </w:r>
      <w:r w:rsidR="003D3657" w:rsidRPr="00461D74">
        <w:rPr>
          <w:rFonts w:ascii="Garamond" w:eastAsia="Times New Roman" w:hAnsi="Garamond" w:cstheme="minorHAnsi"/>
          <w:color w:val="222222"/>
        </w:rPr>
        <w:t>. On the other hand</w:t>
      </w:r>
      <w:r w:rsidR="00C12D9D" w:rsidRPr="00461D74">
        <w:rPr>
          <w:rFonts w:ascii="Garamond" w:eastAsia="Times New Roman" w:hAnsi="Garamond" w:cstheme="minorHAnsi"/>
          <w:color w:val="222222"/>
        </w:rPr>
        <w:t>, c</w:t>
      </w:r>
      <w:r w:rsidRPr="00461D74">
        <w:rPr>
          <w:rFonts w:ascii="Garamond" w:eastAsia="Times New Roman" w:hAnsi="Garamond" w:cstheme="minorHAnsi"/>
          <w:color w:val="222222"/>
        </w:rPr>
        <w:t xml:space="preserve">ommon good is </w:t>
      </w:r>
      <w:r w:rsidR="00221655" w:rsidRPr="00461D74">
        <w:rPr>
          <w:rFonts w:ascii="Garamond" w:eastAsia="Times New Roman" w:hAnsi="Garamond" w:cstheme="minorHAnsi"/>
          <w:color w:val="222222"/>
        </w:rPr>
        <w:t>part</w:t>
      </w:r>
      <w:r w:rsidR="00C12D9D" w:rsidRPr="00461D74">
        <w:rPr>
          <w:rFonts w:ascii="Garamond" w:eastAsia="Times New Roman" w:hAnsi="Garamond" w:cstheme="minorHAnsi"/>
          <w:color w:val="222222"/>
        </w:rPr>
        <w:t>ly</w:t>
      </w:r>
      <w:r w:rsidR="00221655" w:rsidRPr="00461D74">
        <w:rPr>
          <w:rFonts w:ascii="Garamond" w:eastAsia="Times New Roman" w:hAnsi="Garamond" w:cstheme="minorHAnsi"/>
          <w:color w:val="222222"/>
        </w:rPr>
        <w:t xml:space="preserve"> </w:t>
      </w:r>
      <w:r w:rsidRPr="00461D74">
        <w:rPr>
          <w:rFonts w:ascii="Garamond" w:eastAsia="Times New Roman" w:hAnsi="Garamond" w:cstheme="minorHAnsi"/>
          <w:color w:val="222222"/>
        </w:rPr>
        <w:t xml:space="preserve">constitutive of the </w:t>
      </w:r>
      <w:r w:rsidR="00210E04" w:rsidRPr="00461D74">
        <w:rPr>
          <w:rFonts w:ascii="Garamond" w:eastAsia="Times New Roman" w:hAnsi="Garamond" w:cstheme="minorHAnsi"/>
          <w:color w:val="222222"/>
        </w:rPr>
        <w:t xml:space="preserve">individual </w:t>
      </w:r>
      <w:r w:rsidRPr="00461D74">
        <w:rPr>
          <w:rFonts w:ascii="Garamond" w:eastAsia="Times New Roman" w:hAnsi="Garamond" w:cstheme="minorHAnsi"/>
          <w:color w:val="222222"/>
        </w:rPr>
        <w:t>good</w:t>
      </w:r>
      <w:r w:rsidR="00C12D9D" w:rsidRPr="00461D74">
        <w:rPr>
          <w:rFonts w:ascii="Garamond" w:eastAsia="Times New Roman" w:hAnsi="Garamond" w:cstheme="minorHAnsi"/>
          <w:color w:val="222222"/>
        </w:rPr>
        <w:t xml:space="preserve"> of each member of society</w:t>
      </w:r>
      <w:r w:rsidR="003D3657" w:rsidRPr="00461D74">
        <w:rPr>
          <w:rFonts w:ascii="Garamond" w:eastAsia="Times New Roman" w:hAnsi="Garamond" w:cstheme="minorHAnsi"/>
          <w:color w:val="222222"/>
        </w:rPr>
        <w:t>; and therefore</w:t>
      </w:r>
      <w:r w:rsidR="00210E04" w:rsidRPr="00461D74">
        <w:rPr>
          <w:rFonts w:ascii="Garamond" w:eastAsia="Times New Roman" w:hAnsi="Garamond" w:cstheme="minorHAnsi"/>
          <w:color w:val="222222"/>
        </w:rPr>
        <w:t>,</w:t>
      </w:r>
      <w:r w:rsidR="00C12D9D" w:rsidRPr="00461D74">
        <w:rPr>
          <w:rFonts w:ascii="Garamond" w:eastAsia="Times New Roman" w:hAnsi="Garamond" w:cstheme="minorHAnsi"/>
          <w:color w:val="222222"/>
        </w:rPr>
        <w:t xml:space="preserve"> </w:t>
      </w:r>
      <w:r w:rsidR="00210E04" w:rsidRPr="00461D74">
        <w:rPr>
          <w:rFonts w:ascii="Garamond" w:eastAsia="Times New Roman" w:hAnsi="Garamond" w:cstheme="minorHAnsi"/>
          <w:color w:val="222222"/>
        </w:rPr>
        <w:t xml:space="preserve">in an irreducibly social </w:t>
      </w:r>
      <w:r w:rsidR="003D3657" w:rsidRPr="00461D74">
        <w:rPr>
          <w:rFonts w:ascii="Garamond" w:eastAsia="Times New Roman" w:hAnsi="Garamond" w:cstheme="minorHAnsi"/>
          <w:color w:val="222222"/>
        </w:rPr>
        <w:t>way</w:t>
      </w:r>
      <w:r w:rsidR="00210E04" w:rsidRPr="00461D74">
        <w:rPr>
          <w:rFonts w:ascii="Garamond" w:eastAsia="Times New Roman" w:hAnsi="Garamond" w:cstheme="minorHAnsi"/>
          <w:color w:val="222222"/>
        </w:rPr>
        <w:t>, the individual’s good is derived from participating</w:t>
      </w:r>
      <w:r w:rsidR="003D3657" w:rsidRPr="00461D74">
        <w:rPr>
          <w:rFonts w:ascii="Garamond" w:eastAsia="Times New Roman" w:hAnsi="Garamond" w:cstheme="minorHAnsi"/>
          <w:color w:val="222222"/>
        </w:rPr>
        <w:t>,</w:t>
      </w:r>
      <w:r w:rsidR="00210E04" w:rsidRPr="00461D74">
        <w:rPr>
          <w:rFonts w:ascii="Garamond" w:eastAsia="Times New Roman" w:hAnsi="Garamond" w:cstheme="minorHAnsi"/>
          <w:color w:val="222222"/>
        </w:rPr>
        <w:t xml:space="preserve"> and sharing</w:t>
      </w:r>
      <w:r w:rsidR="003D3657" w:rsidRPr="00461D74">
        <w:rPr>
          <w:rFonts w:ascii="Garamond" w:eastAsia="Times New Roman" w:hAnsi="Garamond" w:cstheme="minorHAnsi"/>
          <w:color w:val="222222"/>
        </w:rPr>
        <w:t>,</w:t>
      </w:r>
      <w:r w:rsidR="00210E04" w:rsidRPr="00461D74">
        <w:rPr>
          <w:rFonts w:ascii="Garamond" w:eastAsia="Times New Roman" w:hAnsi="Garamond" w:cstheme="minorHAnsi"/>
          <w:color w:val="222222"/>
        </w:rPr>
        <w:t xml:space="preserve"> in the </w:t>
      </w:r>
      <w:r w:rsidR="003D3657" w:rsidRPr="00461D74">
        <w:rPr>
          <w:rFonts w:ascii="Garamond" w:eastAsia="Times New Roman" w:hAnsi="Garamond" w:cstheme="minorHAnsi"/>
          <w:color w:val="222222"/>
        </w:rPr>
        <w:t xml:space="preserve">those </w:t>
      </w:r>
      <w:r w:rsidR="00210E04" w:rsidRPr="00461D74">
        <w:rPr>
          <w:rFonts w:ascii="Garamond" w:eastAsia="Times New Roman" w:hAnsi="Garamond" w:cstheme="minorHAnsi"/>
          <w:color w:val="222222"/>
        </w:rPr>
        <w:t>goods inferred by various social practices.</w:t>
      </w:r>
      <w:r w:rsidR="003D3657" w:rsidRPr="00461D74">
        <w:rPr>
          <w:rFonts w:ascii="Garamond" w:eastAsia="Times New Roman" w:hAnsi="Garamond" w:cstheme="minorHAnsi"/>
          <w:color w:val="222222"/>
        </w:rPr>
        <w:t xml:space="preserve"> </w:t>
      </w:r>
      <w:r w:rsidR="003D3657" w:rsidRPr="00461D74">
        <w:rPr>
          <w:rFonts w:ascii="Garamond" w:eastAsia="Times New Roman" w:hAnsi="Garamond" w:cstheme="minorHAnsi"/>
          <w:i/>
          <w:color w:val="222222"/>
        </w:rPr>
        <w:t xml:space="preserve">Therefore, </w:t>
      </w:r>
      <w:r w:rsidR="00DA2A32" w:rsidRPr="00461D74">
        <w:rPr>
          <w:rFonts w:ascii="Garamond" w:eastAsia="Times New Roman" w:hAnsi="Garamond" w:cstheme="minorHAnsi"/>
          <w:i/>
          <w:iCs/>
          <w:color w:val="222222"/>
        </w:rPr>
        <w:t>c</w:t>
      </w:r>
      <w:r w:rsidRPr="00461D74">
        <w:rPr>
          <w:rFonts w:ascii="Garamond" w:eastAsia="Times New Roman" w:hAnsi="Garamond" w:cstheme="minorHAnsi"/>
          <w:i/>
          <w:iCs/>
          <w:color w:val="222222"/>
        </w:rPr>
        <w:t xml:space="preserve">ommon good of local communities is very different </w:t>
      </w:r>
      <w:r w:rsidR="00DA2A32" w:rsidRPr="00461D74">
        <w:rPr>
          <w:rFonts w:ascii="Garamond" w:eastAsia="Times New Roman" w:hAnsi="Garamond" w:cstheme="minorHAnsi"/>
          <w:i/>
          <w:iCs/>
          <w:color w:val="222222"/>
        </w:rPr>
        <w:t>from</w:t>
      </w:r>
      <w:r w:rsidRPr="00461D74">
        <w:rPr>
          <w:rFonts w:ascii="Garamond" w:eastAsia="Times New Roman" w:hAnsi="Garamond" w:cstheme="minorHAnsi"/>
          <w:i/>
          <w:iCs/>
          <w:color w:val="222222"/>
        </w:rPr>
        <w:t xml:space="preserve"> the notion of public interest in the liberal state. Public interest in the liberal state isn’t the same as common good defined by MacIntyre.</w:t>
      </w:r>
    </w:p>
    <w:p w:rsidR="00665157" w:rsidRDefault="00665157">
      <w:pPr>
        <w:pStyle w:val="ListParagraph"/>
        <w:shd w:val="clear" w:color="auto" w:fill="FFFFFF"/>
        <w:spacing w:line="360" w:lineRule="auto"/>
        <w:ind w:left="1800"/>
        <w:jc w:val="both"/>
        <w:rPr>
          <w:rFonts w:ascii="Garamond" w:hAnsi="Garamond" w:cstheme="minorHAnsi"/>
        </w:rPr>
      </w:pPr>
    </w:p>
    <w:p w:rsidR="00665157" w:rsidRDefault="00016049">
      <w:pPr>
        <w:pStyle w:val="ListParagraph"/>
        <w:numPr>
          <w:ilvl w:val="0"/>
          <w:numId w:val="2"/>
        </w:numPr>
        <w:shd w:val="clear" w:color="auto" w:fill="FFFFFF"/>
        <w:spacing w:line="360" w:lineRule="auto"/>
        <w:jc w:val="both"/>
        <w:rPr>
          <w:rFonts w:ascii="Garamond" w:eastAsia="Times New Roman" w:hAnsi="Garamond" w:cstheme="minorHAnsi"/>
          <w:i/>
          <w:iCs/>
          <w:color w:val="222222"/>
        </w:rPr>
      </w:pPr>
      <w:r w:rsidRPr="00461D74">
        <w:rPr>
          <w:rFonts w:ascii="Garamond" w:eastAsia="Times New Roman" w:hAnsi="Garamond" w:cstheme="minorHAnsi"/>
          <w:color w:val="222222"/>
        </w:rPr>
        <w:t xml:space="preserve">In order to achieve the common good, we need to conceive of politics as a practice </w:t>
      </w:r>
      <w:r w:rsidR="00FB07CC">
        <w:rPr>
          <w:rFonts w:ascii="Garamond" w:eastAsia="Times New Roman" w:hAnsi="Garamond" w:cstheme="minorHAnsi"/>
          <w:color w:val="222222"/>
        </w:rPr>
        <w:t>in which</w:t>
      </w:r>
      <w:r w:rsidR="00FB07CC" w:rsidRPr="00461D74">
        <w:rPr>
          <w:rFonts w:ascii="Garamond" w:eastAsia="Times New Roman" w:hAnsi="Garamond" w:cstheme="minorHAnsi"/>
          <w:color w:val="222222"/>
        </w:rPr>
        <w:t xml:space="preserve"> </w:t>
      </w:r>
      <w:r w:rsidR="00FB07CC">
        <w:rPr>
          <w:rFonts w:ascii="Garamond" w:eastAsia="Times New Roman" w:hAnsi="Garamond" w:cstheme="minorHAnsi"/>
          <w:color w:val="222222"/>
        </w:rPr>
        <w:t xml:space="preserve">our (common) good is advanced through a process of </w:t>
      </w:r>
      <w:r w:rsidRPr="00461D74">
        <w:rPr>
          <w:rFonts w:ascii="Garamond" w:eastAsia="Times New Roman" w:hAnsi="Garamond" w:cstheme="minorHAnsi"/>
          <w:color w:val="222222"/>
        </w:rPr>
        <w:t xml:space="preserve">shared deliberation by </w:t>
      </w:r>
      <w:r w:rsidR="00FB07CC">
        <w:rPr>
          <w:rFonts w:ascii="Garamond" w:eastAsia="Times New Roman" w:hAnsi="Garamond" w:cstheme="minorHAnsi"/>
          <w:color w:val="222222"/>
        </w:rPr>
        <w:t>members of the community</w:t>
      </w:r>
      <w:r w:rsidRPr="00461D74">
        <w:rPr>
          <w:rFonts w:ascii="Garamond" w:eastAsia="Times New Roman" w:hAnsi="Garamond" w:cstheme="minorHAnsi"/>
          <w:color w:val="222222"/>
        </w:rPr>
        <w:t xml:space="preserve">. </w:t>
      </w:r>
      <w:r w:rsidR="00210E04" w:rsidRPr="00461D74">
        <w:rPr>
          <w:rFonts w:ascii="Garamond" w:eastAsia="Times New Roman" w:hAnsi="Garamond" w:cstheme="minorHAnsi"/>
          <w:color w:val="222222"/>
        </w:rPr>
        <w:t>Politics is here viewed</w:t>
      </w:r>
      <w:r w:rsidR="00221655" w:rsidRPr="00461D74">
        <w:rPr>
          <w:rFonts w:ascii="Garamond" w:eastAsia="Times New Roman" w:hAnsi="Garamond" w:cstheme="minorHAnsi"/>
          <w:color w:val="222222"/>
        </w:rPr>
        <w:t xml:space="preserve"> </w:t>
      </w:r>
      <w:r w:rsidRPr="00461D74">
        <w:rPr>
          <w:rFonts w:ascii="Garamond" w:eastAsia="Times New Roman" w:hAnsi="Garamond" w:cstheme="minorHAnsi"/>
          <w:color w:val="222222"/>
        </w:rPr>
        <w:t xml:space="preserve">as a </w:t>
      </w:r>
      <w:r w:rsidR="00210E04" w:rsidRPr="00461D74">
        <w:rPr>
          <w:rFonts w:ascii="Garamond" w:eastAsia="Times New Roman" w:hAnsi="Garamond" w:cstheme="minorHAnsi"/>
          <w:color w:val="222222"/>
        </w:rPr>
        <w:t xml:space="preserve">kind of </w:t>
      </w:r>
      <w:r w:rsidRPr="00461D74">
        <w:rPr>
          <w:rFonts w:ascii="Garamond" w:eastAsia="Times New Roman" w:hAnsi="Garamond" w:cstheme="minorHAnsi"/>
          <w:color w:val="222222"/>
        </w:rPr>
        <w:t xml:space="preserve">second order </w:t>
      </w:r>
      <w:r w:rsidR="005E4879" w:rsidRPr="00461D74">
        <w:rPr>
          <w:rFonts w:ascii="Garamond" w:eastAsia="Times New Roman" w:hAnsi="Garamond" w:cstheme="minorHAnsi"/>
          <w:color w:val="222222"/>
        </w:rPr>
        <w:t>(</w:t>
      </w:r>
      <w:r w:rsidR="00210E04" w:rsidRPr="00461D74">
        <w:rPr>
          <w:rFonts w:ascii="Garamond" w:eastAsia="Times New Roman" w:hAnsi="Garamond" w:cstheme="minorHAnsi"/>
          <w:color w:val="222222"/>
        </w:rPr>
        <w:t xml:space="preserve">or </w:t>
      </w:r>
      <w:r w:rsidRPr="00461D74">
        <w:rPr>
          <w:rFonts w:ascii="Garamond" w:eastAsia="Times New Roman" w:hAnsi="Garamond" w:cstheme="minorHAnsi"/>
          <w:color w:val="222222"/>
        </w:rPr>
        <w:t>sovereign</w:t>
      </w:r>
      <w:r w:rsidR="005E4879" w:rsidRPr="00461D74">
        <w:rPr>
          <w:rFonts w:ascii="Garamond" w:eastAsia="Times New Roman" w:hAnsi="Garamond" w:cstheme="minorHAnsi"/>
          <w:color w:val="222222"/>
        </w:rPr>
        <w:t>)</w:t>
      </w:r>
      <w:r w:rsidRPr="00461D74">
        <w:rPr>
          <w:rFonts w:ascii="Garamond" w:eastAsia="Times New Roman" w:hAnsi="Garamond" w:cstheme="minorHAnsi"/>
          <w:color w:val="222222"/>
        </w:rPr>
        <w:t xml:space="preserve"> practice</w:t>
      </w:r>
      <w:r w:rsidR="00210E04" w:rsidRPr="00461D74">
        <w:rPr>
          <w:rFonts w:ascii="Garamond" w:eastAsia="Times New Roman" w:hAnsi="Garamond" w:cstheme="minorHAnsi"/>
          <w:color w:val="222222"/>
        </w:rPr>
        <w:t>,</w:t>
      </w:r>
      <w:r w:rsidRPr="00461D74">
        <w:rPr>
          <w:rFonts w:ascii="Garamond" w:eastAsia="Times New Roman" w:hAnsi="Garamond" w:cstheme="minorHAnsi"/>
          <w:color w:val="222222"/>
        </w:rPr>
        <w:t xml:space="preserve"> </w:t>
      </w:r>
      <w:r w:rsidR="003D3657" w:rsidRPr="00461D74">
        <w:rPr>
          <w:rFonts w:ascii="Garamond" w:eastAsia="Times New Roman" w:hAnsi="Garamond" w:cstheme="minorHAnsi"/>
          <w:color w:val="222222"/>
        </w:rPr>
        <w:t>one that</w:t>
      </w:r>
      <w:r w:rsidR="00210E04" w:rsidRPr="00461D74">
        <w:rPr>
          <w:rFonts w:ascii="Garamond" w:eastAsia="Times New Roman" w:hAnsi="Garamond" w:cstheme="minorHAnsi"/>
          <w:color w:val="222222"/>
        </w:rPr>
        <w:t xml:space="preserve"> </w:t>
      </w:r>
      <w:r w:rsidRPr="00461D74">
        <w:rPr>
          <w:rFonts w:ascii="Garamond" w:eastAsia="Times New Roman" w:hAnsi="Garamond" w:cstheme="minorHAnsi"/>
          <w:color w:val="222222"/>
        </w:rPr>
        <w:t xml:space="preserve">involves the ranking the goods of </w:t>
      </w:r>
      <w:r w:rsidR="00FB07CC">
        <w:rPr>
          <w:rFonts w:ascii="Garamond" w:eastAsia="Times New Roman" w:hAnsi="Garamond" w:cstheme="minorHAnsi"/>
          <w:color w:val="222222"/>
        </w:rPr>
        <w:t xml:space="preserve">a range </w:t>
      </w:r>
      <w:r w:rsidR="003D3657" w:rsidRPr="00461D74">
        <w:rPr>
          <w:rFonts w:ascii="Garamond" w:eastAsia="Times New Roman" w:hAnsi="Garamond" w:cstheme="minorHAnsi"/>
          <w:color w:val="222222"/>
        </w:rPr>
        <w:t xml:space="preserve">of </w:t>
      </w:r>
      <w:r w:rsidRPr="00461D74">
        <w:rPr>
          <w:rFonts w:ascii="Garamond" w:eastAsia="Times New Roman" w:hAnsi="Garamond" w:cstheme="minorHAnsi"/>
          <w:color w:val="222222"/>
        </w:rPr>
        <w:t>social practices</w:t>
      </w:r>
      <w:r w:rsidR="003D3657" w:rsidRPr="00461D74">
        <w:rPr>
          <w:rFonts w:ascii="Garamond" w:eastAsia="Times New Roman" w:hAnsi="Garamond" w:cstheme="minorHAnsi"/>
          <w:color w:val="222222"/>
        </w:rPr>
        <w:t xml:space="preserve">, </w:t>
      </w:r>
      <w:r w:rsidR="00FB07CC" w:rsidRPr="00461D74">
        <w:rPr>
          <w:rFonts w:ascii="Garamond" w:eastAsia="Times New Roman" w:hAnsi="Garamond" w:cstheme="minorHAnsi"/>
          <w:color w:val="222222"/>
        </w:rPr>
        <w:t xml:space="preserve">not only </w:t>
      </w:r>
      <w:r w:rsidR="003D3657" w:rsidRPr="00461D74">
        <w:rPr>
          <w:rFonts w:ascii="Garamond" w:eastAsia="Times New Roman" w:hAnsi="Garamond" w:cstheme="minorHAnsi"/>
          <w:color w:val="222222"/>
        </w:rPr>
        <w:t xml:space="preserve">through </w:t>
      </w:r>
      <w:r w:rsidR="00FB07CC">
        <w:rPr>
          <w:rFonts w:ascii="Garamond" w:eastAsia="Times New Roman" w:hAnsi="Garamond" w:cstheme="minorHAnsi"/>
          <w:color w:val="222222"/>
        </w:rPr>
        <w:t xml:space="preserve">means that are </w:t>
      </w:r>
      <w:r w:rsidR="003D3657" w:rsidRPr="00461D74">
        <w:rPr>
          <w:rFonts w:ascii="Garamond" w:eastAsia="Times New Roman" w:hAnsi="Garamond" w:cstheme="minorHAnsi"/>
          <w:color w:val="222222"/>
        </w:rPr>
        <w:t>democratic and participatory, but</w:t>
      </w:r>
      <w:r w:rsidR="00FB07CC">
        <w:rPr>
          <w:rFonts w:ascii="Garamond" w:eastAsia="Times New Roman" w:hAnsi="Garamond" w:cstheme="minorHAnsi"/>
          <w:color w:val="222222"/>
        </w:rPr>
        <w:t xml:space="preserve"> are</w:t>
      </w:r>
      <w:r w:rsidR="003D3657" w:rsidRPr="00461D74">
        <w:rPr>
          <w:rFonts w:ascii="Garamond" w:eastAsia="Times New Roman" w:hAnsi="Garamond" w:cstheme="minorHAnsi"/>
          <w:color w:val="222222"/>
        </w:rPr>
        <w:t xml:space="preserve"> </w:t>
      </w:r>
      <w:r w:rsidR="00FB07CC">
        <w:rPr>
          <w:rFonts w:ascii="Garamond" w:eastAsia="Times New Roman" w:hAnsi="Garamond" w:cstheme="minorHAnsi"/>
          <w:color w:val="222222"/>
        </w:rPr>
        <w:t>in addition</w:t>
      </w:r>
      <w:r w:rsidR="00FB07CC" w:rsidRPr="00461D74">
        <w:rPr>
          <w:rFonts w:ascii="Garamond" w:eastAsia="Times New Roman" w:hAnsi="Garamond" w:cstheme="minorHAnsi"/>
          <w:color w:val="222222"/>
        </w:rPr>
        <w:t xml:space="preserve"> </w:t>
      </w:r>
      <w:r w:rsidR="003D3657" w:rsidRPr="00461D74">
        <w:rPr>
          <w:rFonts w:ascii="Garamond" w:eastAsia="Times New Roman" w:hAnsi="Garamond" w:cstheme="minorHAnsi"/>
          <w:color w:val="222222"/>
        </w:rPr>
        <w:t xml:space="preserve">genuinely </w:t>
      </w:r>
      <w:proofErr w:type="spellStart"/>
      <w:r w:rsidR="003D3657" w:rsidRPr="00461D74">
        <w:rPr>
          <w:rFonts w:ascii="Garamond" w:eastAsia="Times New Roman" w:hAnsi="Garamond" w:cstheme="minorHAnsi"/>
          <w:color w:val="222222"/>
        </w:rPr>
        <w:t>deliberatory</w:t>
      </w:r>
      <w:proofErr w:type="spellEnd"/>
      <w:r w:rsidRPr="00461D74">
        <w:rPr>
          <w:rFonts w:ascii="Garamond" w:eastAsia="Times New Roman" w:hAnsi="Garamond" w:cstheme="minorHAnsi"/>
          <w:color w:val="222222"/>
        </w:rPr>
        <w:t>.</w:t>
      </w:r>
      <w:r w:rsidR="00210E04" w:rsidRPr="00461D74">
        <w:rPr>
          <w:rFonts w:ascii="Garamond" w:eastAsia="Times New Roman" w:hAnsi="Garamond" w:cstheme="minorHAnsi"/>
          <w:color w:val="222222"/>
        </w:rPr>
        <w:t xml:space="preserve"> </w:t>
      </w:r>
      <w:r w:rsidR="003D3657" w:rsidRPr="00461D74">
        <w:rPr>
          <w:rFonts w:ascii="Garamond" w:eastAsia="Times New Roman" w:hAnsi="Garamond" w:cstheme="minorHAnsi"/>
          <w:i/>
          <w:color w:val="222222"/>
        </w:rPr>
        <w:t>Nonetheless</w:t>
      </w:r>
      <w:r w:rsidR="00210E04" w:rsidRPr="00461D74">
        <w:rPr>
          <w:rFonts w:ascii="Garamond" w:eastAsia="Times New Roman" w:hAnsi="Garamond" w:cstheme="minorHAnsi"/>
          <w:i/>
          <w:color w:val="222222"/>
        </w:rPr>
        <w:t xml:space="preserve">, </w:t>
      </w:r>
      <w:r w:rsidR="003D3657" w:rsidRPr="00461D74">
        <w:rPr>
          <w:rFonts w:ascii="Garamond" w:eastAsia="Times New Roman" w:hAnsi="Garamond" w:cstheme="minorHAnsi"/>
          <w:i/>
          <w:color w:val="222222"/>
        </w:rPr>
        <w:t xml:space="preserve">it seems that </w:t>
      </w:r>
      <w:r w:rsidR="00DA2A32" w:rsidRPr="00461D74">
        <w:rPr>
          <w:rFonts w:ascii="Garamond" w:eastAsia="Times New Roman" w:hAnsi="Garamond" w:cstheme="minorHAnsi"/>
          <w:i/>
          <w:color w:val="222222"/>
        </w:rPr>
        <w:t xml:space="preserve">the </w:t>
      </w:r>
      <w:r w:rsidR="003D3657" w:rsidRPr="00461D74">
        <w:rPr>
          <w:rFonts w:ascii="Garamond" w:eastAsia="Times New Roman" w:hAnsi="Garamond" w:cstheme="minorHAnsi"/>
          <w:i/>
          <w:iCs/>
          <w:color w:val="222222"/>
        </w:rPr>
        <w:t xml:space="preserve">large-scale </w:t>
      </w:r>
      <w:r w:rsidRPr="00461D74">
        <w:rPr>
          <w:rFonts w:ascii="Garamond" w:eastAsia="Times New Roman" w:hAnsi="Garamond" w:cstheme="minorHAnsi"/>
          <w:i/>
          <w:iCs/>
          <w:color w:val="222222"/>
        </w:rPr>
        <w:t>structure</w:t>
      </w:r>
      <w:r w:rsidR="003D3657" w:rsidRPr="00461D74">
        <w:rPr>
          <w:rFonts w:ascii="Garamond" w:eastAsia="Times New Roman" w:hAnsi="Garamond" w:cstheme="minorHAnsi"/>
          <w:i/>
          <w:iCs/>
          <w:color w:val="222222"/>
        </w:rPr>
        <w:t>s</w:t>
      </w:r>
      <w:r w:rsidRPr="00461D74">
        <w:rPr>
          <w:rFonts w:ascii="Garamond" w:eastAsia="Times New Roman" w:hAnsi="Garamond" w:cstheme="minorHAnsi"/>
          <w:i/>
          <w:iCs/>
          <w:color w:val="222222"/>
        </w:rPr>
        <w:t xml:space="preserve"> of the liberal state limit the possibilities for participatory democratic </w:t>
      </w:r>
      <w:r w:rsidRPr="00461D74">
        <w:rPr>
          <w:rFonts w:ascii="Garamond" w:eastAsia="Times New Roman" w:hAnsi="Garamond" w:cstheme="minorHAnsi"/>
          <w:i/>
          <w:iCs/>
          <w:color w:val="222222"/>
        </w:rPr>
        <w:lastRenderedPageBreak/>
        <w:t>deliberation</w:t>
      </w:r>
      <w:r w:rsidR="00684D58" w:rsidRPr="00461D74">
        <w:rPr>
          <w:rFonts w:ascii="Garamond" w:eastAsia="Times New Roman" w:hAnsi="Garamond" w:cstheme="minorHAnsi"/>
          <w:i/>
          <w:iCs/>
          <w:color w:val="222222"/>
        </w:rPr>
        <w:t>,</w:t>
      </w:r>
      <w:r w:rsidRPr="00461D74">
        <w:rPr>
          <w:rFonts w:ascii="Garamond" w:eastAsia="Times New Roman" w:hAnsi="Garamond" w:cstheme="minorHAnsi"/>
          <w:i/>
          <w:iCs/>
          <w:color w:val="222222"/>
        </w:rPr>
        <w:t xml:space="preserve"> and </w:t>
      </w:r>
      <w:r w:rsidR="00684D58" w:rsidRPr="00461D74">
        <w:rPr>
          <w:rFonts w:ascii="Garamond" w:eastAsia="Times New Roman" w:hAnsi="Garamond" w:cstheme="minorHAnsi"/>
          <w:i/>
          <w:iCs/>
          <w:color w:val="222222"/>
        </w:rPr>
        <w:t>therefore</w:t>
      </w:r>
      <w:r w:rsidRPr="00461D74">
        <w:rPr>
          <w:rFonts w:ascii="Garamond" w:eastAsia="Times New Roman" w:hAnsi="Garamond" w:cstheme="minorHAnsi"/>
          <w:i/>
          <w:iCs/>
          <w:color w:val="222222"/>
        </w:rPr>
        <w:t xml:space="preserve"> impede the reali</w:t>
      </w:r>
      <w:r w:rsidR="00C40F20">
        <w:rPr>
          <w:rFonts w:ascii="Garamond" w:eastAsia="Times New Roman" w:hAnsi="Garamond" w:cstheme="minorHAnsi"/>
          <w:i/>
          <w:iCs/>
          <w:color w:val="222222"/>
        </w:rPr>
        <w:t>z</w:t>
      </w:r>
      <w:r w:rsidRPr="00461D74">
        <w:rPr>
          <w:rFonts w:ascii="Garamond" w:eastAsia="Times New Roman" w:hAnsi="Garamond" w:cstheme="minorHAnsi"/>
          <w:i/>
          <w:iCs/>
          <w:color w:val="222222"/>
        </w:rPr>
        <w:t>ation of MacIntyre’s common good politics.</w:t>
      </w:r>
    </w:p>
    <w:p w:rsidR="00665157" w:rsidRDefault="00665157">
      <w:pPr>
        <w:spacing w:line="360" w:lineRule="auto"/>
        <w:ind w:firstLine="720"/>
        <w:jc w:val="both"/>
        <w:rPr>
          <w:rFonts w:ascii="Garamond" w:hAnsi="Garamond" w:cstheme="minorHAnsi"/>
          <w:sz w:val="24"/>
          <w:szCs w:val="24"/>
        </w:rPr>
      </w:pPr>
    </w:p>
    <w:p w:rsidR="00665157" w:rsidRDefault="00016049">
      <w:pPr>
        <w:spacing w:line="360" w:lineRule="auto"/>
        <w:ind w:firstLine="720"/>
        <w:jc w:val="both"/>
        <w:rPr>
          <w:rFonts w:ascii="Garamond" w:hAnsi="Garamond" w:cstheme="majorHAnsi"/>
          <w:sz w:val="24"/>
          <w:szCs w:val="24"/>
        </w:rPr>
      </w:pPr>
      <w:r w:rsidRPr="00461D74">
        <w:rPr>
          <w:rFonts w:ascii="Garamond" w:hAnsi="Garamond" w:cstheme="minorHAnsi"/>
          <w:sz w:val="24"/>
          <w:szCs w:val="24"/>
        </w:rPr>
        <w:t xml:space="preserve">The above two claims are important for they point to a seemingly intractable and antagonistic relationship between MacIntyre’s </w:t>
      </w:r>
      <w:r w:rsidR="00FB07CC">
        <w:rPr>
          <w:rFonts w:ascii="Garamond" w:hAnsi="Garamond" w:cstheme="minorHAnsi"/>
          <w:sz w:val="24"/>
          <w:szCs w:val="24"/>
        </w:rPr>
        <w:t xml:space="preserve">small-scale communal </w:t>
      </w:r>
      <w:r w:rsidRPr="00461D74">
        <w:rPr>
          <w:rFonts w:ascii="Garamond" w:hAnsi="Garamond" w:cstheme="minorHAnsi"/>
          <w:sz w:val="24"/>
          <w:szCs w:val="24"/>
        </w:rPr>
        <w:t>politics</w:t>
      </w:r>
      <w:r w:rsidR="00FB07CC">
        <w:rPr>
          <w:rFonts w:ascii="Garamond" w:hAnsi="Garamond" w:cstheme="minorHAnsi"/>
          <w:sz w:val="24"/>
          <w:szCs w:val="24"/>
        </w:rPr>
        <w:t xml:space="preserve">, and </w:t>
      </w:r>
      <w:r w:rsidRPr="00461D74">
        <w:rPr>
          <w:rFonts w:ascii="Garamond" w:hAnsi="Garamond" w:cstheme="minorHAnsi"/>
          <w:sz w:val="24"/>
          <w:szCs w:val="24"/>
        </w:rPr>
        <w:t xml:space="preserve">the preeminent form of contemporary political governance </w:t>
      </w:r>
      <w:r w:rsidR="005E4879" w:rsidRPr="00461D74">
        <w:rPr>
          <w:rFonts w:ascii="Garamond" w:hAnsi="Garamond" w:cstheme="minorHAnsi"/>
          <w:sz w:val="24"/>
          <w:szCs w:val="24"/>
        </w:rPr>
        <w:t>in the West</w:t>
      </w:r>
      <w:r w:rsidR="00DA2A32" w:rsidRPr="00461D74">
        <w:rPr>
          <w:rFonts w:ascii="Garamond" w:hAnsi="Garamond" w:cstheme="minorHAnsi"/>
          <w:sz w:val="24"/>
          <w:szCs w:val="24"/>
        </w:rPr>
        <w:t xml:space="preserve"> </w:t>
      </w:r>
      <w:r w:rsidR="00B4072C" w:rsidRPr="00461D74">
        <w:rPr>
          <w:rFonts w:ascii="Garamond" w:hAnsi="Garamond" w:cstheme="minorHAnsi"/>
          <w:sz w:val="24"/>
          <w:szCs w:val="24"/>
        </w:rPr>
        <w:t>–</w:t>
      </w:r>
      <w:r w:rsidR="00DA2A32" w:rsidRPr="00461D74">
        <w:rPr>
          <w:rFonts w:ascii="Garamond" w:hAnsi="Garamond" w:cstheme="minorHAnsi"/>
          <w:sz w:val="24"/>
          <w:szCs w:val="24"/>
        </w:rPr>
        <w:t xml:space="preserve"> </w:t>
      </w:r>
      <w:r w:rsidR="005E4879" w:rsidRPr="00461D74">
        <w:rPr>
          <w:rFonts w:ascii="Garamond" w:hAnsi="Garamond" w:cstheme="minorHAnsi"/>
          <w:sz w:val="24"/>
          <w:szCs w:val="24"/>
        </w:rPr>
        <w:t>namely</w:t>
      </w:r>
      <w:r w:rsidRPr="00461D74">
        <w:rPr>
          <w:rFonts w:ascii="Garamond" w:hAnsi="Garamond" w:cstheme="minorHAnsi"/>
          <w:sz w:val="24"/>
          <w:szCs w:val="24"/>
        </w:rPr>
        <w:t xml:space="preserve">, the modern liberal state. </w:t>
      </w:r>
      <w:r w:rsidR="00136430">
        <w:rPr>
          <w:rFonts w:ascii="Garamond" w:hAnsi="Garamond" w:cstheme="minorHAnsi"/>
          <w:sz w:val="24"/>
          <w:szCs w:val="24"/>
        </w:rPr>
        <w:t>Now, the antagonistic relationship between small-scale and large-scale political structures generates additional concern, because</w:t>
      </w:r>
      <w:r w:rsidR="005E4879" w:rsidRPr="00461D74">
        <w:rPr>
          <w:rFonts w:ascii="Garamond" w:hAnsi="Garamond" w:cstheme="minorHAnsi"/>
          <w:sz w:val="24"/>
          <w:szCs w:val="24"/>
        </w:rPr>
        <w:t xml:space="preserve"> </w:t>
      </w:r>
      <w:r w:rsidRPr="00461D74">
        <w:rPr>
          <w:rFonts w:ascii="Garamond" w:hAnsi="Garamond" w:cstheme="minorHAnsi"/>
          <w:sz w:val="24"/>
          <w:szCs w:val="24"/>
        </w:rPr>
        <w:t xml:space="preserve">MacIntyre has </w:t>
      </w:r>
      <w:r w:rsidR="005E4879" w:rsidRPr="00461D74">
        <w:rPr>
          <w:rFonts w:ascii="Garamond" w:hAnsi="Garamond" w:cstheme="minorHAnsi"/>
          <w:sz w:val="24"/>
          <w:szCs w:val="24"/>
        </w:rPr>
        <w:t>argued</w:t>
      </w:r>
      <w:r w:rsidRPr="00461D74">
        <w:rPr>
          <w:rFonts w:ascii="Garamond" w:hAnsi="Garamond" w:cstheme="minorHAnsi"/>
          <w:sz w:val="24"/>
          <w:szCs w:val="24"/>
        </w:rPr>
        <w:t xml:space="preserve"> that the state furnishes local communities with important </w:t>
      </w:r>
      <w:r w:rsidR="00B4072C" w:rsidRPr="00461D74">
        <w:rPr>
          <w:rFonts w:ascii="Garamond" w:hAnsi="Garamond" w:cstheme="minorHAnsi"/>
          <w:sz w:val="24"/>
          <w:szCs w:val="24"/>
        </w:rPr>
        <w:t>shared</w:t>
      </w:r>
      <w:r w:rsidRPr="00461D74">
        <w:rPr>
          <w:rFonts w:ascii="Garamond" w:hAnsi="Garamond" w:cstheme="minorHAnsi"/>
          <w:sz w:val="24"/>
          <w:szCs w:val="24"/>
        </w:rPr>
        <w:t xml:space="preserve"> goods </w:t>
      </w:r>
      <w:r w:rsidR="00B4072C" w:rsidRPr="00461D74">
        <w:rPr>
          <w:rFonts w:ascii="Garamond" w:hAnsi="Garamond" w:cstheme="minorHAnsi"/>
          <w:sz w:val="24"/>
          <w:szCs w:val="24"/>
        </w:rPr>
        <w:t>essential</w:t>
      </w:r>
      <w:r w:rsidRPr="00461D74">
        <w:rPr>
          <w:rFonts w:ascii="Garamond" w:hAnsi="Garamond" w:cstheme="minorHAnsi"/>
          <w:sz w:val="24"/>
          <w:szCs w:val="24"/>
        </w:rPr>
        <w:t xml:space="preserve"> to the existence and maintenance of local communities.</w:t>
      </w:r>
      <w:r w:rsidRPr="00461D74">
        <w:rPr>
          <w:rStyle w:val="FootnoteReference"/>
          <w:rFonts w:ascii="Garamond" w:hAnsi="Garamond" w:cstheme="minorHAnsi"/>
          <w:sz w:val="24"/>
          <w:szCs w:val="24"/>
        </w:rPr>
        <w:footnoteReference w:id="330"/>
      </w:r>
      <w:r w:rsidRPr="00461D74">
        <w:rPr>
          <w:rFonts w:ascii="Garamond" w:hAnsi="Garamond" w:cstheme="minorHAnsi"/>
          <w:sz w:val="24"/>
          <w:szCs w:val="24"/>
        </w:rPr>
        <w:t xml:space="preserve">  </w:t>
      </w:r>
      <w:r w:rsidR="00FB07CC">
        <w:rPr>
          <w:rFonts w:ascii="Garamond" w:hAnsi="Garamond" w:cstheme="minorHAnsi"/>
          <w:sz w:val="24"/>
          <w:szCs w:val="24"/>
        </w:rPr>
        <w:t>I</w:t>
      </w:r>
      <w:r w:rsidRPr="00461D74">
        <w:rPr>
          <w:rFonts w:ascii="Garamond" w:hAnsi="Garamond" w:cstheme="minorHAnsi"/>
          <w:sz w:val="24"/>
          <w:szCs w:val="24"/>
        </w:rPr>
        <w:t xml:space="preserve">t </w:t>
      </w:r>
      <w:r w:rsidR="00725E27" w:rsidRPr="00461D74">
        <w:rPr>
          <w:rFonts w:ascii="Garamond" w:hAnsi="Garamond" w:cstheme="minorHAnsi"/>
          <w:sz w:val="24"/>
          <w:szCs w:val="24"/>
        </w:rPr>
        <w:t xml:space="preserve">would </w:t>
      </w:r>
      <w:r w:rsidRPr="00461D74">
        <w:rPr>
          <w:rFonts w:ascii="Garamond" w:hAnsi="Garamond" w:cstheme="minorHAnsi"/>
          <w:sz w:val="24"/>
          <w:szCs w:val="24"/>
        </w:rPr>
        <w:t>appear</w:t>
      </w:r>
      <w:r w:rsidR="00C40F20">
        <w:rPr>
          <w:rFonts w:ascii="Garamond" w:hAnsi="Garamond" w:cstheme="minorHAnsi"/>
          <w:sz w:val="24"/>
          <w:szCs w:val="24"/>
        </w:rPr>
        <w:t>,</w:t>
      </w:r>
      <w:r w:rsidRPr="00461D74">
        <w:rPr>
          <w:rFonts w:ascii="Garamond" w:hAnsi="Garamond" w:cstheme="minorHAnsi"/>
          <w:sz w:val="24"/>
          <w:szCs w:val="24"/>
        </w:rPr>
        <w:t xml:space="preserve"> </w:t>
      </w:r>
      <w:r w:rsidR="00FB07CC">
        <w:rPr>
          <w:rFonts w:ascii="Garamond" w:hAnsi="Garamond" w:cstheme="minorHAnsi"/>
          <w:sz w:val="24"/>
          <w:szCs w:val="24"/>
        </w:rPr>
        <w:t>then</w:t>
      </w:r>
      <w:r w:rsidR="00C40F20">
        <w:rPr>
          <w:rFonts w:ascii="Garamond" w:hAnsi="Garamond" w:cstheme="minorHAnsi"/>
          <w:sz w:val="24"/>
          <w:szCs w:val="24"/>
        </w:rPr>
        <w:t>,</w:t>
      </w:r>
      <w:r w:rsidR="00FB07CC">
        <w:rPr>
          <w:rFonts w:ascii="Garamond" w:hAnsi="Garamond" w:cstheme="minorHAnsi"/>
          <w:sz w:val="24"/>
          <w:szCs w:val="24"/>
        </w:rPr>
        <w:t xml:space="preserve"> </w:t>
      </w:r>
      <w:r w:rsidRPr="00461D74">
        <w:rPr>
          <w:rFonts w:ascii="Garamond" w:hAnsi="Garamond" w:cstheme="minorHAnsi"/>
          <w:sz w:val="24"/>
          <w:szCs w:val="24"/>
        </w:rPr>
        <w:t xml:space="preserve">that the state </w:t>
      </w:r>
      <w:r w:rsidR="00136430">
        <w:rPr>
          <w:rFonts w:ascii="Garamond" w:hAnsi="Garamond" w:cstheme="minorHAnsi"/>
          <w:sz w:val="24"/>
          <w:szCs w:val="24"/>
        </w:rPr>
        <w:t>remains</w:t>
      </w:r>
      <w:r w:rsidR="00136430"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725E27" w:rsidRPr="00461D74">
        <w:rPr>
          <w:rFonts w:ascii="Garamond" w:hAnsi="Garamond" w:cstheme="minorHAnsi"/>
          <w:sz w:val="24"/>
          <w:szCs w:val="24"/>
        </w:rPr>
        <w:t xml:space="preserve">necessary, </w:t>
      </w:r>
      <w:r w:rsidR="00B4072C" w:rsidRPr="00461D74">
        <w:rPr>
          <w:rFonts w:ascii="Garamond" w:hAnsi="Garamond" w:cstheme="minorHAnsi"/>
          <w:sz w:val="24"/>
          <w:szCs w:val="24"/>
        </w:rPr>
        <w:t>although</w:t>
      </w:r>
      <w:r w:rsidR="00725E27" w:rsidRPr="00461D74">
        <w:rPr>
          <w:rFonts w:ascii="Garamond" w:hAnsi="Garamond" w:cstheme="minorHAnsi"/>
          <w:sz w:val="24"/>
          <w:szCs w:val="24"/>
        </w:rPr>
        <w:t xml:space="preserve"> not </w:t>
      </w:r>
      <w:r w:rsidR="00B4072C" w:rsidRPr="00461D74">
        <w:rPr>
          <w:rFonts w:ascii="Garamond" w:hAnsi="Garamond" w:cstheme="minorHAnsi"/>
          <w:sz w:val="24"/>
          <w:szCs w:val="24"/>
        </w:rPr>
        <w:t>sufficient, condition</w:t>
      </w:r>
      <w:r w:rsidR="00136430">
        <w:rPr>
          <w:rFonts w:ascii="Garamond" w:hAnsi="Garamond" w:cstheme="minorHAnsi"/>
          <w:sz w:val="24"/>
          <w:szCs w:val="24"/>
        </w:rPr>
        <w:t>,</w:t>
      </w:r>
      <w:r w:rsidR="00725E27" w:rsidRPr="00461D74">
        <w:rPr>
          <w:rFonts w:ascii="Garamond" w:hAnsi="Garamond" w:cstheme="minorHAnsi"/>
          <w:sz w:val="24"/>
          <w:szCs w:val="24"/>
        </w:rPr>
        <w:t xml:space="preserve"> </w:t>
      </w:r>
      <w:r w:rsidRPr="00461D74">
        <w:rPr>
          <w:rFonts w:ascii="Garamond" w:hAnsi="Garamond" w:cstheme="minorHAnsi"/>
          <w:sz w:val="24"/>
          <w:szCs w:val="24"/>
        </w:rPr>
        <w:t xml:space="preserve">for </w:t>
      </w:r>
      <w:r w:rsidR="00725E27" w:rsidRPr="00461D74">
        <w:rPr>
          <w:rFonts w:ascii="Garamond" w:hAnsi="Garamond" w:cstheme="minorHAnsi"/>
          <w:sz w:val="24"/>
          <w:szCs w:val="24"/>
        </w:rPr>
        <w:t xml:space="preserve">the well being of </w:t>
      </w:r>
      <w:r w:rsidRPr="00461D74">
        <w:rPr>
          <w:rFonts w:ascii="Garamond" w:hAnsi="Garamond" w:cstheme="minorHAnsi"/>
          <w:sz w:val="24"/>
          <w:szCs w:val="24"/>
        </w:rPr>
        <w:t>local communities. In the next section I will explore this issue in more detail.</w:t>
      </w:r>
    </w:p>
    <w:p w:rsidR="00665157" w:rsidRDefault="00665157">
      <w:pPr>
        <w:spacing w:line="360" w:lineRule="auto"/>
        <w:jc w:val="both"/>
        <w:rPr>
          <w:rFonts w:ascii="Garamond" w:hAnsi="Garamond" w:cstheme="majorHAnsi"/>
          <w:sz w:val="24"/>
          <w:szCs w:val="24"/>
        </w:rPr>
      </w:pPr>
    </w:p>
    <w:p w:rsidR="00665157" w:rsidRDefault="00BB6002" w:rsidP="00BB6002">
      <w:pPr>
        <w:pStyle w:val="Heading2"/>
        <w:spacing w:line="360" w:lineRule="auto"/>
        <w:jc w:val="both"/>
        <w:rPr>
          <w:rFonts w:cstheme="majorHAnsi"/>
        </w:rPr>
      </w:pPr>
      <w:bookmarkStart w:id="40" w:name="_Toc318424037"/>
      <w:bookmarkStart w:id="41" w:name="_Toc528077818"/>
      <w:r>
        <w:rPr>
          <w:rFonts w:cstheme="majorHAnsi"/>
        </w:rPr>
        <w:t xml:space="preserve">4. </w:t>
      </w:r>
      <w:r w:rsidR="00016049" w:rsidRPr="00F03436">
        <w:rPr>
          <w:rFonts w:cstheme="majorHAnsi"/>
        </w:rPr>
        <w:t>Liberal State and Local Politics</w:t>
      </w:r>
      <w:bookmarkEnd w:id="40"/>
      <w:bookmarkEnd w:id="41"/>
      <w:r w:rsidR="00016049" w:rsidRPr="00F03436">
        <w:rPr>
          <w:rFonts w:cstheme="majorHAnsi"/>
        </w:rPr>
        <w:t xml:space="preserve"> </w:t>
      </w:r>
    </w:p>
    <w:p w:rsidR="00665157" w:rsidRDefault="00665157">
      <w:pPr>
        <w:spacing w:line="360" w:lineRule="auto"/>
        <w:jc w:val="both"/>
        <w:rPr>
          <w:rFonts w:ascii="Garamond" w:hAnsi="Garamond" w:cstheme="minorHAnsi"/>
          <w:iCs/>
          <w:sz w:val="24"/>
          <w:szCs w:val="24"/>
        </w:rPr>
      </w:pPr>
    </w:p>
    <w:p w:rsidR="00665157" w:rsidRDefault="00016049">
      <w:pPr>
        <w:spacing w:line="360" w:lineRule="auto"/>
        <w:jc w:val="both"/>
        <w:rPr>
          <w:rFonts w:ascii="Garamond" w:hAnsi="Garamond" w:cstheme="minorHAnsi"/>
          <w:iCs/>
          <w:sz w:val="24"/>
          <w:szCs w:val="24"/>
        </w:rPr>
      </w:pPr>
      <w:r w:rsidRPr="00461D74">
        <w:rPr>
          <w:rFonts w:ascii="Garamond" w:hAnsi="Garamond" w:cstheme="minorHAnsi"/>
          <w:iCs/>
          <w:sz w:val="24"/>
          <w:szCs w:val="24"/>
        </w:rPr>
        <w:t>In what follows, I will consider (</w:t>
      </w:r>
      <w:proofErr w:type="spellStart"/>
      <w:r w:rsidRPr="00461D74">
        <w:rPr>
          <w:rFonts w:ascii="Garamond" w:hAnsi="Garamond" w:cstheme="minorHAnsi"/>
          <w:iCs/>
          <w:sz w:val="24"/>
          <w:szCs w:val="24"/>
        </w:rPr>
        <w:t>i</w:t>
      </w:r>
      <w:proofErr w:type="spellEnd"/>
      <w:r w:rsidRPr="00461D74">
        <w:rPr>
          <w:rFonts w:ascii="Garamond" w:hAnsi="Garamond" w:cstheme="minorHAnsi"/>
          <w:iCs/>
          <w:sz w:val="24"/>
          <w:szCs w:val="24"/>
        </w:rPr>
        <w:t xml:space="preserve">) whether MacIntyre’s critique of the liberal nation state stands up to a profound concern – can MacIntyre’s local communities do without the existence of such a state in the modern world? I will then examine (ii) whether MacIntyre’s account of local politics – that of politics as a practice – is unstable. This line of argument is promising because if MacIntyre is not able to </w:t>
      </w:r>
      <w:r w:rsidR="003B5BAB" w:rsidRPr="00461D74">
        <w:rPr>
          <w:rFonts w:ascii="Garamond" w:hAnsi="Garamond" w:cstheme="minorHAnsi"/>
          <w:iCs/>
          <w:sz w:val="24"/>
          <w:szCs w:val="24"/>
        </w:rPr>
        <w:t xml:space="preserve">offer </w:t>
      </w:r>
      <w:r w:rsidRPr="00461D74">
        <w:rPr>
          <w:rFonts w:ascii="Garamond" w:hAnsi="Garamond" w:cstheme="minorHAnsi"/>
          <w:iCs/>
          <w:sz w:val="24"/>
          <w:szCs w:val="24"/>
        </w:rPr>
        <w:t xml:space="preserve">an adequate response to </w:t>
      </w:r>
      <w:r w:rsidR="00733300" w:rsidRPr="00461D74">
        <w:rPr>
          <w:rFonts w:ascii="Garamond" w:hAnsi="Garamond" w:cstheme="minorHAnsi"/>
          <w:iCs/>
          <w:sz w:val="24"/>
          <w:szCs w:val="24"/>
        </w:rPr>
        <w:t>these</w:t>
      </w:r>
      <w:r w:rsidRPr="00461D74">
        <w:rPr>
          <w:rFonts w:ascii="Garamond" w:hAnsi="Garamond" w:cstheme="minorHAnsi"/>
          <w:iCs/>
          <w:sz w:val="24"/>
          <w:szCs w:val="24"/>
        </w:rPr>
        <w:t xml:space="preserve"> two questions</w:t>
      </w:r>
      <w:r w:rsidR="000A3EE0" w:rsidRPr="00461D74">
        <w:rPr>
          <w:rFonts w:ascii="Garamond" w:hAnsi="Garamond" w:cstheme="minorHAnsi"/>
          <w:iCs/>
          <w:sz w:val="24"/>
          <w:szCs w:val="24"/>
        </w:rPr>
        <w:t>,</w:t>
      </w:r>
      <w:r w:rsidR="00733300" w:rsidRPr="00461D74">
        <w:rPr>
          <w:rFonts w:ascii="Garamond" w:hAnsi="Garamond" w:cstheme="minorHAnsi"/>
          <w:iCs/>
          <w:sz w:val="24"/>
          <w:szCs w:val="24"/>
        </w:rPr>
        <w:t xml:space="preserve"> it could potentially </w:t>
      </w:r>
      <w:r w:rsidRPr="00461D74">
        <w:rPr>
          <w:rFonts w:ascii="Garamond" w:hAnsi="Garamond" w:cstheme="minorHAnsi"/>
          <w:iCs/>
          <w:sz w:val="24"/>
          <w:szCs w:val="24"/>
        </w:rPr>
        <w:t xml:space="preserve">undermine </w:t>
      </w:r>
      <w:r w:rsidR="000A3EE0" w:rsidRPr="00461D74">
        <w:rPr>
          <w:rFonts w:ascii="Garamond" w:hAnsi="Garamond" w:cstheme="minorHAnsi"/>
          <w:iCs/>
          <w:sz w:val="24"/>
          <w:szCs w:val="24"/>
        </w:rPr>
        <w:t xml:space="preserve">the conclusion of </w:t>
      </w:r>
      <w:r w:rsidRPr="00461D74">
        <w:rPr>
          <w:rFonts w:ascii="Garamond" w:hAnsi="Garamond" w:cstheme="minorHAnsi"/>
          <w:iCs/>
          <w:sz w:val="24"/>
          <w:szCs w:val="24"/>
        </w:rPr>
        <w:t xml:space="preserve">claim (B). </w:t>
      </w:r>
      <w:r w:rsidR="000A3EE0" w:rsidRPr="00461D74">
        <w:rPr>
          <w:rFonts w:ascii="Garamond" w:hAnsi="Garamond" w:cstheme="minorHAnsi"/>
          <w:iCs/>
          <w:sz w:val="24"/>
          <w:szCs w:val="24"/>
        </w:rPr>
        <w:t>Consequently</w:t>
      </w:r>
      <w:r w:rsidRPr="00461D74">
        <w:rPr>
          <w:rFonts w:ascii="Garamond" w:hAnsi="Garamond" w:cstheme="minorHAnsi"/>
          <w:iCs/>
          <w:sz w:val="24"/>
          <w:szCs w:val="24"/>
        </w:rPr>
        <w:t xml:space="preserve">, if MacIntyre’s politics ultimately </w:t>
      </w:r>
      <w:r w:rsidR="000A3EE0" w:rsidRPr="00461D74">
        <w:rPr>
          <w:rFonts w:ascii="Garamond" w:hAnsi="Garamond" w:cstheme="minorHAnsi"/>
          <w:iCs/>
          <w:sz w:val="24"/>
          <w:szCs w:val="24"/>
        </w:rPr>
        <w:t>proves inadequate</w:t>
      </w:r>
      <w:r w:rsidRPr="00461D74">
        <w:rPr>
          <w:rFonts w:ascii="Garamond" w:hAnsi="Garamond" w:cstheme="minorHAnsi"/>
          <w:iCs/>
          <w:sz w:val="24"/>
          <w:szCs w:val="24"/>
        </w:rPr>
        <w:t xml:space="preserve">, we need </w:t>
      </w:r>
      <w:r w:rsidR="000A3EE0" w:rsidRPr="00461D74">
        <w:rPr>
          <w:rFonts w:ascii="Garamond" w:hAnsi="Garamond" w:cstheme="minorHAnsi"/>
          <w:iCs/>
          <w:sz w:val="24"/>
          <w:szCs w:val="24"/>
        </w:rPr>
        <w:t xml:space="preserve">the kind </w:t>
      </w:r>
      <w:r w:rsidRPr="00461D74">
        <w:rPr>
          <w:rFonts w:ascii="Garamond" w:hAnsi="Garamond" w:cstheme="minorHAnsi"/>
          <w:iCs/>
          <w:sz w:val="24"/>
          <w:szCs w:val="24"/>
        </w:rPr>
        <w:t xml:space="preserve">of alternative account that can </w:t>
      </w:r>
      <w:r w:rsidR="000A3EE0" w:rsidRPr="00461D74">
        <w:rPr>
          <w:rFonts w:ascii="Garamond" w:hAnsi="Garamond" w:cstheme="minorHAnsi"/>
          <w:iCs/>
          <w:sz w:val="24"/>
          <w:szCs w:val="24"/>
        </w:rPr>
        <w:t>try to capture, as much as it can,</w:t>
      </w:r>
      <w:r w:rsidRPr="00461D74">
        <w:rPr>
          <w:rFonts w:ascii="Garamond" w:hAnsi="Garamond" w:cstheme="minorHAnsi"/>
          <w:iCs/>
          <w:sz w:val="24"/>
          <w:szCs w:val="24"/>
        </w:rPr>
        <w:t xml:space="preserve"> </w:t>
      </w:r>
      <w:r w:rsidR="005E1A4C">
        <w:rPr>
          <w:rFonts w:ascii="Garamond" w:hAnsi="Garamond" w:cstheme="minorHAnsi"/>
          <w:iCs/>
          <w:sz w:val="24"/>
          <w:szCs w:val="24"/>
        </w:rPr>
        <w:t xml:space="preserve">the contents of </w:t>
      </w:r>
      <w:r w:rsidRPr="00461D74">
        <w:rPr>
          <w:rFonts w:ascii="Garamond" w:hAnsi="Garamond" w:cstheme="minorHAnsi"/>
          <w:iCs/>
          <w:sz w:val="24"/>
          <w:szCs w:val="24"/>
        </w:rPr>
        <w:t>claim (A).</w:t>
      </w:r>
    </w:p>
    <w:p w:rsidR="00665157" w:rsidRDefault="000A3EE0">
      <w:pPr>
        <w:spacing w:line="360" w:lineRule="auto"/>
        <w:ind w:firstLine="720"/>
        <w:jc w:val="both"/>
        <w:rPr>
          <w:rFonts w:ascii="Garamond" w:hAnsi="Garamond" w:cstheme="minorHAnsi"/>
          <w:iCs/>
        </w:rPr>
      </w:pPr>
      <w:r w:rsidRPr="00461D74">
        <w:rPr>
          <w:rFonts w:ascii="Garamond" w:hAnsi="Garamond" w:cstheme="minorHAnsi"/>
          <w:iCs/>
          <w:sz w:val="24"/>
          <w:szCs w:val="24"/>
        </w:rPr>
        <w:lastRenderedPageBreak/>
        <w:t>Now, g</w:t>
      </w:r>
      <w:r w:rsidR="00016049" w:rsidRPr="00461D74">
        <w:rPr>
          <w:rFonts w:ascii="Garamond" w:hAnsi="Garamond" w:cstheme="minorHAnsi"/>
          <w:iCs/>
          <w:sz w:val="24"/>
          <w:szCs w:val="24"/>
        </w:rPr>
        <w:t xml:space="preserve">iven that MacIntyre appropriates a considerable portion of Marx’s social critique, we </w:t>
      </w:r>
      <w:r w:rsidR="003B5BAB" w:rsidRPr="00461D74">
        <w:rPr>
          <w:rFonts w:ascii="Garamond" w:hAnsi="Garamond" w:cstheme="minorHAnsi"/>
          <w:iCs/>
          <w:sz w:val="24"/>
          <w:szCs w:val="24"/>
        </w:rPr>
        <w:t xml:space="preserve">would be forgiven </w:t>
      </w:r>
      <w:r w:rsidR="003E2723" w:rsidRPr="00461D74">
        <w:rPr>
          <w:rFonts w:ascii="Garamond" w:hAnsi="Garamond" w:cstheme="minorHAnsi"/>
          <w:iCs/>
          <w:sz w:val="24"/>
          <w:szCs w:val="24"/>
        </w:rPr>
        <w:t>for</w:t>
      </w:r>
      <w:r w:rsidR="00016049" w:rsidRPr="00461D74">
        <w:rPr>
          <w:rFonts w:ascii="Garamond" w:hAnsi="Garamond" w:cstheme="minorHAnsi"/>
          <w:iCs/>
          <w:sz w:val="24"/>
          <w:szCs w:val="24"/>
        </w:rPr>
        <w:t xml:space="preserve"> perhaps</w:t>
      </w:r>
      <w:r w:rsidR="003B5BAB" w:rsidRPr="00461D74">
        <w:rPr>
          <w:rFonts w:ascii="Garamond" w:hAnsi="Garamond" w:cstheme="minorHAnsi"/>
          <w:iCs/>
          <w:sz w:val="24"/>
          <w:szCs w:val="24"/>
        </w:rPr>
        <w:t xml:space="preserve"> believ</w:t>
      </w:r>
      <w:r w:rsidR="003E2723" w:rsidRPr="00461D74">
        <w:rPr>
          <w:rFonts w:ascii="Garamond" w:hAnsi="Garamond" w:cstheme="minorHAnsi"/>
          <w:iCs/>
          <w:sz w:val="24"/>
          <w:szCs w:val="24"/>
        </w:rPr>
        <w:t>ing</w:t>
      </w:r>
      <w:r w:rsidR="003B5BAB" w:rsidRPr="00461D74">
        <w:rPr>
          <w:rFonts w:ascii="Garamond" w:hAnsi="Garamond" w:cstheme="minorHAnsi"/>
          <w:iCs/>
          <w:sz w:val="24"/>
          <w:szCs w:val="24"/>
        </w:rPr>
        <w:t xml:space="preserve"> </w:t>
      </w:r>
      <w:r w:rsidR="00016049" w:rsidRPr="00461D74">
        <w:rPr>
          <w:rFonts w:ascii="Garamond" w:hAnsi="Garamond" w:cstheme="minorHAnsi"/>
          <w:iCs/>
          <w:sz w:val="24"/>
          <w:szCs w:val="24"/>
        </w:rPr>
        <w:t>that MacIntyre’s profound and sustained critique of the liberal state would lead him to adopt a Marxist inspired social engineering scheme that dispenses with the idea of a liberal nation-state. Yet, contrary to this first (</w:t>
      </w:r>
      <w:r w:rsidR="005338D0">
        <w:rPr>
          <w:rFonts w:ascii="Garamond" w:hAnsi="Garamond" w:cstheme="minorHAnsi"/>
          <w:iCs/>
          <w:sz w:val="24"/>
          <w:szCs w:val="24"/>
        </w:rPr>
        <w:t>mistaken</w:t>
      </w:r>
      <w:r w:rsidR="00016049" w:rsidRPr="00461D74">
        <w:rPr>
          <w:rFonts w:ascii="Garamond" w:hAnsi="Garamond" w:cstheme="minorHAnsi"/>
          <w:iCs/>
          <w:sz w:val="24"/>
          <w:szCs w:val="24"/>
        </w:rPr>
        <w:t xml:space="preserve">) impulse, we find that MacIntyre’s thoughtful and sophisticated criticism is well aware that history has been, more often than not, less than auspicious to </w:t>
      </w:r>
      <w:r w:rsidRPr="00461D74">
        <w:rPr>
          <w:rFonts w:ascii="Garamond" w:hAnsi="Garamond" w:cstheme="minorHAnsi"/>
          <w:iCs/>
          <w:sz w:val="24"/>
          <w:szCs w:val="24"/>
        </w:rPr>
        <w:t xml:space="preserve">most </w:t>
      </w:r>
      <w:r w:rsidR="00016049" w:rsidRPr="00461D74">
        <w:rPr>
          <w:rFonts w:ascii="Garamond" w:hAnsi="Garamond" w:cstheme="minorHAnsi"/>
          <w:iCs/>
          <w:sz w:val="24"/>
          <w:szCs w:val="24"/>
        </w:rPr>
        <w:t>such schemes. MacIntyre’s view on strategies where an all-encompassing conception of the good is embraced by the state is that such projects have often led to tyranny and despotism</w:t>
      </w:r>
      <w:r w:rsidR="003E2723" w:rsidRPr="00461D74">
        <w:rPr>
          <w:rFonts w:ascii="Garamond" w:hAnsi="Garamond" w:cstheme="minorHAnsi"/>
          <w:iCs/>
          <w:sz w:val="24"/>
          <w:szCs w:val="24"/>
        </w:rPr>
        <w:t>:</w:t>
      </w:r>
      <w:r w:rsidRPr="00461D74">
        <w:rPr>
          <w:rFonts w:ascii="Garamond" w:hAnsi="Garamond" w:cstheme="minorHAnsi"/>
          <w:iCs/>
          <w:sz w:val="24"/>
          <w:szCs w:val="24"/>
        </w:rPr>
        <w:t xml:space="preserve"> </w:t>
      </w:r>
      <w:r w:rsidR="0098197D" w:rsidRPr="00461D74">
        <w:rPr>
          <w:rFonts w:ascii="Garamond" w:hAnsi="Garamond" w:cstheme="minorHAnsi"/>
          <w:iCs/>
          <w:sz w:val="24"/>
          <w:szCs w:val="24"/>
        </w:rPr>
        <w:t>"I...believe that attempts to remake modern societies in systematically communitarian ways will always be either ineffective or disastrous."</w:t>
      </w:r>
      <w:r w:rsidR="0098197D" w:rsidRPr="00461D74">
        <w:rPr>
          <w:rStyle w:val="FootnoteReference"/>
          <w:rFonts w:ascii="Garamond" w:hAnsi="Garamond" w:cstheme="minorHAnsi"/>
          <w:iCs/>
          <w:sz w:val="24"/>
          <w:szCs w:val="24"/>
        </w:rPr>
        <w:footnoteReference w:id="331"/>
      </w:r>
    </w:p>
    <w:p w:rsidR="00665157" w:rsidRDefault="00016049">
      <w:pPr>
        <w:spacing w:line="360" w:lineRule="auto"/>
        <w:ind w:firstLine="720"/>
        <w:jc w:val="both"/>
        <w:rPr>
          <w:rFonts w:ascii="Garamond" w:hAnsi="Garamond" w:cstheme="minorHAnsi"/>
          <w:iCs/>
          <w:sz w:val="24"/>
          <w:szCs w:val="24"/>
        </w:rPr>
      </w:pPr>
      <w:r w:rsidRPr="00461D74">
        <w:rPr>
          <w:rFonts w:ascii="Garamond" w:hAnsi="Garamond" w:cstheme="minorHAnsi"/>
          <w:sz w:val="24"/>
          <w:szCs w:val="24"/>
        </w:rPr>
        <w:t xml:space="preserve">Consequently, on MacIntyre’s account, the liberal nation-state is viewed as </w:t>
      </w:r>
      <w:proofErr w:type="spellStart"/>
      <w:r w:rsidRPr="00461D74">
        <w:rPr>
          <w:rFonts w:ascii="Garamond" w:hAnsi="Garamond" w:cstheme="minorHAnsi"/>
          <w:sz w:val="24"/>
          <w:szCs w:val="24"/>
        </w:rPr>
        <w:t>ineliminable</w:t>
      </w:r>
      <w:proofErr w:type="spellEnd"/>
      <w:r w:rsidRPr="00461D74">
        <w:rPr>
          <w:rFonts w:ascii="Garamond" w:hAnsi="Garamond" w:cstheme="minorHAnsi"/>
          <w:sz w:val="24"/>
          <w:szCs w:val="24"/>
        </w:rPr>
        <w:t xml:space="preserve">. More importantly, often on many occasions there is no efficient way for local communities to achieve certain ends other than through cooperating with the state, and so there will be times that individuals in local communities have to acquiesce </w:t>
      </w:r>
      <w:r w:rsidR="00A165EA">
        <w:rPr>
          <w:rFonts w:ascii="Garamond" w:hAnsi="Garamond" w:cstheme="minorHAnsi"/>
          <w:sz w:val="24"/>
          <w:szCs w:val="24"/>
        </w:rPr>
        <w:t>and</w:t>
      </w:r>
      <w:r w:rsidR="00D810CC">
        <w:rPr>
          <w:rFonts w:ascii="Garamond" w:hAnsi="Garamond" w:cstheme="minorHAnsi"/>
          <w:sz w:val="24"/>
          <w:szCs w:val="24"/>
        </w:rPr>
        <w:t xml:space="preserve"> therefore</w:t>
      </w:r>
      <w:r w:rsidR="00A165EA" w:rsidRPr="00461D74">
        <w:rPr>
          <w:rFonts w:ascii="Garamond" w:hAnsi="Garamond" w:cstheme="minorHAnsi"/>
          <w:sz w:val="24"/>
          <w:szCs w:val="24"/>
        </w:rPr>
        <w:t xml:space="preserve"> </w:t>
      </w:r>
      <w:r w:rsidRPr="00461D74">
        <w:rPr>
          <w:rFonts w:ascii="Garamond" w:hAnsi="Garamond" w:cstheme="minorHAnsi"/>
          <w:sz w:val="24"/>
          <w:szCs w:val="24"/>
        </w:rPr>
        <w:t>participate in the state’s programs or projects.</w:t>
      </w:r>
      <w:r w:rsidRPr="00461D74">
        <w:rPr>
          <w:rStyle w:val="FootnoteReference"/>
          <w:rFonts w:ascii="Garamond" w:hAnsi="Garamond" w:cstheme="minorHAnsi"/>
          <w:sz w:val="24"/>
          <w:szCs w:val="24"/>
        </w:rPr>
        <w:footnoteReference w:id="332"/>
      </w:r>
      <w:r w:rsidRPr="00461D74">
        <w:rPr>
          <w:rFonts w:ascii="Garamond" w:hAnsi="Garamond" w:cstheme="minorHAnsi"/>
          <w:sz w:val="24"/>
          <w:szCs w:val="24"/>
        </w:rPr>
        <w:t xml:space="preserve"> </w:t>
      </w:r>
      <w:r w:rsidRPr="00461D74">
        <w:rPr>
          <w:rFonts w:ascii="Garamond" w:hAnsi="Garamond" w:cstheme="minorHAnsi"/>
          <w:iCs/>
          <w:sz w:val="24"/>
          <w:szCs w:val="24"/>
        </w:rPr>
        <w:t>What is noteworthy is that there are some common goods, such as the goods of peace and security, which require the kinds of resources that are beyond the means of individual communities. So is the modern state as dismal and hopeless as MacIntyre makes it out to be?</w:t>
      </w:r>
      <w:r w:rsidRPr="00461D74">
        <w:rPr>
          <w:rStyle w:val="FootnoteReference"/>
          <w:rFonts w:ascii="Garamond" w:hAnsi="Garamond" w:cstheme="minorHAnsi"/>
          <w:iCs/>
          <w:sz w:val="24"/>
          <w:szCs w:val="24"/>
        </w:rPr>
        <w:t xml:space="preserve"> </w:t>
      </w:r>
      <w:r w:rsidRPr="00461D74">
        <w:rPr>
          <w:rStyle w:val="FootnoteReference"/>
          <w:rFonts w:ascii="Garamond" w:hAnsi="Garamond" w:cstheme="minorHAnsi"/>
          <w:iCs/>
          <w:sz w:val="24"/>
          <w:szCs w:val="24"/>
        </w:rPr>
        <w:footnoteReference w:id="333"/>
      </w:r>
      <w:r w:rsidRPr="00461D74">
        <w:rPr>
          <w:rFonts w:ascii="Garamond" w:hAnsi="Garamond" w:cstheme="minorHAnsi"/>
          <w:iCs/>
          <w:sz w:val="24"/>
          <w:szCs w:val="24"/>
        </w:rPr>
        <w:t xml:space="preserve"> If the state is a precondition for local communities to achieve some important common goods, goods that are essential to their sustained existence and proper function, then this raises an important follow up question</w:t>
      </w:r>
      <w:r w:rsidR="005E64BE">
        <w:rPr>
          <w:rFonts w:ascii="Garamond" w:hAnsi="Garamond" w:cstheme="minorHAnsi"/>
          <w:iCs/>
          <w:sz w:val="24"/>
          <w:szCs w:val="24"/>
        </w:rPr>
        <w:t xml:space="preserve"> – </w:t>
      </w:r>
      <w:r w:rsidR="005338D0">
        <w:rPr>
          <w:rFonts w:ascii="Garamond" w:hAnsi="Garamond" w:cstheme="minorHAnsi"/>
          <w:iCs/>
          <w:sz w:val="24"/>
          <w:szCs w:val="24"/>
        </w:rPr>
        <w:t xml:space="preserve">a </w:t>
      </w:r>
      <w:r w:rsidR="005E64BE">
        <w:rPr>
          <w:rFonts w:ascii="Garamond" w:hAnsi="Garamond" w:cstheme="minorHAnsi"/>
          <w:iCs/>
          <w:sz w:val="24"/>
          <w:szCs w:val="24"/>
        </w:rPr>
        <w:t>question</w:t>
      </w:r>
      <w:r w:rsidR="00601607" w:rsidRPr="00461D74">
        <w:rPr>
          <w:rFonts w:ascii="Garamond" w:hAnsi="Garamond" w:cstheme="minorHAnsi"/>
          <w:iCs/>
          <w:sz w:val="24"/>
          <w:szCs w:val="24"/>
        </w:rPr>
        <w:t xml:space="preserve"> that</w:t>
      </w:r>
      <w:r w:rsidR="005E64BE">
        <w:rPr>
          <w:rFonts w:ascii="Garamond" w:hAnsi="Garamond" w:cstheme="minorHAnsi"/>
          <w:iCs/>
          <w:sz w:val="24"/>
          <w:szCs w:val="24"/>
        </w:rPr>
        <w:t xml:space="preserve"> was first raised by</w:t>
      </w:r>
      <w:r w:rsidR="00601607" w:rsidRPr="00461D74">
        <w:rPr>
          <w:rFonts w:ascii="Garamond" w:hAnsi="Garamond" w:cstheme="minorHAnsi"/>
          <w:iCs/>
          <w:sz w:val="24"/>
          <w:szCs w:val="24"/>
        </w:rPr>
        <w:t xml:space="preserve"> Mark Murphy</w:t>
      </w:r>
      <w:r w:rsidRPr="00461D74">
        <w:rPr>
          <w:rFonts w:ascii="Garamond" w:hAnsi="Garamond" w:cstheme="minorHAnsi"/>
          <w:iCs/>
          <w:sz w:val="24"/>
          <w:szCs w:val="24"/>
        </w:rPr>
        <w:t>.</w:t>
      </w:r>
    </w:p>
    <w:p w:rsidR="00665157" w:rsidRDefault="00665157">
      <w:pPr>
        <w:spacing w:line="360" w:lineRule="auto"/>
        <w:jc w:val="both"/>
        <w:rPr>
          <w:rFonts w:ascii="Garamond" w:hAnsi="Garamond" w:cstheme="minorHAnsi"/>
          <w:iCs/>
          <w:sz w:val="24"/>
          <w:szCs w:val="24"/>
        </w:rPr>
      </w:pPr>
    </w:p>
    <w:p w:rsidR="00665157" w:rsidRDefault="00990477" w:rsidP="00990477">
      <w:pPr>
        <w:pStyle w:val="Heading3"/>
        <w:spacing w:before="200" w:line="360" w:lineRule="auto"/>
        <w:jc w:val="both"/>
        <w:rPr>
          <w:rFonts w:cstheme="majorHAnsi"/>
        </w:rPr>
      </w:pPr>
      <w:bookmarkStart w:id="42" w:name="_Toc528077819"/>
      <w:r>
        <w:rPr>
          <w:rFonts w:cstheme="majorHAnsi"/>
          <w:iCs/>
          <w:lang w:val="en-CA"/>
        </w:rPr>
        <w:lastRenderedPageBreak/>
        <w:t xml:space="preserve">4.1 </w:t>
      </w:r>
      <w:r w:rsidR="00016049" w:rsidRPr="00F03436">
        <w:rPr>
          <w:rFonts w:cstheme="majorHAnsi"/>
          <w:iCs/>
        </w:rPr>
        <w:t xml:space="preserve">Is </w:t>
      </w:r>
      <w:r w:rsidR="007B7FD8" w:rsidRPr="00F03436">
        <w:rPr>
          <w:rFonts w:cstheme="majorHAnsi"/>
          <w:iCs/>
        </w:rPr>
        <w:t>the S</w:t>
      </w:r>
      <w:r w:rsidR="00016049" w:rsidRPr="00F03436">
        <w:rPr>
          <w:rFonts w:cstheme="majorHAnsi"/>
          <w:iCs/>
        </w:rPr>
        <w:t xml:space="preserve">tate a </w:t>
      </w:r>
      <w:r w:rsidR="007B7FD8" w:rsidRPr="00F03436">
        <w:rPr>
          <w:rFonts w:cstheme="majorHAnsi"/>
          <w:iCs/>
        </w:rPr>
        <w:t>Necessary C</w:t>
      </w:r>
      <w:r w:rsidR="00016049" w:rsidRPr="00F03436">
        <w:rPr>
          <w:rFonts w:cstheme="majorHAnsi"/>
          <w:iCs/>
        </w:rPr>
        <w:t xml:space="preserve">ondition </w:t>
      </w:r>
      <w:r w:rsidR="007B7FD8" w:rsidRPr="00F03436">
        <w:rPr>
          <w:rFonts w:cstheme="majorHAnsi"/>
          <w:iCs/>
        </w:rPr>
        <w:t>for L</w:t>
      </w:r>
      <w:r w:rsidR="00016049" w:rsidRPr="00F03436">
        <w:rPr>
          <w:rFonts w:cstheme="majorHAnsi"/>
          <w:iCs/>
        </w:rPr>
        <w:t xml:space="preserve">ocal </w:t>
      </w:r>
      <w:r w:rsidR="007B7FD8" w:rsidRPr="00F03436">
        <w:rPr>
          <w:rFonts w:cstheme="majorHAnsi"/>
          <w:iCs/>
        </w:rPr>
        <w:t>P</w:t>
      </w:r>
      <w:r w:rsidR="00016049" w:rsidRPr="00F03436">
        <w:rPr>
          <w:rFonts w:cstheme="majorHAnsi"/>
          <w:iCs/>
        </w:rPr>
        <w:t>olitics?</w:t>
      </w:r>
      <w:bookmarkEnd w:id="42"/>
    </w:p>
    <w:p w:rsidR="00000355" w:rsidRDefault="00016049" w:rsidP="00000355">
      <w:pPr>
        <w:spacing w:line="360" w:lineRule="auto"/>
        <w:jc w:val="both"/>
        <w:rPr>
          <w:rFonts w:ascii="Garamond" w:hAnsi="Garamond" w:cstheme="minorHAnsi"/>
          <w:sz w:val="24"/>
          <w:szCs w:val="24"/>
        </w:rPr>
      </w:pPr>
      <w:r w:rsidRPr="00461D74">
        <w:rPr>
          <w:rFonts w:ascii="Garamond" w:hAnsi="Garamond" w:cstheme="minorHAnsi"/>
          <w:sz w:val="24"/>
          <w:szCs w:val="24"/>
        </w:rPr>
        <w:t xml:space="preserve">Murphy </w:t>
      </w:r>
      <w:r w:rsidR="00601607" w:rsidRPr="00461D74">
        <w:rPr>
          <w:rFonts w:ascii="Garamond" w:hAnsi="Garamond" w:cstheme="minorHAnsi"/>
          <w:sz w:val="24"/>
          <w:szCs w:val="24"/>
        </w:rPr>
        <w:t xml:space="preserve">asks </w:t>
      </w:r>
      <w:r w:rsidRPr="00461D74">
        <w:rPr>
          <w:rFonts w:ascii="Garamond" w:hAnsi="Garamond" w:cstheme="minorHAnsi"/>
          <w:sz w:val="24"/>
          <w:szCs w:val="24"/>
        </w:rPr>
        <w:t>if there were no state</w:t>
      </w:r>
      <w:r w:rsidR="00601607" w:rsidRPr="00461D74">
        <w:rPr>
          <w:rFonts w:ascii="Garamond" w:hAnsi="Garamond" w:cstheme="minorHAnsi"/>
          <w:sz w:val="24"/>
          <w:szCs w:val="24"/>
        </w:rPr>
        <w:t xml:space="preserve"> to begin with</w:t>
      </w:r>
      <w:r w:rsidRPr="00461D74">
        <w:rPr>
          <w:rFonts w:ascii="Garamond" w:hAnsi="Garamond" w:cstheme="minorHAnsi"/>
          <w:sz w:val="24"/>
          <w:szCs w:val="24"/>
        </w:rPr>
        <w:t xml:space="preserve">, would </w:t>
      </w:r>
      <w:r w:rsidR="00601607" w:rsidRPr="00461D74">
        <w:rPr>
          <w:rFonts w:ascii="Garamond" w:hAnsi="Garamond" w:cstheme="minorHAnsi"/>
          <w:sz w:val="24"/>
          <w:szCs w:val="24"/>
        </w:rPr>
        <w:t>individuals</w:t>
      </w:r>
      <w:r w:rsidRPr="00461D74">
        <w:rPr>
          <w:rFonts w:ascii="Garamond" w:hAnsi="Garamond" w:cstheme="minorHAnsi"/>
          <w:sz w:val="24"/>
          <w:szCs w:val="24"/>
        </w:rPr>
        <w:t xml:space="preserve"> in local communities </w:t>
      </w:r>
      <w:r w:rsidR="00601607" w:rsidRPr="00461D74">
        <w:rPr>
          <w:rFonts w:ascii="Garamond" w:hAnsi="Garamond" w:cstheme="minorHAnsi"/>
          <w:sz w:val="24"/>
          <w:szCs w:val="24"/>
        </w:rPr>
        <w:t xml:space="preserve">be forced </w:t>
      </w:r>
      <w:r w:rsidRPr="00461D74">
        <w:rPr>
          <w:rFonts w:ascii="Garamond" w:hAnsi="Garamond" w:cstheme="minorHAnsi"/>
          <w:sz w:val="24"/>
          <w:szCs w:val="24"/>
        </w:rPr>
        <w:t xml:space="preserve">to invent </w:t>
      </w:r>
      <w:r w:rsidR="00601607" w:rsidRPr="00461D74">
        <w:rPr>
          <w:rFonts w:ascii="Garamond" w:hAnsi="Garamond" w:cstheme="minorHAnsi"/>
          <w:sz w:val="24"/>
          <w:szCs w:val="24"/>
        </w:rPr>
        <w:t>(</w:t>
      </w:r>
      <w:r w:rsidRPr="00461D74">
        <w:rPr>
          <w:rFonts w:ascii="Garamond" w:hAnsi="Garamond" w:cstheme="minorHAnsi"/>
          <w:sz w:val="24"/>
          <w:szCs w:val="24"/>
        </w:rPr>
        <w:t>or set up</w:t>
      </w:r>
      <w:r w:rsidR="00601607" w:rsidRPr="00461D74">
        <w:rPr>
          <w:rFonts w:ascii="Garamond" w:hAnsi="Garamond" w:cstheme="minorHAnsi"/>
          <w:sz w:val="24"/>
          <w:szCs w:val="24"/>
        </w:rPr>
        <w:t>)</w:t>
      </w:r>
      <w:r w:rsidRPr="00461D74">
        <w:rPr>
          <w:rFonts w:ascii="Garamond" w:hAnsi="Garamond" w:cstheme="minorHAnsi"/>
          <w:sz w:val="24"/>
          <w:szCs w:val="24"/>
        </w:rPr>
        <w:t xml:space="preserve"> institutions analogous to that of the state in order to achieve certain </w:t>
      </w:r>
      <w:r w:rsidR="00601607" w:rsidRPr="00461D74">
        <w:rPr>
          <w:rFonts w:ascii="Garamond" w:hAnsi="Garamond" w:cstheme="minorHAnsi"/>
          <w:sz w:val="24"/>
          <w:szCs w:val="24"/>
        </w:rPr>
        <w:t xml:space="preserve">common </w:t>
      </w:r>
      <w:r w:rsidRPr="00461D74">
        <w:rPr>
          <w:rFonts w:ascii="Garamond" w:hAnsi="Garamond" w:cstheme="minorHAnsi"/>
          <w:sz w:val="24"/>
          <w:szCs w:val="24"/>
        </w:rPr>
        <w:t>ends? And if this is so</w:t>
      </w:r>
      <w:r w:rsidR="005338D0">
        <w:rPr>
          <w:rFonts w:ascii="Garamond" w:hAnsi="Garamond" w:cstheme="minorHAnsi"/>
          <w:sz w:val="24"/>
          <w:szCs w:val="24"/>
        </w:rPr>
        <w:t>,</w:t>
      </w:r>
      <w:r w:rsidRPr="00461D74">
        <w:rPr>
          <w:rFonts w:ascii="Garamond" w:hAnsi="Garamond" w:cstheme="minorHAnsi"/>
          <w:sz w:val="24"/>
          <w:szCs w:val="24"/>
        </w:rPr>
        <w:t xml:space="preserve"> is it </w:t>
      </w:r>
      <w:r w:rsidR="00601607" w:rsidRPr="00461D74">
        <w:rPr>
          <w:rFonts w:ascii="Garamond" w:hAnsi="Garamond" w:cstheme="minorHAnsi"/>
          <w:sz w:val="24"/>
          <w:szCs w:val="24"/>
        </w:rPr>
        <w:t xml:space="preserve">then </w:t>
      </w:r>
      <w:r w:rsidRPr="00461D74">
        <w:rPr>
          <w:rFonts w:ascii="Garamond" w:hAnsi="Garamond" w:cstheme="minorHAnsi"/>
          <w:sz w:val="24"/>
          <w:szCs w:val="24"/>
        </w:rPr>
        <w:t>plausible to suggest, as MacIntyre does, that the state is so fundamentally flawed</w:t>
      </w:r>
      <w:r w:rsidR="00D06563">
        <w:rPr>
          <w:rFonts w:ascii="Garamond" w:hAnsi="Garamond" w:cstheme="minorHAnsi"/>
          <w:sz w:val="24"/>
          <w:szCs w:val="24"/>
        </w:rPr>
        <w:t>, or</w:t>
      </w:r>
      <w:r w:rsidRPr="00461D74">
        <w:rPr>
          <w:rFonts w:ascii="Garamond" w:hAnsi="Garamond" w:cstheme="minorHAnsi"/>
          <w:sz w:val="24"/>
          <w:szCs w:val="24"/>
        </w:rPr>
        <w:t xml:space="preserve"> rather, </w:t>
      </w:r>
      <w:r w:rsidR="00D06563">
        <w:rPr>
          <w:rFonts w:ascii="Garamond" w:hAnsi="Garamond" w:cstheme="minorHAnsi"/>
          <w:sz w:val="24"/>
          <w:szCs w:val="24"/>
        </w:rPr>
        <w:t>that it remains</w:t>
      </w:r>
      <w:r w:rsidRPr="00461D74">
        <w:rPr>
          <w:rFonts w:ascii="Garamond" w:hAnsi="Garamond" w:cstheme="minorHAnsi"/>
          <w:sz w:val="24"/>
          <w:szCs w:val="24"/>
        </w:rPr>
        <w:t xml:space="preserve"> an imperfect </w:t>
      </w:r>
      <w:r w:rsidR="00601607" w:rsidRPr="00461D74">
        <w:rPr>
          <w:rFonts w:ascii="Garamond" w:hAnsi="Garamond" w:cstheme="minorHAnsi"/>
          <w:sz w:val="24"/>
          <w:szCs w:val="24"/>
        </w:rPr>
        <w:t>(</w:t>
      </w:r>
      <w:r w:rsidRPr="00461D74">
        <w:rPr>
          <w:rFonts w:ascii="Garamond" w:hAnsi="Garamond" w:cstheme="minorHAnsi"/>
          <w:sz w:val="24"/>
          <w:szCs w:val="24"/>
        </w:rPr>
        <w:t>or flawed</w:t>
      </w:r>
      <w:r w:rsidR="00601607" w:rsidRPr="00461D74">
        <w:rPr>
          <w:rFonts w:ascii="Garamond" w:hAnsi="Garamond" w:cstheme="minorHAnsi"/>
          <w:sz w:val="24"/>
          <w:szCs w:val="24"/>
        </w:rPr>
        <w:t>)</w:t>
      </w:r>
      <w:r w:rsidRPr="00461D74">
        <w:rPr>
          <w:rFonts w:ascii="Garamond" w:hAnsi="Garamond" w:cstheme="minorHAnsi"/>
          <w:sz w:val="24"/>
          <w:szCs w:val="24"/>
        </w:rPr>
        <w:t xml:space="preserve"> realization of a system of politics indispensable to the realization of common social and political ends? </w:t>
      </w:r>
      <w:r w:rsidR="00077F9E">
        <w:rPr>
          <w:rFonts w:ascii="Garamond" w:hAnsi="Garamond" w:cstheme="minorHAnsi"/>
          <w:sz w:val="24"/>
          <w:szCs w:val="24"/>
        </w:rPr>
        <w:t>And i</w:t>
      </w:r>
      <w:r w:rsidR="00726BC2">
        <w:rPr>
          <w:rFonts w:ascii="Garamond" w:hAnsi="Garamond" w:cstheme="minorHAnsi"/>
          <w:sz w:val="24"/>
          <w:szCs w:val="24"/>
        </w:rPr>
        <w:t xml:space="preserve">f state-level structures and institutions are </w:t>
      </w:r>
      <w:r w:rsidR="00410445">
        <w:rPr>
          <w:rFonts w:ascii="Garamond" w:hAnsi="Garamond" w:cstheme="minorHAnsi"/>
          <w:sz w:val="24"/>
          <w:szCs w:val="24"/>
        </w:rPr>
        <w:t xml:space="preserve">to some extent </w:t>
      </w:r>
      <w:r w:rsidR="00726BC2">
        <w:rPr>
          <w:rFonts w:ascii="Garamond" w:hAnsi="Garamond" w:cstheme="minorHAnsi"/>
          <w:sz w:val="24"/>
          <w:szCs w:val="24"/>
        </w:rPr>
        <w:t xml:space="preserve">generated as a resolution to a </w:t>
      </w:r>
      <w:r w:rsidR="00DA1D5F">
        <w:rPr>
          <w:rFonts w:ascii="Garamond" w:hAnsi="Garamond" w:cstheme="minorHAnsi"/>
          <w:sz w:val="24"/>
          <w:szCs w:val="24"/>
        </w:rPr>
        <w:t>set of coordination problems</w:t>
      </w:r>
      <w:r w:rsidR="00410445">
        <w:rPr>
          <w:rFonts w:ascii="Garamond" w:hAnsi="Garamond" w:cstheme="minorHAnsi"/>
          <w:sz w:val="24"/>
          <w:szCs w:val="24"/>
        </w:rPr>
        <w:t>,</w:t>
      </w:r>
      <w:r w:rsidR="00DA1D5F">
        <w:rPr>
          <w:rFonts w:ascii="Garamond" w:hAnsi="Garamond" w:cstheme="minorHAnsi"/>
          <w:sz w:val="24"/>
          <w:szCs w:val="24"/>
        </w:rPr>
        <w:t xml:space="preserve"> </w:t>
      </w:r>
      <w:r w:rsidR="008D6833">
        <w:rPr>
          <w:rFonts w:ascii="Garamond" w:hAnsi="Garamond" w:cstheme="minorHAnsi"/>
          <w:sz w:val="24"/>
          <w:szCs w:val="24"/>
        </w:rPr>
        <w:t>bearing in mind that</w:t>
      </w:r>
      <w:r w:rsidR="00DA1D5F">
        <w:rPr>
          <w:rFonts w:ascii="Garamond" w:hAnsi="Garamond" w:cstheme="minorHAnsi"/>
          <w:sz w:val="24"/>
          <w:szCs w:val="24"/>
        </w:rPr>
        <w:t xml:space="preserve"> large-scale structures are the most efficient means through which a great number of communities can advance a range of desirable goods</w:t>
      </w:r>
      <w:r w:rsidR="00000355">
        <w:rPr>
          <w:rFonts w:ascii="Garamond" w:hAnsi="Garamond" w:cstheme="minorHAnsi"/>
          <w:sz w:val="24"/>
          <w:szCs w:val="24"/>
        </w:rPr>
        <w:t xml:space="preserve"> – goods that are otherwise not easily obtainable and remain </w:t>
      </w:r>
      <w:r w:rsidR="00DA1D5F">
        <w:rPr>
          <w:rFonts w:ascii="Garamond" w:hAnsi="Garamond" w:cstheme="minorHAnsi"/>
          <w:sz w:val="24"/>
          <w:szCs w:val="24"/>
        </w:rPr>
        <w:t>essential</w:t>
      </w:r>
      <w:r w:rsidR="00000355">
        <w:rPr>
          <w:rFonts w:ascii="Garamond" w:hAnsi="Garamond" w:cstheme="minorHAnsi"/>
          <w:sz w:val="24"/>
          <w:szCs w:val="24"/>
        </w:rPr>
        <w:t>,</w:t>
      </w:r>
      <w:r w:rsidR="00DA1D5F">
        <w:rPr>
          <w:rFonts w:ascii="Garamond" w:hAnsi="Garamond" w:cstheme="minorHAnsi"/>
          <w:sz w:val="24"/>
          <w:szCs w:val="24"/>
        </w:rPr>
        <w:t xml:space="preserve"> to their survival</w:t>
      </w:r>
      <w:r w:rsidR="00000355">
        <w:rPr>
          <w:rFonts w:ascii="Garamond" w:hAnsi="Garamond" w:cstheme="minorHAnsi"/>
          <w:sz w:val="24"/>
          <w:szCs w:val="24"/>
        </w:rPr>
        <w:t xml:space="preserve"> and sustaining a range of social practices including that of politics</w:t>
      </w:r>
      <w:r w:rsidR="00DA1D5F">
        <w:rPr>
          <w:rFonts w:ascii="Garamond" w:hAnsi="Garamond" w:cstheme="minorHAnsi"/>
          <w:sz w:val="24"/>
          <w:szCs w:val="24"/>
        </w:rPr>
        <w:t xml:space="preserve"> </w:t>
      </w:r>
      <w:r w:rsidR="00000355">
        <w:rPr>
          <w:rFonts w:ascii="Garamond" w:hAnsi="Garamond" w:cstheme="minorHAnsi"/>
          <w:sz w:val="24"/>
          <w:szCs w:val="24"/>
        </w:rPr>
        <w:t xml:space="preserve">– </w:t>
      </w:r>
      <w:r w:rsidR="00DA1D5F" w:rsidRPr="00461D74">
        <w:rPr>
          <w:rFonts w:ascii="Garamond" w:hAnsi="Garamond" w:cstheme="minorHAnsi"/>
          <w:sz w:val="24"/>
          <w:szCs w:val="24"/>
        </w:rPr>
        <w:t xml:space="preserve">wouldn’t this </w:t>
      </w:r>
      <w:r w:rsidR="00D06563">
        <w:rPr>
          <w:rFonts w:ascii="Garamond" w:hAnsi="Garamond" w:cstheme="minorHAnsi"/>
          <w:sz w:val="24"/>
          <w:szCs w:val="24"/>
        </w:rPr>
        <w:t xml:space="preserve">again </w:t>
      </w:r>
      <w:r w:rsidR="00DA1D5F" w:rsidRPr="00461D74">
        <w:rPr>
          <w:rFonts w:ascii="Garamond" w:hAnsi="Garamond" w:cstheme="minorHAnsi"/>
          <w:sz w:val="24"/>
          <w:szCs w:val="24"/>
        </w:rPr>
        <w:t xml:space="preserve">suggest that state is a flawed </w:t>
      </w:r>
      <w:r w:rsidR="00D06563">
        <w:rPr>
          <w:rFonts w:ascii="Garamond" w:hAnsi="Garamond" w:cstheme="minorHAnsi"/>
          <w:sz w:val="24"/>
          <w:szCs w:val="24"/>
        </w:rPr>
        <w:t>fulfillment</w:t>
      </w:r>
      <w:r w:rsidR="00DA1D5F" w:rsidRPr="00461D74">
        <w:rPr>
          <w:rFonts w:ascii="Garamond" w:hAnsi="Garamond" w:cstheme="minorHAnsi"/>
          <w:sz w:val="24"/>
          <w:szCs w:val="24"/>
        </w:rPr>
        <w:t xml:space="preserve"> of political structure</w:t>
      </w:r>
      <w:r w:rsidR="00D06563">
        <w:rPr>
          <w:rFonts w:ascii="Garamond" w:hAnsi="Garamond" w:cstheme="minorHAnsi"/>
          <w:sz w:val="24"/>
          <w:szCs w:val="24"/>
        </w:rPr>
        <w:t>s</w:t>
      </w:r>
      <w:r w:rsidR="00DA1D5F" w:rsidRPr="00461D74">
        <w:rPr>
          <w:rFonts w:ascii="Garamond" w:hAnsi="Garamond" w:cstheme="minorHAnsi"/>
          <w:sz w:val="24"/>
          <w:szCs w:val="24"/>
        </w:rPr>
        <w:t xml:space="preserve"> that </w:t>
      </w:r>
      <w:r w:rsidR="00D06563">
        <w:rPr>
          <w:rFonts w:ascii="Garamond" w:hAnsi="Garamond" w:cstheme="minorHAnsi"/>
          <w:sz w:val="24"/>
          <w:szCs w:val="24"/>
        </w:rPr>
        <w:t>are</w:t>
      </w:r>
      <w:r w:rsidR="00DA1D5F" w:rsidRPr="00461D74">
        <w:rPr>
          <w:rFonts w:ascii="Garamond" w:hAnsi="Garamond" w:cstheme="minorHAnsi"/>
          <w:sz w:val="24"/>
          <w:szCs w:val="24"/>
        </w:rPr>
        <w:t xml:space="preserve"> fundamentally sound?</w:t>
      </w:r>
      <w:r w:rsidR="00DA1D5F" w:rsidRPr="00461D74">
        <w:rPr>
          <w:rStyle w:val="FootnoteReference"/>
          <w:rFonts w:ascii="Garamond" w:hAnsi="Garamond" w:cstheme="minorHAnsi"/>
          <w:sz w:val="24"/>
          <w:szCs w:val="24"/>
        </w:rPr>
        <w:footnoteReference w:id="334"/>
      </w:r>
      <w:r w:rsidR="00077F9E">
        <w:rPr>
          <w:rFonts w:ascii="Garamond" w:hAnsi="Garamond" w:cstheme="minorHAnsi"/>
          <w:sz w:val="24"/>
          <w:szCs w:val="24"/>
        </w:rPr>
        <w:t xml:space="preserve"> </w:t>
      </w:r>
      <w:r w:rsidR="00077F9E" w:rsidRPr="00461D74">
        <w:rPr>
          <w:rFonts w:ascii="Garamond" w:hAnsi="Garamond" w:cstheme="minorHAnsi"/>
          <w:sz w:val="24"/>
          <w:szCs w:val="24"/>
        </w:rPr>
        <w:t>Perhaps the</w:t>
      </w:r>
      <w:r w:rsidR="00D06563">
        <w:rPr>
          <w:rFonts w:ascii="Garamond" w:hAnsi="Garamond" w:cstheme="minorHAnsi"/>
          <w:sz w:val="24"/>
          <w:szCs w:val="24"/>
        </w:rPr>
        <w:t>n</w:t>
      </w:r>
      <w:r w:rsidR="00077F9E" w:rsidRPr="00461D74">
        <w:rPr>
          <w:rFonts w:ascii="Garamond" w:hAnsi="Garamond" w:cstheme="minorHAnsi"/>
          <w:sz w:val="24"/>
          <w:szCs w:val="24"/>
        </w:rPr>
        <w:t xml:space="preserve"> </w:t>
      </w:r>
      <w:r w:rsidR="00D06563">
        <w:rPr>
          <w:rFonts w:ascii="Garamond" w:hAnsi="Garamond" w:cstheme="minorHAnsi"/>
          <w:sz w:val="24"/>
          <w:szCs w:val="24"/>
        </w:rPr>
        <w:t xml:space="preserve">the </w:t>
      </w:r>
      <w:r w:rsidR="00077F9E" w:rsidRPr="00461D74">
        <w:rPr>
          <w:rFonts w:ascii="Garamond" w:hAnsi="Garamond" w:cstheme="minorHAnsi"/>
          <w:sz w:val="24"/>
          <w:szCs w:val="24"/>
        </w:rPr>
        <w:t>state is a</w:t>
      </w:r>
      <w:r w:rsidR="00D06563">
        <w:rPr>
          <w:rFonts w:ascii="Garamond" w:hAnsi="Garamond" w:cstheme="minorHAnsi"/>
          <w:sz w:val="24"/>
          <w:szCs w:val="24"/>
        </w:rPr>
        <w:t xml:space="preserve"> sub-optimal</w:t>
      </w:r>
      <w:r w:rsidR="00077F9E" w:rsidRPr="00461D74">
        <w:rPr>
          <w:rFonts w:ascii="Garamond" w:hAnsi="Garamond" w:cstheme="minorHAnsi"/>
          <w:sz w:val="24"/>
          <w:szCs w:val="24"/>
        </w:rPr>
        <w:t xml:space="preserve"> </w:t>
      </w:r>
      <w:r w:rsidR="00D06563">
        <w:rPr>
          <w:rFonts w:ascii="Garamond" w:hAnsi="Garamond" w:cstheme="minorHAnsi"/>
          <w:sz w:val="24"/>
          <w:szCs w:val="24"/>
        </w:rPr>
        <w:t>manifestation</w:t>
      </w:r>
      <w:r w:rsidR="00D06563" w:rsidRPr="00461D74">
        <w:rPr>
          <w:rFonts w:ascii="Garamond" w:hAnsi="Garamond" w:cstheme="minorHAnsi"/>
          <w:sz w:val="24"/>
          <w:szCs w:val="24"/>
        </w:rPr>
        <w:t xml:space="preserve"> </w:t>
      </w:r>
      <w:r w:rsidR="00077F9E" w:rsidRPr="00461D74">
        <w:rPr>
          <w:rFonts w:ascii="Garamond" w:hAnsi="Garamond" w:cstheme="minorHAnsi"/>
          <w:sz w:val="24"/>
          <w:szCs w:val="24"/>
        </w:rPr>
        <w:t xml:space="preserve">of </w:t>
      </w:r>
      <w:r w:rsidR="00077F9E">
        <w:rPr>
          <w:rFonts w:ascii="Garamond" w:hAnsi="Garamond" w:cstheme="minorHAnsi"/>
          <w:sz w:val="24"/>
          <w:szCs w:val="24"/>
        </w:rPr>
        <w:t>a range of structures that could</w:t>
      </w:r>
      <w:r w:rsidR="00D06563">
        <w:rPr>
          <w:rFonts w:ascii="Garamond" w:hAnsi="Garamond" w:cstheme="minorHAnsi"/>
          <w:sz w:val="24"/>
          <w:szCs w:val="24"/>
        </w:rPr>
        <w:t xml:space="preserve"> potentially,</w:t>
      </w:r>
      <w:r w:rsidR="00077F9E">
        <w:rPr>
          <w:rFonts w:ascii="Garamond" w:hAnsi="Garamond" w:cstheme="minorHAnsi"/>
          <w:sz w:val="24"/>
          <w:szCs w:val="24"/>
        </w:rPr>
        <w:t xml:space="preserve"> </w:t>
      </w:r>
      <w:r w:rsidR="00D06563">
        <w:rPr>
          <w:rFonts w:ascii="Garamond" w:hAnsi="Garamond" w:cstheme="minorHAnsi"/>
          <w:sz w:val="24"/>
          <w:szCs w:val="24"/>
        </w:rPr>
        <w:t xml:space="preserve">through a </w:t>
      </w:r>
      <w:r w:rsidR="003F77C4">
        <w:rPr>
          <w:rFonts w:ascii="Garamond" w:hAnsi="Garamond" w:cstheme="minorHAnsi"/>
          <w:sz w:val="24"/>
          <w:szCs w:val="24"/>
        </w:rPr>
        <w:t xml:space="preserve">sustained </w:t>
      </w:r>
      <w:r w:rsidR="00D06563">
        <w:rPr>
          <w:rFonts w:ascii="Garamond" w:hAnsi="Garamond" w:cstheme="minorHAnsi"/>
          <w:sz w:val="24"/>
          <w:szCs w:val="24"/>
        </w:rPr>
        <w:t xml:space="preserve">project of correction and </w:t>
      </w:r>
      <w:r w:rsidR="003F77C4">
        <w:rPr>
          <w:rFonts w:ascii="Garamond" w:hAnsi="Garamond" w:cstheme="minorHAnsi"/>
          <w:sz w:val="24"/>
          <w:szCs w:val="24"/>
        </w:rPr>
        <w:t xml:space="preserve">incremental </w:t>
      </w:r>
      <w:r w:rsidR="00D06563">
        <w:rPr>
          <w:rFonts w:ascii="Garamond" w:hAnsi="Garamond" w:cstheme="minorHAnsi"/>
          <w:sz w:val="24"/>
          <w:szCs w:val="24"/>
        </w:rPr>
        <w:t>improvement, generate</w:t>
      </w:r>
      <w:r w:rsidR="00077F9E">
        <w:rPr>
          <w:rFonts w:ascii="Garamond" w:hAnsi="Garamond" w:cstheme="minorHAnsi"/>
          <w:sz w:val="24"/>
          <w:szCs w:val="24"/>
        </w:rPr>
        <w:t xml:space="preserve"> </w:t>
      </w:r>
      <w:r w:rsidR="00077F9E" w:rsidRPr="00461D74">
        <w:rPr>
          <w:rFonts w:ascii="Garamond" w:hAnsi="Garamond" w:cstheme="minorHAnsi"/>
          <w:sz w:val="24"/>
          <w:szCs w:val="24"/>
        </w:rPr>
        <w:t>a more ideal society.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On Murphy’s view, MacIntyre’s account of local politics </w:t>
      </w:r>
      <w:r w:rsidR="00000355">
        <w:rPr>
          <w:rFonts w:ascii="Garamond" w:hAnsi="Garamond" w:cstheme="minorHAnsi"/>
          <w:sz w:val="24"/>
          <w:szCs w:val="24"/>
        </w:rPr>
        <w:t>necessitates</w:t>
      </w:r>
      <w:r w:rsidR="00000355" w:rsidRPr="00461D74">
        <w:rPr>
          <w:rFonts w:ascii="Garamond" w:hAnsi="Garamond" w:cstheme="minorHAnsi"/>
          <w:sz w:val="24"/>
          <w:szCs w:val="24"/>
        </w:rPr>
        <w:t xml:space="preserve"> </w:t>
      </w:r>
      <w:r w:rsidRPr="00461D74">
        <w:rPr>
          <w:rFonts w:ascii="Garamond" w:hAnsi="Garamond" w:cstheme="minorHAnsi"/>
          <w:sz w:val="24"/>
          <w:szCs w:val="24"/>
        </w:rPr>
        <w:t xml:space="preserve">a demanding set of external goods achieved by political institutions such as security, wealth, etc., which then </w:t>
      </w:r>
      <w:r w:rsidR="0066159E" w:rsidRPr="00461D74">
        <w:rPr>
          <w:rFonts w:ascii="Garamond" w:hAnsi="Garamond" w:cstheme="minorHAnsi"/>
          <w:sz w:val="24"/>
          <w:szCs w:val="24"/>
        </w:rPr>
        <w:t xml:space="preserve">generates the conditions that </w:t>
      </w:r>
      <w:r w:rsidRPr="00461D74">
        <w:rPr>
          <w:rFonts w:ascii="Garamond" w:hAnsi="Garamond" w:cstheme="minorHAnsi"/>
          <w:sz w:val="24"/>
          <w:szCs w:val="24"/>
        </w:rPr>
        <w:t>occasion the possibility of common deliberation about the common good. Hence, there are important reasons for local communities to work together and generate political institutions at the state level. It is only then that they can efficiently appropriate the external goods of</w:t>
      </w:r>
      <w:r w:rsidR="008F6A5C" w:rsidRPr="00461D74">
        <w:rPr>
          <w:rFonts w:ascii="Garamond" w:hAnsi="Garamond" w:cstheme="minorHAnsi"/>
          <w:sz w:val="24"/>
          <w:szCs w:val="24"/>
        </w:rPr>
        <w:t>fered by</w:t>
      </w:r>
      <w:r w:rsidRPr="00461D74">
        <w:rPr>
          <w:rFonts w:ascii="Garamond" w:hAnsi="Garamond" w:cstheme="minorHAnsi"/>
          <w:sz w:val="24"/>
          <w:szCs w:val="24"/>
        </w:rPr>
        <w:t xml:space="preserve"> state politics, such as security and wealth; goods that will be more difficult if not impossible to achieve individually.</w:t>
      </w:r>
      <w:r w:rsidRPr="00461D74">
        <w:rPr>
          <w:rStyle w:val="FootnoteReference"/>
          <w:rFonts w:ascii="Garamond" w:hAnsi="Garamond" w:cstheme="minorHAnsi"/>
          <w:sz w:val="24"/>
          <w:szCs w:val="24"/>
        </w:rPr>
        <w:footnoteReference w:id="335"/>
      </w:r>
      <w:r w:rsidRPr="00461D74">
        <w:rPr>
          <w:rFonts w:ascii="Garamond" w:hAnsi="Garamond" w:cstheme="minorHAnsi"/>
          <w:sz w:val="24"/>
          <w:szCs w:val="24"/>
        </w:rPr>
        <w:t xml:space="preserve"> Yet, the state, because it must inevitably combine the interests of many communities, must limit the extent </w:t>
      </w:r>
      <w:r w:rsidRPr="00461D74">
        <w:rPr>
          <w:rFonts w:ascii="Garamond" w:hAnsi="Garamond" w:cstheme="minorHAnsi"/>
          <w:sz w:val="24"/>
          <w:szCs w:val="24"/>
        </w:rPr>
        <w:lastRenderedPageBreak/>
        <w:t xml:space="preserve">in which effective deliberations can take place by all individuals within the many communities that constitute the state. Similarly, </w:t>
      </w:r>
      <w:r w:rsidR="00000355">
        <w:rPr>
          <w:rFonts w:ascii="Garamond" w:hAnsi="Garamond" w:cstheme="minorHAnsi"/>
          <w:sz w:val="24"/>
          <w:szCs w:val="24"/>
        </w:rPr>
        <w:t>given that</w:t>
      </w:r>
      <w:r w:rsidR="00000355" w:rsidRPr="00461D74">
        <w:rPr>
          <w:rFonts w:ascii="Garamond" w:hAnsi="Garamond" w:cstheme="minorHAnsi"/>
          <w:sz w:val="24"/>
          <w:szCs w:val="24"/>
        </w:rPr>
        <w:t xml:space="preserve"> </w:t>
      </w:r>
      <w:r w:rsidR="00000355">
        <w:rPr>
          <w:rFonts w:ascii="Garamond" w:hAnsi="Garamond" w:cstheme="minorHAnsi"/>
          <w:sz w:val="24"/>
          <w:szCs w:val="24"/>
        </w:rPr>
        <w:t>the state</w:t>
      </w:r>
      <w:r w:rsidR="00000355" w:rsidRPr="00461D74">
        <w:rPr>
          <w:rFonts w:ascii="Garamond" w:hAnsi="Garamond" w:cstheme="minorHAnsi"/>
          <w:sz w:val="24"/>
          <w:szCs w:val="24"/>
        </w:rPr>
        <w:t xml:space="preserve"> </w:t>
      </w:r>
      <w:r w:rsidRPr="00461D74">
        <w:rPr>
          <w:rFonts w:ascii="Garamond" w:hAnsi="Garamond" w:cstheme="minorHAnsi"/>
          <w:sz w:val="24"/>
          <w:szCs w:val="24"/>
        </w:rPr>
        <w:t xml:space="preserve">has to take into account </w:t>
      </w:r>
      <w:r w:rsidR="00000355">
        <w:rPr>
          <w:rFonts w:ascii="Garamond" w:hAnsi="Garamond" w:cstheme="minorHAnsi"/>
          <w:sz w:val="24"/>
          <w:szCs w:val="24"/>
        </w:rPr>
        <w:t xml:space="preserve">and consolidate </w:t>
      </w:r>
      <w:r w:rsidRPr="00461D74">
        <w:rPr>
          <w:rFonts w:ascii="Garamond" w:hAnsi="Garamond" w:cstheme="minorHAnsi"/>
          <w:sz w:val="24"/>
          <w:szCs w:val="24"/>
        </w:rPr>
        <w:t xml:space="preserve">the various interests of the many communities it represents, it must proceed from a </w:t>
      </w:r>
      <w:r w:rsidR="0098197D" w:rsidRPr="00461D74">
        <w:rPr>
          <w:rFonts w:ascii="Garamond" w:hAnsi="Garamond" w:cstheme="minorHAnsi"/>
          <w:i/>
          <w:sz w:val="24"/>
          <w:szCs w:val="24"/>
        </w:rPr>
        <w:t>thinner</w:t>
      </w:r>
      <w:r w:rsidRPr="00461D74">
        <w:rPr>
          <w:rFonts w:ascii="Garamond" w:hAnsi="Garamond" w:cstheme="minorHAnsi"/>
          <w:sz w:val="24"/>
          <w:szCs w:val="24"/>
        </w:rPr>
        <w:t xml:space="preserve"> conception of the good, for its mandate is to </w:t>
      </w:r>
      <w:r w:rsidR="0088073A">
        <w:rPr>
          <w:rFonts w:ascii="Garamond" w:hAnsi="Garamond" w:cstheme="minorHAnsi"/>
          <w:sz w:val="24"/>
          <w:szCs w:val="24"/>
        </w:rPr>
        <w:t>afford</w:t>
      </w:r>
      <w:r w:rsidR="0088073A" w:rsidRPr="00461D74">
        <w:rPr>
          <w:rFonts w:ascii="Garamond" w:hAnsi="Garamond" w:cstheme="minorHAnsi"/>
          <w:sz w:val="24"/>
          <w:szCs w:val="24"/>
        </w:rPr>
        <w:t xml:space="preserve"> </w:t>
      </w:r>
      <w:r w:rsidRPr="00461D74">
        <w:rPr>
          <w:rFonts w:ascii="Garamond" w:hAnsi="Garamond" w:cstheme="minorHAnsi"/>
          <w:sz w:val="24"/>
          <w:szCs w:val="24"/>
        </w:rPr>
        <w:t>a limited set of external goods, i.e., security, wealth, while largely remaining neutral between rival conception of the good in the political arena.</w:t>
      </w:r>
      <w:r w:rsidRPr="00461D74">
        <w:rPr>
          <w:rStyle w:val="FootnoteReference"/>
          <w:rFonts w:ascii="Garamond" w:hAnsi="Garamond" w:cstheme="minorHAnsi"/>
          <w:sz w:val="24"/>
          <w:szCs w:val="24"/>
        </w:rPr>
        <w:footnoteReference w:id="336"/>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Murphy’s criticism suggests that politics in local communities requires the efficient provision of external goods (security, wealth); and, the arrangement of such goods can be best generated through state-like institutions that overlap the boundaries of various communities. Second, deliberation at the level of state institutions, due to the size of the constituencies they represent, and the nature of their diverse interests, would in effect be thinner than deliberations at the level of local communities.</w:t>
      </w:r>
    </w:p>
    <w:p w:rsidR="00884880" w:rsidRDefault="00016049" w:rsidP="00884880">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w:t>
      </w:r>
      <w:r w:rsidR="008F6A5C" w:rsidRPr="00461D74">
        <w:rPr>
          <w:rFonts w:ascii="Garamond" w:hAnsi="Garamond" w:cstheme="minorHAnsi"/>
          <w:sz w:val="24"/>
          <w:szCs w:val="24"/>
        </w:rPr>
        <w:t>,</w:t>
      </w:r>
      <w:r w:rsidRPr="00461D74">
        <w:rPr>
          <w:rFonts w:ascii="Garamond" w:hAnsi="Garamond" w:cstheme="minorHAnsi"/>
          <w:sz w:val="24"/>
          <w:szCs w:val="24"/>
        </w:rPr>
        <w:t xml:space="preserve"> MacIntyre could </w:t>
      </w:r>
      <w:r w:rsidR="0088073A">
        <w:rPr>
          <w:rFonts w:ascii="Garamond" w:hAnsi="Garamond" w:cstheme="minorHAnsi"/>
          <w:sz w:val="24"/>
          <w:szCs w:val="24"/>
        </w:rPr>
        <w:t xml:space="preserve">raise </w:t>
      </w:r>
      <w:r w:rsidR="00771269">
        <w:rPr>
          <w:rFonts w:ascii="Garamond" w:hAnsi="Garamond" w:cstheme="minorHAnsi"/>
          <w:sz w:val="24"/>
          <w:szCs w:val="24"/>
        </w:rPr>
        <w:t>some</w:t>
      </w:r>
      <w:r w:rsidR="0088073A">
        <w:rPr>
          <w:rFonts w:ascii="Garamond" w:hAnsi="Garamond" w:cstheme="minorHAnsi"/>
          <w:sz w:val="24"/>
          <w:szCs w:val="24"/>
        </w:rPr>
        <w:t xml:space="preserve"> </w:t>
      </w:r>
      <w:r w:rsidRPr="00461D74">
        <w:rPr>
          <w:rFonts w:ascii="Garamond" w:hAnsi="Garamond" w:cstheme="minorHAnsi"/>
          <w:sz w:val="24"/>
          <w:szCs w:val="24"/>
        </w:rPr>
        <w:t>object</w:t>
      </w:r>
      <w:r w:rsidR="0088073A">
        <w:rPr>
          <w:rFonts w:ascii="Garamond" w:hAnsi="Garamond" w:cstheme="minorHAnsi"/>
          <w:sz w:val="24"/>
          <w:szCs w:val="24"/>
        </w:rPr>
        <w:t>ion</w:t>
      </w:r>
      <w:r w:rsidR="00771269">
        <w:rPr>
          <w:rFonts w:ascii="Garamond" w:hAnsi="Garamond" w:cstheme="minorHAnsi"/>
          <w:sz w:val="24"/>
          <w:szCs w:val="24"/>
        </w:rPr>
        <w:t>s</w:t>
      </w:r>
      <w:r w:rsidR="0088073A">
        <w:rPr>
          <w:rFonts w:ascii="Garamond" w:hAnsi="Garamond" w:cstheme="minorHAnsi"/>
          <w:sz w:val="24"/>
          <w:szCs w:val="24"/>
        </w:rPr>
        <w:t xml:space="preserve"> against</w:t>
      </w:r>
      <w:r w:rsidRPr="00461D74">
        <w:rPr>
          <w:rFonts w:ascii="Garamond" w:hAnsi="Garamond" w:cstheme="minorHAnsi"/>
          <w:sz w:val="24"/>
          <w:szCs w:val="24"/>
        </w:rPr>
        <w:t xml:space="preserve"> Murphy’s </w:t>
      </w:r>
      <w:r w:rsidR="00771269">
        <w:rPr>
          <w:rFonts w:ascii="Garamond" w:hAnsi="Garamond" w:cstheme="minorHAnsi"/>
          <w:sz w:val="24"/>
          <w:szCs w:val="24"/>
        </w:rPr>
        <w:t>two conclusions</w:t>
      </w:r>
      <w:r w:rsidRPr="00461D74">
        <w:rPr>
          <w:rFonts w:ascii="Garamond" w:hAnsi="Garamond" w:cstheme="minorHAnsi"/>
          <w:sz w:val="24"/>
          <w:szCs w:val="24"/>
        </w:rPr>
        <w:t xml:space="preserve">. He could reject the first </w:t>
      </w:r>
      <w:r w:rsidR="00771269">
        <w:rPr>
          <w:rFonts w:ascii="Garamond" w:hAnsi="Garamond" w:cstheme="minorHAnsi"/>
          <w:sz w:val="24"/>
          <w:szCs w:val="24"/>
        </w:rPr>
        <w:t>conclusion,</w:t>
      </w:r>
      <w:r w:rsidR="00771269" w:rsidRPr="00461D74">
        <w:rPr>
          <w:rFonts w:ascii="Garamond" w:hAnsi="Garamond" w:cstheme="minorHAnsi"/>
          <w:sz w:val="24"/>
          <w:szCs w:val="24"/>
        </w:rPr>
        <w:t xml:space="preserve"> </w:t>
      </w:r>
      <w:r w:rsidRPr="00461D74">
        <w:rPr>
          <w:rFonts w:ascii="Garamond" w:hAnsi="Garamond" w:cstheme="minorHAnsi"/>
          <w:sz w:val="24"/>
          <w:szCs w:val="24"/>
        </w:rPr>
        <w:t xml:space="preserve">and </w:t>
      </w:r>
      <w:r w:rsidR="00771269">
        <w:rPr>
          <w:rFonts w:ascii="Garamond" w:hAnsi="Garamond" w:cstheme="minorHAnsi"/>
          <w:sz w:val="24"/>
          <w:szCs w:val="24"/>
        </w:rPr>
        <w:t xml:space="preserve">instead </w:t>
      </w:r>
      <w:r w:rsidR="008F6A5C" w:rsidRPr="00461D74">
        <w:rPr>
          <w:rFonts w:ascii="Garamond" w:hAnsi="Garamond" w:cstheme="minorHAnsi"/>
          <w:sz w:val="24"/>
          <w:szCs w:val="24"/>
        </w:rPr>
        <w:t xml:space="preserve">offer </w:t>
      </w:r>
      <w:r w:rsidR="00310792" w:rsidRPr="00461D74">
        <w:rPr>
          <w:rFonts w:ascii="Garamond" w:hAnsi="Garamond" w:cstheme="minorHAnsi"/>
          <w:sz w:val="24"/>
          <w:szCs w:val="24"/>
        </w:rPr>
        <w:t xml:space="preserve">a historical materialist (or Marxist) </w:t>
      </w:r>
      <w:r w:rsidRPr="00461D74">
        <w:rPr>
          <w:rFonts w:ascii="Garamond" w:hAnsi="Garamond" w:cstheme="minorHAnsi"/>
          <w:sz w:val="24"/>
          <w:szCs w:val="24"/>
        </w:rPr>
        <w:t xml:space="preserve">response. On the historical materialist view, he could </w:t>
      </w:r>
      <w:r w:rsidR="009A4E66" w:rsidRPr="00461D74">
        <w:rPr>
          <w:rFonts w:ascii="Garamond" w:hAnsi="Garamond" w:cstheme="minorHAnsi"/>
          <w:sz w:val="24"/>
          <w:szCs w:val="24"/>
        </w:rPr>
        <w:t xml:space="preserve">argue </w:t>
      </w:r>
      <w:r w:rsidRPr="00461D74">
        <w:rPr>
          <w:rFonts w:ascii="Garamond" w:hAnsi="Garamond" w:cstheme="minorHAnsi"/>
          <w:sz w:val="24"/>
          <w:szCs w:val="24"/>
        </w:rPr>
        <w:t xml:space="preserve">that institutions in fact fail to appropriately and efficiently </w:t>
      </w:r>
      <w:r w:rsidR="00771269">
        <w:rPr>
          <w:rFonts w:ascii="Garamond" w:hAnsi="Garamond" w:cstheme="minorHAnsi"/>
          <w:sz w:val="24"/>
          <w:szCs w:val="24"/>
        </w:rPr>
        <w:t>distribute</w:t>
      </w:r>
      <w:r w:rsidR="00771269" w:rsidRPr="00461D74">
        <w:rPr>
          <w:rFonts w:ascii="Garamond" w:hAnsi="Garamond" w:cstheme="minorHAnsi"/>
          <w:sz w:val="24"/>
          <w:szCs w:val="24"/>
        </w:rPr>
        <w:t xml:space="preserve"> </w:t>
      </w:r>
      <w:r w:rsidRPr="00461D74">
        <w:rPr>
          <w:rFonts w:ascii="Garamond" w:hAnsi="Garamond" w:cstheme="minorHAnsi"/>
          <w:sz w:val="24"/>
          <w:szCs w:val="24"/>
        </w:rPr>
        <w:t xml:space="preserve">resources to the communities. Here, the state </w:t>
      </w:r>
      <w:r w:rsidR="00771269">
        <w:rPr>
          <w:rFonts w:ascii="Garamond" w:hAnsi="Garamond" w:cstheme="minorHAnsi"/>
          <w:sz w:val="24"/>
          <w:szCs w:val="24"/>
        </w:rPr>
        <w:t>obtains</w:t>
      </w:r>
      <w:r w:rsidR="00771269" w:rsidRPr="00461D74">
        <w:rPr>
          <w:rFonts w:ascii="Garamond" w:hAnsi="Garamond" w:cstheme="minorHAnsi"/>
          <w:sz w:val="24"/>
          <w:szCs w:val="24"/>
        </w:rPr>
        <w:t xml:space="preserve"> </w:t>
      </w:r>
      <w:r w:rsidRPr="00461D74">
        <w:rPr>
          <w:rFonts w:ascii="Garamond" w:hAnsi="Garamond" w:cstheme="minorHAnsi"/>
          <w:sz w:val="24"/>
          <w:szCs w:val="24"/>
        </w:rPr>
        <w:t>its resource from general taxation</w:t>
      </w:r>
      <w:r w:rsidR="00284E5E">
        <w:rPr>
          <w:rFonts w:ascii="Garamond" w:hAnsi="Garamond" w:cstheme="minorHAnsi"/>
          <w:sz w:val="24"/>
          <w:szCs w:val="24"/>
        </w:rPr>
        <w:t>,</w:t>
      </w:r>
      <w:r w:rsidRPr="00461D74">
        <w:rPr>
          <w:rFonts w:ascii="Garamond" w:hAnsi="Garamond" w:cstheme="minorHAnsi"/>
          <w:sz w:val="24"/>
          <w:szCs w:val="24"/>
        </w:rPr>
        <w:t xml:space="preserve"> </w:t>
      </w:r>
      <w:r w:rsidR="00284E5E">
        <w:rPr>
          <w:rFonts w:ascii="Garamond" w:hAnsi="Garamond" w:cstheme="minorHAnsi"/>
          <w:sz w:val="24"/>
          <w:szCs w:val="24"/>
        </w:rPr>
        <w:t xml:space="preserve">and taxation is in large part distributed </w:t>
      </w:r>
      <w:r w:rsidRPr="00461D74">
        <w:rPr>
          <w:rFonts w:ascii="Garamond" w:hAnsi="Garamond" w:cstheme="minorHAnsi"/>
          <w:sz w:val="24"/>
          <w:szCs w:val="24"/>
        </w:rPr>
        <w:t xml:space="preserve">through the </w:t>
      </w:r>
      <w:r w:rsidR="00284E5E">
        <w:rPr>
          <w:rFonts w:ascii="Garamond" w:hAnsi="Garamond" w:cstheme="minorHAnsi"/>
          <w:sz w:val="24"/>
          <w:szCs w:val="24"/>
        </w:rPr>
        <w:t>various forces which the market brings to bear on state institutions</w:t>
      </w:r>
      <w:r w:rsidRPr="00461D74">
        <w:rPr>
          <w:rFonts w:ascii="Garamond" w:hAnsi="Garamond" w:cstheme="minorHAnsi"/>
          <w:sz w:val="24"/>
          <w:szCs w:val="24"/>
        </w:rPr>
        <w:t xml:space="preserve">. The market </w:t>
      </w:r>
      <w:r w:rsidR="00284E5E">
        <w:rPr>
          <w:rFonts w:ascii="Garamond" w:hAnsi="Garamond" w:cstheme="minorHAnsi"/>
          <w:sz w:val="24"/>
          <w:szCs w:val="24"/>
        </w:rPr>
        <w:t xml:space="preserve">nevertheless remains </w:t>
      </w:r>
      <w:r w:rsidR="007E7518">
        <w:rPr>
          <w:rFonts w:ascii="Garamond" w:hAnsi="Garamond" w:cstheme="minorHAnsi"/>
          <w:sz w:val="24"/>
          <w:szCs w:val="24"/>
        </w:rPr>
        <w:t xml:space="preserve">vulnerable and </w:t>
      </w:r>
      <w:r w:rsidR="00284E5E">
        <w:rPr>
          <w:rFonts w:ascii="Garamond" w:hAnsi="Garamond" w:cstheme="minorHAnsi"/>
          <w:sz w:val="24"/>
          <w:szCs w:val="24"/>
        </w:rPr>
        <w:t xml:space="preserve">susceptible to </w:t>
      </w:r>
      <w:r w:rsidR="007E7518">
        <w:rPr>
          <w:rFonts w:ascii="Garamond" w:hAnsi="Garamond" w:cstheme="minorHAnsi"/>
          <w:sz w:val="24"/>
          <w:szCs w:val="24"/>
        </w:rPr>
        <w:t>manipulative</w:t>
      </w:r>
      <w:r w:rsidR="00284E5E">
        <w:rPr>
          <w:rFonts w:ascii="Garamond" w:hAnsi="Garamond" w:cstheme="minorHAnsi"/>
          <w:sz w:val="24"/>
          <w:szCs w:val="24"/>
        </w:rPr>
        <w:t xml:space="preserve"> </w:t>
      </w:r>
      <w:r w:rsidR="007E7518">
        <w:rPr>
          <w:rFonts w:ascii="Garamond" w:hAnsi="Garamond" w:cstheme="minorHAnsi"/>
          <w:sz w:val="24"/>
          <w:szCs w:val="24"/>
        </w:rPr>
        <w:t>actions exerted by those actors and participants with the largest concentration of power. Now, given that the state allows market institutions to self-regulate</w:t>
      </w:r>
      <w:r w:rsidR="0070671D">
        <w:rPr>
          <w:rFonts w:ascii="Garamond" w:hAnsi="Garamond" w:cstheme="minorHAnsi"/>
          <w:sz w:val="24"/>
          <w:szCs w:val="24"/>
        </w:rPr>
        <w:t>,</w:t>
      </w:r>
      <w:r w:rsidR="007E7518">
        <w:rPr>
          <w:rFonts w:ascii="Garamond" w:hAnsi="Garamond" w:cstheme="minorHAnsi"/>
          <w:sz w:val="24"/>
          <w:szCs w:val="24"/>
        </w:rPr>
        <w:t xml:space="preserve"> and the regulative apparatus are in turn filled with a cast of characters that constitute the wealthy capitalist class or are liable to the influence of that class, </w:t>
      </w:r>
      <w:r w:rsidRPr="00461D74">
        <w:rPr>
          <w:rFonts w:ascii="Garamond" w:hAnsi="Garamond" w:cstheme="minorHAnsi"/>
          <w:sz w:val="24"/>
          <w:szCs w:val="24"/>
        </w:rPr>
        <w:t xml:space="preserve">the market remains </w:t>
      </w:r>
      <w:r w:rsidR="009A4E66" w:rsidRPr="00461D74">
        <w:rPr>
          <w:rFonts w:ascii="Garamond" w:hAnsi="Garamond" w:cstheme="minorHAnsi"/>
          <w:sz w:val="24"/>
          <w:szCs w:val="24"/>
        </w:rPr>
        <w:t xml:space="preserve">very much susceptible </w:t>
      </w:r>
      <w:r w:rsidRPr="00461D74">
        <w:rPr>
          <w:rFonts w:ascii="Garamond" w:hAnsi="Garamond" w:cstheme="minorHAnsi"/>
          <w:sz w:val="24"/>
          <w:szCs w:val="24"/>
        </w:rPr>
        <w:t xml:space="preserve">to </w:t>
      </w:r>
      <w:r w:rsidR="007E7518">
        <w:rPr>
          <w:rFonts w:ascii="Garamond" w:hAnsi="Garamond" w:cstheme="minorHAnsi"/>
          <w:sz w:val="24"/>
          <w:szCs w:val="24"/>
        </w:rPr>
        <w:t>forces directed by special and narrow interests representing a small sub-section of society</w:t>
      </w:r>
      <w:r w:rsidR="009A4E66" w:rsidRPr="00461D74">
        <w:rPr>
          <w:rFonts w:ascii="Garamond" w:hAnsi="Garamond" w:cstheme="minorHAnsi"/>
          <w:sz w:val="24"/>
          <w:szCs w:val="24"/>
        </w:rPr>
        <w:t xml:space="preserve">. </w:t>
      </w:r>
      <w:r w:rsidR="00884880">
        <w:rPr>
          <w:rFonts w:ascii="Garamond" w:hAnsi="Garamond" w:cstheme="minorHAnsi"/>
          <w:sz w:val="24"/>
          <w:szCs w:val="24"/>
        </w:rPr>
        <w:lastRenderedPageBreak/>
        <w:t>Now</w:t>
      </w:r>
      <w:r w:rsidR="00310792" w:rsidRPr="00461D74">
        <w:rPr>
          <w:rFonts w:ascii="Garamond" w:hAnsi="Garamond" w:cstheme="minorHAnsi"/>
          <w:sz w:val="24"/>
          <w:szCs w:val="24"/>
        </w:rPr>
        <w:t xml:space="preserve">, </w:t>
      </w:r>
      <w:r w:rsidR="00884880">
        <w:rPr>
          <w:rFonts w:ascii="Garamond" w:hAnsi="Garamond" w:cstheme="minorHAnsi"/>
          <w:sz w:val="24"/>
          <w:szCs w:val="24"/>
        </w:rPr>
        <w:t>seeing as the</w:t>
      </w:r>
      <w:r w:rsidR="00884880" w:rsidRPr="00461D74">
        <w:rPr>
          <w:rFonts w:ascii="Garamond" w:hAnsi="Garamond" w:cstheme="minorHAnsi"/>
          <w:sz w:val="24"/>
          <w:szCs w:val="24"/>
        </w:rPr>
        <w:t xml:space="preserve"> </w:t>
      </w:r>
      <w:r w:rsidR="00310792" w:rsidRPr="00461D74">
        <w:rPr>
          <w:rFonts w:ascii="Garamond" w:hAnsi="Garamond" w:cstheme="minorHAnsi"/>
          <w:sz w:val="24"/>
          <w:szCs w:val="24"/>
        </w:rPr>
        <w:t xml:space="preserve">average </w:t>
      </w:r>
      <w:r w:rsidRPr="00461D74">
        <w:rPr>
          <w:rFonts w:ascii="Garamond" w:hAnsi="Garamond" w:cstheme="minorHAnsi"/>
          <w:sz w:val="24"/>
          <w:szCs w:val="24"/>
        </w:rPr>
        <w:t>market participant</w:t>
      </w:r>
      <w:r w:rsidR="003E2723" w:rsidRPr="00461D74">
        <w:rPr>
          <w:rFonts w:ascii="Garamond" w:hAnsi="Garamond" w:cstheme="minorHAnsi"/>
          <w:sz w:val="24"/>
          <w:szCs w:val="24"/>
        </w:rPr>
        <w:t>s</w:t>
      </w:r>
      <w:r w:rsidRPr="00461D74">
        <w:rPr>
          <w:rFonts w:ascii="Garamond" w:hAnsi="Garamond" w:cstheme="minorHAnsi"/>
          <w:sz w:val="24"/>
          <w:szCs w:val="24"/>
        </w:rPr>
        <w:t xml:space="preserve"> do not </w:t>
      </w:r>
      <w:r w:rsidR="00310792" w:rsidRPr="00461D74">
        <w:rPr>
          <w:rFonts w:ascii="Garamond" w:hAnsi="Garamond" w:cstheme="minorHAnsi"/>
          <w:sz w:val="24"/>
          <w:szCs w:val="24"/>
        </w:rPr>
        <w:t>enjoy similar</w:t>
      </w:r>
      <w:r w:rsidRPr="00461D74">
        <w:rPr>
          <w:rFonts w:ascii="Garamond" w:hAnsi="Garamond" w:cstheme="minorHAnsi"/>
          <w:sz w:val="24"/>
          <w:szCs w:val="24"/>
        </w:rPr>
        <w:t xml:space="preserve"> </w:t>
      </w:r>
      <w:r w:rsidR="00310792" w:rsidRPr="00461D74">
        <w:rPr>
          <w:rFonts w:ascii="Garamond" w:hAnsi="Garamond" w:cstheme="minorHAnsi"/>
          <w:sz w:val="24"/>
          <w:szCs w:val="24"/>
        </w:rPr>
        <w:t>levels</w:t>
      </w:r>
      <w:r w:rsidRPr="00461D74">
        <w:rPr>
          <w:rFonts w:ascii="Garamond" w:hAnsi="Garamond" w:cstheme="minorHAnsi"/>
          <w:sz w:val="24"/>
          <w:szCs w:val="24"/>
        </w:rPr>
        <w:t xml:space="preserve"> of </w:t>
      </w:r>
      <w:r w:rsidR="00310792" w:rsidRPr="00461D74">
        <w:rPr>
          <w:rFonts w:ascii="Garamond" w:hAnsi="Garamond" w:cstheme="minorHAnsi"/>
          <w:sz w:val="24"/>
          <w:szCs w:val="24"/>
        </w:rPr>
        <w:t xml:space="preserve">material </w:t>
      </w:r>
      <w:r w:rsidRPr="00461D74">
        <w:rPr>
          <w:rFonts w:ascii="Garamond" w:hAnsi="Garamond" w:cstheme="minorHAnsi"/>
          <w:sz w:val="24"/>
          <w:szCs w:val="24"/>
        </w:rPr>
        <w:t>resources</w:t>
      </w:r>
      <w:r w:rsidR="00310792" w:rsidRPr="00461D74">
        <w:rPr>
          <w:rFonts w:ascii="Garamond" w:hAnsi="Garamond" w:cstheme="minorHAnsi"/>
          <w:sz w:val="24"/>
          <w:szCs w:val="24"/>
        </w:rPr>
        <w:t xml:space="preserve">, </w:t>
      </w:r>
      <w:r w:rsidRPr="00461D74">
        <w:rPr>
          <w:rFonts w:ascii="Garamond" w:hAnsi="Garamond" w:cstheme="minorHAnsi"/>
          <w:sz w:val="24"/>
          <w:szCs w:val="24"/>
        </w:rPr>
        <w:t>in the long run</w:t>
      </w:r>
      <w:r w:rsidR="00310792" w:rsidRPr="00461D74">
        <w:rPr>
          <w:rFonts w:ascii="Garamond" w:hAnsi="Garamond" w:cstheme="minorHAnsi"/>
          <w:sz w:val="24"/>
          <w:szCs w:val="24"/>
        </w:rPr>
        <w:t>,</w:t>
      </w:r>
      <w:r w:rsidRPr="00461D74">
        <w:rPr>
          <w:rFonts w:ascii="Garamond" w:hAnsi="Garamond" w:cstheme="minorHAnsi"/>
          <w:sz w:val="24"/>
          <w:szCs w:val="24"/>
        </w:rPr>
        <w:t xml:space="preserve"> the system ends up ruling on behalf of the capital owning classes. Therefore state institutions instead are </w:t>
      </w:r>
      <w:r w:rsidR="00884880">
        <w:rPr>
          <w:rFonts w:ascii="Garamond" w:hAnsi="Garamond" w:cstheme="minorHAnsi"/>
          <w:sz w:val="24"/>
          <w:szCs w:val="24"/>
        </w:rPr>
        <w:t>configured in a way that</w:t>
      </w:r>
      <w:r w:rsidRPr="00461D74">
        <w:rPr>
          <w:rFonts w:ascii="Garamond" w:hAnsi="Garamond" w:cstheme="minorHAnsi"/>
          <w:sz w:val="24"/>
          <w:szCs w:val="24"/>
        </w:rPr>
        <w:t xml:space="preserve"> favour</w:t>
      </w:r>
      <w:r w:rsidR="00884880">
        <w:rPr>
          <w:rFonts w:ascii="Garamond" w:hAnsi="Garamond" w:cstheme="minorHAnsi"/>
          <w:sz w:val="24"/>
          <w:szCs w:val="24"/>
        </w:rPr>
        <w:t>s</w:t>
      </w:r>
      <w:r w:rsidRPr="00461D74">
        <w:rPr>
          <w:rFonts w:ascii="Garamond" w:hAnsi="Garamond" w:cstheme="minorHAnsi"/>
          <w:sz w:val="24"/>
          <w:szCs w:val="24"/>
        </w:rPr>
        <w:t xml:space="preserve"> the distribution of resources to those wealthy classes, and this does not necessarily involve the </w:t>
      </w:r>
      <w:r w:rsidR="003E2723" w:rsidRPr="00461D74">
        <w:rPr>
          <w:rFonts w:ascii="Garamond" w:hAnsi="Garamond" w:cstheme="minorHAnsi"/>
          <w:sz w:val="24"/>
          <w:szCs w:val="24"/>
        </w:rPr>
        <w:t xml:space="preserve">most </w:t>
      </w:r>
      <w:r w:rsidRPr="00461D74">
        <w:rPr>
          <w:rFonts w:ascii="Garamond" w:hAnsi="Garamond" w:cstheme="minorHAnsi"/>
          <w:sz w:val="24"/>
          <w:szCs w:val="24"/>
        </w:rPr>
        <w:t>efficient distribution of resources</w:t>
      </w:r>
      <w:r w:rsidR="00310792" w:rsidRPr="00461D74">
        <w:rPr>
          <w:rFonts w:ascii="Garamond" w:hAnsi="Garamond" w:cstheme="minorHAnsi"/>
          <w:sz w:val="24"/>
          <w:szCs w:val="24"/>
        </w:rPr>
        <w:t>.</w:t>
      </w:r>
      <w:r w:rsidR="007D7819" w:rsidRPr="00461D74">
        <w:rPr>
          <w:rFonts w:ascii="Garamond" w:hAnsi="Garamond" w:cstheme="minorHAnsi"/>
          <w:sz w:val="24"/>
          <w:szCs w:val="24"/>
        </w:rPr>
        <w:t xml:space="preserve"> </w:t>
      </w:r>
    </w:p>
    <w:p w:rsidR="00665157" w:rsidRDefault="00016049" w:rsidP="00884880">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w:t>
      </w:r>
      <w:r w:rsidR="00884880">
        <w:rPr>
          <w:rFonts w:ascii="Garamond" w:hAnsi="Garamond" w:cstheme="minorHAnsi"/>
          <w:sz w:val="24"/>
          <w:szCs w:val="24"/>
        </w:rPr>
        <w:t>,</w:t>
      </w:r>
      <w:r w:rsidRPr="00461D74">
        <w:rPr>
          <w:rFonts w:ascii="Garamond" w:hAnsi="Garamond" w:cstheme="minorHAnsi"/>
          <w:sz w:val="24"/>
          <w:szCs w:val="24"/>
        </w:rPr>
        <w:t xml:space="preserve"> I wonder if this is enough</w:t>
      </w:r>
      <w:r w:rsidR="00884880">
        <w:rPr>
          <w:rFonts w:ascii="Garamond" w:hAnsi="Garamond" w:cstheme="minorHAnsi"/>
          <w:sz w:val="24"/>
          <w:szCs w:val="24"/>
        </w:rPr>
        <w:t xml:space="preserve"> given that </w:t>
      </w:r>
      <w:r w:rsidRPr="00461D74">
        <w:rPr>
          <w:rFonts w:ascii="Garamond" w:hAnsi="Garamond" w:cstheme="minorHAnsi"/>
          <w:sz w:val="24"/>
          <w:szCs w:val="24"/>
        </w:rPr>
        <w:t>MacIntyre reject</w:t>
      </w:r>
      <w:r w:rsidR="00884880">
        <w:rPr>
          <w:rFonts w:ascii="Garamond" w:hAnsi="Garamond" w:cstheme="minorHAnsi"/>
          <w:sz w:val="24"/>
          <w:szCs w:val="24"/>
        </w:rPr>
        <w:t>s</w:t>
      </w:r>
      <w:r w:rsidRPr="00461D74">
        <w:rPr>
          <w:rFonts w:ascii="Garamond" w:hAnsi="Garamond" w:cstheme="minorHAnsi"/>
          <w:sz w:val="24"/>
          <w:szCs w:val="24"/>
        </w:rPr>
        <w:t xml:space="preserve"> the Marxist </w:t>
      </w:r>
      <w:r w:rsidR="00884880">
        <w:rPr>
          <w:rFonts w:ascii="Garamond" w:hAnsi="Garamond" w:cstheme="minorHAnsi"/>
          <w:sz w:val="24"/>
          <w:szCs w:val="24"/>
        </w:rPr>
        <w:t xml:space="preserve">solution to this problem – namely, socialist </w:t>
      </w:r>
      <w:r w:rsidRPr="00461D74">
        <w:rPr>
          <w:rFonts w:ascii="Garamond" w:hAnsi="Garamond" w:cstheme="minorHAnsi"/>
          <w:sz w:val="24"/>
          <w:szCs w:val="24"/>
        </w:rPr>
        <w:t>revolution and wholesale change of the state</w:t>
      </w:r>
      <w:r w:rsidR="007D7819" w:rsidRPr="00461D74">
        <w:rPr>
          <w:rFonts w:ascii="Garamond" w:hAnsi="Garamond" w:cstheme="minorHAnsi"/>
          <w:sz w:val="24"/>
          <w:szCs w:val="24"/>
        </w:rPr>
        <w:t xml:space="preserve">. Thus, even if </w:t>
      </w:r>
      <w:r w:rsidR="003E2723" w:rsidRPr="00461D74">
        <w:rPr>
          <w:rFonts w:ascii="Garamond" w:hAnsi="Garamond" w:cstheme="minorHAnsi"/>
          <w:sz w:val="24"/>
          <w:szCs w:val="24"/>
        </w:rPr>
        <w:t xml:space="preserve">this </w:t>
      </w:r>
      <w:r w:rsidR="007D7819" w:rsidRPr="00461D74">
        <w:rPr>
          <w:rFonts w:ascii="Garamond" w:hAnsi="Garamond" w:cstheme="minorHAnsi"/>
          <w:sz w:val="24"/>
          <w:szCs w:val="24"/>
        </w:rPr>
        <w:t>sort of criticism is effective</w:t>
      </w:r>
      <w:r w:rsidRPr="00461D74">
        <w:rPr>
          <w:rFonts w:ascii="Garamond" w:hAnsi="Garamond" w:cstheme="minorHAnsi"/>
          <w:sz w:val="24"/>
          <w:szCs w:val="24"/>
        </w:rPr>
        <w:t xml:space="preserve">, </w:t>
      </w:r>
      <w:r w:rsidR="007D7819" w:rsidRPr="00461D74">
        <w:rPr>
          <w:rFonts w:ascii="Garamond" w:hAnsi="Garamond" w:cstheme="minorHAnsi"/>
          <w:sz w:val="24"/>
          <w:szCs w:val="24"/>
        </w:rPr>
        <w:t xml:space="preserve">it seems </w:t>
      </w:r>
      <w:r w:rsidR="00DD506A">
        <w:rPr>
          <w:rFonts w:ascii="Garamond" w:hAnsi="Garamond" w:cstheme="minorHAnsi"/>
          <w:sz w:val="24"/>
          <w:szCs w:val="24"/>
        </w:rPr>
        <w:t>MacIntyre</w:t>
      </w:r>
      <w:r w:rsidR="00DD506A" w:rsidRPr="00461D74">
        <w:rPr>
          <w:rFonts w:ascii="Garamond" w:hAnsi="Garamond" w:cstheme="minorHAnsi"/>
          <w:sz w:val="24"/>
          <w:szCs w:val="24"/>
        </w:rPr>
        <w:t xml:space="preserve"> </w:t>
      </w:r>
      <w:r w:rsidR="007D7819" w:rsidRPr="00461D74">
        <w:rPr>
          <w:rFonts w:ascii="Garamond" w:hAnsi="Garamond" w:cstheme="minorHAnsi"/>
          <w:sz w:val="24"/>
          <w:szCs w:val="24"/>
        </w:rPr>
        <w:t>has to offer a positive politics – one that</w:t>
      </w:r>
      <w:r w:rsidRPr="00461D74">
        <w:rPr>
          <w:rFonts w:ascii="Garamond" w:hAnsi="Garamond" w:cstheme="minorHAnsi"/>
          <w:sz w:val="24"/>
          <w:szCs w:val="24"/>
        </w:rPr>
        <w:t xml:space="preserve"> </w:t>
      </w:r>
      <w:r w:rsidR="007D7819" w:rsidRPr="00461D74">
        <w:rPr>
          <w:rFonts w:ascii="Garamond" w:hAnsi="Garamond" w:cstheme="minorHAnsi"/>
          <w:sz w:val="24"/>
          <w:szCs w:val="24"/>
        </w:rPr>
        <w:t>is open to the</w:t>
      </w:r>
      <w:r w:rsidRPr="00461D74">
        <w:rPr>
          <w:rFonts w:ascii="Garamond" w:hAnsi="Garamond" w:cstheme="minorHAnsi"/>
          <w:sz w:val="24"/>
          <w:szCs w:val="24"/>
        </w:rPr>
        <w:t xml:space="preserve"> possibility of correcting politics in the </w:t>
      </w:r>
      <w:r w:rsidR="007D7819" w:rsidRPr="00461D74">
        <w:rPr>
          <w:rFonts w:ascii="Garamond" w:hAnsi="Garamond" w:cstheme="minorHAnsi"/>
          <w:sz w:val="24"/>
          <w:szCs w:val="24"/>
        </w:rPr>
        <w:t xml:space="preserve">liberal </w:t>
      </w:r>
      <w:r w:rsidRPr="00461D74">
        <w:rPr>
          <w:rFonts w:ascii="Garamond" w:hAnsi="Garamond" w:cstheme="minorHAnsi"/>
          <w:sz w:val="24"/>
          <w:szCs w:val="24"/>
        </w:rPr>
        <w:t>state</w:t>
      </w:r>
      <w:r w:rsidR="007D7819" w:rsidRPr="00461D74">
        <w:rPr>
          <w:rFonts w:ascii="Garamond" w:hAnsi="Garamond" w:cstheme="minorHAnsi"/>
          <w:sz w:val="24"/>
          <w:szCs w:val="24"/>
        </w:rPr>
        <w:t>,</w:t>
      </w:r>
      <w:r w:rsidRPr="00461D74">
        <w:rPr>
          <w:rFonts w:ascii="Garamond" w:hAnsi="Garamond" w:cstheme="minorHAnsi"/>
          <w:sz w:val="24"/>
          <w:szCs w:val="24"/>
        </w:rPr>
        <w:t xml:space="preserve"> in a more </w:t>
      </w:r>
      <w:r w:rsidR="007D7819" w:rsidRPr="00461D74">
        <w:rPr>
          <w:rFonts w:ascii="Garamond" w:hAnsi="Garamond" w:cstheme="minorHAnsi"/>
          <w:sz w:val="24"/>
          <w:szCs w:val="24"/>
        </w:rPr>
        <w:t xml:space="preserve">deliberate and gradual </w:t>
      </w:r>
      <w:r w:rsidRPr="00461D74">
        <w:rPr>
          <w:rFonts w:ascii="Garamond" w:hAnsi="Garamond" w:cstheme="minorHAnsi"/>
          <w:sz w:val="24"/>
          <w:szCs w:val="24"/>
        </w:rPr>
        <w:t>manner.</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With respect to the second suggestion, MacIntyre could reject </w:t>
      </w:r>
      <w:r w:rsidR="003E2723" w:rsidRPr="00461D74">
        <w:rPr>
          <w:rFonts w:ascii="Garamond" w:hAnsi="Garamond" w:cstheme="minorHAnsi"/>
          <w:sz w:val="24"/>
          <w:szCs w:val="24"/>
        </w:rPr>
        <w:t xml:space="preserve">the view </w:t>
      </w:r>
      <w:r w:rsidRPr="00461D74">
        <w:rPr>
          <w:rFonts w:ascii="Garamond" w:hAnsi="Garamond" w:cstheme="minorHAnsi"/>
          <w:sz w:val="24"/>
          <w:szCs w:val="24"/>
        </w:rPr>
        <w:t>that the state’s thin account of the good ensure</w:t>
      </w:r>
      <w:r w:rsidR="00F85C4B">
        <w:rPr>
          <w:rFonts w:ascii="Garamond" w:hAnsi="Garamond" w:cstheme="minorHAnsi"/>
          <w:sz w:val="24"/>
          <w:szCs w:val="24"/>
        </w:rPr>
        <w:t>s</w:t>
      </w:r>
      <w:r w:rsidRPr="00461D74">
        <w:rPr>
          <w:rFonts w:ascii="Garamond" w:hAnsi="Garamond" w:cstheme="minorHAnsi"/>
          <w:sz w:val="24"/>
          <w:szCs w:val="24"/>
        </w:rPr>
        <w:t xml:space="preserve"> that </w:t>
      </w:r>
      <w:r w:rsidR="00F85C4B">
        <w:rPr>
          <w:rFonts w:ascii="Garamond" w:hAnsi="Garamond" w:cstheme="minorHAnsi"/>
          <w:sz w:val="24"/>
          <w:szCs w:val="24"/>
        </w:rPr>
        <w:t>its</w:t>
      </w:r>
      <w:r w:rsidRPr="00461D74">
        <w:rPr>
          <w:rFonts w:ascii="Garamond" w:hAnsi="Garamond" w:cstheme="minorHAnsi"/>
          <w:sz w:val="24"/>
          <w:szCs w:val="24"/>
        </w:rPr>
        <w:t xml:space="preserve"> neutral</w:t>
      </w:r>
      <w:r w:rsidR="00F85C4B">
        <w:rPr>
          <w:rFonts w:ascii="Garamond" w:hAnsi="Garamond" w:cstheme="minorHAnsi"/>
          <w:sz w:val="24"/>
          <w:szCs w:val="24"/>
        </w:rPr>
        <w:t>ity</w:t>
      </w:r>
      <w:r w:rsidRPr="00461D74">
        <w:rPr>
          <w:rFonts w:ascii="Garamond" w:hAnsi="Garamond" w:cstheme="minorHAnsi"/>
          <w:sz w:val="24"/>
          <w:szCs w:val="24"/>
        </w:rPr>
        <w:t xml:space="preserve"> between rival conceptions of the good. He in fact tell us that the </w:t>
      </w:r>
      <w:r w:rsidR="00041D6A">
        <w:rPr>
          <w:rFonts w:ascii="Garamond" w:hAnsi="Garamond" w:cstheme="minorHAnsi"/>
          <w:sz w:val="24"/>
          <w:szCs w:val="24"/>
        </w:rPr>
        <w:t xml:space="preserve">so called </w:t>
      </w:r>
      <w:r w:rsidRPr="00461D74">
        <w:rPr>
          <w:rFonts w:ascii="Garamond" w:hAnsi="Garamond" w:cstheme="minorHAnsi"/>
          <w:sz w:val="24"/>
          <w:szCs w:val="24"/>
        </w:rPr>
        <w:t xml:space="preserve">neutral liberal state is </w:t>
      </w:r>
      <w:r w:rsidR="003E2723" w:rsidRPr="00461D74">
        <w:rPr>
          <w:rFonts w:ascii="Garamond" w:hAnsi="Garamond" w:cstheme="minorHAnsi"/>
          <w:sz w:val="24"/>
          <w:szCs w:val="24"/>
        </w:rPr>
        <w:t xml:space="preserve">actually </w:t>
      </w:r>
      <w:r w:rsidR="00DB00EA" w:rsidRPr="00DB00EA">
        <w:rPr>
          <w:rFonts w:ascii="Garamond" w:hAnsi="Garamond" w:cstheme="minorHAnsi"/>
          <w:i/>
          <w:sz w:val="24"/>
          <w:szCs w:val="24"/>
        </w:rPr>
        <w:t>not</w:t>
      </w:r>
      <w:r w:rsidRPr="00461D74">
        <w:rPr>
          <w:rFonts w:ascii="Garamond" w:hAnsi="Garamond" w:cstheme="minorHAnsi"/>
          <w:sz w:val="24"/>
          <w:szCs w:val="24"/>
        </w:rPr>
        <w:t xml:space="preserve"> neutral between rival conceptions of the good, for the market and related institutions are already partial to mechanisms that promote accumulation of external goods. Therefore they already possess an attitude already partial towards a particular conception of the good. Over the long run</w:t>
      </w:r>
      <w:r w:rsidR="0070671D">
        <w:rPr>
          <w:rFonts w:ascii="Garamond" w:hAnsi="Garamond" w:cstheme="minorHAnsi"/>
          <w:sz w:val="24"/>
          <w:szCs w:val="24"/>
        </w:rPr>
        <w:t>,</w:t>
      </w:r>
      <w:r w:rsidRPr="00461D74">
        <w:rPr>
          <w:rFonts w:ascii="Garamond" w:hAnsi="Garamond" w:cstheme="minorHAnsi"/>
          <w:sz w:val="24"/>
          <w:szCs w:val="24"/>
        </w:rPr>
        <w:t xml:space="preserve"> the preference for an acquisitive-materialistic conception of the good tends to subvert or corrupt the internal goods of practices constitutive of the common good. MacIntyre seems to maintain some such view since he believes that local communities </w:t>
      </w:r>
      <w:r w:rsidR="0027468A">
        <w:rPr>
          <w:rFonts w:ascii="Garamond" w:hAnsi="Garamond" w:cstheme="minorHAnsi"/>
          <w:sz w:val="24"/>
          <w:szCs w:val="24"/>
        </w:rPr>
        <w:t>can</w:t>
      </w:r>
      <w:r w:rsidR="0027468A" w:rsidRPr="00461D74">
        <w:rPr>
          <w:rFonts w:ascii="Garamond" w:hAnsi="Garamond" w:cstheme="minorHAnsi"/>
          <w:sz w:val="24"/>
          <w:szCs w:val="24"/>
        </w:rPr>
        <w:t xml:space="preserve"> </w:t>
      </w:r>
      <w:r w:rsidRPr="00461D74">
        <w:rPr>
          <w:rFonts w:ascii="Garamond" w:hAnsi="Garamond" w:cstheme="minorHAnsi"/>
          <w:sz w:val="24"/>
          <w:szCs w:val="24"/>
        </w:rPr>
        <w:t xml:space="preserve">effectively resist the state </w:t>
      </w:r>
      <w:r w:rsidR="0027468A">
        <w:rPr>
          <w:rFonts w:ascii="Garamond" w:hAnsi="Garamond" w:cstheme="minorHAnsi"/>
          <w:sz w:val="24"/>
          <w:szCs w:val="24"/>
        </w:rPr>
        <w:t>to the extent that they</w:t>
      </w:r>
      <w:r w:rsidRPr="00461D74">
        <w:rPr>
          <w:rFonts w:ascii="Garamond" w:hAnsi="Garamond" w:cstheme="minorHAnsi"/>
          <w:sz w:val="24"/>
          <w:szCs w:val="24"/>
        </w:rPr>
        <w:t xml:space="preserve"> restrict their dealing</w:t>
      </w:r>
      <w:r w:rsidR="003E2723" w:rsidRPr="00461D74">
        <w:rPr>
          <w:rFonts w:ascii="Garamond" w:hAnsi="Garamond" w:cstheme="minorHAnsi"/>
          <w:sz w:val="24"/>
          <w:szCs w:val="24"/>
        </w:rPr>
        <w:t>s</w:t>
      </w:r>
      <w:r w:rsidRPr="00461D74">
        <w:rPr>
          <w:rFonts w:ascii="Garamond" w:hAnsi="Garamond" w:cstheme="minorHAnsi"/>
          <w:sz w:val="24"/>
          <w:szCs w:val="24"/>
        </w:rPr>
        <w:t xml:space="preserve"> with the state</w:t>
      </w:r>
      <w:r w:rsidR="0027468A">
        <w:rPr>
          <w:rFonts w:ascii="Garamond" w:hAnsi="Garamond" w:cstheme="minorHAnsi"/>
          <w:sz w:val="24"/>
          <w:szCs w:val="24"/>
        </w:rPr>
        <w:t>,</w:t>
      </w:r>
      <w:r w:rsidRPr="00461D74">
        <w:rPr>
          <w:rFonts w:ascii="Garamond" w:hAnsi="Garamond" w:cstheme="minorHAnsi"/>
          <w:sz w:val="24"/>
          <w:szCs w:val="24"/>
        </w:rPr>
        <w:t xml:space="preserve"> </w:t>
      </w:r>
      <w:r w:rsidR="00355AC3">
        <w:rPr>
          <w:rFonts w:ascii="Garamond" w:hAnsi="Garamond" w:cstheme="minorHAnsi"/>
          <w:sz w:val="24"/>
          <w:szCs w:val="24"/>
        </w:rPr>
        <w:t xml:space="preserve">so as </w:t>
      </w:r>
      <w:r w:rsidRPr="00461D74">
        <w:rPr>
          <w:rFonts w:ascii="Garamond" w:hAnsi="Garamond" w:cstheme="minorHAnsi"/>
          <w:sz w:val="24"/>
          <w:szCs w:val="24"/>
        </w:rPr>
        <w:t xml:space="preserve">to </w:t>
      </w:r>
      <w:r w:rsidR="00355AC3">
        <w:rPr>
          <w:rFonts w:ascii="Garamond" w:hAnsi="Garamond" w:cstheme="minorHAnsi"/>
          <w:sz w:val="24"/>
          <w:szCs w:val="24"/>
        </w:rPr>
        <w:t xml:space="preserve">interact </w:t>
      </w:r>
      <w:r w:rsidRPr="00461D74">
        <w:rPr>
          <w:rFonts w:ascii="Garamond" w:hAnsi="Garamond" w:cstheme="minorHAnsi"/>
          <w:sz w:val="24"/>
          <w:szCs w:val="24"/>
        </w:rPr>
        <w:t>as little as possible</w:t>
      </w:r>
      <w:r w:rsidR="00355AC3">
        <w:rPr>
          <w:rFonts w:ascii="Garamond" w:hAnsi="Garamond" w:cstheme="minorHAnsi"/>
          <w:sz w:val="24"/>
          <w:szCs w:val="24"/>
        </w:rPr>
        <w:t xml:space="preserve"> with the state and its institutions</w:t>
      </w:r>
      <w:r w:rsidRPr="00461D74">
        <w:rPr>
          <w:rFonts w:ascii="Garamond" w:hAnsi="Garamond" w:cstheme="minorHAnsi"/>
          <w:sz w:val="24"/>
          <w:szCs w:val="24"/>
        </w:rPr>
        <w:t>.</w:t>
      </w:r>
      <w:r w:rsidR="005C6401" w:rsidRPr="00461D74">
        <w:rPr>
          <w:rStyle w:val="FootnoteReference"/>
          <w:rFonts w:ascii="Garamond" w:hAnsi="Garamond" w:cstheme="minorHAnsi"/>
          <w:sz w:val="24"/>
          <w:szCs w:val="24"/>
        </w:rPr>
        <w:footnoteReference w:id="337"/>
      </w:r>
      <w:r w:rsidRPr="00461D74">
        <w:rPr>
          <w:rFonts w:ascii="Garamond" w:hAnsi="Garamond" w:cstheme="minorHAnsi"/>
          <w:sz w:val="24"/>
          <w:szCs w:val="24"/>
        </w:rPr>
        <w:t xml:space="preserve"> </w:t>
      </w:r>
      <w:r w:rsidR="0027468A">
        <w:rPr>
          <w:rFonts w:ascii="Garamond" w:hAnsi="Garamond" w:cstheme="minorHAnsi"/>
          <w:sz w:val="24"/>
          <w:szCs w:val="24"/>
        </w:rPr>
        <w:t>In addition, he maintains</w:t>
      </w:r>
      <w:r w:rsidR="0027468A" w:rsidRPr="00461D74">
        <w:rPr>
          <w:rFonts w:ascii="Garamond" w:hAnsi="Garamond" w:cstheme="minorHAnsi"/>
          <w:sz w:val="24"/>
          <w:szCs w:val="24"/>
        </w:rPr>
        <w:t xml:space="preserve"> </w:t>
      </w:r>
      <w:r w:rsidRPr="00461D74">
        <w:rPr>
          <w:rFonts w:ascii="Garamond" w:hAnsi="Garamond" w:cstheme="minorHAnsi"/>
          <w:sz w:val="24"/>
          <w:szCs w:val="24"/>
        </w:rPr>
        <w:t>that local communities should adopt a sceptical and prudential attitude in all their dealings with the state</w:t>
      </w:r>
      <w:r w:rsidR="003E2723" w:rsidRPr="00461D74">
        <w:rPr>
          <w:rFonts w:ascii="Garamond" w:hAnsi="Garamond" w:cstheme="minorHAnsi"/>
          <w:sz w:val="24"/>
          <w:szCs w:val="24"/>
        </w:rPr>
        <w:t>; a</w:t>
      </w:r>
      <w:r w:rsidRPr="00461D74">
        <w:rPr>
          <w:rFonts w:ascii="Garamond" w:hAnsi="Garamond" w:cstheme="minorHAnsi"/>
          <w:sz w:val="24"/>
          <w:szCs w:val="24"/>
        </w:rPr>
        <w:t xml:space="preserve">nd that they should restrict such transactions to </w:t>
      </w:r>
      <w:r w:rsidRPr="00461D74">
        <w:rPr>
          <w:rFonts w:ascii="Garamond" w:hAnsi="Garamond" w:cstheme="minorHAnsi"/>
          <w:sz w:val="24"/>
          <w:szCs w:val="24"/>
        </w:rPr>
        <w:lastRenderedPageBreak/>
        <w:t>those that procure important external goods (as efficiently as possible), while giving up as little as possible in all other areas.</w:t>
      </w:r>
      <w:r w:rsidR="0027468A">
        <w:rPr>
          <w:rStyle w:val="FootnoteReference"/>
          <w:rFonts w:ascii="Garamond" w:hAnsi="Garamond" w:cstheme="minorHAnsi"/>
          <w:sz w:val="24"/>
          <w:szCs w:val="24"/>
        </w:rPr>
        <w:footnoteReference w:id="338"/>
      </w:r>
      <w:r w:rsidR="0070671D">
        <w:rPr>
          <w:rFonts w:ascii="Garamond" w:hAnsi="Garamond" w:cstheme="minorHAnsi"/>
          <w:sz w:val="24"/>
          <w:szCs w:val="24"/>
        </w:rPr>
        <w:t xml:space="preserve">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Keith Breen </w:t>
      </w:r>
      <w:r w:rsidR="00FB1B82">
        <w:rPr>
          <w:rFonts w:ascii="Garamond" w:hAnsi="Garamond" w:cstheme="minorHAnsi"/>
          <w:sz w:val="24"/>
          <w:szCs w:val="24"/>
        </w:rPr>
        <w:t xml:space="preserve">nevertheless </w:t>
      </w:r>
      <w:r w:rsidRPr="00461D74">
        <w:rPr>
          <w:rFonts w:ascii="Garamond" w:hAnsi="Garamond" w:cstheme="minorHAnsi"/>
          <w:sz w:val="24"/>
          <w:szCs w:val="24"/>
        </w:rPr>
        <w:t>make</w:t>
      </w:r>
      <w:r w:rsidR="004A16D4" w:rsidRPr="00461D74">
        <w:rPr>
          <w:rFonts w:ascii="Garamond" w:hAnsi="Garamond" w:cstheme="minorHAnsi"/>
          <w:sz w:val="24"/>
          <w:szCs w:val="24"/>
        </w:rPr>
        <w:t>s</w:t>
      </w:r>
      <w:r w:rsidRPr="00461D74">
        <w:rPr>
          <w:rFonts w:ascii="Garamond" w:hAnsi="Garamond" w:cstheme="minorHAnsi"/>
          <w:sz w:val="24"/>
          <w:szCs w:val="24"/>
        </w:rPr>
        <w:t xml:space="preserve"> an </w:t>
      </w:r>
      <w:r w:rsidR="00FB1B82">
        <w:rPr>
          <w:rFonts w:ascii="Garamond" w:hAnsi="Garamond" w:cstheme="minorHAnsi"/>
          <w:sz w:val="24"/>
          <w:szCs w:val="24"/>
        </w:rPr>
        <w:t>observation that has vital implications for MacIntyre’s account.</w:t>
      </w:r>
      <w:r w:rsidR="00A03C9B">
        <w:rPr>
          <w:rFonts w:ascii="Garamond" w:hAnsi="Garamond" w:cstheme="minorHAnsi"/>
          <w:sz w:val="24"/>
          <w:szCs w:val="24"/>
        </w:rPr>
        <w:t xml:space="preserve"> It seems that </w:t>
      </w:r>
      <w:r w:rsidRPr="00461D74">
        <w:rPr>
          <w:rFonts w:ascii="Garamond" w:hAnsi="Garamond" w:cstheme="minorHAnsi"/>
          <w:sz w:val="24"/>
          <w:szCs w:val="24"/>
        </w:rPr>
        <w:t xml:space="preserve">on MacIntyre’s account, local communities are unable to give expression to many </w:t>
      </w:r>
      <w:r w:rsidR="00E03017">
        <w:rPr>
          <w:rFonts w:ascii="Garamond" w:hAnsi="Garamond" w:cstheme="minorHAnsi"/>
          <w:sz w:val="24"/>
          <w:szCs w:val="24"/>
        </w:rPr>
        <w:t xml:space="preserve">important </w:t>
      </w:r>
      <w:r w:rsidRPr="00461D74">
        <w:rPr>
          <w:rFonts w:ascii="Garamond" w:hAnsi="Garamond" w:cstheme="minorHAnsi"/>
          <w:sz w:val="24"/>
          <w:szCs w:val="24"/>
        </w:rPr>
        <w:t xml:space="preserve">political </w:t>
      </w:r>
      <w:r w:rsidR="00E03017">
        <w:rPr>
          <w:rFonts w:ascii="Garamond" w:hAnsi="Garamond" w:cstheme="minorHAnsi"/>
          <w:sz w:val="24"/>
          <w:szCs w:val="24"/>
        </w:rPr>
        <w:t>concerns</w:t>
      </w:r>
      <w:r w:rsidRPr="00461D74">
        <w:rPr>
          <w:rFonts w:ascii="Garamond" w:hAnsi="Garamond" w:cstheme="minorHAnsi"/>
          <w:sz w:val="24"/>
          <w:szCs w:val="24"/>
        </w:rPr>
        <w:t xml:space="preserve">, such as civil liberties, and economic redistribution. It appears </w:t>
      </w:r>
      <w:r w:rsidR="00B751D3">
        <w:rPr>
          <w:rFonts w:ascii="Garamond" w:hAnsi="Garamond" w:cstheme="minorHAnsi"/>
          <w:sz w:val="24"/>
          <w:szCs w:val="24"/>
        </w:rPr>
        <w:t xml:space="preserve">then </w:t>
      </w:r>
      <w:r w:rsidRPr="00461D74">
        <w:rPr>
          <w:rFonts w:ascii="Garamond" w:hAnsi="Garamond" w:cstheme="minorHAnsi"/>
          <w:sz w:val="24"/>
          <w:szCs w:val="24"/>
        </w:rPr>
        <w:t xml:space="preserve">that the state has to intervene when civil liberties are involved and it seems </w:t>
      </w:r>
      <w:r w:rsidR="00B751D3">
        <w:rPr>
          <w:rFonts w:ascii="Garamond" w:hAnsi="Garamond" w:cstheme="minorHAnsi"/>
          <w:sz w:val="24"/>
          <w:szCs w:val="24"/>
        </w:rPr>
        <w:t>that</w:t>
      </w:r>
      <w:r w:rsidR="00B751D3" w:rsidRPr="00461D74">
        <w:rPr>
          <w:rFonts w:ascii="Garamond" w:hAnsi="Garamond" w:cstheme="minorHAnsi"/>
          <w:sz w:val="24"/>
          <w:szCs w:val="24"/>
        </w:rPr>
        <w:t xml:space="preserve"> </w:t>
      </w:r>
      <w:r w:rsidRPr="00461D74">
        <w:rPr>
          <w:rFonts w:ascii="Garamond" w:hAnsi="Garamond" w:cstheme="minorHAnsi"/>
          <w:sz w:val="24"/>
          <w:szCs w:val="24"/>
        </w:rPr>
        <w:t xml:space="preserve">economic justice requires </w:t>
      </w:r>
      <w:r w:rsidR="00B751D3">
        <w:rPr>
          <w:rFonts w:ascii="Garamond" w:hAnsi="Garamond" w:cstheme="minorHAnsi"/>
          <w:sz w:val="24"/>
          <w:szCs w:val="24"/>
        </w:rPr>
        <w:t>a redistribution and diversion of</w:t>
      </w:r>
      <w:r w:rsidR="00B751D3" w:rsidRPr="00461D74">
        <w:rPr>
          <w:rFonts w:ascii="Garamond" w:hAnsi="Garamond" w:cstheme="minorHAnsi"/>
          <w:sz w:val="24"/>
          <w:szCs w:val="24"/>
        </w:rPr>
        <w:t xml:space="preserve"> </w:t>
      </w:r>
      <w:r w:rsidRPr="00461D74">
        <w:rPr>
          <w:rFonts w:ascii="Garamond" w:hAnsi="Garamond" w:cstheme="minorHAnsi"/>
          <w:sz w:val="24"/>
          <w:szCs w:val="24"/>
        </w:rPr>
        <w:t>resources from some local communities who fare better or are wealthier, to those communities which are worse off. But if wealthier communities have to limit transaction with the state and protect their resources from appropriation by the state</w:t>
      </w:r>
      <w:r w:rsidR="003E2723" w:rsidRPr="00461D74">
        <w:rPr>
          <w:rFonts w:ascii="Garamond" w:hAnsi="Garamond" w:cstheme="minorHAnsi"/>
          <w:sz w:val="24"/>
          <w:szCs w:val="24"/>
        </w:rPr>
        <w:t>,</w:t>
      </w:r>
      <w:r w:rsidRPr="00461D74">
        <w:rPr>
          <w:rFonts w:ascii="Garamond" w:hAnsi="Garamond" w:cstheme="minorHAnsi"/>
          <w:sz w:val="24"/>
          <w:szCs w:val="24"/>
        </w:rPr>
        <w:t xml:space="preserve"> the possibilities for economic redistribution are undermined. In addition</w:t>
      </w:r>
      <w:r w:rsidR="003E2723" w:rsidRPr="00461D74">
        <w:rPr>
          <w:rFonts w:ascii="Garamond" w:hAnsi="Garamond" w:cstheme="minorHAnsi"/>
          <w:sz w:val="24"/>
          <w:szCs w:val="24"/>
        </w:rPr>
        <w:t>,</w:t>
      </w:r>
      <w:r w:rsidRPr="00461D74">
        <w:rPr>
          <w:rFonts w:ascii="Garamond" w:hAnsi="Garamond" w:cstheme="minorHAnsi"/>
          <w:sz w:val="24"/>
          <w:szCs w:val="24"/>
        </w:rPr>
        <w:t xml:space="preserve"> local communities dealing with the state must assume a purely cost-benefit instrumental approach in transacting with the state. Hence, in dealing with the state</w:t>
      </w:r>
      <w:r w:rsidR="003E2723" w:rsidRPr="00461D74">
        <w:rPr>
          <w:rFonts w:ascii="Garamond" w:hAnsi="Garamond" w:cstheme="minorHAnsi"/>
          <w:sz w:val="24"/>
          <w:szCs w:val="24"/>
        </w:rPr>
        <w:t>,</w:t>
      </w:r>
      <w:r w:rsidRPr="00461D74">
        <w:rPr>
          <w:rFonts w:ascii="Garamond" w:hAnsi="Garamond" w:cstheme="minorHAnsi"/>
          <w:sz w:val="24"/>
          <w:szCs w:val="24"/>
        </w:rPr>
        <w:t xml:space="preserve"> communities ought to assume a business-like relationship in </w:t>
      </w:r>
      <w:r w:rsidR="00FB1B82">
        <w:rPr>
          <w:rFonts w:ascii="Garamond" w:hAnsi="Garamond" w:cstheme="minorHAnsi"/>
          <w:sz w:val="24"/>
          <w:szCs w:val="24"/>
        </w:rPr>
        <w:t xml:space="preserve">their </w:t>
      </w:r>
      <w:r w:rsidRPr="00461D74">
        <w:rPr>
          <w:rFonts w:ascii="Garamond" w:hAnsi="Garamond" w:cstheme="minorHAnsi"/>
          <w:sz w:val="24"/>
          <w:szCs w:val="24"/>
        </w:rPr>
        <w:t>transacti</w:t>
      </w:r>
      <w:r w:rsidR="00FB1B82">
        <w:rPr>
          <w:rFonts w:ascii="Garamond" w:hAnsi="Garamond" w:cstheme="minorHAnsi"/>
          <w:sz w:val="24"/>
          <w:szCs w:val="24"/>
        </w:rPr>
        <w:t>o</w:t>
      </w:r>
      <w:r w:rsidRPr="00461D74">
        <w:rPr>
          <w:rFonts w:ascii="Garamond" w:hAnsi="Garamond" w:cstheme="minorHAnsi"/>
          <w:sz w:val="24"/>
          <w:szCs w:val="24"/>
        </w:rPr>
        <w:t>n</w:t>
      </w:r>
      <w:r w:rsidR="00FB1B82">
        <w:rPr>
          <w:rFonts w:ascii="Garamond" w:hAnsi="Garamond" w:cstheme="minorHAnsi"/>
          <w:sz w:val="24"/>
          <w:szCs w:val="24"/>
        </w:rPr>
        <w:t>s</w:t>
      </w:r>
      <w:r w:rsidRPr="00461D74">
        <w:rPr>
          <w:rFonts w:ascii="Garamond" w:hAnsi="Garamond" w:cstheme="minorHAnsi"/>
          <w:sz w:val="24"/>
          <w:szCs w:val="24"/>
        </w:rPr>
        <w:t xml:space="preserve"> with the state, and so they should try to exact as much as possible from the state while offering </w:t>
      </w:r>
      <w:r w:rsidR="00FB1B82">
        <w:rPr>
          <w:rFonts w:ascii="Garamond" w:hAnsi="Garamond" w:cstheme="minorHAnsi"/>
          <w:sz w:val="24"/>
          <w:szCs w:val="24"/>
        </w:rPr>
        <w:t xml:space="preserve">up </w:t>
      </w:r>
      <w:r w:rsidRPr="00461D74">
        <w:rPr>
          <w:rFonts w:ascii="Garamond" w:hAnsi="Garamond" w:cstheme="minorHAnsi"/>
          <w:sz w:val="24"/>
          <w:szCs w:val="24"/>
        </w:rPr>
        <w:t xml:space="preserve">as little as possible in </w:t>
      </w:r>
      <w:r w:rsidR="00FB1B82">
        <w:rPr>
          <w:rFonts w:ascii="Garamond" w:hAnsi="Garamond" w:cstheme="minorHAnsi"/>
          <w:sz w:val="24"/>
          <w:szCs w:val="24"/>
        </w:rPr>
        <w:t xml:space="preserve">all </w:t>
      </w:r>
      <w:r w:rsidRPr="00461D74">
        <w:rPr>
          <w:rFonts w:ascii="Garamond" w:hAnsi="Garamond" w:cstheme="minorHAnsi"/>
          <w:sz w:val="24"/>
          <w:szCs w:val="24"/>
        </w:rPr>
        <w:t>such transactions.</w:t>
      </w:r>
      <w:r w:rsidRPr="00461D74">
        <w:rPr>
          <w:rStyle w:val="FootnoteReference"/>
          <w:rFonts w:ascii="Garamond" w:hAnsi="Garamond" w:cstheme="minorHAnsi"/>
          <w:sz w:val="24"/>
          <w:szCs w:val="24"/>
        </w:rPr>
        <w:footnoteReference w:id="339"/>
      </w:r>
      <w:r w:rsidRPr="00461D74">
        <w:rPr>
          <w:rFonts w:ascii="Garamond" w:hAnsi="Garamond" w:cstheme="minorHAnsi"/>
          <w:sz w:val="24"/>
          <w:szCs w:val="24"/>
        </w:rPr>
        <w:t xml:space="preserve"> This type of relationship between communities and the state </w:t>
      </w:r>
      <w:r w:rsidR="00FB1B82">
        <w:rPr>
          <w:rFonts w:ascii="Garamond" w:hAnsi="Garamond" w:cstheme="minorHAnsi"/>
          <w:sz w:val="24"/>
          <w:szCs w:val="24"/>
        </w:rPr>
        <w:t xml:space="preserve">nonetheless </w:t>
      </w:r>
      <w:r w:rsidRPr="00461D74">
        <w:rPr>
          <w:rFonts w:ascii="Garamond" w:hAnsi="Garamond" w:cstheme="minorHAnsi"/>
          <w:sz w:val="24"/>
          <w:szCs w:val="24"/>
        </w:rPr>
        <w:t xml:space="preserve">boils down to negotiation, persuasion, and </w:t>
      </w:r>
      <w:r w:rsidR="00FB1B82">
        <w:rPr>
          <w:rFonts w:ascii="Garamond" w:hAnsi="Garamond" w:cstheme="minorHAnsi"/>
          <w:sz w:val="24"/>
          <w:szCs w:val="24"/>
        </w:rPr>
        <w:t xml:space="preserve">even </w:t>
      </w:r>
      <w:r w:rsidRPr="00461D74">
        <w:rPr>
          <w:rFonts w:ascii="Garamond" w:hAnsi="Garamond" w:cstheme="minorHAnsi"/>
          <w:sz w:val="24"/>
          <w:szCs w:val="24"/>
        </w:rPr>
        <w:t xml:space="preserve">manipulation </w:t>
      </w:r>
      <w:r w:rsidR="00FB1B82">
        <w:rPr>
          <w:rFonts w:ascii="Garamond" w:hAnsi="Garamond" w:cstheme="minorHAnsi"/>
          <w:sz w:val="24"/>
          <w:szCs w:val="24"/>
        </w:rPr>
        <w:t>so that each party</w:t>
      </w:r>
      <w:r w:rsidR="00FB1B82" w:rsidRPr="00461D74">
        <w:rPr>
          <w:rFonts w:ascii="Garamond" w:hAnsi="Garamond" w:cstheme="minorHAnsi"/>
          <w:sz w:val="24"/>
          <w:szCs w:val="24"/>
        </w:rPr>
        <w:t xml:space="preserve"> </w:t>
      </w:r>
      <w:r w:rsidRPr="00461D74">
        <w:rPr>
          <w:rFonts w:ascii="Garamond" w:hAnsi="Garamond" w:cstheme="minorHAnsi"/>
          <w:sz w:val="24"/>
          <w:szCs w:val="24"/>
        </w:rPr>
        <w:t>achieve</w:t>
      </w:r>
      <w:r w:rsidR="00FB1B82">
        <w:rPr>
          <w:rFonts w:ascii="Garamond" w:hAnsi="Garamond" w:cstheme="minorHAnsi"/>
          <w:sz w:val="24"/>
          <w:szCs w:val="24"/>
        </w:rPr>
        <w:t>s</w:t>
      </w:r>
      <w:r w:rsidRPr="00461D74">
        <w:rPr>
          <w:rFonts w:ascii="Garamond" w:hAnsi="Garamond" w:cstheme="minorHAnsi"/>
          <w:sz w:val="24"/>
          <w:szCs w:val="24"/>
        </w:rPr>
        <w:t xml:space="preserve"> the most favourable arrangement</w:t>
      </w:r>
      <w:r w:rsidR="00FB1B82">
        <w:rPr>
          <w:rFonts w:ascii="Garamond" w:hAnsi="Garamond" w:cstheme="minorHAnsi"/>
          <w:sz w:val="24"/>
          <w:szCs w:val="24"/>
        </w:rPr>
        <w:t xml:space="preserve"> relative to its concerns</w:t>
      </w:r>
      <w:r w:rsidRPr="00461D74">
        <w:rPr>
          <w:rFonts w:ascii="Garamond" w:hAnsi="Garamond" w:cstheme="minorHAnsi"/>
          <w:sz w:val="24"/>
          <w:szCs w:val="24"/>
        </w:rPr>
        <w:t xml:space="preserve">. </w:t>
      </w:r>
      <w:r w:rsidR="00FB1B82">
        <w:rPr>
          <w:rFonts w:ascii="Garamond" w:hAnsi="Garamond" w:cstheme="minorHAnsi"/>
          <w:sz w:val="24"/>
          <w:szCs w:val="24"/>
        </w:rPr>
        <w:t>Now, this sort of arrangement means</w:t>
      </w:r>
      <w:r w:rsidR="00FB1B82" w:rsidRPr="00461D74">
        <w:rPr>
          <w:rFonts w:ascii="Garamond" w:hAnsi="Garamond" w:cstheme="minorHAnsi"/>
          <w:sz w:val="24"/>
          <w:szCs w:val="24"/>
        </w:rPr>
        <w:t xml:space="preserve"> </w:t>
      </w:r>
      <w:r w:rsidRPr="00461D74">
        <w:rPr>
          <w:rFonts w:ascii="Garamond" w:hAnsi="Garamond" w:cstheme="minorHAnsi"/>
          <w:sz w:val="24"/>
          <w:szCs w:val="24"/>
        </w:rPr>
        <w:t xml:space="preserve">that </w:t>
      </w:r>
      <w:r w:rsidR="00FB1B82">
        <w:rPr>
          <w:rFonts w:ascii="Garamond" w:hAnsi="Garamond" w:cstheme="minorHAnsi"/>
          <w:sz w:val="24"/>
          <w:szCs w:val="24"/>
        </w:rPr>
        <w:t xml:space="preserve">when it comes to </w:t>
      </w:r>
      <w:r w:rsidRPr="00461D74">
        <w:rPr>
          <w:rFonts w:ascii="Garamond" w:hAnsi="Garamond" w:cstheme="minorHAnsi"/>
          <w:sz w:val="24"/>
          <w:szCs w:val="24"/>
        </w:rPr>
        <w:t xml:space="preserve">the type of relationship </w:t>
      </w:r>
      <w:r w:rsidR="00523A1C">
        <w:rPr>
          <w:rFonts w:ascii="Garamond" w:hAnsi="Garamond" w:cstheme="minorHAnsi"/>
          <w:sz w:val="24"/>
          <w:szCs w:val="24"/>
        </w:rPr>
        <w:t xml:space="preserve">MacIntyre favors </w:t>
      </w:r>
      <w:r w:rsidRPr="00461D74">
        <w:rPr>
          <w:rFonts w:ascii="Garamond" w:hAnsi="Garamond" w:cstheme="minorHAnsi"/>
          <w:sz w:val="24"/>
          <w:szCs w:val="24"/>
        </w:rPr>
        <w:t>between communities and the state</w:t>
      </w:r>
      <w:r w:rsidR="00FB1B82">
        <w:rPr>
          <w:rFonts w:ascii="Garamond" w:hAnsi="Garamond" w:cstheme="minorHAnsi"/>
          <w:sz w:val="24"/>
          <w:szCs w:val="24"/>
        </w:rPr>
        <w:t>,</w:t>
      </w:r>
      <w:r w:rsidRPr="00461D74">
        <w:rPr>
          <w:rFonts w:ascii="Garamond" w:hAnsi="Garamond" w:cstheme="minorHAnsi"/>
          <w:sz w:val="24"/>
          <w:szCs w:val="24"/>
        </w:rPr>
        <w:t xml:space="preserve"> emotivism is </w:t>
      </w:r>
      <w:r w:rsidR="00523A1C">
        <w:rPr>
          <w:rFonts w:ascii="Garamond" w:hAnsi="Garamond" w:cstheme="minorHAnsi"/>
          <w:sz w:val="24"/>
          <w:szCs w:val="24"/>
        </w:rPr>
        <w:t xml:space="preserve">indeed </w:t>
      </w:r>
      <w:r w:rsidRPr="00461D74">
        <w:rPr>
          <w:rFonts w:ascii="Garamond" w:hAnsi="Garamond" w:cstheme="minorHAnsi"/>
          <w:sz w:val="24"/>
          <w:szCs w:val="24"/>
        </w:rPr>
        <w:t>true.</w:t>
      </w:r>
    </w:p>
    <w:p w:rsidR="00665157" w:rsidRDefault="00523A1C">
      <w:pPr>
        <w:spacing w:line="360" w:lineRule="auto"/>
        <w:ind w:firstLine="720"/>
        <w:jc w:val="both"/>
        <w:rPr>
          <w:rFonts w:ascii="Garamond" w:hAnsi="Garamond" w:cstheme="minorHAnsi"/>
          <w:sz w:val="24"/>
          <w:szCs w:val="24"/>
        </w:rPr>
      </w:pPr>
      <w:r>
        <w:rPr>
          <w:rFonts w:ascii="Garamond" w:hAnsi="Garamond" w:cstheme="minorHAnsi"/>
          <w:sz w:val="24"/>
          <w:szCs w:val="24"/>
        </w:rPr>
        <w:t>A</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distinct problem </w:t>
      </w:r>
      <w:r>
        <w:rPr>
          <w:rFonts w:ascii="Garamond" w:hAnsi="Garamond" w:cstheme="minorHAnsi"/>
          <w:sz w:val="24"/>
          <w:szCs w:val="24"/>
        </w:rPr>
        <w:t xml:space="preserve">therefore </w:t>
      </w:r>
      <w:r w:rsidR="00016049" w:rsidRPr="00461D74">
        <w:rPr>
          <w:rFonts w:ascii="Garamond" w:hAnsi="Garamond" w:cstheme="minorHAnsi"/>
          <w:sz w:val="24"/>
          <w:szCs w:val="24"/>
        </w:rPr>
        <w:t xml:space="preserve">emerges for MacIntyre’s account of local politics. On the one hand, internal goods of practices and the virtues attached to them can only be realized within local communities that prioritize internal goods </w:t>
      </w:r>
      <w:r w:rsidR="00016049" w:rsidRPr="00461D74">
        <w:rPr>
          <w:rFonts w:ascii="Garamond" w:hAnsi="Garamond" w:cstheme="minorHAnsi"/>
          <w:sz w:val="24"/>
          <w:szCs w:val="24"/>
        </w:rPr>
        <w:lastRenderedPageBreak/>
        <w:t xml:space="preserve">over external goods. That is, communities </w:t>
      </w:r>
      <w:r>
        <w:rPr>
          <w:rFonts w:ascii="Garamond" w:hAnsi="Garamond" w:cstheme="minorHAnsi"/>
          <w:sz w:val="24"/>
          <w:szCs w:val="24"/>
        </w:rPr>
        <w:t>represent</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w:t>
      </w:r>
      <w:r>
        <w:rPr>
          <w:rFonts w:ascii="Garamond" w:hAnsi="Garamond" w:cstheme="minorHAnsi"/>
          <w:sz w:val="24"/>
          <w:szCs w:val="24"/>
        </w:rPr>
        <w:t>spaces in which</w:t>
      </w:r>
      <w:r w:rsidR="00016049" w:rsidRPr="00461D74">
        <w:rPr>
          <w:rFonts w:ascii="Garamond" w:hAnsi="Garamond" w:cstheme="minorHAnsi"/>
          <w:sz w:val="24"/>
          <w:szCs w:val="24"/>
        </w:rPr>
        <w:t xml:space="preserve"> our attitudes towards internal goods of the virtues are nurtured. But on the other hand, communities </w:t>
      </w:r>
      <w:r>
        <w:rPr>
          <w:rFonts w:ascii="Garamond" w:hAnsi="Garamond" w:cstheme="minorHAnsi"/>
          <w:sz w:val="24"/>
          <w:szCs w:val="24"/>
        </w:rPr>
        <w:t>ought</w:t>
      </w:r>
      <w:r w:rsidRPr="00461D74">
        <w:rPr>
          <w:rFonts w:ascii="Garamond" w:hAnsi="Garamond" w:cstheme="minorHAnsi"/>
          <w:sz w:val="24"/>
          <w:szCs w:val="24"/>
        </w:rPr>
        <w:t xml:space="preserve"> </w:t>
      </w:r>
      <w:r w:rsidR="00016049" w:rsidRPr="00461D74">
        <w:rPr>
          <w:rFonts w:ascii="Garamond" w:hAnsi="Garamond" w:cstheme="minorHAnsi"/>
          <w:sz w:val="24"/>
          <w:szCs w:val="24"/>
        </w:rPr>
        <w:t>to retain a prudential sceptical attitude in their dealings with the state. That is</w:t>
      </w:r>
      <w:r>
        <w:rPr>
          <w:rFonts w:ascii="Garamond" w:hAnsi="Garamond" w:cstheme="minorHAnsi"/>
          <w:sz w:val="24"/>
          <w:szCs w:val="24"/>
        </w:rPr>
        <w:t>,</w:t>
      </w:r>
      <w:r w:rsidR="00016049" w:rsidRPr="00461D74">
        <w:rPr>
          <w:rFonts w:ascii="Garamond" w:hAnsi="Garamond" w:cstheme="minorHAnsi"/>
          <w:sz w:val="24"/>
          <w:szCs w:val="24"/>
        </w:rPr>
        <w:t xml:space="preserve"> they should take</w:t>
      </w:r>
      <w:r>
        <w:rPr>
          <w:rFonts w:ascii="Garamond" w:hAnsi="Garamond" w:cstheme="minorHAnsi"/>
          <w:sz w:val="24"/>
          <w:szCs w:val="24"/>
        </w:rPr>
        <w:t xml:space="preserve"> up </w:t>
      </w:r>
      <w:r w:rsidR="00016049" w:rsidRPr="00461D74">
        <w:rPr>
          <w:rFonts w:ascii="Garamond" w:hAnsi="Garamond" w:cstheme="minorHAnsi"/>
          <w:sz w:val="24"/>
          <w:szCs w:val="24"/>
        </w:rPr>
        <w:t xml:space="preserve">a cost-benefit approach to procuring goods from the state, while giving up as little as possible. </w:t>
      </w:r>
      <w:r w:rsidR="00655144" w:rsidRPr="00461D74">
        <w:rPr>
          <w:rFonts w:ascii="Garamond" w:hAnsi="Garamond" w:cstheme="minorHAnsi"/>
          <w:sz w:val="24"/>
          <w:szCs w:val="24"/>
        </w:rPr>
        <w:t>Here</w:t>
      </w:r>
      <w:r w:rsidR="00016049" w:rsidRPr="00461D74">
        <w:rPr>
          <w:rFonts w:ascii="Garamond" w:hAnsi="Garamond" w:cstheme="minorHAnsi"/>
          <w:sz w:val="24"/>
          <w:szCs w:val="24"/>
        </w:rPr>
        <w:t xml:space="preserve">, </w:t>
      </w:r>
      <w:r w:rsidR="00655144" w:rsidRPr="00461D74">
        <w:rPr>
          <w:rFonts w:ascii="Garamond" w:hAnsi="Garamond" w:cstheme="minorHAnsi"/>
          <w:sz w:val="24"/>
          <w:szCs w:val="24"/>
        </w:rPr>
        <w:t>it seems</w:t>
      </w:r>
      <w:r>
        <w:rPr>
          <w:rFonts w:ascii="Garamond" w:hAnsi="Garamond" w:cstheme="minorHAnsi"/>
          <w:sz w:val="24"/>
          <w:szCs w:val="24"/>
        </w:rPr>
        <w:t>,</w:t>
      </w:r>
      <w:r w:rsidR="00655144"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local communities must also nurture a prudential </w:t>
      </w:r>
      <w:r w:rsidR="00655144" w:rsidRPr="00461D74">
        <w:rPr>
          <w:rFonts w:ascii="Garamond" w:hAnsi="Garamond" w:cstheme="minorHAnsi"/>
          <w:sz w:val="24"/>
          <w:szCs w:val="24"/>
        </w:rPr>
        <w:t xml:space="preserve">cost/benefit </w:t>
      </w:r>
      <w:r w:rsidR="00016049" w:rsidRPr="00461D74">
        <w:rPr>
          <w:rFonts w:ascii="Garamond" w:hAnsi="Garamond" w:cstheme="minorHAnsi"/>
          <w:sz w:val="24"/>
          <w:szCs w:val="24"/>
        </w:rPr>
        <w:t xml:space="preserve">attitude in their dealings with the state. Yet, this is an attitude that prioritizes external goods of </w:t>
      </w:r>
      <w:r w:rsidR="00655144" w:rsidRPr="00461D74">
        <w:rPr>
          <w:rFonts w:ascii="Garamond" w:hAnsi="Garamond" w:cstheme="minorHAnsi"/>
          <w:sz w:val="24"/>
          <w:szCs w:val="24"/>
        </w:rPr>
        <w:t xml:space="preserve">effectiveness, </w:t>
      </w:r>
      <w:r w:rsidR="00016049" w:rsidRPr="00461D74">
        <w:rPr>
          <w:rFonts w:ascii="Garamond" w:hAnsi="Garamond" w:cstheme="minorHAnsi"/>
          <w:sz w:val="24"/>
          <w:szCs w:val="24"/>
        </w:rPr>
        <w:t xml:space="preserve">over the internal goods of </w:t>
      </w:r>
      <w:r w:rsidR="00655144" w:rsidRPr="00461D74">
        <w:rPr>
          <w:rFonts w:ascii="Garamond" w:hAnsi="Garamond" w:cstheme="minorHAnsi"/>
          <w:sz w:val="24"/>
          <w:szCs w:val="24"/>
        </w:rPr>
        <w:t xml:space="preserve">excellence (or </w:t>
      </w:r>
      <w:r w:rsidR="00016049" w:rsidRPr="00461D74">
        <w:rPr>
          <w:rFonts w:ascii="Garamond" w:hAnsi="Garamond" w:cstheme="minorHAnsi"/>
          <w:sz w:val="24"/>
          <w:szCs w:val="24"/>
        </w:rPr>
        <w:t>the virtues</w:t>
      </w:r>
      <w:r w:rsidR="00655144" w:rsidRPr="00461D74">
        <w:rPr>
          <w:rFonts w:ascii="Garamond" w:hAnsi="Garamond" w:cstheme="minorHAnsi"/>
          <w:sz w:val="24"/>
          <w:szCs w:val="24"/>
        </w:rPr>
        <w:t>)</w:t>
      </w:r>
      <w:r w:rsidR="00016049" w:rsidRPr="00461D74">
        <w:rPr>
          <w:rFonts w:ascii="Garamond" w:hAnsi="Garamond" w:cstheme="minorHAnsi"/>
          <w:sz w:val="24"/>
          <w:szCs w:val="24"/>
        </w:rPr>
        <w:t xml:space="preserve">. Thus local communities must </w:t>
      </w:r>
      <w:r w:rsidR="0029758F">
        <w:rPr>
          <w:rFonts w:ascii="Garamond" w:hAnsi="Garamond" w:cstheme="minorHAnsi"/>
          <w:sz w:val="24"/>
          <w:szCs w:val="24"/>
        </w:rPr>
        <w:t>conduct</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 double life </w:t>
      </w:r>
      <w:r>
        <w:rPr>
          <w:rFonts w:ascii="Garamond" w:hAnsi="Garamond" w:cstheme="minorHAnsi"/>
          <w:sz w:val="24"/>
          <w:szCs w:val="24"/>
        </w:rPr>
        <w:t>in which their members at once</w:t>
      </w:r>
      <w:r w:rsidRPr="00461D74">
        <w:rPr>
          <w:rFonts w:ascii="Garamond" w:hAnsi="Garamond" w:cstheme="minorHAnsi"/>
          <w:sz w:val="24"/>
          <w:szCs w:val="24"/>
        </w:rPr>
        <w:t xml:space="preserve"> nurtur</w:t>
      </w:r>
      <w:r>
        <w:rPr>
          <w:rFonts w:ascii="Garamond" w:hAnsi="Garamond" w:cstheme="minorHAnsi"/>
          <w:sz w:val="24"/>
          <w:szCs w:val="24"/>
        </w:rPr>
        <w:t>e</w:t>
      </w:r>
      <w:r w:rsidRPr="00461D74">
        <w:rPr>
          <w:rFonts w:ascii="Garamond" w:hAnsi="Garamond" w:cstheme="minorHAnsi"/>
          <w:sz w:val="24"/>
          <w:szCs w:val="24"/>
        </w:rPr>
        <w:t xml:space="preserve"> </w:t>
      </w:r>
      <w:r w:rsidR="00016049" w:rsidRPr="00461D74">
        <w:rPr>
          <w:rFonts w:ascii="Garamond" w:hAnsi="Garamond" w:cstheme="minorHAnsi"/>
          <w:sz w:val="24"/>
          <w:szCs w:val="24"/>
        </w:rPr>
        <w:t>the internal goods of the virtues</w:t>
      </w:r>
      <w:r>
        <w:rPr>
          <w:rFonts w:ascii="Garamond" w:hAnsi="Garamond" w:cstheme="minorHAnsi"/>
          <w:sz w:val="24"/>
          <w:szCs w:val="24"/>
        </w:rPr>
        <w:t xml:space="preserve"> in their internal dealings</w:t>
      </w:r>
      <w:r w:rsidR="00655144" w:rsidRPr="00461D74">
        <w:rPr>
          <w:rFonts w:ascii="Garamond" w:hAnsi="Garamond" w:cstheme="minorHAnsi"/>
          <w:sz w:val="24"/>
          <w:szCs w:val="24"/>
        </w:rPr>
        <w:t>, yet they</w:t>
      </w:r>
      <w:r w:rsidR="00016049" w:rsidRPr="00461D74">
        <w:rPr>
          <w:rFonts w:ascii="Garamond" w:hAnsi="Garamond" w:cstheme="minorHAnsi"/>
          <w:sz w:val="24"/>
          <w:szCs w:val="24"/>
        </w:rPr>
        <w:t xml:space="preserve"> </w:t>
      </w:r>
      <w:r>
        <w:rPr>
          <w:rFonts w:ascii="Garamond" w:hAnsi="Garamond" w:cstheme="minorHAnsi"/>
          <w:sz w:val="24"/>
          <w:szCs w:val="24"/>
        </w:rPr>
        <w:t>must simultaneously</w:t>
      </w:r>
      <w:r w:rsidR="00016049" w:rsidRPr="00461D74">
        <w:rPr>
          <w:rFonts w:ascii="Garamond" w:hAnsi="Garamond" w:cstheme="minorHAnsi"/>
          <w:sz w:val="24"/>
          <w:szCs w:val="24"/>
        </w:rPr>
        <w:t xml:space="preserve"> </w:t>
      </w:r>
      <w:r w:rsidR="00655144" w:rsidRPr="00461D74">
        <w:rPr>
          <w:rFonts w:ascii="Garamond" w:hAnsi="Garamond" w:cstheme="minorHAnsi"/>
          <w:sz w:val="24"/>
          <w:szCs w:val="24"/>
        </w:rPr>
        <w:t xml:space="preserve">develop </w:t>
      </w:r>
      <w:r w:rsidR="00016049" w:rsidRPr="00461D74">
        <w:rPr>
          <w:rFonts w:ascii="Garamond" w:hAnsi="Garamond" w:cstheme="minorHAnsi"/>
          <w:sz w:val="24"/>
          <w:szCs w:val="24"/>
        </w:rPr>
        <w:t xml:space="preserve">a prudential </w:t>
      </w:r>
      <w:r w:rsidR="00F03F43">
        <w:rPr>
          <w:rFonts w:ascii="Garamond" w:hAnsi="Garamond" w:cstheme="minorHAnsi"/>
          <w:sz w:val="24"/>
          <w:szCs w:val="24"/>
        </w:rPr>
        <w:t xml:space="preserve">(emotive?) </w:t>
      </w:r>
      <w:r w:rsidR="00016049" w:rsidRPr="00461D74">
        <w:rPr>
          <w:rFonts w:ascii="Garamond" w:hAnsi="Garamond" w:cstheme="minorHAnsi"/>
          <w:sz w:val="24"/>
          <w:szCs w:val="24"/>
        </w:rPr>
        <w:t xml:space="preserve">attitude </w:t>
      </w:r>
      <w:r w:rsidR="00F03F43">
        <w:rPr>
          <w:rFonts w:ascii="Garamond" w:hAnsi="Garamond" w:cstheme="minorHAnsi"/>
          <w:sz w:val="24"/>
          <w:szCs w:val="24"/>
        </w:rPr>
        <w:t>when transacting</w:t>
      </w:r>
      <w:r w:rsidR="00016049" w:rsidRPr="00461D74">
        <w:rPr>
          <w:rFonts w:ascii="Garamond" w:hAnsi="Garamond" w:cstheme="minorHAnsi"/>
          <w:sz w:val="24"/>
          <w:szCs w:val="24"/>
        </w:rPr>
        <w:t xml:space="preserve"> with the state</w:t>
      </w:r>
      <w:r w:rsidR="00655144" w:rsidRPr="00461D74">
        <w:rPr>
          <w:rFonts w:ascii="Garamond" w:hAnsi="Garamond" w:cstheme="minorHAnsi"/>
          <w:sz w:val="24"/>
          <w:szCs w:val="24"/>
        </w:rPr>
        <w:t xml:space="preserve"> and its institutions</w:t>
      </w:r>
      <w:r w:rsidR="00016049" w:rsidRPr="00461D74">
        <w:rPr>
          <w:rFonts w:ascii="Garamond" w:hAnsi="Garamond" w:cstheme="minorHAnsi"/>
          <w:sz w:val="24"/>
          <w:szCs w:val="24"/>
        </w:rPr>
        <w:t xml:space="preserve">. Breen notes that this double attitude, which local communities must possess, is one that already assumes an </w:t>
      </w:r>
      <w:proofErr w:type="spellStart"/>
      <w:r w:rsidR="00016049" w:rsidRPr="00461D74">
        <w:rPr>
          <w:rFonts w:ascii="Garamond" w:hAnsi="Garamond" w:cstheme="minorHAnsi"/>
          <w:sz w:val="24"/>
          <w:szCs w:val="24"/>
        </w:rPr>
        <w:t>emotivist</w:t>
      </w:r>
      <w:proofErr w:type="spellEnd"/>
      <w:r w:rsidR="00016049" w:rsidRPr="00461D74">
        <w:rPr>
          <w:rFonts w:ascii="Garamond" w:hAnsi="Garamond" w:cstheme="minorHAnsi"/>
          <w:sz w:val="24"/>
          <w:szCs w:val="24"/>
        </w:rPr>
        <w:t xml:space="preserve"> culture and a modern bureaucratic compartmentalization of political activities.</w:t>
      </w:r>
      <w:r w:rsidR="00016049" w:rsidRPr="00461D74">
        <w:rPr>
          <w:rStyle w:val="FootnoteReference"/>
          <w:rFonts w:ascii="Garamond" w:hAnsi="Garamond" w:cstheme="minorHAnsi"/>
          <w:sz w:val="24"/>
          <w:szCs w:val="24"/>
        </w:rPr>
        <w:footnoteReference w:id="340"/>
      </w:r>
      <w:r w:rsidR="00655144" w:rsidRPr="00461D74">
        <w:rPr>
          <w:rFonts w:ascii="Garamond" w:hAnsi="Garamond" w:cstheme="minorHAnsi"/>
          <w:sz w:val="24"/>
          <w:szCs w:val="24"/>
        </w:rPr>
        <w:t xml:space="preserve"> </w:t>
      </w:r>
      <w:r w:rsidR="00F03F43">
        <w:rPr>
          <w:rFonts w:ascii="Garamond" w:hAnsi="Garamond" w:cstheme="minorHAnsi"/>
          <w:sz w:val="24"/>
          <w:szCs w:val="24"/>
        </w:rPr>
        <w:t>Now</w:t>
      </w:r>
      <w:r w:rsidR="009321F9" w:rsidRPr="00461D74">
        <w:rPr>
          <w:rFonts w:ascii="Garamond" w:hAnsi="Garamond" w:cstheme="minorHAnsi"/>
          <w:sz w:val="24"/>
          <w:szCs w:val="24"/>
        </w:rPr>
        <w:t>,</w:t>
      </w:r>
      <w:r w:rsidR="00621F43" w:rsidRPr="00461D74">
        <w:rPr>
          <w:rFonts w:ascii="Garamond" w:hAnsi="Garamond" w:cstheme="minorHAnsi"/>
          <w:sz w:val="24"/>
          <w:szCs w:val="24"/>
        </w:rPr>
        <w:t xml:space="preserve"> </w:t>
      </w:r>
      <w:r w:rsidR="00655144" w:rsidRPr="00461D74">
        <w:rPr>
          <w:rFonts w:ascii="Garamond" w:hAnsi="Garamond" w:cstheme="minorHAnsi"/>
          <w:sz w:val="24"/>
          <w:szCs w:val="24"/>
        </w:rPr>
        <w:t xml:space="preserve">I </w:t>
      </w:r>
      <w:r w:rsidR="00F03F43">
        <w:rPr>
          <w:rFonts w:ascii="Garamond" w:hAnsi="Garamond" w:cstheme="minorHAnsi"/>
          <w:sz w:val="24"/>
          <w:szCs w:val="24"/>
        </w:rPr>
        <w:t>should say that I</w:t>
      </w:r>
      <w:r w:rsidR="00F03F43" w:rsidRPr="00461D74">
        <w:rPr>
          <w:rFonts w:ascii="Garamond" w:hAnsi="Garamond" w:cstheme="minorHAnsi"/>
          <w:sz w:val="24"/>
          <w:szCs w:val="24"/>
        </w:rPr>
        <w:t xml:space="preserve"> </w:t>
      </w:r>
      <w:r w:rsidR="00655144" w:rsidRPr="00461D74">
        <w:rPr>
          <w:rFonts w:ascii="Garamond" w:hAnsi="Garamond" w:cstheme="minorHAnsi"/>
          <w:sz w:val="24"/>
          <w:szCs w:val="24"/>
        </w:rPr>
        <w:t>agree with Breen</w:t>
      </w:r>
      <w:r w:rsidR="00621F43" w:rsidRPr="00461D74">
        <w:rPr>
          <w:rFonts w:ascii="Garamond" w:hAnsi="Garamond" w:cstheme="minorHAnsi"/>
          <w:sz w:val="24"/>
          <w:szCs w:val="24"/>
        </w:rPr>
        <w:t>,</w:t>
      </w:r>
      <w:r w:rsidR="00F65B67" w:rsidRPr="00461D74">
        <w:rPr>
          <w:rFonts w:ascii="Garamond" w:hAnsi="Garamond" w:cstheme="minorHAnsi"/>
          <w:sz w:val="24"/>
          <w:szCs w:val="24"/>
        </w:rPr>
        <w:t xml:space="preserve"> and</w:t>
      </w:r>
      <w:r w:rsidR="00621F43" w:rsidRPr="00461D74">
        <w:rPr>
          <w:rFonts w:ascii="Garamond" w:hAnsi="Garamond" w:cstheme="minorHAnsi"/>
          <w:sz w:val="24"/>
          <w:szCs w:val="24"/>
        </w:rPr>
        <w:t xml:space="preserve"> only</w:t>
      </w:r>
      <w:r w:rsidR="00F65B67" w:rsidRPr="00461D74">
        <w:rPr>
          <w:rFonts w:ascii="Garamond" w:hAnsi="Garamond" w:cstheme="minorHAnsi"/>
          <w:sz w:val="24"/>
          <w:szCs w:val="24"/>
        </w:rPr>
        <w:t xml:space="preserve"> add</w:t>
      </w:r>
      <w:r w:rsidR="00655144" w:rsidRPr="00461D74">
        <w:rPr>
          <w:rFonts w:ascii="Garamond" w:hAnsi="Garamond" w:cstheme="minorHAnsi"/>
          <w:sz w:val="24"/>
          <w:szCs w:val="24"/>
        </w:rPr>
        <w:t xml:space="preserve"> that </w:t>
      </w:r>
      <w:r w:rsidR="00F03F43">
        <w:rPr>
          <w:rFonts w:ascii="Garamond" w:hAnsi="Garamond" w:cstheme="minorHAnsi"/>
          <w:sz w:val="24"/>
          <w:szCs w:val="24"/>
        </w:rPr>
        <w:t>Breen’s point seems</w:t>
      </w:r>
      <w:r w:rsidR="00655144" w:rsidRPr="00461D74">
        <w:rPr>
          <w:rFonts w:ascii="Garamond" w:hAnsi="Garamond" w:cstheme="minorHAnsi"/>
          <w:sz w:val="24"/>
          <w:szCs w:val="24"/>
        </w:rPr>
        <w:t xml:space="preserve"> to </w:t>
      </w:r>
      <w:r w:rsidR="00F03F43">
        <w:rPr>
          <w:rFonts w:ascii="Garamond" w:hAnsi="Garamond" w:cstheme="minorHAnsi"/>
          <w:sz w:val="24"/>
          <w:szCs w:val="24"/>
        </w:rPr>
        <w:t>generate</w:t>
      </w:r>
      <w:r w:rsidR="00F03F43" w:rsidRPr="00461D74">
        <w:rPr>
          <w:rFonts w:ascii="Garamond" w:hAnsi="Garamond" w:cstheme="minorHAnsi"/>
          <w:sz w:val="24"/>
          <w:szCs w:val="24"/>
        </w:rPr>
        <w:t xml:space="preserve"> </w:t>
      </w:r>
      <w:r w:rsidR="00F03F43">
        <w:rPr>
          <w:rFonts w:ascii="Garamond" w:hAnsi="Garamond" w:cstheme="minorHAnsi"/>
          <w:sz w:val="24"/>
          <w:szCs w:val="24"/>
        </w:rPr>
        <w:t xml:space="preserve">yet </w:t>
      </w:r>
      <w:r w:rsidR="0029758F">
        <w:rPr>
          <w:rFonts w:ascii="Garamond" w:hAnsi="Garamond" w:cstheme="minorHAnsi"/>
          <w:sz w:val="24"/>
          <w:szCs w:val="24"/>
        </w:rPr>
        <w:t>more</w:t>
      </w:r>
      <w:r w:rsidR="009321F9" w:rsidRPr="00461D74">
        <w:rPr>
          <w:rFonts w:ascii="Garamond" w:hAnsi="Garamond" w:cstheme="minorHAnsi"/>
          <w:sz w:val="24"/>
          <w:szCs w:val="24"/>
        </w:rPr>
        <w:t xml:space="preserve"> </w:t>
      </w:r>
      <w:r w:rsidR="00655144" w:rsidRPr="00461D74">
        <w:rPr>
          <w:rFonts w:ascii="Garamond" w:hAnsi="Garamond" w:cstheme="minorHAnsi"/>
          <w:sz w:val="24"/>
          <w:szCs w:val="24"/>
        </w:rPr>
        <w:t xml:space="preserve">difficulties </w:t>
      </w:r>
      <w:r w:rsidR="00F65B67" w:rsidRPr="00461D74">
        <w:rPr>
          <w:rFonts w:ascii="Garamond" w:hAnsi="Garamond" w:cstheme="minorHAnsi"/>
          <w:sz w:val="24"/>
          <w:szCs w:val="24"/>
        </w:rPr>
        <w:t>for MacIntyre</w:t>
      </w:r>
      <w:r w:rsidR="009321F9" w:rsidRPr="00461D74">
        <w:rPr>
          <w:rFonts w:ascii="Garamond" w:hAnsi="Garamond" w:cstheme="minorHAnsi"/>
          <w:sz w:val="24"/>
          <w:szCs w:val="24"/>
        </w:rPr>
        <w:t xml:space="preserve">’s </w:t>
      </w:r>
      <w:r w:rsidR="00F03F43">
        <w:rPr>
          <w:rFonts w:ascii="Garamond" w:hAnsi="Garamond" w:cstheme="minorHAnsi"/>
          <w:sz w:val="24"/>
          <w:szCs w:val="24"/>
        </w:rPr>
        <w:t>politics</w:t>
      </w:r>
      <w:r w:rsidR="00F65B67" w:rsidRPr="00461D74">
        <w:rPr>
          <w:rFonts w:ascii="Garamond" w:hAnsi="Garamond" w:cstheme="minorHAnsi"/>
          <w:sz w:val="24"/>
          <w:szCs w:val="24"/>
        </w:rPr>
        <w:t>.</w:t>
      </w:r>
    </w:p>
    <w:p w:rsidR="00665157" w:rsidRDefault="00F03F43">
      <w:pPr>
        <w:spacing w:line="360" w:lineRule="auto"/>
        <w:ind w:firstLine="720"/>
        <w:jc w:val="both"/>
        <w:rPr>
          <w:rFonts w:ascii="Garamond" w:hAnsi="Garamond" w:cstheme="minorHAnsi"/>
          <w:sz w:val="24"/>
          <w:szCs w:val="24"/>
        </w:rPr>
      </w:pPr>
      <w:r>
        <w:rPr>
          <w:rFonts w:ascii="Garamond" w:hAnsi="Garamond" w:cstheme="minorHAnsi"/>
          <w:sz w:val="24"/>
          <w:szCs w:val="24"/>
        </w:rPr>
        <w:t>An</w:t>
      </w:r>
      <w:r w:rsidRPr="00461D74">
        <w:rPr>
          <w:rFonts w:ascii="Garamond" w:hAnsi="Garamond" w:cstheme="minorHAnsi"/>
          <w:sz w:val="24"/>
          <w:szCs w:val="24"/>
        </w:rPr>
        <w:t xml:space="preserve"> </w:t>
      </w:r>
      <w:r>
        <w:rPr>
          <w:rFonts w:ascii="Garamond" w:hAnsi="Garamond" w:cstheme="minorHAnsi"/>
          <w:sz w:val="24"/>
          <w:szCs w:val="24"/>
        </w:rPr>
        <w:t xml:space="preserve">implication or </w:t>
      </w:r>
      <w:r w:rsidR="00F65B67" w:rsidRPr="00461D74">
        <w:rPr>
          <w:rFonts w:ascii="Garamond" w:hAnsi="Garamond" w:cstheme="minorHAnsi"/>
          <w:sz w:val="24"/>
          <w:szCs w:val="24"/>
        </w:rPr>
        <w:t>upshot of our</w:t>
      </w:r>
      <w:r w:rsidR="00016049" w:rsidRPr="00461D74">
        <w:rPr>
          <w:rFonts w:ascii="Garamond" w:hAnsi="Garamond" w:cstheme="minorHAnsi"/>
          <w:sz w:val="24"/>
          <w:szCs w:val="24"/>
        </w:rPr>
        <w:t xml:space="preserve"> discussion </w:t>
      </w:r>
      <w:r w:rsidR="00621F43" w:rsidRPr="00461D74">
        <w:rPr>
          <w:rFonts w:ascii="Garamond" w:hAnsi="Garamond" w:cstheme="minorHAnsi"/>
          <w:sz w:val="24"/>
          <w:szCs w:val="24"/>
        </w:rPr>
        <w:t xml:space="preserve">thus far </w:t>
      </w:r>
      <w:r w:rsidR="00F65B67" w:rsidRPr="00461D74">
        <w:rPr>
          <w:rFonts w:ascii="Garamond" w:hAnsi="Garamond" w:cstheme="minorHAnsi"/>
          <w:sz w:val="24"/>
          <w:szCs w:val="24"/>
        </w:rPr>
        <w:t xml:space="preserve">is </w:t>
      </w:r>
      <w:r w:rsidR="00016049" w:rsidRPr="00461D74">
        <w:rPr>
          <w:rFonts w:ascii="Garamond" w:hAnsi="Garamond" w:cstheme="minorHAnsi"/>
          <w:sz w:val="24"/>
          <w:szCs w:val="24"/>
        </w:rPr>
        <w:t xml:space="preserve">that there are striking similarities between the state that MacIntyre criticises, and the sort of state that on Murphy’s view allows local communities to come together and achieve a set of </w:t>
      </w:r>
      <w:r w:rsidR="00F0551C" w:rsidRPr="00461D74">
        <w:rPr>
          <w:rFonts w:ascii="Garamond" w:hAnsi="Garamond" w:cstheme="minorHAnsi"/>
          <w:sz w:val="24"/>
          <w:szCs w:val="24"/>
        </w:rPr>
        <w:t>goods</w:t>
      </w:r>
      <w:r w:rsidR="00016049" w:rsidRPr="00461D74">
        <w:rPr>
          <w:rFonts w:ascii="Garamond" w:hAnsi="Garamond" w:cstheme="minorHAnsi"/>
          <w:sz w:val="24"/>
          <w:szCs w:val="24"/>
        </w:rPr>
        <w:t xml:space="preserve">, those of wealth and security – goods which are a necessary, </w:t>
      </w:r>
      <w:r w:rsidR="00F0551C" w:rsidRPr="00461D74">
        <w:rPr>
          <w:rFonts w:ascii="Garamond" w:hAnsi="Garamond" w:cstheme="minorHAnsi"/>
          <w:sz w:val="24"/>
          <w:szCs w:val="24"/>
        </w:rPr>
        <w:t xml:space="preserve">yet </w:t>
      </w:r>
      <w:r w:rsidR="00016049" w:rsidRPr="00461D74">
        <w:rPr>
          <w:rFonts w:ascii="Garamond" w:hAnsi="Garamond" w:cstheme="minorHAnsi"/>
          <w:sz w:val="24"/>
          <w:szCs w:val="24"/>
        </w:rPr>
        <w:t xml:space="preserve">not sufficient, condition for </w:t>
      </w:r>
      <w:r w:rsidR="00F0551C" w:rsidRPr="00461D74">
        <w:rPr>
          <w:rFonts w:ascii="Garamond" w:hAnsi="Garamond" w:cstheme="minorHAnsi"/>
          <w:sz w:val="24"/>
          <w:szCs w:val="24"/>
        </w:rPr>
        <w:t>effective democratic</w:t>
      </w:r>
      <w:r w:rsidR="00016049" w:rsidRPr="00461D74">
        <w:rPr>
          <w:rFonts w:ascii="Garamond" w:hAnsi="Garamond" w:cstheme="minorHAnsi"/>
          <w:sz w:val="24"/>
          <w:szCs w:val="24"/>
        </w:rPr>
        <w:t xml:space="preserve"> deliberation in local communities about the good. They both possess a thin conception of the good and limit the scope of public debate and deliberation about various goods. Yet, recall that on MacIntyre’s view, just such a </w:t>
      </w:r>
      <w:r w:rsidR="00DB00EA" w:rsidRPr="00DB00EA">
        <w:rPr>
          <w:rFonts w:ascii="Garamond" w:hAnsi="Garamond" w:cstheme="minorHAnsi"/>
          <w:i/>
          <w:sz w:val="24"/>
          <w:szCs w:val="24"/>
        </w:rPr>
        <w:t>thin</w:t>
      </w:r>
      <w:r w:rsidR="00016049" w:rsidRPr="00461D74">
        <w:rPr>
          <w:rFonts w:ascii="Garamond" w:hAnsi="Garamond" w:cstheme="minorHAnsi"/>
          <w:sz w:val="24"/>
          <w:szCs w:val="24"/>
        </w:rPr>
        <w:t xml:space="preserve"> notion of the good fails to generate the </w:t>
      </w:r>
      <w:r>
        <w:rPr>
          <w:rFonts w:ascii="Garamond" w:hAnsi="Garamond" w:cstheme="minorHAnsi"/>
          <w:sz w:val="24"/>
          <w:szCs w:val="24"/>
        </w:rPr>
        <w:t xml:space="preserve">proper sort of </w:t>
      </w:r>
      <w:r w:rsidR="00016049" w:rsidRPr="00461D74">
        <w:rPr>
          <w:rFonts w:ascii="Garamond" w:hAnsi="Garamond" w:cstheme="minorHAnsi"/>
          <w:sz w:val="24"/>
          <w:szCs w:val="24"/>
        </w:rPr>
        <w:t>common good</w:t>
      </w:r>
      <w:r>
        <w:rPr>
          <w:rFonts w:ascii="Garamond" w:hAnsi="Garamond" w:cstheme="minorHAnsi"/>
          <w:sz w:val="24"/>
          <w:szCs w:val="24"/>
        </w:rPr>
        <w:t xml:space="preserve">, </w:t>
      </w:r>
      <w:r w:rsidR="0029758F">
        <w:rPr>
          <w:rFonts w:ascii="Garamond" w:hAnsi="Garamond" w:cstheme="minorHAnsi"/>
          <w:sz w:val="24"/>
          <w:szCs w:val="24"/>
        </w:rPr>
        <w:t>insofar as</w:t>
      </w:r>
      <w:r>
        <w:rPr>
          <w:rFonts w:ascii="Garamond" w:hAnsi="Garamond" w:cstheme="minorHAnsi"/>
          <w:sz w:val="24"/>
          <w:szCs w:val="24"/>
        </w:rPr>
        <w:t xml:space="preserve"> </w:t>
      </w:r>
      <w:r w:rsidR="00016049" w:rsidRPr="00461D74">
        <w:rPr>
          <w:rFonts w:ascii="Garamond" w:hAnsi="Garamond" w:cstheme="minorHAnsi"/>
          <w:sz w:val="24"/>
          <w:szCs w:val="24"/>
        </w:rPr>
        <w:t xml:space="preserve">the thin notion of the good found in the </w:t>
      </w:r>
      <w:r>
        <w:rPr>
          <w:rFonts w:ascii="Garamond" w:hAnsi="Garamond" w:cstheme="minorHAnsi"/>
          <w:sz w:val="24"/>
          <w:szCs w:val="24"/>
        </w:rPr>
        <w:t>concept</w:t>
      </w:r>
      <w:r w:rsidRPr="00461D74">
        <w:rPr>
          <w:rFonts w:ascii="Garamond" w:hAnsi="Garamond" w:cstheme="minorHAnsi"/>
          <w:sz w:val="24"/>
          <w:szCs w:val="24"/>
        </w:rPr>
        <w:t xml:space="preserve"> </w:t>
      </w:r>
      <w:r w:rsidR="00016049" w:rsidRPr="00461D74">
        <w:rPr>
          <w:rFonts w:ascii="Garamond" w:hAnsi="Garamond" w:cstheme="minorHAnsi"/>
          <w:sz w:val="24"/>
          <w:szCs w:val="24"/>
        </w:rPr>
        <w:t>of public interest is unconnected to</w:t>
      </w:r>
      <w:r w:rsidR="00A23229" w:rsidRPr="00461D74">
        <w:rPr>
          <w:rFonts w:ascii="Garamond" w:hAnsi="Garamond" w:cstheme="minorHAnsi"/>
          <w:sz w:val="24"/>
          <w:szCs w:val="24"/>
        </w:rPr>
        <w:t>,</w:t>
      </w:r>
      <w:r w:rsidR="00016049" w:rsidRPr="00461D74">
        <w:rPr>
          <w:rFonts w:ascii="Garamond" w:hAnsi="Garamond" w:cstheme="minorHAnsi"/>
          <w:sz w:val="24"/>
          <w:szCs w:val="24"/>
        </w:rPr>
        <w:t xml:space="preserve"> and distinct from</w:t>
      </w:r>
      <w:r w:rsidR="00A23229"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A23229" w:rsidRPr="00461D74">
        <w:rPr>
          <w:rFonts w:ascii="Garamond" w:hAnsi="Garamond" w:cstheme="minorHAnsi"/>
          <w:sz w:val="24"/>
          <w:szCs w:val="24"/>
        </w:rPr>
        <w:t xml:space="preserve">the concept of common good understood by MacIntyre in which the relationship between the common </w:t>
      </w:r>
      <w:r w:rsidR="00A23229" w:rsidRPr="00461D74">
        <w:rPr>
          <w:rFonts w:ascii="Garamond" w:hAnsi="Garamond" w:cstheme="minorHAnsi"/>
          <w:sz w:val="24"/>
          <w:szCs w:val="24"/>
        </w:rPr>
        <w:lastRenderedPageBreak/>
        <w:t>good and</w:t>
      </w:r>
      <w:r w:rsidR="00016049" w:rsidRPr="00461D74">
        <w:rPr>
          <w:rFonts w:ascii="Garamond" w:hAnsi="Garamond" w:cstheme="minorHAnsi"/>
          <w:sz w:val="24"/>
          <w:szCs w:val="24"/>
        </w:rPr>
        <w:t xml:space="preserve"> the individual’s good</w:t>
      </w:r>
      <w:r w:rsidR="00A23229" w:rsidRPr="00461D74">
        <w:rPr>
          <w:rFonts w:ascii="Garamond" w:hAnsi="Garamond" w:cstheme="minorHAnsi"/>
          <w:sz w:val="24"/>
          <w:szCs w:val="24"/>
        </w:rPr>
        <w:t xml:space="preserve"> </w:t>
      </w:r>
      <w:r>
        <w:rPr>
          <w:rFonts w:ascii="Garamond" w:hAnsi="Garamond" w:cstheme="minorHAnsi"/>
          <w:sz w:val="24"/>
          <w:szCs w:val="24"/>
        </w:rPr>
        <w:t>is</w:t>
      </w:r>
      <w:r w:rsidR="00A23229" w:rsidRPr="00461D74">
        <w:rPr>
          <w:rFonts w:ascii="Garamond" w:hAnsi="Garamond" w:cstheme="minorHAnsi"/>
          <w:sz w:val="24"/>
          <w:szCs w:val="24"/>
        </w:rPr>
        <w:t xml:space="preserve"> closely </w:t>
      </w:r>
      <w:r>
        <w:rPr>
          <w:rFonts w:ascii="Garamond" w:hAnsi="Garamond" w:cstheme="minorHAnsi"/>
          <w:sz w:val="24"/>
          <w:szCs w:val="24"/>
        </w:rPr>
        <w:t>intertwined</w:t>
      </w:r>
      <w:r w:rsidR="00016049" w:rsidRPr="00461D74">
        <w:rPr>
          <w:rFonts w:ascii="Garamond" w:hAnsi="Garamond" w:cstheme="minorHAnsi"/>
          <w:sz w:val="24"/>
          <w:szCs w:val="24"/>
        </w:rPr>
        <w:t xml:space="preserve">. </w:t>
      </w:r>
      <w:r w:rsidR="00A23229" w:rsidRPr="00461D74">
        <w:rPr>
          <w:rFonts w:ascii="Garamond" w:hAnsi="Garamond" w:cstheme="minorHAnsi"/>
          <w:sz w:val="24"/>
          <w:szCs w:val="24"/>
        </w:rPr>
        <w:t>For MacIntyre</w:t>
      </w:r>
      <w:r w:rsidR="00016049" w:rsidRPr="00461D74">
        <w:rPr>
          <w:rFonts w:ascii="Garamond" w:hAnsi="Garamond" w:cstheme="minorHAnsi"/>
          <w:sz w:val="24"/>
          <w:szCs w:val="24"/>
        </w:rPr>
        <w:t xml:space="preserve">, </w:t>
      </w:r>
      <w:r w:rsidR="001110EC">
        <w:rPr>
          <w:rFonts w:ascii="Garamond" w:hAnsi="Garamond" w:cstheme="minorHAnsi"/>
          <w:sz w:val="24"/>
          <w:szCs w:val="24"/>
        </w:rPr>
        <w:t>under</w:t>
      </w:r>
      <w:r w:rsidR="001110EC" w:rsidRPr="00461D74">
        <w:rPr>
          <w:rFonts w:ascii="Garamond" w:hAnsi="Garamond" w:cstheme="minorHAnsi"/>
          <w:sz w:val="24"/>
          <w:szCs w:val="24"/>
        </w:rPr>
        <w:t xml:space="preserve"> </w:t>
      </w:r>
      <w:r>
        <w:rPr>
          <w:rFonts w:ascii="Garamond" w:hAnsi="Garamond" w:cstheme="minorHAnsi"/>
          <w:sz w:val="24"/>
          <w:szCs w:val="24"/>
        </w:rPr>
        <w:t xml:space="preserve">the liberal political order </w:t>
      </w:r>
      <w:r w:rsidR="00A23229" w:rsidRPr="00461D74">
        <w:rPr>
          <w:rFonts w:ascii="Garamond" w:hAnsi="Garamond" w:cstheme="minorHAnsi"/>
          <w:sz w:val="24"/>
          <w:szCs w:val="24"/>
        </w:rPr>
        <w:t xml:space="preserve">the </w:t>
      </w:r>
      <w:r>
        <w:rPr>
          <w:rFonts w:ascii="Garamond" w:hAnsi="Garamond" w:cstheme="minorHAnsi"/>
          <w:sz w:val="24"/>
          <w:szCs w:val="24"/>
        </w:rPr>
        <w:t xml:space="preserve">concepts of </w:t>
      </w:r>
      <w:r w:rsidR="00A23229" w:rsidRPr="00461D74">
        <w:rPr>
          <w:rFonts w:ascii="Garamond" w:hAnsi="Garamond" w:cstheme="minorHAnsi"/>
          <w:sz w:val="24"/>
          <w:szCs w:val="24"/>
        </w:rPr>
        <w:t xml:space="preserve">individual good and public interest </w:t>
      </w:r>
      <w:r w:rsidR="00016049" w:rsidRPr="00461D74">
        <w:rPr>
          <w:rFonts w:ascii="Garamond" w:hAnsi="Garamond" w:cstheme="minorHAnsi"/>
          <w:sz w:val="24"/>
          <w:szCs w:val="24"/>
        </w:rPr>
        <w:t>often diverge</w:t>
      </w:r>
      <w:r w:rsidR="00A23229" w:rsidRPr="00461D74">
        <w:rPr>
          <w:rFonts w:ascii="Garamond" w:hAnsi="Garamond" w:cstheme="minorHAnsi"/>
          <w:sz w:val="24"/>
          <w:szCs w:val="24"/>
        </w:rPr>
        <w:t xml:space="preserve"> </w:t>
      </w:r>
      <w:r w:rsidR="00016049" w:rsidRPr="00461D74">
        <w:rPr>
          <w:rFonts w:ascii="Garamond" w:hAnsi="Garamond" w:cstheme="minorHAnsi"/>
          <w:sz w:val="24"/>
          <w:szCs w:val="24"/>
        </w:rPr>
        <w:t>and come into conflict with each other.</w:t>
      </w:r>
    </w:p>
    <w:p w:rsidR="00665157" w:rsidRDefault="00996AAC">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Therefore, t</w:t>
      </w:r>
      <w:r w:rsidR="00016049" w:rsidRPr="00461D74">
        <w:rPr>
          <w:rFonts w:ascii="Garamond" w:hAnsi="Garamond" w:cstheme="minorHAnsi"/>
          <w:sz w:val="24"/>
          <w:szCs w:val="24"/>
        </w:rPr>
        <w:t xml:space="preserve">he fault with the state then perhaps lies with its apparent inability to properly constitute a framework </w:t>
      </w:r>
      <w:r w:rsidR="00CE2698">
        <w:rPr>
          <w:rFonts w:ascii="Garamond" w:hAnsi="Garamond" w:cstheme="minorHAnsi"/>
          <w:sz w:val="24"/>
          <w:szCs w:val="24"/>
        </w:rPr>
        <w:t>in which</w:t>
      </w:r>
      <w:r w:rsidR="00CE2698" w:rsidRPr="00461D74">
        <w:rPr>
          <w:rFonts w:ascii="Garamond" w:hAnsi="Garamond" w:cstheme="minorHAnsi"/>
          <w:sz w:val="24"/>
          <w:szCs w:val="24"/>
        </w:rPr>
        <w:t xml:space="preserve"> </w:t>
      </w:r>
      <w:r w:rsidR="00CE2698">
        <w:rPr>
          <w:rFonts w:ascii="Garamond" w:hAnsi="Garamond" w:cstheme="minorHAnsi"/>
          <w:sz w:val="24"/>
          <w:szCs w:val="24"/>
        </w:rPr>
        <w:t xml:space="preserve">democratic participatory </w:t>
      </w:r>
      <w:r w:rsidR="00016049" w:rsidRPr="00461D74">
        <w:rPr>
          <w:rFonts w:ascii="Garamond" w:hAnsi="Garamond" w:cstheme="minorHAnsi"/>
          <w:sz w:val="24"/>
          <w:szCs w:val="24"/>
        </w:rPr>
        <w:t xml:space="preserve">deliberations </w:t>
      </w:r>
      <w:r w:rsidR="00CE2698">
        <w:rPr>
          <w:rFonts w:ascii="Garamond" w:hAnsi="Garamond" w:cstheme="minorHAnsi"/>
          <w:sz w:val="24"/>
          <w:szCs w:val="24"/>
        </w:rPr>
        <w:t xml:space="preserve">on </w:t>
      </w:r>
      <w:r w:rsidR="00CE2698" w:rsidRPr="00461D74">
        <w:rPr>
          <w:rFonts w:ascii="Garamond" w:hAnsi="Garamond" w:cstheme="minorHAnsi"/>
          <w:sz w:val="24"/>
          <w:szCs w:val="24"/>
        </w:rPr>
        <w:t xml:space="preserve">practical </w:t>
      </w:r>
      <w:r w:rsidR="00CE2698">
        <w:rPr>
          <w:rFonts w:ascii="Garamond" w:hAnsi="Garamond" w:cstheme="minorHAnsi"/>
          <w:sz w:val="24"/>
          <w:szCs w:val="24"/>
        </w:rPr>
        <w:t xml:space="preserve">matters can </w:t>
      </w:r>
      <w:r w:rsidR="00C21DFA">
        <w:rPr>
          <w:rFonts w:ascii="Garamond" w:hAnsi="Garamond" w:cstheme="minorHAnsi"/>
          <w:sz w:val="24"/>
          <w:szCs w:val="24"/>
        </w:rPr>
        <w:t>take place</w:t>
      </w:r>
      <w:r w:rsidR="00CE2698">
        <w:rPr>
          <w:rFonts w:ascii="Garamond" w:hAnsi="Garamond" w:cstheme="minorHAnsi"/>
          <w:sz w:val="24"/>
          <w:szCs w:val="24"/>
        </w:rPr>
        <w:t xml:space="preserve">, in ways that secure the </w:t>
      </w:r>
      <w:r w:rsidR="00873A7B">
        <w:rPr>
          <w:rFonts w:ascii="Garamond" w:hAnsi="Garamond" w:cstheme="minorHAnsi"/>
          <w:sz w:val="24"/>
          <w:szCs w:val="24"/>
        </w:rPr>
        <w:t xml:space="preserve">widespread </w:t>
      </w:r>
      <w:r w:rsidR="00CE2698">
        <w:rPr>
          <w:rFonts w:ascii="Garamond" w:hAnsi="Garamond" w:cstheme="minorHAnsi"/>
          <w:sz w:val="24"/>
          <w:szCs w:val="24"/>
        </w:rPr>
        <w:t xml:space="preserve">participation </w:t>
      </w:r>
      <w:r w:rsidR="00C21DFA">
        <w:rPr>
          <w:rFonts w:ascii="Garamond" w:hAnsi="Garamond" w:cstheme="minorHAnsi"/>
          <w:sz w:val="24"/>
          <w:szCs w:val="24"/>
        </w:rPr>
        <w:t>of</w:t>
      </w:r>
      <w:r w:rsidR="00873A7B">
        <w:rPr>
          <w:rFonts w:ascii="Garamond" w:hAnsi="Garamond" w:cstheme="minorHAnsi"/>
          <w:sz w:val="24"/>
          <w:szCs w:val="24"/>
        </w:rPr>
        <w:t xml:space="preserve"> the</w:t>
      </w:r>
      <w:r w:rsidR="00CE2698">
        <w:rPr>
          <w:rFonts w:ascii="Garamond" w:hAnsi="Garamond" w:cstheme="minorHAnsi"/>
          <w:sz w:val="24"/>
          <w:szCs w:val="24"/>
        </w:rPr>
        <w:t xml:space="preserve"> state’s </w:t>
      </w:r>
      <w:r w:rsidR="00873A7B">
        <w:rPr>
          <w:rFonts w:ascii="Garamond" w:hAnsi="Garamond" w:cstheme="minorHAnsi"/>
          <w:sz w:val="24"/>
          <w:szCs w:val="24"/>
        </w:rPr>
        <w:t>populace</w:t>
      </w:r>
      <w:r w:rsidR="00016049" w:rsidRPr="00461D74">
        <w:rPr>
          <w:rFonts w:ascii="Garamond" w:hAnsi="Garamond" w:cstheme="minorHAnsi"/>
          <w:sz w:val="24"/>
          <w:szCs w:val="24"/>
        </w:rPr>
        <w:t xml:space="preserve">. But if the state, due to its size and the fact that it represents communities with varied interests, is inherently diminished in its ability to make such an arrangement possible, how </w:t>
      </w:r>
      <w:r w:rsidR="00C4750E">
        <w:rPr>
          <w:rFonts w:ascii="Garamond" w:hAnsi="Garamond" w:cstheme="minorHAnsi"/>
          <w:sz w:val="24"/>
          <w:szCs w:val="24"/>
        </w:rPr>
        <w:t>do</w:t>
      </w:r>
      <w:r w:rsidR="00C4750E"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we </w:t>
      </w:r>
      <w:r w:rsidR="00C4750E">
        <w:rPr>
          <w:rFonts w:ascii="Garamond" w:hAnsi="Garamond" w:cstheme="minorHAnsi"/>
          <w:sz w:val="24"/>
          <w:szCs w:val="24"/>
        </w:rPr>
        <w:t>then develop</w:t>
      </w:r>
      <w:r w:rsidR="00C4750E" w:rsidRPr="00461D74">
        <w:rPr>
          <w:rFonts w:ascii="Garamond" w:hAnsi="Garamond" w:cstheme="minorHAnsi"/>
          <w:sz w:val="24"/>
          <w:szCs w:val="24"/>
        </w:rPr>
        <w:t xml:space="preserve"> </w:t>
      </w:r>
      <w:r w:rsidR="00CC6C50" w:rsidRPr="00461D74">
        <w:rPr>
          <w:rFonts w:ascii="Garamond" w:hAnsi="Garamond" w:cstheme="minorHAnsi"/>
          <w:sz w:val="24"/>
          <w:szCs w:val="24"/>
        </w:rPr>
        <w:t xml:space="preserve">a resolution </w:t>
      </w:r>
      <w:r w:rsidR="00C4750E">
        <w:rPr>
          <w:rFonts w:ascii="Garamond" w:hAnsi="Garamond" w:cstheme="minorHAnsi"/>
          <w:sz w:val="24"/>
          <w:szCs w:val="24"/>
        </w:rPr>
        <w:t>to</w:t>
      </w:r>
      <w:r w:rsidR="00C4750E"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this </w:t>
      </w:r>
      <w:r w:rsidR="00CC6C50" w:rsidRPr="00461D74">
        <w:rPr>
          <w:rFonts w:ascii="Garamond" w:hAnsi="Garamond" w:cstheme="minorHAnsi"/>
          <w:sz w:val="24"/>
          <w:szCs w:val="24"/>
        </w:rPr>
        <w:t>problem</w:t>
      </w:r>
      <w:r w:rsidR="00016049" w:rsidRPr="00461D74">
        <w:rPr>
          <w:rFonts w:ascii="Garamond" w:hAnsi="Garamond" w:cstheme="minorHAnsi"/>
          <w:sz w:val="24"/>
          <w:szCs w:val="24"/>
        </w:rPr>
        <w:t xml:space="preserve">? </w:t>
      </w:r>
    </w:p>
    <w:p w:rsidR="00665157" w:rsidRDefault="00C4750E">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Now, </w:t>
      </w:r>
      <w:r w:rsidR="00016049" w:rsidRPr="00461D74">
        <w:rPr>
          <w:rFonts w:ascii="Garamond" w:hAnsi="Garamond" w:cstheme="minorHAnsi"/>
          <w:sz w:val="24"/>
          <w:szCs w:val="24"/>
        </w:rPr>
        <w:t>Murphy suggests that MacIntyre has to allow for the possibility of innovation within the political sphere.</w:t>
      </w:r>
      <w:r w:rsidR="00CC6C50" w:rsidRPr="00461D74">
        <w:rPr>
          <w:rFonts w:ascii="Garamond" w:hAnsi="Garamond" w:cstheme="minorHAnsi"/>
          <w:sz w:val="24"/>
          <w:szCs w:val="24"/>
        </w:rPr>
        <w:t xml:space="preserve"> He argues that </w:t>
      </w:r>
      <w:r w:rsidR="0098197D" w:rsidRPr="00461D74">
        <w:rPr>
          <w:rFonts w:ascii="Garamond" w:hAnsi="Garamond" w:cstheme="minorHAnsi"/>
          <w:sz w:val="24"/>
          <w:szCs w:val="24"/>
        </w:rPr>
        <w:t>“even if we were to concede that it is not clear how it is even possible for rules of justice to be defended without a substantive theory of the good…with no direction of progress apparent, the possibility that progress will emerge is a live one.”</w:t>
      </w:r>
      <w:r w:rsidR="00016049" w:rsidRPr="00461D74">
        <w:rPr>
          <w:rStyle w:val="FootnoteReference"/>
          <w:rFonts w:ascii="Garamond" w:hAnsi="Garamond" w:cstheme="minorHAnsi"/>
          <w:sz w:val="24"/>
          <w:szCs w:val="24"/>
        </w:rPr>
        <w:footnoteReference w:id="341"/>
      </w:r>
      <w:r w:rsidR="00CC6C50" w:rsidRPr="00461D74">
        <w:rPr>
          <w:rFonts w:ascii="Garamond" w:hAnsi="Garamond" w:cstheme="minorHAnsi"/>
          <w:sz w:val="24"/>
          <w:szCs w:val="24"/>
        </w:rPr>
        <w:t xml:space="preserve"> </w:t>
      </w:r>
      <w:r w:rsidR="001F40B5">
        <w:rPr>
          <w:rFonts w:ascii="Garamond" w:hAnsi="Garamond" w:cstheme="minorHAnsi"/>
          <w:sz w:val="24"/>
          <w:szCs w:val="24"/>
        </w:rPr>
        <w:t>W</w:t>
      </w:r>
      <w:r w:rsidR="00CC6C50" w:rsidRPr="00461D74">
        <w:rPr>
          <w:rFonts w:ascii="Garamond" w:hAnsi="Garamond" w:cstheme="minorHAnsi"/>
          <w:sz w:val="24"/>
          <w:szCs w:val="24"/>
        </w:rPr>
        <w:t xml:space="preserve">hile </w:t>
      </w:r>
      <w:r w:rsidR="00016049" w:rsidRPr="00461D74">
        <w:rPr>
          <w:rFonts w:ascii="Garamond" w:hAnsi="Garamond" w:cstheme="minorHAnsi"/>
          <w:sz w:val="24"/>
          <w:szCs w:val="24"/>
        </w:rPr>
        <w:t xml:space="preserve">we could </w:t>
      </w:r>
      <w:r w:rsidR="00CC6C50" w:rsidRPr="00461D74">
        <w:rPr>
          <w:rFonts w:ascii="Garamond" w:hAnsi="Garamond" w:cstheme="minorHAnsi"/>
          <w:sz w:val="24"/>
          <w:szCs w:val="24"/>
        </w:rPr>
        <w:t xml:space="preserve">agree </w:t>
      </w:r>
      <w:r w:rsidR="00016049" w:rsidRPr="00461D74">
        <w:rPr>
          <w:rFonts w:ascii="Garamond" w:hAnsi="Garamond" w:cstheme="minorHAnsi"/>
          <w:sz w:val="24"/>
          <w:szCs w:val="24"/>
        </w:rPr>
        <w:t xml:space="preserve">with MacIntyre </w:t>
      </w:r>
      <w:r>
        <w:rPr>
          <w:rFonts w:ascii="Garamond" w:hAnsi="Garamond" w:cstheme="minorHAnsi"/>
          <w:sz w:val="24"/>
          <w:szCs w:val="24"/>
        </w:rPr>
        <w:t xml:space="preserve">and accept </w:t>
      </w:r>
      <w:r w:rsidR="00016049" w:rsidRPr="00461D74">
        <w:rPr>
          <w:rFonts w:ascii="Garamond" w:hAnsi="Garamond" w:cstheme="minorHAnsi"/>
          <w:sz w:val="24"/>
          <w:szCs w:val="24"/>
        </w:rPr>
        <w:t xml:space="preserve">that the </w:t>
      </w:r>
      <w:r>
        <w:rPr>
          <w:rFonts w:ascii="Garamond" w:hAnsi="Garamond" w:cstheme="minorHAnsi"/>
          <w:sz w:val="24"/>
          <w:szCs w:val="24"/>
        </w:rPr>
        <w:t>liberal</w:t>
      </w:r>
      <w:r w:rsidR="00016049" w:rsidRPr="00461D74">
        <w:rPr>
          <w:rFonts w:ascii="Garamond" w:hAnsi="Garamond" w:cstheme="minorHAnsi"/>
          <w:sz w:val="24"/>
          <w:szCs w:val="24"/>
        </w:rPr>
        <w:t xml:space="preserve"> state </w:t>
      </w:r>
      <w:r>
        <w:rPr>
          <w:rFonts w:ascii="Garamond" w:hAnsi="Garamond" w:cstheme="minorHAnsi"/>
          <w:sz w:val="24"/>
          <w:szCs w:val="24"/>
        </w:rPr>
        <w:t xml:space="preserve">is indeed flawed, </w:t>
      </w:r>
      <w:r w:rsidR="001F40B5">
        <w:rPr>
          <w:rFonts w:ascii="Garamond" w:hAnsi="Garamond" w:cstheme="minorHAnsi"/>
          <w:sz w:val="24"/>
          <w:szCs w:val="24"/>
        </w:rPr>
        <w:t xml:space="preserve">I should reiterate that on his own account, the state </w:t>
      </w:r>
      <w:r w:rsidR="00016049" w:rsidRPr="00461D74">
        <w:rPr>
          <w:rFonts w:ascii="Garamond" w:hAnsi="Garamond" w:cstheme="minorHAnsi"/>
          <w:sz w:val="24"/>
          <w:szCs w:val="24"/>
        </w:rPr>
        <w:t>is essential to the sort of local communities he sanctions</w:t>
      </w:r>
      <w:r w:rsidR="001F40B5">
        <w:rPr>
          <w:rFonts w:ascii="Garamond" w:hAnsi="Garamond" w:cstheme="minorHAnsi"/>
          <w:sz w:val="24"/>
          <w:szCs w:val="24"/>
        </w:rPr>
        <w:t>; thus</w:t>
      </w:r>
      <w:r w:rsidR="00016049" w:rsidRPr="00461D74">
        <w:rPr>
          <w:rFonts w:ascii="Garamond" w:hAnsi="Garamond" w:cstheme="minorHAnsi"/>
          <w:sz w:val="24"/>
          <w:szCs w:val="24"/>
        </w:rPr>
        <w:t xml:space="preserve">, </w:t>
      </w:r>
      <w:r w:rsidR="00016049" w:rsidRPr="00461D74">
        <w:rPr>
          <w:rFonts w:ascii="Garamond" w:hAnsi="Garamond" w:cstheme="minorHAnsi"/>
          <w:i/>
          <w:iCs/>
          <w:sz w:val="24"/>
          <w:szCs w:val="24"/>
        </w:rPr>
        <w:t>pace</w:t>
      </w:r>
      <w:r w:rsidR="00016049" w:rsidRPr="00461D74">
        <w:rPr>
          <w:rFonts w:ascii="Garamond" w:hAnsi="Garamond" w:cstheme="minorHAnsi"/>
          <w:sz w:val="24"/>
          <w:szCs w:val="24"/>
        </w:rPr>
        <w:t xml:space="preserve"> MacIntyre, </w:t>
      </w:r>
      <w:r w:rsidR="00220C10">
        <w:rPr>
          <w:rFonts w:ascii="Garamond" w:hAnsi="Garamond" w:cstheme="minorHAnsi"/>
          <w:sz w:val="24"/>
          <w:szCs w:val="24"/>
        </w:rPr>
        <w:t xml:space="preserve">it seems </w:t>
      </w:r>
      <w:r w:rsidR="00CC6C50" w:rsidRPr="00461D74">
        <w:rPr>
          <w:rFonts w:ascii="Garamond" w:hAnsi="Garamond" w:cstheme="minorHAnsi"/>
          <w:sz w:val="24"/>
          <w:szCs w:val="24"/>
        </w:rPr>
        <w:t xml:space="preserve">we must </w:t>
      </w:r>
      <w:r w:rsidR="001F40B5">
        <w:rPr>
          <w:rFonts w:ascii="Garamond" w:hAnsi="Garamond" w:cstheme="minorHAnsi"/>
          <w:sz w:val="24"/>
          <w:szCs w:val="24"/>
        </w:rPr>
        <w:t>remain</w:t>
      </w:r>
      <w:r w:rsidR="001F40B5" w:rsidRPr="00461D74">
        <w:rPr>
          <w:rFonts w:ascii="Garamond" w:hAnsi="Garamond" w:cstheme="minorHAnsi"/>
          <w:sz w:val="24"/>
          <w:szCs w:val="24"/>
        </w:rPr>
        <w:t xml:space="preserve"> </w:t>
      </w:r>
      <w:r w:rsidR="00CC6C50" w:rsidRPr="00461D74">
        <w:rPr>
          <w:rFonts w:ascii="Garamond" w:hAnsi="Garamond" w:cstheme="minorHAnsi"/>
          <w:sz w:val="24"/>
          <w:szCs w:val="24"/>
        </w:rPr>
        <w:t xml:space="preserve">open to </w:t>
      </w:r>
      <w:r w:rsidR="00016049" w:rsidRPr="00461D74">
        <w:rPr>
          <w:rFonts w:ascii="Garamond" w:hAnsi="Garamond" w:cstheme="minorHAnsi"/>
          <w:sz w:val="24"/>
          <w:szCs w:val="24"/>
        </w:rPr>
        <w:t xml:space="preserve">the possibility </w:t>
      </w:r>
      <w:r w:rsidR="001F40B5">
        <w:rPr>
          <w:rFonts w:ascii="Garamond" w:hAnsi="Garamond" w:cstheme="minorHAnsi"/>
          <w:sz w:val="24"/>
          <w:szCs w:val="24"/>
        </w:rPr>
        <w:t>that we can</w:t>
      </w:r>
      <w:r w:rsidR="001F40B5" w:rsidRPr="00461D74">
        <w:rPr>
          <w:rFonts w:ascii="Garamond" w:hAnsi="Garamond" w:cstheme="minorHAnsi"/>
          <w:sz w:val="24"/>
          <w:szCs w:val="24"/>
        </w:rPr>
        <w:t xml:space="preserve"> </w:t>
      </w:r>
      <w:r w:rsidR="00016049" w:rsidRPr="00461D74">
        <w:rPr>
          <w:rFonts w:ascii="Garamond" w:hAnsi="Garamond" w:cstheme="minorHAnsi"/>
          <w:sz w:val="24"/>
          <w:szCs w:val="24"/>
        </w:rPr>
        <w:t>rectify the shortcomings of the liberal state and its politics. So for example,</w:t>
      </w:r>
      <w:r w:rsidR="00CC6C50" w:rsidRPr="00461D74">
        <w:rPr>
          <w:rFonts w:ascii="Garamond" w:hAnsi="Garamond" w:cstheme="minorHAnsi"/>
          <w:sz w:val="24"/>
          <w:szCs w:val="24"/>
        </w:rPr>
        <w:t xml:space="preserve"> it might be possible that</w:t>
      </w:r>
      <w:r w:rsidR="00016049" w:rsidRPr="00461D74">
        <w:rPr>
          <w:rFonts w:ascii="Garamond" w:hAnsi="Garamond" w:cstheme="minorHAnsi"/>
          <w:sz w:val="24"/>
          <w:szCs w:val="24"/>
        </w:rPr>
        <w:t xml:space="preserve"> the reconfiguration of policies or practices by state institutions can </w:t>
      </w:r>
      <w:r w:rsidR="00CC6C50" w:rsidRPr="00461D74">
        <w:rPr>
          <w:rFonts w:ascii="Garamond" w:hAnsi="Garamond" w:cstheme="minorHAnsi"/>
          <w:sz w:val="24"/>
          <w:szCs w:val="24"/>
        </w:rPr>
        <w:t xml:space="preserve">generate </w:t>
      </w:r>
      <w:r w:rsidR="00016049" w:rsidRPr="00461D74">
        <w:rPr>
          <w:rFonts w:ascii="Garamond" w:hAnsi="Garamond" w:cstheme="minorHAnsi"/>
          <w:sz w:val="24"/>
          <w:szCs w:val="24"/>
        </w:rPr>
        <w:t xml:space="preserve">better outcomes </w:t>
      </w:r>
      <w:proofErr w:type="spellStart"/>
      <w:proofErr w:type="gramStart"/>
      <w:r w:rsidR="00016049" w:rsidRPr="00461D74">
        <w:rPr>
          <w:rFonts w:ascii="Garamond" w:hAnsi="Garamond" w:cstheme="minorHAnsi"/>
          <w:sz w:val="24"/>
          <w:szCs w:val="24"/>
        </w:rPr>
        <w:t>vis</w:t>
      </w:r>
      <w:proofErr w:type="spellEnd"/>
      <w:proofErr w:type="gramEnd"/>
      <w:r w:rsidR="00016049" w:rsidRPr="00461D74">
        <w:rPr>
          <w:rFonts w:ascii="Garamond" w:hAnsi="Garamond" w:cstheme="minorHAnsi"/>
          <w:sz w:val="24"/>
          <w:szCs w:val="24"/>
        </w:rPr>
        <w:t xml:space="preserve"> à </w:t>
      </w:r>
      <w:proofErr w:type="spellStart"/>
      <w:r w:rsidR="00016049" w:rsidRPr="00461D74">
        <w:rPr>
          <w:rFonts w:ascii="Garamond" w:hAnsi="Garamond" w:cstheme="minorHAnsi"/>
          <w:sz w:val="24"/>
          <w:szCs w:val="24"/>
        </w:rPr>
        <w:t>vis</w:t>
      </w:r>
      <w:proofErr w:type="spellEnd"/>
      <w:r w:rsidR="00016049" w:rsidRPr="00461D74">
        <w:rPr>
          <w:rFonts w:ascii="Garamond" w:hAnsi="Garamond" w:cstheme="minorHAnsi"/>
          <w:sz w:val="24"/>
          <w:szCs w:val="24"/>
        </w:rPr>
        <w:t xml:space="preserve"> the </w:t>
      </w:r>
      <w:r w:rsidR="00CC6C50" w:rsidRPr="00461D74">
        <w:rPr>
          <w:rFonts w:ascii="Garamond" w:hAnsi="Garamond" w:cstheme="minorHAnsi"/>
          <w:sz w:val="24"/>
          <w:szCs w:val="24"/>
        </w:rPr>
        <w:t xml:space="preserve">relationship between </w:t>
      </w:r>
      <w:r w:rsidR="00016049" w:rsidRPr="00461D74">
        <w:rPr>
          <w:rFonts w:ascii="Garamond" w:hAnsi="Garamond" w:cstheme="minorHAnsi"/>
          <w:sz w:val="24"/>
          <w:szCs w:val="24"/>
        </w:rPr>
        <w:t>state and local communities, on terms that are agreeable</w:t>
      </w:r>
      <w:r w:rsidR="00512719">
        <w:rPr>
          <w:rFonts w:ascii="Garamond" w:hAnsi="Garamond" w:cstheme="minorHAnsi"/>
          <w:sz w:val="24"/>
          <w:szCs w:val="24"/>
        </w:rPr>
        <w:t>,</w:t>
      </w:r>
      <w:r w:rsidR="00016049" w:rsidRPr="00461D74">
        <w:rPr>
          <w:rFonts w:ascii="Garamond" w:hAnsi="Garamond" w:cstheme="minorHAnsi"/>
          <w:sz w:val="24"/>
          <w:szCs w:val="24"/>
        </w:rPr>
        <w:t xml:space="preserve"> and ultimately profitable to th</w:t>
      </w:r>
      <w:r w:rsidR="00512719">
        <w:rPr>
          <w:rFonts w:ascii="Garamond" w:hAnsi="Garamond" w:cstheme="minorHAnsi"/>
          <w:sz w:val="24"/>
          <w:szCs w:val="24"/>
        </w:rPr>
        <w:t>os</w:t>
      </w:r>
      <w:r w:rsidR="00016049" w:rsidRPr="00461D74">
        <w:rPr>
          <w:rFonts w:ascii="Garamond" w:hAnsi="Garamond" w:cstheme="minorHAnsi"/>
          <w:sz w:val="24"/>
          <w:szCs w:val="24"/>
        </w:rPr>
        <w:t>e communities.</w:t>
      </w:r>
      <w:r w:rsidR="00390BBE" w:rsidRPr="00461D74">
        <w:rPr>
          <w:rFonts w:ascii="Garamond" w:hAnsi="Garamond" w:cstheme="minorHAnsi"/>
          <w:sz w:val="24"/>
          <w:szCs w:val="24"/>
        </w:rPr>
        <w:t xml:space="preserve"> This</w:t>
      </w:r>
      <w:r w:rsidR="00016049" w:rsidRPr="00461D74">
        <w:rPr>
          <w:rFonts w:ascii="Garamond" w:hAnsi="Garamond" w:cstheme="minorHAnsi"/>
          <w:sz w:val="24"/>
          <w:szCs w:val="24"/>
        </w:rPr>
        <w:t xml:space="preserve"> suggests that it is not entirely clear that the liberal state is in as bad of a shape as MacIntyre </w:t>
      </w:r>
      <w:r w:rsidR="00390BBE" w:rsidRPr="00461D74">
        <w:rPr>
          <w:rFonts w:ascii="Garamond" w:hAnsi="Garamond" w:cstheme="minorHAnsi"/>
          <w:sz w:val="24"/>
          <w:szCs w:val="24"/>
        </w:rPr>
        <w:t>claims, and it</w:t>
      </w:r>
      <w:r w:rsidR="00016049" w:rsidRPr="00461D74">
        <w:rPr>
          <w:rFonts w:ascii="Garamond" w:hAnsi="Garamond" w:cstheme="minorHAnsi"/>
          <w:sz w:val="24"/>
          <w:szCs w:val="24"/>
        </w:rPr>
        <w:t xml:space="preserve"> seems that </w:t>
      </w:r>
      <w:r w:rsidR="008E13C9" w:rsidRPr="00461D74">
        <w:rPr>
          <w:rFonts w:ascii="Garamond" w:hAnsi="Garamond" w:cstheme="minorHAnsi"/>
          <w:sz w:val="24"/>
          <w:szCs w:val="24"/>
        </w:rPr>
        <w:t xml:space="preserve">his historical (and </w:t>
      </w:r>
      <w:r w:rsidR="008E13C9" w:rsidRPr="00461D74">
        <w:rPr>
          <w:rFonts w:ascii="Garamond" w:hAnsi="Garamond" w:cstheme="minorHAnsi"/>
          <w:sz w:val="24"/>
          <w:szCs w:val="24"/>
        </w:rPr>
        <w:lastRenderedPageBreak/>
        <w:t>empirical) commitments</w:t>
      </w:r>
      <w:r w:rsidR="00390BBE" w:rsidRPr="00461D74">
        <w:rPr>
          <w:rStyle w:val="FootnoteReference"/>
          <w:rFonts w:ascii="Garamond" w:hAnsi="Garamond" w:cstheme="minorHAnsi"/>
          <w:sz w:val="24"/>
          <w:szCs w:val="24"/>
        </w:rPr>
        <w:footnoteReference w:id="342"/>
      </w:r>
      <w:r w:rsidR="00016049" w:rsidRPr="00461D74">
        <w:rPr>
          <w:rFonts w:ascii="Garamond" w:hAnsi="Garamond" w:cstheme="minorHAnsi"/>
          <w:sz w:val="24"/>
          <w:szCs w:val="24"/>
        </w:rPr>
        <w:t xml:space="preserve"> </w:t>
      </w:r>
      <w:r w:rsidR="008E13C9" w:rsidRPr="00461D74">
        <w:rPr>
          <w:rFonts w:ascii="Garamond" w:hAnsi="Garamond" w:cstheme="minorHAnsi"/>
          <w:sz w:val="24"/>
          <w:szCs w:val="24"/>
        </w:rPr>
        <w:t xml:space="preserve">suggests that </w:t>
      </w:r>
      <w:r w:rsidR="00016049" w:rsidRPr="00461D74">
        <w:rPr>
          <w:rFonts w:ascii="Garamond" w:hAnsi="Garamond" w:cstheme="minorHAnsi"/>
          <w:sz w:val="24"/>
          <w:szCs w:val="24"/>
        </w:rPr>
        <w:t xml:space="preserve">he </w:t>
      </w:r>
      <w:r w:rsidR="008E13C9" w:rsidRPr="00461D74">
        <w:rPr>
          <w:rFonts w:ascii="Garamond" w:hAnsi="Garamond" w:cstheme="minorHAnsi"/>
          <w:sz w:val="24"/>
          <w:szCs w:val="24"/>
        </w:rPr>
        <w:t xml:space="preserve">ought </w:t>
      </w:r>
      <w:r w:rsidR="00016049" w:rsidRPr="00461D74">
        <w:rPr>
          <w:rFonts w:ascii="Garamond" w:hAnsi="Garamond" w:cstheme="minorHAnsi"/>
          <w:sz w:val="24"/>
          <w:szCs w:val="24"/>
        </w:rPr>
        <w:t xml:space="preserve">to remain open to the possibility of correcting </w:t>
      </w:r>
      <w:r w:rsidR="00390BBE" w:rsidRPr="00461D74">
        <w:rPr>
          <w:rFonts w:ascii="Garamond" w:hAnsi="Garamond" w:cstheme="minorHAnsi"/>
          <w:sz w:val="24"/>
          <w:szCs w:val="24"/>
        </w:rPr>
        <w:t xml:space="preserve">the shortcomings of </w:t>
      </w:r>
      <w:r w:rsidR="003050C5">
        <w:rPr>
          <w:rFonts w:ascii="Garamond" w:hAnsi="Garamond" w:cstheme="minorHAnsi"/>
          <w:sz w:val="24"/>
          <w:szCs w:val="24"/>
        </w:rPr>
        <w:t>the</w:t>
      </w:r>
      <w:r w:rsidR="003050C5"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politics </w:t>
      </w:r>
      <w:r w:rsidR="003050C5">
        <w:rPr>
          <w:rFonts w:ascii="Garamond" w:hAnsi="Garamond" w:cstheme="minorHAnsi"/>
          <w:sz w:val="24"/>
          <w:szCs w:val="24"/>
        </w:rPr>
        <w:t>associated with</w:t>
      </w:r>
      <w:r w:rsidR="003050C5" w:rsidRPr="00461D74">
        <w:rPr>
          <w:rFonts w:ascii="Garamond" w:hAnsi="Garamond" w:cstheme="minorHAnsi"/>
          <w:sz w:val="24"/>
          <w:szCs w:val="24"/>
        </w:rPr>
        <w:t xml:space="preserve"> </w:t>
      </w:r>
      <w:r w:rsidR="00016049" w:rsidRPr="00461D74">
        <w:rPr>
          <w:rFonts w:ascii="Garamond" w:hAnsi="Garamond" w:cstheme="minorHAnsi"/>
          <w:sz w:val="24"/>
          <w:szCs w:val="24"/>
        </w:rPr>
        <w:t>the liberal state.</w:t>
      </w:r>
    </w:p>
    <w:p w:rsidR="00665157" w:rsidRDefault="00665157">
      <w:pPr>
        <w:spacing w:line="360" w:lineRule="auto"/>
        <w:ind w:firstLine="720"/>
        <w:jc w:val="both"/>
        <w:rPr>
          <w:rFonts w:ascii="Garamond" w:hAnsi="Garamond" w:cstheme="minorHAnsi"/>
          <w:sz w:val="24"/>
          <w:szCs w:val="24"/>
        </w:rPr>
      </w:pPr>
    </w:p>
    <w:p w:rsidR="00665157" w:rsidRDefault="00990477" w:rsidP="00990477">
      <w:pPr>
        <w:pStyle w:val="Heading3"/>
        <w:spacing w:before="200" w:line="360" w:lineRule="auto"/>
        <w:jc w:val="both"/>
        <w:rPr>
          <w:rFonts w:cstheme="majorHAnsi"/>
        </w:rPr>
      </w:pPr>
      <w:bookmarkStart w:id="43" w:name="_Toc528077820"/>
      <w:r>
        <w:rPr>
          <w:rFonts w:cstheme="majorHAnsi"/>
        </w:rPr>
        <w:t xml:space="preserve">4.2 </w:t>
      </w:r>
      <w:r w:rsidR="007B7FD8" w:rsidRPr="00F03436">
        <w:rPr>
          <w:rFonts w:cstheme="majorHAnsi"/>
        </w:rPr>
        <w:t>Politics as a S</w:t>
      </w:r>
      <w:r w:rsidR="00016049" w:rsidRPr="00F03436">
        <w:rPr>
          <w:rFonts w:cstheme="majorHAnsi"/>
        </w:rPr>
        <w:t xml:space="preserve">econd-order </w:t>
      </w:r>
      <w:r w:rsidR="007B7FD8" w:rsidRPr="00F03436">
        <w:rPr>
          <w:rFonts w:cstheme="majorHAnsi"/>
          <w:iCs/>
        </w:rPr>
        <w:t>P</w:t>
      </w:r>
      <w:r w:rsidR="00016049" w:rsidRPr="00F03436">
        <w:rPr>
          <w:rFonts w:cstheme="majorHAnsi"/>
          <w:iCs/>
        </w:rPr>
        <w:t>ractice</w:t>
      </w:r>
      <w:bookmarkEnd w:id="43"/>
    </w:p>
    <w:p w:rsidR="00665157" w:rsidRDefault="00FF7BD9">
      <w:pPr>
        <w:spacing w:line="360" w:lineRule="auto"/>
        <w:jc w:val="both"/>
        <w:rPr>
          <w:rFonts w:ascii="Garamond" w:hAnsi="Garamond" w:cstheme="minorHAnsi"/>
          <w:iCs/>
          <w:sz w:val="24"/>
          <w:szCs w:val="24"/>
        </w:rPr>
      </w:pPr>
      <w:r w:rsidRPr="00461D74">
        <w:rPr>
          <w:rFonts w:ascii="Garamond" w:hAnsi="Garamond" w:cstheme="minorHAnsi"/>
          <w:sz w:val="24"/>
          <w:szCs w:val="24"/>
        </w:rPr>
        <w:t xml:space="preserve">I will now consider the second question that Murphy poses for MacIntyre. </w:t>
      </w:r>
      <w:r w:rsidR="00055636">
        <w:rPr>
          <w:rFonts w:ascii="Garamond" w:hAnsi="Garamond" w:cstheme="minorHAnsi"/>
          <w:iCs/>
          <w:sz w:val="24"/>
          <w:szCs w:val="24"/>
        </w:rPr>
        <w:t>Murphy asks whether MacIntyre’s</w:t>
      </w:r>
      <w:r w:rsidR="00016049" w:rsidRPr="00461D74">
        <w:rPr>
          <w:rFonts w:ascii="Garamond" w:hAnsi="Garamond" w:cstheme="minorHAnsi"/>
          <w:iCs/>
          <w:sz w:val="24"/>
          <w:szCs w:val="24"/>
        </w:rPr>
        <w:t xml:space="preserve"> </w:t>
      </w:r>
      <w:r w:rsidR="00C93BAF">
        <w:rPr>
          <w:rFonts w:ascii="Garamond" w:hAnsi="Garamond" w:cstheme="minorHAnsi"/>
          <w:iCs/>
          <w:sz w:val="24"/>
          <w:szCs w:val="24"/>
        </w:rPr>
        <w:t>concept</w:t>
      </w:r>
      <w:r w:rsidR="00C93BAF" w:rsidRPr="00461D74">
        <w:rPr>
          <w:rFonts w:ascii="Garamond" w:hAnsi="Garamond" w:cstheme="minorHAnsi"/>
          <w:iCs/>
          <w:sz w:val="24"/>
          <w:szCs w:val="24"/>
        </w:rPr>
        <w:t xml:space="preserve"> </w:t>
      </w:r>
      <w:r w:rsidR="00016049" w:rsidRPr="00461D74">
        <w:rPr>
          <w:rFonts w:ascii="Garamond" w:hAnsi="Garamond" w:cstheme="minorHAnsi"/>
          <w:iCs/>
          <w:sz w:val="24"/>
          <w:szCs w:val="24"/>
        </w:rPr>
        <w:t xml:space="preserve">of politics as a practice </w:t>
      </w:r>
      <w:r w:rsidR="00C93BAF">
        <w:rPr>
          <w:rFonts w:ascii="Garamond" w:hAnsi="Garamond" w:cstheme="minorHAnsi"/>
          <w:iCs/>
          <w:sz w:val="24"/>
          <w:szCs w:val="24"/>
        </w:rPr>
        <w:t>coherent</w:t>
      </w:r>
      <w:r w:rsidR="00016049" w:rsidRPr="00461D74">
        <w:rPr>
          <w:rFonts w:ascii="Garamond" w:hAnsi="Garamond" w:cstheme="minorHAnsi"/>
          <w:iCs/>
          <w:sz w:val="24"/>
          <w:szCs w:val="24"/>
        </w:rPr>
        <w:t xml:space="preserve">? This is </w:t>
      </w:r>
      <w:r w:rsidRPr="00461D74">
        <w:rPr>
          <w:rFonts w:ascii="Garamond" w:hAnsi="Garamond" w:cstheme="minorHAnsi"/>
          <w:iCs/>
          <w:sz w:val="24"/>
          <w:szCs w:val="24"/>
        </w:rPr>
        <w:t xml:space="preserve">especially </w:t>
      </w:r>
      <w:r w:rsidR="00016049" w:rsidRPr="00461D74">
        <w:rPr>
          <w:rFonts w:ascii="Garamond" w:hAnsi="Garamond" w:cstheme="minorHAnsi"/>
          <w:iCs/>
          <w:sz w:val="24"/>
          <w:szCs w:val="24"/>
        </w:rPr>
        <w:t>relevant because MacIntyre’s account of local politics (</w:t>
      </w:r>
      <w:r w:rsidR="00C93BAF">
        <w:rPr>
          <w:rFonts w:ascii="Garamond" w:hAnsi="Garamond" w:cstheme="minorHAnsi"/>
          <w:iCs/>
          <w:sz w:val="24"/>
          <w:szCs w:val="24"/>
        </w:rPr>
        <w:t xml:space="preserve">or </w:t>
      </w:r>
      <w:r w:rsidR="00016049" w:rsidRPr="00461D74">
        <w:rPr>
          <w:rFonts w:ascii="Garamond" w:hAnsi="Garamond" w:cstheme="minorHAnsi"/>
          <w:iCs/>
          <w:sz w:val="24"/>
          <w:szCs w:val="24"/>
        </w:rPr>
        <w:t>Thomistic politics of the common good) is largely grounded in the idea of politics viewed as a practice. If there is some inconsistency in MacIntyre’s account of local politics, as Murphy suggests, then we need a way to address this worry.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On MacIntyre’s account, politics is a form of practice, one that involves evaluating and arranging the goods of different practices.</w:t>
      </w:r>
      <w:r w:rsidR="00037518" w:rsidRPr="00461D74">
        <w:rPr>
          <w:rStyle w:val="FootnoteReference"/>
          <w:rFonts w:ascii="Garamond" w:hAnsi="Garamond" w:cstheme="minorHAnsi"/>
          <w:sz w:val="24"/>
          <w:szCs w:val="24"/>
        </w:rPr>
        <w:footnoteReference w:id="343"/>
      </w:r>
      <w:r w:rsidRPr="00461D74">
        <w:rPr>
          <w:rFonts w:ascii="Garamond" w:hAnsi="Garamond" w:cstheme="minorHAnsi"/>
          <w:sz w:val="24"/>
          <w:szCs w:val="24"/>
        </w:rPr>
        <w:t xml:space="preserve"> Hence politics is a type of second-order practice. I should </w:t>
      </w:r>
      <w:r w:rsidR="00037518" w:rsidRPr="00461D74">
        <w:rPr>
          <w:rFonts w:ascii="Garamond" w:hAnsi="Garamond" w:cstheme="minorHAnsi"/>
          <w:sz w:val="24"/>
          <w:szCs w:val="24"/>
        </w:rPr>
        <w:t>emphasize</w:t>
      </w:r>
      <w:r w:rsidRPr="00461D74">
        <w:rPr>
          <w:rFonts w:ascii="Garamond" w:hAnsi="Garamond" w:cstheme="minorHAnsi"/>
          <w:sz w:val="24"/>
          <w:szCs w:val="24"/>
        </w:rPr>
        <w:t xml:space="preserve"> that </w:t>
      </w:r>
      <w:r w:rsidR="00037518" w:rsidRPr="00461D74">
        <w:rPr>
          <w:rFonts w:ascii="Garamond" w:hAnsi="Garamond" w:cstheme="minorHAnsi"/>
          <w:sz w:val="24"/>
          <w:szCs w:val="24"/>
        </w:rPr>
        <w:t xml:space="preserve">on his view, </w:t>
      </w:r>
      <w:r w:rsidRPr="00461D74">
        <w:rPr>
          <w:rFonts w:ascii="Garamond" w:hAnsi="Garamond" w:cstheme="minorHAnsi"/>
          <w:sz w:val="24"/>
          <w:szCs w:val="24"/>
        </w:rPr>
        <w:t>those not engaged in a particular practice are ill equipped to judge the internal goods of that practice. Thus</w:t>
      </w:r>
      <w:r w:rsidR="009E0B94">
        <w:rPr>
          <w:rFonts w:ascii="Garamond" w:hAnsi="Garamond" w:cstheme="minorHAnsi"/>
          <w:sz w:val="24"/>
          <w:szCs w:val="24"/>
        </w:rPr>
        <w:t>,</w:t>
      </w:r>
      <w:r w:rsidRPr="00461D74">
        <w:rPr>
          <w:rFonts w:ascii="Garamond" w:hAnsi="Garamond" w:cstheme="minorHAnsi"/>
          <w:sz w:val="24"/>
          <w:szCs w:val="24"/>
        </w:rPr>
        <w:t xml:space="preserve"> we can only come to learn the goods </w:t>
      </w:r>
      <w:r w:rsidR="009E0B94">
        <w:rPr>
          <w:rFonts w:ascii="Garamond" w:hAnsi="Garamond" w:cstheme="minorHAnsi"/>
          <w:sz w:val="24"/>
          <w:szCs w:val="24"/>
        </w:rPr>
        <w:t xml:space="preserve">afforded by </w:t>
      </w:r>
      <w:r w:rsidRPr="00461D74">
        <w:rPr>
          <w:rFonts w:ascii="Garamond" w:hAnsi="Garamond" w:cstheme="minorHAnsi"/>
          <w:sz w:val="24"/>
          <w:szCs w:val="24"/>
        </w:rPr>
        <w:t xml:space="preserve">a </w:t>
      </w:r>
      <w:r w:rsidR="009E0B94">
        <w:rPr>
          <w:rFonts w:ascii="Garamond" w:hAnsi="Garamond" w:cstheme="minorHAnsi"/>
          <w:sz w:val="24"/>
          <w:szCs w:val="24"/>
        </w:rPr>
        <w:t xml:space="preserve">particular </w:t>
      </w:r>
      <w:r w:rsidRPr="00461D74">
        <w:rPr>
          <w:rFonts w:ascii="Garamond" w:hAnsi="Garamond" w:cstheme="minorHAnsi"/>
          <w:sz w:val="24"/>
          <w:szCs w:val="24"/>
        </w:rPr>
        <w:t xml:space="preserve">practice by </w:t>
      </w:r>
      <w:r w:rsidR="009E0B94">
        <w:rPr>
          <w:rFonts w:ascii="Garamond" w:hAnsi="Garamond" w:cstheme="minorHAnsi"/>
          <w:sz w:val="24"/>
          <w:szCs w:val="24"/>
        </w:rPr>
        <w:t>becoming</w:t>
      </w:r>
      <w:r w:rsidR="00037518" w:rsidRPr="00461D74">
        <w:rPr>
          <w:rFonts w:ascii="Garamond" w:hAnsi="Garamond" w:cstheme="minorHAnsi"/>
          <w:sz w:val="24"/>
          <w:szCs w:val="24"/>
        </w:rPr>
        <w:t xml:space="preserve"> </w:t>
      </w:r>
      <w:r w:rsidRPr="00461D74">
        <w:rPr>
          <w:rFonts w:ascii="Garamond" w:hAnsi="Garamond" w:cstheme="minorHAnsi"/>
          <w:sz w:val="24"/>
          <w:szCs w:val="24"/>
        </w:rPr>
        <w:t>a practitioner</w:t>
      </w:r>
      <w:r w:rsidR="009E0B94">
        <w:rPr>
          <w:rFonts w:ascii="Garamond" w:hAnsi="Garamond" w:cstheme="minorHAnsi"/>
          <w:sz w:val="24"/>
          <w:szCs w:val="24"/>
        </w:rPr>
        <w:t xml:space="preserve"> of that</w:t>
      </w:r>
      <w:r w:rsidRPr="00461D74">
        <w:rPr>
          <w:rFonts w:ascii="Garamond" w:hAnsi="Garamond" w:cstheme="minorHAnsi"/>
          <w:sz w:val="24"/>
          <w:szCs w:val="24"/>
        </w:rPr>
        <w:t xml:space="preserve"> practice. The problem </w:t>
      </w:r>
      <w:r w:rsidR="00037518" w:rsidRPr="00461D74">
        <w:rPr>
          <w:rFonts w:ascii="Garamond" w:hAnsi="Garamond" w:cstheme="minorHAnsi"/>
          <w:sz w:val="24"/>
          <w:szCs w:val="24"/>
        </w:rPr>
        <w:t xml:space="preserve">that emerges </w:t>
      </w:r>
      <w:r w:rsidRPr="00461D74">
        <w:rPr>
          <w:rFonts w:ascii="Garamond" w:hAnsi="Garamond" w:cstheme="minorHAnsi"/>
          <w:sz w:val="24"/>
          <w:szCs w:val="24"/>
        </w:rPr>
        <w:t xml:space="preserve">here is how </w:t>
      </w:r>
      <w:r w:rsidR="00037518" w:rsidRPr="00461D74">
        <w:rPr>
          <w:rFonts w:ascii="Garamond" w:hAnsi="Garamond" w:cstheme="minorHAnsi"/>
          <w:sz w:val="24"/>
          <w:szCs w:val="24"/>
        </w:rPr>
        <w:t xml:space="preserve">is </w:t>
      </w:r>
      <w:r w:rsidRPr="00461D74">
        <w:rPr>
          <w:rFonts w:ascii="Garamond" w:hAnsi="Garamond" w:cstheme="minorHAnsi"/>
          <w:sz w:val="24"/>
          <w:szCs w:val="24"/>
        </w:rPr>
        <w:t>it possible for individuals within a community to participate in politics as a second-order practice, that of deliberating about the internal goods of other practices? This is because no one can be</w:t>
      </w:r>
      <w:r w:rsidR="00BA02C3" w:rsidRPr="00461D74">
        <w:rPr>
          <w:rFonts w:ascii="Garamond" w:hAnsi="Garamond" w:cstheme="minorHAnsi"/>
          <w:sz w:val="24"/>
          <w:szCs w:val="24"/>
        </w:rPr>
        <w:t xml:space="preserve"> sufficiently </w:t>
      </w:r>
      <w:r w:rsidRPr="00461D74">
        <w:rPr>
          <w:rFonts w:ascii="Garamond" w:hAnsi="Garamond" w:cstheme="minorHAnsi"/>
          <w:sz w:val="24"/>
          <w:szCs w:val="24"/>
        </w:rPr>
        <w:t xml:space="preserve">well versed in the evaluating and judging the internal goods of all first-order practices that constitute the </w:t>
      </w:r>
      <w:r w:rsidR="009E0B94">
        <w:rPr>
          <w:rFonts w:ascii="Garamond" w:hAnsi="Garamond" w:cstheme="minorHAnsi"/>
          <w:sz w:val="24"/>
          <w:szCs w:val="24"/>
        </w:rPr>
        <w:t xml:space="preserve">range of </w:t>
      </w:r>
      <w:r w:rsidRPr="00461D74">
        <w:rPr>
          <w:rFonts w:ascii="Garamond" w:hAnsi="Garamond" w:cstheme="minorHAnsi"/>
          <w:sz w:val="24"/>
          <w:szCs w:val="24"/>
        </w:rPr>
        <w:t xml:space="preserve">practices </w:t>
      </w:r>
      <w:r w:rsidR="009E0B94">
        <w:rPr>
          <w:rFonts w:ascii="Garamond" w:hAnsi="Garamond" w:cstheme="minorHAnsi"/>
          <w:sz w:val="24"/>
          <w:szCs w:val="24"/>
        </w:rPr>
        <w:t xml:space="preserve">exercised within some </w:t>
      </w:r>
      <w:r w:rsidRPr="00461D74">
        <w:rPr>
          <w:rFonts w:ascii="Garamond" w:hAnsi="Garamond" w:cstheme="minorHAnsi"/>
          <w:sz w:val="24"/>
          <w:szCs w:val="24"/>
        </w:rPr>
        <w:t>community</w:t>
      </w:r>
      <w:r w:rsidR="00C21DFA">
        <w:rPr>
          <w:rFonts w:ascii="Garamond" w:hAnsi="Garamond" w:cstheme="minorHAnsi"/>
          <w:sz w:val="24"/>
          <w:szCs w:val="24"/>
        </w:rPr>
        <w:t xml:space="preserve"> or other</w:t>
      </w:r>
      <w:r w:rsidRPr="00461D74">
        <w:rPr>
          <w:rFonts w:ascii="Garamond" w:hAnsi="Garamond" w:cstheme="minorHAnsi"/>
          <w:sz w:val="24"/>
          <w:szCs w:val="24"/>
        </w:rPr>
        <w:t xml:space="preserve">. Thus, it is not entirely clear how we can comparatively evaluate the goods of different practices and arrange them in a way that </w:t>
      </w:r>
      <w:r w:rsidR="009E0B94">
        <w:rPr>
          <w:rFonts w:ascii="Garamond" w:hAnsi="Garamond" w:cstheme="minorHAnsi"/>
          <w:sz w:val="24"/>
          <w:szCs w:val="24"/>
        </w:rPr>
        <w:t>advances</w:t>
      </w:r>
      <w:r w:rsidR="009E0B94" w:rsidRPr="00461D74">
        <w:rPr>
          <w:rFonts w:ascii="Garamond" w:hAnsi="Garamond" w:cstheme="minorHAnsi"/>
          <w:sz w:val="24"/>
          <w:szCs w:val="24"/>
        </w:rPr>
        <w:t xml:space="preserve"> </w:t>
      </w:r>
      <w:r w:rsidRPr="00461D74">
        <w:rPr>
          <w:rFonts w:ascii="Garamond" w:hAnsi="Garamond" w:cstheme="minorHAnsi"/>
          <w:sz w:val="24"/>
          <w:szCs w:val="24"/>
        </w:rPr>
        <w:t xml:space="preserve">the common good of the </w:t>
      </w:r>
      <w:r w:rsidR="009E0B94">
        <w:rPr>
          <w:rFonts w:ascii="Garamond" w:hAnsi="Garamond" w:cstheme="minorHAnsi"/>
          <w:sz w:val="24"/>
          <w:szCs w:val="24"/>
        </w:rPr>
        <w:t xml:space="preserve">entire </w:t>
      </w:r>
      <w:r w:rsidRPr="00461D74">
        <w:rPr>
          <w:rFonts w:ascii="Garamond" w:hAnsi="Garamond" w:cstheme="minorHAnsi"/>
          <w:sz w:val="24"/>
          <w:szCs w:val="24"/>
        </w:rPr>
        <w:t>community.</w:t>
      </w:r>
      <w:r w:rsidRPr="00461D74">
        <w:rPr>
          <w:rStyle w:val="FootnoteReference"/>
          <w:rFonts w:ascii="Garamond" w:hAnsi="Garamond" w:cstheme="minorHAnsi"/>
          <w:sz w:val="24"/>
          <w:szCs w:val="24"/>
        </w:rPr>
        <w:footnoteReference w:id="344"/>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But perhaps I am being less than charitable to MacIntyre. After all, MacIntyre could </w:t>
      </w:r>
      <w:r w:rsidR="009E0B94">
        <w:rPr>
          <w:rFonts w:ascii="Garamond" w:hAnsi="Garamond" w:cstheme="minorHAnsi"/>
          <w:sz w:val="24"/>
          <w:szCs w:val="24"/>
        </w:rPr>
        <w:t>retort</w:t>
      </w:r>
      <w:r w:rsidR="009E0B94" w:rsidRPr="00461D74">
        <w:rPr>
          <w:rFonts w:ascii="Garamond" w:hAnsi="Garamond" w:cstheme="minorHAnsi"/>
          <w:sz w:val="24"/>
          <w:szCs w:val="24"/>
        </w:rPr>
        <w:t xml:space="preserve"> </w:t>
      </w:r>
      <w:r w:rsidRPr="00461D74">
        <w:rPr>
          <w:rFonts w:ascii="Garamond" w:hAnsi="Garamond" w:cstheme="minorHAnsi"/>
          <w:sz w:val="24"/>
          <w:szCs w:val="24"/>
        </w:rPr>
        <w:t>that while it is not in the ability of any</w:t>
      </w:r>
      <w:r w:rsidR="00037518" w:rsidRPr="00461D74">
        <w:rPr>
          <w:rFonts w:ascii="Garamond" w:hAnsi="Garamond" w:cstheme="minorHAnsi"/>
          <w:sz w:val="24"/>
          <w:szCs w:val="24"/>
        </w:rPr>
        <w:t xml:space="preserve"> one</w:t>
      </w:r>
      <w:r w:rsidRPr="00461D74">
        <w:rPr>
          <w:rFonts w:ascii="Garamond" w:hAnsi="Garamond" w:cstheme="minorHAnsi"/>
          <w:sz w:val="24"/>
          <w:szCs w:val="24"/>
        </w:rPr>
        <w:t xml:space="preserve"> individual </w:t>
      </w:r>
      <w:proofErr w:type="spellStart"/>
      <w:r w:rsidRPr="00461D74">
        <w:rPr>
          <w:rFonts w:ascii="Garamond" w:hAnsi="Garamond" w:cstheme="minorHAnsi"/>
          <w:sz w:val="24"/>
          <w:szCs w:val="24"/>
        </w:rPr>
        <w:t>reasoner</w:t>
      </w:r>
      <w:proofErr w:type="spellEnd"/>
      <w:r w:rsidRPr="00461D74">
        <w:rPr>
          <w:rFonts w:ascii="Garamond" w:hAnsi="Garamond" w:cstheme="minorHAnsi"/>
          <w:sz w:val="24"/>
          <w:szCs w:val="24"/>
        </w:rPr>
        <w:t xml:space="preserve"> to possess </w:t>
      </w:r>
      <w:r w:rsidR="00037518" w:rsidRPr="00461D74">
        <w:rPr>
          <w:rFonts w:ascii="Garamond" w:hAnsi="Garamond" w:cstheme="minorHAnsi"/>
          <w:sz w:val="24"/>
          <w:szCs w:val="24"/>
        </w:rPr>
        <w:t xml:space="preserve">the </w:t>
      </w:r>
      <w:r w:rsidRPr="00461D74">
        <w:rPr>
          <w:rFonts w:ascii="Garamond" w:hAnsi="Garamond" w:cstheme="minorHAnsi"/>
          <w:sz w:val="24"/>
          <w:szCs w:val="24"/>
        </w:rPr>
        <w:t xml:space="preserve">adequate proficiency in a heterogeneous set of practices, it </w:t>
      </w:r>
      <w:r w:rsidR="00037518" w:rsidRPr="00461D74">
        <w:rPr>
          <w:rFonts w:ascii="Garamond" w:hAnsi="Garamond" w:cstheme="minorHAnsi"/>
          <w:sz w:val="24"/>
          <w:szCs w:val="24"/>
        </w:rPr>
        <w:t xml:space="preserve">remains </w:t>
      </w:r>
      <w:r w:rsidRPr="00461D74">
        <w:rPr>
          <w:rFonts w:ascii="Garamond" w:hAnsi="Garamond" w:cstheme="minorHAnsi"/>
          <w:sz w:val="24"/>
          <w:szCs w:val="24"/>
        </w:rPr>
        <w:t xml:space="preserve">possible </w:t>
      </w:r>
      <w:r w:rsidR="00B07972" w:rsidRPr="00461D74">
        <w:rPr>
          <w:rFonts w:ascii="Garamond" w:hAnsi="Garamond" w:cstheme="minorHAnsi"/>
          <w:sz w:val="24"/>
          <w:szCs w:val="24"/>
        </w:rPr>
        <w:t>for</w:t>
      </w:r>
      <w:r w:rsidRPr="00461D74">
        <w:rPr>
          <w:rFonts w:ascii="Garamond" w:hAnsi="Garamond" w:cstheme="minorHAnsi"/>
          <w:sz w:val="24"/>
          <w:szCs w:val="24"/>
        </w:rPr>
        <w:t xml:space="preserve"> a diverse group of individuals</w:t>
      </w:r>
      <w:r w:rsidR="009E0B94">
        <w:rPr>
          <w:rFonts w:ascii="Garamond" w:hAnsi="Garamond" w:cstheme="minorHAnsi"/>
          <w:sz w:val="24"/>
          <w:szCs w:val="24"/>
        </w:rPr>
        <w:t xml:space="preserve"> to</w:t>
      </w:r>
      <w:r w:rsidR="0070029D">
        <w:rPr>
          <w:rFonts w:ascii="Garamond" w:hAnsi="Garamond" w:cstheme="minorHAnsi"/>
          <w:sz w:val="24"/>
          <w:szCs w:val="24"/>
        </w:rPr>
        <w:t xml:space="preserve"> come together in</w:t>
      </w:r>
      <w:r w:rsidR="009E0B94">
        <w:rPr>
          <w:rFonts w:ascii="Garamond" w:hAnsi="Garamond" w:cstheme="minorHAnsi"/>
          <w:sz w:val="24"/>
          <w:szCs w:val="24"/>
        </w:rPr>
        <w:t xml:space="preserve"> joint deliberat</w:t>
      </w:r>
      <w:r w:rsidR="0070029D">
        <w:rPr>
          <w:rFonts w:ascii="Garamond" w:hAnsi="Garamond" w:cstheme="minorHAnsi"/>
          <w:sz w:val="24"/>
          <w:szCs w:val="24"/>
        </w:rPr>
        <w:t>ion</w:t>
      </w:r>
      <w:r w:rsidR="009E0B94">
        <w:rPr>
          <w:rFonts w:ascii="Garamond" w:hAnsi="Garamond" w:cstheme="minorHAnsi"/>
          <w:sz w:val="24"/>
          <w:szCs w:val="24"/>
        </w:rPr>
        <w:t xml:space="preserve">, </w:t>
      </w:r>
      <w:r w:rsidR="0070029D">
        <w:rPr>
          <w:rFonts w:ascii="Garamond" w:hAnsi="Garamond" w:cstheme="minorHAnsi"/>
          <w:sz w:val="24"/>
          <w:szCs w:val="24"/>
        </w:rPr>
        <w:t xml:space="preserve">for the sake of </w:t>
      </w:r>
      <w:r w:rsidRPr="00461D74">
        <w:rPr>
          <w:rFonts w:ascii="Garamond" w:hAnsi="Garamond" w:cstheme="minorHAnsi"/>
          <w:sz w:val="24"/>
          <w:szCs w:val="24"/>
        </w:rPr>
        <w:t xml:space="preserve">evaluating and arranging </w:t>
      </w:r>
      <w:r w:rsidR="0070029D">
        <w:rPr>
          <w:rFonts w:ascii="Garamond" w:hAnsi="Garamond" w:cstheme="minorHAnsi"/>
          <w:sz w:val="24"/>
          <w:szCs w:val="24"/>
        </w:rPr>
        <w:t xml:space="preserve">the goods derived from </w:t>
      </w:r>
      <w:r w:rsidRPr="00461D74">
        <w:rPr>
          <w:rFonts w:ascii="Garamond" w:hAnsi="Garamond" w:cstheme="minorHAnsi"/>
          <w:sz w:val="24"/>
          <w:szCs w:val="24"/>
        </w:rPr>
        <w:t>different practices.</w:t>
      </w:r>
      <w:r w:rsidRPr="00461D74">
        <w:rPr>
          <w:rStyle w:val="FootnoteReference"/>
          <w:rFonts w:ascii="Garamond" w:hAnsi="Garamond" w:cstheme="minorHAnsi"/>
          <w:sz w:val="24"/>
          <w:szCs w:val="24"/>
        </w:rPr>
        <w:footnoteReference w:id="345"/>
      </w:r>
    </w:p>
    <w:p w:rsidR="00814A66" w:rsidRDefault="00037518" w:rsidP="00D026E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w:t>
      </w:r>
      <w:r w:rsidR="00C21DFA">
        <w:rPr>
          <w:rFonts w:ascii="Garamond" w:hAnsi="Garamond" w:cstheme="minorHAnsi"/>
          <w:sz w:val="24"/>
          <w:szCs w:val="24"/>
        </w:rPr>
        <w:t>,</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Murphy finds a problem with this </w:t>
      </w:r>
      <w:r w:rsidRPr="00461D74">
        <w:rPr>
          <w:rFonts w:ascii="Garamond" w:hAnsi="Garamond" w:cstheme="minorHAnsi"/>
          <w:sz w:val="24"/>
          <w:szCs w:val="24"/>
        </w:rPr>
        <w:t xml:space="preserve">sort of </w:t>
      </w:r>
      <w:r w:rsidR="00016049" w:rsidRPr="00461D74">
        <w:rPr>
          <w:rFonts w:ascii="Garamond" w:hAnsi="Garamond" w:cstheme="minorHAnsi"/>
          <w:sz w:val="24"/>
          <w:szCs w:val="24"/>
        </w:rPr>
        <w:t>response</w:t>
      </w:r>
      <w:r w:rsidR="00B07972" w:rsidRPr="00461D74">
        <w:rPr>
          <w:rFonts w:ascii="Garamond" w:hAnsi="Garamond" w:cstheme="minorHAnsi"/>
          <w:sz w:val="24"/>
          <w:szCs w:val="24"/>
        </w:rPr>
        <w:t>,</w:t>
      </w:r>
      <w:r w:rsidR="003732C6" w:rsidRPr="00461D74">
        <w:rPr>
          <w:rFonts w:ascii="Garamond" w:hAnsi="Garamond" w:cstheme="minorHAnsi"/>
          <w:sz w:val="24"/>
          <w:szCs w:val="24"/>
        </w:rPr>
        <w:t xml:space="preserve"> </w:t>
      </w:r>
      <w:r w:rsidR="00D026EE">
        <w:rPr>
          <w:rFonts w:ascii="Garamond" w:hAnsi="Garamond" w:cstheme="minorHAnsi"/>
          <w:sz w:val="24"/>
          <w:szCs w:val="24"/>
        </w:rPr>
        <w:t>given that</w:t>
      </w:r>
      <w:r w:rsidR="00D026EE" w:rsidRPr="00461D74">
        <w:rPr>
          <w:rFonts w:ascii="Garamond" w:hAnsi="Garamond" w:cstheme="minorHAnsi"/>
          <w:sz w:val="24"/>
          <w:szCs w:val="24"/>
        </w:rPr>
        <w:t xml:space="preserve"> </w:t>
      </w:r>
      <w:r w:rsidR="003732C6" w:rsidRPr="00461D74">
        <w:rPr>
          <w:rFonts w:ascii="Garamond" w:hAnsi="Garamond" w:cstheme="minorHAnsi"/>
          <w:sz w:val="24"/>
          <w:szCs w:val="24"/>
        </w:rPr>
        <w:t>w</w:t>
      </w:r>
      <w:r w:rsidR="00016049" w:rsidRPr="00461D74">
        <w:rPr>
          <w:rFonts w:ascii="Garamond" w:hAnsi="Garamond" w:cstheme="minorHAnsi"/>
          <w:sz w:val="24"/>
          <w:szCs w:val="24"/>
        </w:rPr>
        <w:t xml:space="preserve">hat is required for the diverse set of </w:t>
      </w:r>
      <w:proofErr w:type="spellStart"/>
      <w:r w:rsidR="00016049" w:rsidRPr="00461D74">
        <w:rPr>
          <w:rFonts w:ascii="Garamond" w:hAnsi="Garamond" w:cstheme="minorHAnsi"/>
          <w:sz w:val="24"/>
          <w:szCs w:val="24"/>
        </w:rPr>
        <w:t>reasoners</w:t>
      </w:r>
      <w:proofErr w:type="spellEnd"/>
      <w:r w:rsidR="00016049" w:rsidRPr="00461D74">
        <w:rPr>
          <w:rFonts w:ascii="Garamond" w:hAnsi="Garamond" w:cstheme="minorHAnsi"/>
          <w:sz w:val="24"/>
          <w:szCs w:val="24"/>
        </w:rPr>
        <w:t xml:space="preserve"> to rank and order practices is not </w:t>
      </w:r>
      <w:r w:rsidR="003732C6" w:rsidRPr="00461D74">
        <w:rPr>
          <w:rFonts w:ascii="Garamond" w:hAnsi="Garamond" w:cstheme="minorHAnsi"/>
          <w:sz w:val="24"/>
          <w:szCs w:val="24"/>
        </w:rPr>
        <w:t xml:space="preserve">simply </w:t>
      </w:r>
      <w:r w:rsidR="00D026EE">
        <w:rPr>
          <w:rFonts w:ascii="Garamond" w:hAnsi="Garamond" w:cstheme="minorHAnsi"/>
          <w:sz w:val="24"/>
          <w:szCs w:val="24"/>
        </w:rPr>
        <w:t>a jointly held</w:t>
      </w:r>
      <w:r w:rsidR="00016049" w:rsidRPr="00461D74">
        <w:rPr>
          <w:rFonts w:ascii="Garamond" w:hAnsi="Garamond" w:cstheme="minorHAnsi"/>
          <w:sz w:val="24"/>
          <w:szCs w:val="24"/>
        </w:rPr>
        <w:t xml:space="preserve"> discussion on the relative merits of </w:t>
      </w:r>
      <w:r w:rsidR="00D026EE">
        <w:rPr>
          <w:rFonts w:ascii="Garamond" w:hAnsi="Garamond" w:cstheme="minorHAnsi"/>
          <w:sz w:val="24"/>
          <w:szCs w:val="24"/>
        </w:rPr>
        <w:t>a range of</w:t>
      </w:r>
      <w:r w:rsidR="00016049" w:rsidRPr="00461D74">
        <w:rPr>
          <w:rFonts w:ascii="Garamond" w:hAnsi="Garamond" w:cstheme="minorHAnsi"/>
          <w:sz w:val="24"/>
          <w:szCs w:val="24"/>
        </w:rPr>
        <w:t xml:space="preserve"> practices in which they are well versed</w:t>
      </w:r>
      <w:r w:rsidR="00D026EE">
        <w:rPr>
          <w:rFonts w:ascii="Garamond" w:hAnsi="Garamond" w:cstheme="minorHAnsi"/>
          <w:sz w:val="24"/>
          <w:szCs w:val="24"/>
        </w:rPr>
        <w:t xml:space="preserve"> as individuals</w:t>
      </w:r>
      <w:r w:rsidR="00016049" w:rsidRPr="00461D74">
        <w:rPr>
          <w:rFonts w:ascii="Garamond" w:hAnsi="Garamond" w:cstheme="minorHAnsi"/>
          <w:sz w:val="24"/>
          <w:szCs w:val="24"/>
        </w:rPr>
        <w:t xml:space="preserve">. </w:t>
      </w:r>
      <w:r w:rsidR="00027418">
        <w:rPr>
          <w:rFonts w:ascii="Garamond" w:hAnsi="Garamond" w:cstheme="minorHAnsi"/>
          <w:sz w:val="24"/>
          <w:szCs w:val="24"/>
        </w:rPr>
        <w:t>W</w:t>
      </w:r>
      <w:r w:rsidR="00016049" w:rsidRPr="00461D74">
        <w:rPr>
          <w:rFonts w:ascii="Garamond" w:hAnsi="Garamond" w:cstheme="minorHAnsi"/>
          <w:sz w:val="24"/>
          <w:szCs w:val="24"/>
        </w:rPr>
        <w:t xml:space="preserve">hat </w:t>
      </w:r>
      <w:r w:rsidR="00D026EE">
        <w:rPr>
          <w:rFonts w:ascii="Garamond" w:hAnsi="Garamond" w:cstheme="minorHAnsi"/>
          <w:sz w:val="24"/>
          <w:szCs w:val="24"/>
        </w:rPr>
        <w:t>they need</w:t>
      </w:r>
      <w:r w:rsidR="00027418">
        <w:rPr>
          <w:rFonts w:ascii="Garamond" w:hAnsi="Garamond" w:cstheme="minorHAnsi"/>
          <w:sz w:val="24"/>
          <w:szCs w:val="24"/>
        </w:rPr>
        <w:t xml:space="preserve"> instead</w:t>
      </w:r>
      <w:r w:rsidR="00D026EE">
        <w:rPr>
          <w:rFonts w:ascii="Garamond" w:hAnsi="Garamond" w:cstheme="minorHAnsi"/>
          <w:sz w:val="24"/>
          <w:szCs w:val="24"/>
        </w:rPr>
        <w:t xml:space="preserve"> </w:t>
      </w:r>
      <w:r w:rsidR="00016049" w:rsidRPr="00461D74">
        <w:rPr>
          <w:rFonts w:ascii="Garamond" w:hAnsi="Garamond" w:cstheme="minorHAnsi"/>
          <w:sz w:val="24"/>
          <w:szCs w:val="24"/>
        </w:rPr>
        <w:t xml:space="preserve">is </w:t>
      </w:r>
      <w:r w:rsidR="00D026EE">
        <w:rPr>
          <w:rFonts w:ascii="Garamond" w:hAnsi="Garamond" w:cstheme="minorHAnsi"/>
          <w:sz w:val="24"/>
          <w:szCs w:val="24"/>
          <w:vertAlign w:val="subscript"/>
        </w:rPr>
        <w:softHyphen/>
      </w:r>
      <w:r w:rsidR="00016049" w:rsidRPr="00461D74">
        <w:rPr>
          <w:rFonts w:ascii="Garamond" w:hAnsi="Garamond" w:cstheme="minorHAnsi"/>
          <w:sz w:val="24"/>
          <w:szCs w:val="24"/>
        </w:rPr>
        <w:t xml:space="preserve">the </w:t>
      </w:r>
      <w:r w:rsidR="00FF7D23" w:rsidRPr="00461D74">
        <w:rPr>
          <w:rFonts w:ascii="Garamond" w:hAnsi="Garamond" w:cstheme="minorHAnsi"/>
          <w:i/>
          <w:sz w:val="24"/>
          <w:szCs w:val="24"/>
        </w:rPr>
        <w:t>comparative knowledge</w:t>
      </w:r>
      <w:r w:rsidR="00016049" w:rsidRPr="00461D74">
        <w:rPr>
          <w:rFonts w:ascii="Garamond" w:hAnsi="Garamond" w:cstheme="minorHAnsi"/>
          <w:sz w:val="24"/>
          <w:szCs w:val="24"/>
        </w:rPr>
        <w:t xml:space="preserve"> of </w:t>
      </w:r>
      <w:r w:rsidR="00027418">
        <w:rPr>
          <w:rFonts w:ascii="Garamond" w:hAnsi="Garamond" w:cstheme="minorHAnsi"/>
          <w:sz w:val="24"/>
          <w:szCs w:val="24"/>
        </w:rPr>
        <w:t>a diverse set of</w:t>
      </w:r>
      <w:r w:rsidR="00016049" w:rsidRPr="00461D74">
        <w:rPr>
          <w:rFonts w:ascii="Garamond" w:hAnsi="Garamond" w:cstheme="minorHAnsi"/>
          <w:sz w:val="24"/>
          <w:szCs w:val="24"/>
        </w:rPr>
        <w:t xml:space="preserve"> practices and their </w:t>
      </w:r>
      <w:r w:rsidR="00027418">
        <w:rPr>
          <w:rFonts w:ascii="Garamond" w:hAnsi="Garamond" w:cstheme="minorHAnsi"/>
          <w:sz w:val="24"/>
          <w:szCs w:val="24"/>
        </w:rPr>
        <w:t xml:space="preserve">respective </w:t>
      </w:r>
      <w:r w:rsidR="00016049" w:rsidRPr="00461D74">
        <w:rPr>
          <w:rFonts w:ascii="Garamond" w:hAnsi="Garamond" w:cstheme="minorHAnsi"/>
          <w:sz w:val="24"/>
          <w:szCs w:val="24"/>
        </w:rPr>
        <w:t xml:space="preserve">goods – </w:t>
      </w:r>
      <w:r w:rsidR="003732C6" w:rsidRPr="00461D74">
        <w:rPr>
          <w:rFonts w:ascii="Garamond" w:hAnsi="Garamond" w:cstheme="minorHAnsi"/>
          <w:sz w:val="24"/>
          <w:szCs w:val="24"/>
        </w:rPr>
        <w:t xml:space="preserve">namely, </w:t>
      </w:r>
      <w:r w:rsidR="00027418">
        <w:rPr>
          <w:rFonts w:ascii="Garamond" w:hAnsi="Garamond" w:cstheme="minorHAnsi"/>
          <w:sz w:val="24"/>
          <w:szCs w:val="24"/>
        </w:rPr>
        <w:t>a consideration of</w:t>
      </w:r>
      <w:r w:rsidR="003732C6"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whether the goods of one or more practices should be ancillary to the goods of </w:t>
      </w:r>
      <w:r w:rsidR="003732C6" w:rsidRPr="00461D74">
        <w:rPr>
          <w:rFonts w:ascii="Garamond" w:hAnsi="Garamond" w:cstheme="minorHAnsi"/>
          <w:sz w:val="24"/>
          <w:szCs w:val="24"/>
        </w:rPr>
        <w:t xml:space="preserve">some other </w:t>
      </w:r>
      <w:r w:rsidR="00016049" w:rsidRPr="00461D74">
        <w:rPr>
          <w:rFonts w:ascii="Garamond" w:hAnsi="Garamond" w:cstheme="minorHAnsi"/>
          <w:sz w:val="24"/>
          <w:szCs w:val="24"/>
        </w:rPr>
        <w:t xml:space="preserve">practice. </w:t>
      </w:r>
      <w:r w:rsidR="003732C6" w:rsidRPr="00461D74">
        <w:rPr>
          <w:rFonts w:ascii="Garamond" w:hAnsi="Garamond" w:cstheme="minorHAnsi"/>
          <w:sz w:val="24"/>
          <w:szCs w:val="24"/>
        </w:rPr>
        <w:t>Nevertheless</w:t>
      </w:r>
      <w:r w:rsidR="00016049" w:rsidRPr="00461D74">
        <w:rPr>
          <w:rFonts w:ascii="Garamond" w:hAnsi="Garamond" w:cstheme="minorHAnsi"/>
          <w:sz w:val="24"/>
          <w:szCs w:val="24"/>
        </w:rPr>
        <w:t>, it appear</w:t>
      </w:r>
      <w:r w:rsidR="003732C6" w:rsidRPr="00461D74">
        <w:rPr>
          <w:rFonts w:ascii="Garamond" w:hAnsi="Garamond" w:cstheme="minorHAnsi"/>
          <w:sz w:val="24"/>
          <w:szCs w:val="24"/>
        </w:rPr>
        <w:t>s that</w:t>
      </w:r>
      <w:r w:rsidR="00016049" w:rsidRPr="00461D74">
        <w:rPr>
          <w:rFonts w:ascii="Garamond" w:hAnsi="Garamond" w:cstheme="minorHAnsi"/>
          <w:sz w:val="24"/>
          <w:szCs w:val="24"/>
        </w:rPr>
        <w:t xml:space="preserve"> at first glance</w:t>
      </w:r>
      <w:r w:rsidR="003732C6"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3732C6" w:rsidRPr="00461D74">
        <w:rPr>
          <w:rFonts w:ascii="Garamond" w:hAnsi="Garamond" w:cstheme="minorHAnsi"/>
          <w:sz w:val="24"/>
          <w:szCs w:val="24"/>
        </w:rPr>
        <w:t xml:space="preserve">this </w:t>
      </w:r>
      <w:r w:rsidR="00027418">
        <w:rPr>
          <w:rFonts w:ascii="Garamond" w:hAnsi="Garamond" w:cstheme="minorHAnsi"/>
          <w:sz w:val="24"/>
          <w:szCs w:val="24"/>
        </w:rPr>
        <w:t>sort</w:t>
      </w:r>
      <w:r w:rsidR="00027418" w:rsidRPr="00461D74">
        <w:rPr>
          <w:rFonts w:ascii="Garamond" w:hAnsi="Garamond" w:cstheme="minorHAnsi"/>
          <w:sz w:val="24"/>
          <w:szCs w:val="24"/>
        </w:rPr>
        <w:t xml:space="preserve"> </w:t>
      </w:r>
      <w:r w:rsidR="003732C6" w:rsidRPr="00461D74">
        <w:rPr>
          <w:rFonts w:ascii="Garamond" w:hAnsi="Garamond" w:cstheme="minorHAnsi"/>
          <w:sz w:val="24"/>
          <w:szCs w:val="24"/>
        </w:rPr>
        <w:t>of</w:t>
      </w:r>
      <w:r w:rsidR="00016049" w:rsidRPr="00461D74">
        <w:rPr>
          <w:rFonts w:ascii="Garamond" w:hAnsi="Garamond" w:cstheme="minorHAnsi"/>
          <w:sz w:val="24"/>
          <w:szCs w:val="24"/>
        </w:rPr>
        <w:t xml:space="preserve"> comparative knowledge could not be the sole outcome of practical deliberation and discussion among various </w:t>
      </w:r>
      <w:proofErr w:type="spellStart"/>
      <w:r w:rsidR="00016049" w:rsidRPr="00461D74">
        <w:rPr>
          <w:rFonts w:ascii="Garamond" w:hAnsi="Garamond" w:cstheme="minorHAnsi"/>
          <w:sz w:val="24"/>
          <w:szCs w:val="24"/>
        </w:rPr>
        <w:t>reasoners</w:t>
      </w:r>
      <w:proofErr w:type="spellEnd"/>
      <w:r w:rsidR="00016049" w:rsidRPr="00461D74">
        <w:rPr>
          <w:rFonts w:ascii="Garamond" w:hAnsi="Garamond" w:cstheme="minorHAnsi"/>
          <w:sz w:val="24"/>
          <w:szCs w:val="24"/>
        </w:rPr>
        <w:t xml:space="preserve">. Comparative knowledge of the sort necessitated </w:t>
      </w:r>
      <w:r w:rsidR="00027418">
        <w:rPr>
          <w:rFonts w:ascii="Garamond" w:hAnsi="Garamond" w:cstheme="minorHAnsi"/>
          <w:sz w:val="24"/>
          <w:szCs w:val="24"/>
        </w:rPr>
        <w:t>by</w:t>
      </w:r>
      <w:r w:rsidR="00027418" w:rsidRPr="00461D74">
        <w:rPr>
          <w:rFonts w:ascii="Garamond" w:hAnsi="Garamond" w:cstheme="minorHAnsi"/>
          <w:sz w:val="24"/>
          <w:szCs w:val="24"/>
        </w:rPr>
        <w:t xml:space="preserve"> </w:t>
      </w:r>
      <w:r w:rsidR="00016049" w:rsidRPr="00461D74">
        <w:rPr>
          <w:rFonts w:ascii="Garamond" w:hAnsi="Garamond" w:cstheme="minorHAnsi"/>
          <w:sz w:val="24"/>
          <w:szCs w:val="24"/>
        </w:rPr>
        <w:t>deliberati</w:t>
      </w:r>
      <w:r w:rsidR="00027418">
        <w:rPr>
          <w:rFonts w:ascii="Garamond" w:hAnsi="Garamond" w:cstheme="minorHAnsi"/>
          <w:sz w:val="24"/>
          <w:szCs w:val="24"/>
        </w:rPr>
        <w:t>o</w:t>
      </w:r>
      <w:r w:rsidR="00016049" w:rsidRPr="00461D74">
        <w:rPr>
          <w:rFonts w:ascii="Garamond" w:hAnsi="Garamond" w:cstheme="minorHAnsi"/>
          <w:sz w:val="24"/>
          <w:szCs w:val="24"/>
        </w:rPr>
        <w:t>n</w:t>
      </w:r>
      <w:r w:rsidR="00C21DFA">
        <w:rPr>
          <w:rFonts w:ascii="Garamond" w:hAnsi="Garamond" w:cstheme="minorHAnsi"/>
          <w:sz w:val="24"/>
          <w:szCs w:val="24"/>
        </w:rPr>
        <w:t xml:space="preserve"> on</w:t>
      </w:r>
      <w:r w:rsidR="00016049" w:rsidRPr="00461D74">
        <w:rPr>
          <w:rFonts w:ascii="Garamond" w:hAnsi="Garamond" w:cstheme="minorHAnsi"/>
          <w:sz w:val="24"/>
          <w:szCs w:val="24"/>
        </w:rPr>
        <w:t xml:space="preserve"> </w:t>
      </w:r>
      <w:r w:rsidR="00C91EB1">
        <w:rPr>
          <w:rFonts w:ascii="Garamond" w:hAnsi="Garamond" w:cstheme="minorHAnsi"/>
          <w:sz w:val="24"/>
          <w:szCs w:val="24"/>
        </w:rPr>
        <w:t>and evaluation of</w:t>
      </w:r>
      <w:r w:rsidR="00027418">
        <w:rPr>
          <w:rFonts w:ascii="Garamond" w:hAnsi="Garamond" w:cstheme="minorHAnsi"/>
          <w:sz w:val="24"/>
          <w:szCs w:val="24"/>
        </w:rPr>
        <w:t xml:space="preserve"> a range of</w:t>
      </w:r>
      <w:r w:rsidR="00016049" w:rsidRPr="00461D74">
        <w:rPr>
          <w:rFonts w:ascii="Garamond" w:hAnsi="Garamond" w:cstheme="minorHAnsi"/>
          <w:sz w:val="24"/>
          <w:szCs w:val="24"/>
        </w:rPr>
        <w:t xml:space="preserve"> practices </w:t>
      </w:r>
      <w:r w:rsidR="00C91EB1">
        <w:rPr>
          <w:rFonts w:ascii="Garamond" w:hAnsi="Garamond" w:cstheme="minorHAnsi"/>
          <w:sz w:val="24"/>
          <w:szCs w:val="24"/>
        </w:rPr>
        <w:t>means</w:t>
      </w:r>
      <w:r w:rsidR="00016049" w:rsidRPr="00461D74">
        <w:rPr>
          <w:rFonts w:ascii="Garamond" w:hAnsi="Garamond" w:cstheme="minorHAnsi"/>
          <w:sz w:val="24"/>
          <w:szCs w:val="24"/>
        </w:rPr>
        <w:t xml:space="preserve"> that an individual </w:t>
      </w:r>
      <w:proofErr w:type="spellStart"/>
      <w:r w:rsidR="00016049" w:rsidRPr="00461D74">
        <w:rPr>
          <w:rFonts w:ascii="Garamond" w:hAnsi="Garamond" w:cstheme="minorHAnsi"/>
          <w:sz w:val="24"/>
          <w:szCs w:val="24"/>
        </w:rPr>
        <w:t>reasoner</w:t>
      </w:r>
      <w:proofErr w:type="spellEnd"/>
      <w:r w:rsidR="00016049" w:rsidRPr="00461D74">
        <w:rPr>
          <w:rFonts w:ascii="Garamond" w:hAnsi="Garamond" w:cstheme="minorHAnsi"/>
          <w:sz w:val="24"/>
          <w:szCs w:val="24"/>
        </w:rPr>
        <w:t xml:space="preserve"> </w:t>
      </w:r>
      <w:r w:rsidR="00C91EB1">
        <w:rPr>
          <w:rFonts w:ascii="Garamond" w:hAnsi="Garamond" w:cstheme="minorHAnsi"/>
          <w:sz w:val="24"/>
          <w:szCs w:val="24"/>
        </w:rPr>
        <w:t xml:space="preserve">ought to </w:t>
      </w:r>
      <w:r w:rsidR="00016049" w:rsidRPr="00461D74">
        <w:rPr>
          <w:rFonts w:ascii="Garamond" w:hAnsi="Garamond" w:cstheme="minorHAnsi"/>
          <w:sz w:val="24"/>
          <w:szCs w:val="24"/>
        </w:rPr>
        <w:t xml:space="preserve">be well educated in </w:t>
      </w:r>
      <w:r w:rsidR="00E1528B">
        <w:rPr>
          <w:rFonts w:ascii="Garamond" w:hAnsi="Garamond" w:cstheme="minorHAnsi"/>
          <w:sz w:val="24"/>
          <w:szCs w:val="24"/>
        </w:rPr>
        <w:t>that same</w:t>
      </w:r>
      <w:r w:rsidR="00E1528B" w:rsidRPr="00461D74">
        <w:rPr>
          <w:rFonts w:ascii="Garamond" w:hAnsi="Garamond" w:cstheme="minorHAnsi"/>
          <w:sz w:val="24"/>
          <w:szCs w:val="24"/>
        </w:rPr>
        <w:t xml:space="preserve"> </w:t>
      </w:r>
      <w:r w:rsidR="00C91EB1">
        <w:rPr>
          <w:rFonts w:ascii="Garamond" w:hAnsi="Garamond" w:cstheme="minorHAnsi"/>
          <w:sz w:val="24"/>
          <w:szCs w:val="24"/>
        </w:rPr>
        <w:t xml:space="preserve">range of </w:t>
      </w:r>
      <w:r w:rsidR="00016049" w:rsidRPr="00461D74">
        <w:rPr>
          <w:rFonts w:ascii="Garamond" w:hAnsi="Garamond" w:cstheme="minorHAnsi"/>
          <w:sz w:val="24"/>
          <w:szCs w:val="24"/>
        </w:rPr>
        <w:t>practices</w:t>
      </w:r>
      <w:r w:rsidR="003732C6" w:rsidRPr="00461D74">
        <w:rPr>
          <w:rFonts w:ascii="Garamond" w:hAnsi="Garamond" w:cstheme="minorHAnsi"/>
          <w:sz w:val="24"/>
          <w:szCs w:val="24"/>
        </w:rPr>
        <w:t xml:space="preserve"> </w:t>
      </w:r>
      <w:r w:rsidR="00C91EB1">
        <w:rPr>
          <w:rFonts w:ascii="Garamond" w:hAnsi="Garamond" w:cstheme="minorHAnsi"/>
          <w:sz w:val="24"/>
          <w:szCs w:val="24"/>
        </w:rPr>
        <w:t xml:space="preserve">under consideration </w:t>
      </w:r>
      <w:r w:rsidR="003732C6" w:rsidRPr="00461D74">
        <w:rPr>
          <w:rFonts w:ascii="Garamond" w:hAnsi="Garamond" w:cstheme="minorHAnsi"/>
          <w:sz w:val="24"/>
          <w:szCs w:val="24"/>
        </w:rPr>
        <w:t>in our deliberations. Yet</w:t>
      </w:r>
      <w:r w:rsidR="009321F9" w:rsidRPr="00461D74">
        <w:rPr>
          <w:rFonts w:ascii="Garamond" w:hAnsi="Garamond" w:cstheme="minorHAnsi"/>
          <w:sz w:val="24"/>
          <w:szCs w:val="24"/>
        </w:rPr>
        <w:t>,</w:t>
      </w:r>
      <w:r w:rsidR="00016049" w:rsidRPr="00461D74">
        <w:rPr>
          <w:rFonts w:ascii="Garamond" w:hAnsi="Garamond" w:cstheme="minorHAnsi"/>
          <w:sz w:val="24"/>
          <w:szCs w:val="24"/>
        </w:rPr>
        <w:t xml:space="preserve"> this </w:t>
      </w:r>
      <w:r w:rsidR="009321F9" w:rsidRPr="00461D74">
        <w:rPr>
          <w:rFonts w:ascii="Garamond" w:hAnsi="Garamond" w:cstheme="minorHAnsi"/>
          <w:sz w:val="24"/>
          <w:szCs w:val="24"/>
        </w:rPr>
        <w:t>sort of approach</w:t>
      </w:r>
      <w:r w:rsidR="00016049" w:rsidRPr="00461D74">
        <w:rPr>
          <w:rFonts w:ascii="Garamond" w:hAnsi="Garamond" w:cstheme="minorHAnsi"/>
          <w:sz w:val="24"/>
          <w:szCs w:val="24"/>
        </w:rPr>
        <w:t xml:space="preserve"> </w:t>
      </w:r>
      <w:r w:rsidR="003732C6" w:rsidRPr="00461D74">
        <w:rPr>
          <w:rFonts w:ascii="Garamond" w:hAnsi="Garamond" w:cstheme="minorHAnsi"/>
          <w:sz w:val="24"/>
          <w:szCs w:val="24"/>
        </w:rPr>
        <w:t xml:space="preserve">remains in </w:t>
      </w:r>
      <w:r w:rsidR="00016049" w:rsidRPr="00461D74">
        <w:rPr>
          <w:rFonts w:ascii="Garamond" w:hAnsi="Garamond" w:cstheme="minorHAnsi"/>
          <w:sz w:val="24"/>
          <w:szCs w:val="24"/>
        </w:rPr>
        <w:t xml:space="preserve">principle unavailable to the individual </w:t>
      </w:r>
      <w:proofErr w:type="spellStart"/>
      <w:r w:rsidR="00016049" w:rsidRPr="00461D74">
        <w:rPr>
          <w:rFonts w:ascii="Garamond" w:hAnsi="Garamond" w:cstheme="minorHAnsi"/>
          <w:sz w:val="24"/>
          <w:szCs w:val="24"/>
        </w:rPr>
        <w:t>reasoner</w:t>
      </w:r>
      <w:proofErr w:type="spellEnd"/>
      <w:r w:rsidR="009321F9" w:rsidRPr="00461D74">
        <w:rPr>
          <w:rFonts w:ascii="Garamond" w:hAnsi="Garamond" w:cstheme="minorHAnsi"/>
          <w:sz w:val="24"/>
          <w:szCs w:val="24"/>
        </w:rPr>
        <w:t>, for it seems im</w:t>
      </w:r>
      <w:r w:rsidR="003732C6" w:rsidRPr="00461D74">
        <w:rPr>
          <w:rFonts w:ascii="Garamond" w:hAnsi="Garamond" w:cstheme="minorHAnsi"/>
          <w:sz w:val="24"/>
          <w:szCs w:val="24"/>
        </w:rPr>
        <w:t xml:space="preserve">plausible that the </w:t>
      </w:r>
      <w:r w:rsidR="003732C6" w:rsidRPr="00461D74">
        <w:rPr>
          <w:rFonts w:ascii="Garamond" w:hAnsi="Garamond" w:cstheme="minorHAnsi"/>
          <w:i/>
          <w:sz w:val="24"/>
          <w:szCs w:val="24"/>
        </w:rPr>
        <w:t xml:space="preserve">normal </w:t>
      </w:r>
      <w:proofErr w:type="spellStart"/>
      <w:r w:rsidR="003732C6" w:rsidRPr="00461D74">
        <w:rPr>
          <w:rFonts w:ascii="Garamond" w:hAnsi="Garamond" w:cstheme="minorHAnsi"/>
          <w:i/>
          <w:sz w:val="24"/>
          <w:szCs w:val="24"/>
        </w:rPr>
        <w:t>reasoner</w:t>
      </w:r>
      <w:proofErr w:type="spellEnd"/>
      <w:r w:rsidR="003732C6" w:rsidRPr="00461D74">
        <w:rPr>
          <w:rFonts w:ascii="Garamond" w:hAnsi="Garamond" w:cstheme="minorHAnsi"/>
          <w:sz w:val="24"/>
          <w:szCs w:val="24"/>
        </w:rPr>
        <w:t xml:space="preserve"> </w:t>
      </w:r>
      <w:r w:rsidR="009321F9" w:rsidRPr="00461D74">
        <w:rPr>
          <w:rFonts w:ascii="Garamond" w:hAnsi="Garamond" w:cstheme="minorHAnsi"/>
          <w:sz w:val="24"/>
          <w:szCs w:val="24"/>
        </w:rPr>
        <w:t>possesses</w:t>
      </w:r>
      <w:r w:rsidR="003732C6" w:rsidRPr="00461D74">
        <w:rPr>
          <w:rFonts w:ascii="Garamond" w:hAnsi="Garamond" w:cstheme="minorHAnsi"/>
          <w:sz w:val="24"/>
          <w:szCs w:val="24"/>
        </w:rPr>
        <w:t xml:space="preserve"> the sort of wide ranging knowledge </w:t>
      </w:r>
      <w:r w:rsidR="00814A66">
        <w:rPr>
          <w:rFonts w:ascii="Garamond" w:hAnsi="Garamond" w:cstheme="minorHAnsi"/>
          <w:sz w:val="24"/>
          <w:szCs w:val="24"/>
        </w:rPr>
        <w:t>necessary for evaluating and ordering</w:t>
      </w:r>
      <w:r w:rsidR="00814A66" w:rsidRPr="00461D74">
        <w:rPr>
          <w:rFonts w:ascii="Garamond" w:hAnsi="Garamond" w:cstheme="minorHAnsi"/>
          <w:sz w:val="24"/>
          <w:szCs w:val="24"/>
        </w:rPr>
        <w:t xml:space="preserve"> </w:t>
      </w:r>
      <w:r w:rsidR="00814A66">
        <w:rPr>
          <w:rFonts w:ascii="Garamond" w:hAnsi="Garamond" w:cstheme="minorHAnsi"/>
          <w:sz w:val="24"/>
          <w:szCs w:val="24"/>
        </w:rPr>
        <w:t>goods derived from different social</w:t>
      </w:r>
      <w:r w:rsidR="00814A66" w:rsidRPr="00461D74">
        <w:rPr>
          <w:rFonts w:ascii="Garamond" w:hAnsi="Garamond" w:cstheme="minorHAnsi"/>
          <w:sz w:val="24"/>
          <w:szCs w:val="24"/>
        </w:rPr>
        <w:t xml:space="preserve"> practices.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But perhaps MacIntyre can answer Murphy’s objection in another way. </w:t>
      </w:r>
      <w:r w:rsidR="003732C6" w:rsidRPr="00461D74">
        <w:rPr>
          <w:rFonts w:ascii="Garamond" w:hAnsi="Garamond" w:cstheme="minorHAnsi"/>
          <w:sz w:val="24"/>
          <w:szCs w:val="24"/>
        </w:rPr>
        <w:t>Here, h</w:t>
      </w:r>
      <w:r w:rsidRPr="00461D74">
        <w:rPr>
          <w:rFonts w:ascii="Garamond" w:hAnsi="Garamond" w:cstheme="minorHAnsi"/>
          <w:sz w:val="24"/>
          <w:szCs w:val="24"/>
        </w:rPr>
        <w:t xml:space="preserve">e could </w:t>
      </w:r>
      <w:r w:rsidR="003732C6" w:rsidRPr="00461D74">
        <w:rPr>
          <w:rFonts w:ascii="Garamond" w:hAnsi="Garamond" w:cstheme="minorHAnsi"/>
          <w:sz w:val="24"/>
          <w:szCs w:val="24"/>
        </w:rPr>
        <w:t>agree</w:t>
      </w:r>
      <w:r w:rsidRPr="00461D74">
        <w:rPr>
          <w:rFonts w:ascii="Garamond" w:hAnsi="Garamond" w:cstheme="minorHAnsi"/>
          <w:sz w:val="24"/>
          <w:szCs w:val="24"/>
        </w:rPr>
        <w:t xml:space="preserve"> that simply by engaging in sustained discussion</w:t>
      </w:r>
      <w:r w:rsidR="003732C6" w:rsidRPr="00461D74">
        <w:rPr>
          <w:rFonts w:ascii="Garamond" w:hAnsi="Garamond" w:cstheme="minorHAnsi"/>
          <w:sz w:val="24"/>
          <w:szCs w:val="24"/>
        </w:rPr>
        <w:t>s,</w:t>
      </w:r>
      <w:r w:rsidRPr="00461D74">
        <w:rPr>
          <w:rFonts w:ascii="Garamond" w:hAnsi="Garamond" w:cstheme="minorHAnsi"/>
          <w:sz w:val="24"/>
          <w:szCs w:val="24"/>
        </w:rPr>
        <w:t xml:space="preserve"> individual </w:t>
      </w:r>
      <w:proofErr w:type="spellStart"/>
      <w:r w:rsidRPr="00461D74">
        <w:rPr>
          <w:rFonts w:ascii="Garamond" w:hAnsi="Garamond" w:cstheme="minorHAnsi"/>
          <w:sz w:val="24"/>
          <w:szCs w:val="24"/>
        </w:rPr>
        <w:t>reasoners</w:t>
      </w:r>
      <w:proofErr w:type="spellEnd"/>
      <w:r w:rsidRPr="00461D74">
        <w:rPr>
          <w:rFonts w:ascii="Garamond" w:hAnsi="Garamond" w:cstheme="minorHAnsi"/>
          <w:sz w:val="24"/>
          <w:szCs w:val="24"/>
        </w:rPr>
        <w:t xml:space="preserve"> would not possess a fully informed comparative knowledge of various </w:t>
      </w:r>
      <w:r w:rsidR="00814A66">
        <w:rPr>
          <w:rFonts w:ascii="Garamond" w:hAnsi="Garamond" w:cstheme="minorHAnsi"/>
          <w:sz w:val="24"/>
          <w:szCs w:val="24"/>
        </w:rPr>
        <w:t xml:space="preserve">social </w:t>
      </w:r>
      <w:r w:rsidRPr="00461D74">
        <w:rPr>
          <w:rFonts w:ascii="Garamond" w:hAnsi="Garamond" w:cstheme="minorHAnsi"/>
          <w:sz w:val="24"/>
          <w:szCs w:val="24"/>
        </w:rPr>
        <w:t xml:space="preserve">practices </w:t>
      </w:r>
      <w:r w:rsidR="003732C6" w:rsidRPr="00461D74">
        <w:rPr>
          <w:rFonts w:ascii="Garamond" w:hAnsi="Garamond" w:cstheme="minorHAnsi"/>
          <w:sz w:val="24"/>
          <w:szCs w:val="24"/>
        </w:rPr>
        <w:t xml:space="preserve">to make </w:t>
      </w:r>
      <w:r w:rsidRPr="00461D74">
        <w:rPr>
          <w:rFonts w:ascii="Garamond" w:hAnsi="Garamond" w:cstheme="minorHAnsi"/>
          <w:sz w:val="24"/>
          <w:szCs w:val="24"/>
        </w:rPr>
        <w:t xml:space="preserve">the relevant judgement </w:t>
      </w:r>
      <w:r w:rsidR="00814A66">
        <w:rPr>
          <w:rFonts w:ascii="Garamond" w:hAnsi="Garamond" w:cstheme="minorHAnsi"/>
          <w:sz w:val="24"/>
          <w:szCs w:val="24"/>
        </w:rPr>
        <w:t xml:space="preserve">necessary for evaluating </w:t>
      </w:r>
      <w:r w:rsidRPr="00461D74">
        <w:rPr>
          <w:rFonts w:ascii="Garamond" w:hAnsi="Garamond" w:cstheme="minorHAnsi"/>
          <w:sz w:val="24"/>
          <w:szCs w:val="24"/>
        </w:rPr>
        <w:t>the particular merits</w:t>
      </w:r>
      <w:r w:rsidR="003732C6" w:rsidRPr="00461D74">
        <w:rPr>
          <w:rFonts w:ascii="Garamond" w:hAnsi="Garamond" w:cstheme="minorHAnsi"/>
          <w:sz w:val="24"/>
          <w:szCs w:val="24"/>
        </w:rPr>
        <w:t xml:space="preserve"> of each practice</w:t>
      </w:r>
      <w:r w:rsidRPr="00461D74">
        <w:rPr>
          <w:rFonts w:ascii="Garamond" w:hAnsi="Garamond" w:cstheme="minorHAnsi"/>
          <w:sz w:val="24"/>
          <w:szCs w:val="24"/>
        </w:rPr>
        <w:t xml:space="preserve">. Yet individual </w:t>
      </w:r>
      <w:proofErr w:type="spellStart"/>
      <w:r w:rsidRPr="00461D74">
        <w:rPr>
          <w:rFonts w:ascii="Garamond" w:hAnsi="Garamond" w:cstheme="minorHAnsi"/>
          <w:sz w:val="24"/>
          <w:szCs w:val="24"/>
        </w:rPr>
        <w:t>reasoners</w:t>
      </w:r>
      <w:proofErr w:type="spellEnd"/>
      <w:r w:rsidRPr="00461D74">
        <w:rPr>
          <w:rFonts w:ascii="Garamond" w:hAnsi="Garamond" w:cstheme="minorHAnsi"/>
          <w:sz w:val="24"/>
          <w:szCs w:val="24"/>
        </w:rPr>
        <w:t xml:space="preserve"> in local communities, </w:t>
      </w:r>
      <w:r w:rsidRPr="00461D74">
        <w:rPr>
          <w:rFonts w:ascii="Garamond" w:hAnsi="Garamond" w:cstheme="minorHAnsi"/>
          <w:sz w:val="24"/>
          <w:szCs w:val="24"/>
        </w:rPr>
        <w:lastRenderedPageBreak/>
        <w:t>through sustained discussion</w:t>
      </w:r>
      <w:r w:rsidR="003732C6" w:rsidRPr="00461D74">
        <w:rPr>
          <w:rFonts w:ascii="Garamond" w:hAnsi="Garamond" w:cstheme="minorHAnsi"/>
          <w:sz w:val="24"/>
          <w:szCs w:val="24"/>
        </w:rPr>
        <w:t>s</w:t>
      </w:r>
      <w:r w:rsidRPr="00461D74">
        <w:rPr>
          <w:rFonts w:ascii="Garamond" w:hAnsi="Garamond" w:cstheme="minorHAnsi"/>
          <w:sz w:val="24"/>
          <w:szCs w:val="24"/>
        </w:rPr>
        <w:t xml:space="preserve">, could gain the ability to </w:t>
      </w:r>
      <w:r w:rsidR="00C21DFA">
        <w:rPr>
          <w:rFonts w:ascii="Garamond" w:hAnsi="Garamond" w:cstheme="minorHAnsi"/>
          <w:sz w:val="24"/>
          <w:szCs w:val="24"/>
        </w:rPr>
        <w:t>rank</w:t>
      </w:r>
      <w:r w:rsidRPr="00461D74">
        <w:rPr>
          <w:rFonts w:ascii="Garamond" w:hAnsi="Garamond" w:cstheme="minorHAnsi"/>
          <w:sz w:val="24"/>
          <w:szCs w:val="24"/>
        </w:rPr>
        <w:t xml:space="preserve"> the goods of various practices</w:t>
      </w:r>
      <w:r w:rsidR="003732C6" w:rsidRPr="00461D74">
        <w:rPr>
          <w:rFonts w:ascii="Garamond" w:hAnsi="Garamond" w:cstheme="minorHAnsi"/>
          <w:sz w:val="24"/>
          <w:szCs w:val="24"/>
        </w:rPr>
        <w:t>,</w:t>
      </w:r>
      <w:r w:rsidRPr="00461D74">
        <w:rPr>
          <w:rFonts w:ascii="Garamond" w:hAnsi="Garamond" w:cstheme="minorHAnsi"/>
          <w:sz w:val="24"/>
          <w:szCs w:val="24"/>
        </w:rPr>
        <w:t xml:space="preserve"> through the quality of the various arguments made against</w:t>
      </w:r>
      <w:r w:rsidR="003732C6" w:rsidRPr="00461D74">
        <w:rPr>
          <w:rFonts w:ascii="Garamond" w:hAnsi="Garamond" w:cstheme="minorHAnsi"/>
          <w:sz w:val="24"/>
          <w:szCs w:val="24"/>
        </w:rPr>
        <w:t>,</w:t>
      </w:r>
      <w:r w:rsidRPr="00461D74">
        <w:rPr>
          <w:rFonts w:ascii="Garamond" w:hAnsi="Garamond" w:cstheme="minorHAnsi"/>
          <w:sz w:val="24"/>
          <w:szCs w:val="24"/>
        </w:rPr>
        <w:t xml:space="preserve"> </w:t>
      </w:r>
      <w:r w:rsidR="003732C6" w:rsidRPr="00461D74">
        <w:rPr>
          <w:rFonts w:ascii="Garamond" w:hAnsi="Garamond" w:cstheme="minorHAnsi"/>
          <w:sz w:val="24"/>
          <w:szCs w:val="24"/>
        </w:rPr>
        <w:t xml:space="preserve">or </w:t>
      </w:r>
      <w:r w:rsidRPr="00461D74">
        <w:rPr>
          <w:rFonts w:ascii="Garamond" w:hAnsi="Garamond" w:cstheme="minorHAnsi"/>
          <w:sz w:val="24"/>
          <w:szCs w:val="24"/>
        </w:rPr>
        <w:t>in favour of</w:t>
      </w:r>
      <w:r w:rsidR="003D00B4" w:rsidRPr="00461D74">
        <w:rPr>
          <w:rFonts w:ascii="Garamond" w:hAnsi="Garamond" w:cstheme="minorHAnsi"/>
          <w:sz w:val="24"/>
          <w:szCs w:val="24"/>
        </w:rPr>
        <w:t>,</w:t>
      </w:r>
      <w:r w:rsidRPr="00461D74">
        <w:rPr>
          <w:rFonts w:ascii="Garamond" w:hAnsi="Garamond" w:cstheme="minorHAnsi"/>
          <w:sz w:val="24"/>
          <w:szCs w:val="24"/>
        </w:rPr>
        <w:t xml:space="preserve"> </w:t>
      </w:r>
      <w:r w:rsidR="003D00B4" w:rsidRPr="00461D74">
        <w:rPr>
          <w:rFonts w:ascii="Garamond" w:hAnsi="Garamond" w:cstheme="minorHAnsi"/>
          <w:sz w:val="24"/>
          <w:szCs w:val="24"/>
        </w:rPr>
        <w:t xml:space="preserve">arranging the goods of various social </w:t>
      </w:r>
      <w:r w:rsidRPr="00461D74">
        <w:rPr>
          <w:rFonts w:ascii="Garamond" w:hAnsi="Garamond" w:cstheme="minorHAnsi"/>
          <w:sz w:val="24"/>
          <w:szCs w:val="24"/>
        </w:rPr>
        <w:t>practices in one way or another.</w:t>
      </w:r>
    </w:p>
    <w:p w:rsidR="00665157" w:rsidRDefault="003D00B4">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Nevertheless</w:t>
      </w:r>
      <w:r w:rsidR="00C21DFA">
        <w:rPr>
          <w:rFonts w:ascii="Garamond" w:hAnsi="Garamond" w:cstheme="minorHAnsi"/>
          <w:sz w:val="24"/>
          <w:szCs w:val="24"/>
        </w:rPr>
        <w:t>,</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this would leave </w:t>
      </w:r>
      <w:r w:rsidRPr="00461D74">
        <w:rPr>
          <w:rFonts w:ascii="Garamond" w:hAnsi="Garamond" w:cstheme="minorHAnsi"/>
          <w:sz w:val="24"/>
          <w:szCs w:val="24"/>
        </w:rPr>
        <w:t xml:space="preserve">MacIntyre with </w:t>
      </w:r>
      <w:r w:rsidR="00016049" w:rsidRPr="00461D74">
        <w:rPr>
          <w:rFonts w:ascii="Garamond" w:hAnsi="Garamond" w:cstheme="minorHAnsi"/>
          <w:sz w:val="24"/>
          <w:szCs w:val="24"/>
        </w:rPr>
        <w:t>another problem</w:t>
      </w:r>
      <w:r w:rsidRPr="00461D74">
        <w:rPr>
          <w:rFonts w:ascii="Garamond" w:hAnsi="Garamond" w:cstheme="minorHAnsi"/>
          <w:sz w:val="24"/>
          <w:szCs w:val="24"/>
        </w:rPr>
        <w:t>.</w:t>
      </w:r>
      <w:r w:rsidR="00016049" w:rsidRPr="00461D74">
        <w:rPr>
          <w:rFonts w:ascii="Garamond" w:hAnsi="Garamond" w:cstheme="minorHAnsi"/>
          <w:sz w:val="24"/>
          <w:szCs w:val="24"/>
        </w:rPr>
        <w:t xml:space="preserve"> </w:t>
      </w:r>
      <w:r w:rsidRPr="00461D74">
        <w:rPr>
          <w:rFonts w:ascii="Garamond" w:hAnsi="Garamond" w:cstheme="minorHAnsi"/>
          <w:sz w:val="24"/>
          <w:szCs w:val="24"/>
        </w:rPr>
        <w:t>A</w:t>
      </w:r>
      <w:r w:rsidR="00016049" w:rsidRPr="00461D74">
        <w:rPr>
          <w:rFonts w:ascii="Garamond" w:hAnsi="Garamond" w:cstheme="minorHAnsi"/>
          <w:sz w:val="24"/>
          <w:szCs w:val="24"/>
        </w:rPr>
        <w:t xml:space="preserve">n individual who may be well versed in the merits of a particular practice – a practice that should </w:t>
      </w:r>
      <w:r w:rsidR="0018705E">
        <w:rPr>
          <w:rFonts w:ascii="Garamond" w:hAnsi="Garamond" w:cstheme="minorHAnsi"/>
          <w:sz w:val="24"/>
          <w:szCs w:val="24"/>
        </w:rPr>
        <w:t>perhaps</w:t>
      </w:r>
      <w:r w:rsidR="0018705E" w:rsidRPr="00461D74">
        <w:rPr>
          <w:rFonts w:ascii="Garamond" w:hAnsi="Garamond" w:cstheme="minorHAnsi"/>
          <w:sz w:val="24"/>
          <w:szCs w:val="24"/>
        </w:rPr>
        <w:t xml:space="preserve"> </w:t>
      </w:r>
      <w:r w:rsidR="00016049" w:rsidRPr="00461D74">
        <w:rPr>
          <w:rFonts w:ascii="Garamond" w:hAnsi="Garamond" w:cstheme="minorHAnsi"/>
          <w:sz w:val="24"/>
          <w:szCs w:val="24"/>
        </w:rPr>
        <w:t>rank high</w:t>
      </w:r>
      <w:r w:rsidR="00376DAE">
        <w:rPr>
          <w:rFonts w:ascii="Garamond" w:hAnsi="Garamond" w:cstheme="minorHAnsi"/>
          <w:sz w:val="24"/>
          <w:szCs w:val="24"/>
        </w:rPr>
        <w:t>er</w:t>
      </w:r>
      <w:r w:rsidR="00016049" w:rsidRPr="00461D74">
        <w:rPr>
          <w:rFonts w:ascii="Garamond" w:hAnsi="Garamond" w:cstheme="minorHAnsi"/>
          <w:sz w:val="24"/>
          <w:szCs w:val="24"/>
        </w:rPr>
        <w:t xml:space="preserve"> in the pecking order of the practices of a community</w:t>
      </w:r>
      <w:r w:rsidR="0018705E">
        <w:rPr>
          <w:rFonts w:ascii="Garamond" w:hAnsi="Garamond" w:cstheme="minorHAnsi"/>
          <w:sz w:val="24"/>
          <w:szCs w:val="24"/>
        </w:rPr>
        <w:t xml:space="preserve"> (</w:t>
      </w:r>
      <w:r w:rsidR="00016049" w:rsidRPr="00461D74">
        <w:rPr>
          <w:rFonts w:ascii="Garamond" w:hAnsi="Garamond" w:cstheme="minorHAnsi"/>
          <w:sz w:val="24"/>
          <w:szCs w:val="24"/>
        </w:rPr>
        <w:t xml:space="preserve">in order for </w:t>
      </w:r>
      <w:r w:rsidR="0018705E" w:rsidRPr="00461D74">
        <w:rPr>
          <w:rFonts w:ascii="Garamond" w:hAnsi="Garamond" w:cstheme="minorHAnsi"/>
          <w:sz w:val="24"/>
          <w:szCs w:val="24"/>
        </w:rPr>
        <w:t>th</w:t>
      </w:r>
      <w:r w:rsidR="0018705E">
        <w:rPr>
          <w:rFonts w:ascii="Garamond" w:hAnsi="Garamond" w:cstheme="minorHAnsi"/>
          <w:sz w:val="24"/>
          <w:szCs w:val="24"/>
        </w:rPr>
        <w:t>e</w:t>
      </w:r>
      <w:r w:rsidR="0018705E" w:rsidRPr="00461D74">
        <w:rPr>
          <w:rFonts w:ascii="Garamond" w:hAnsi="Garamond" w:cstheme="minorHAnsi"/>
          <w:sz w:val="24"/>
          <w:szCs w:val="24"/>
        </w:rPr>
        <w:t xml:space="preserve"> </w:t>
      </w:r>
      <w:r w:rsidR="00016049" w:rsidRPr="00461D74">
        <w:rPr>
          <w:rFonts w:ascii="Garamond" w:hAnsi="Garamond" w:cstheme="minorHAnsi"/>
          <w:sz w:val="24"/>
          <w:szCs w:val="24"/>
        </w:rPr>
        <w:t>community to flourish</w:t>
      </w:r>
      <w:r w:rsidR="0018705E">
        <w:rPr>
          <w:rFonts w:ascii="Garamond" w:hAnsi="Garamond" w:cstheme="minorHAnsi"/>
          <w:sz w:val="24"/>
          <w:szCs w:val="24"/>
        </w:rPr>
        <w:t>)</w:t>
      </w:r>
      <w:r w:rsidR="00016049" w:rsidRPr="00461D74">
        <w:rPr>
          <w:rFonts w:ascii="Garamond" w:hAnsi="Garamond" w:cstheme="minorHAnsi"/>
          <w:sz w:val="24"/>
          <w:szCs w:val="24"/>
        </w:rPr>
        <w:t xml:space="preserve"> – may nonetheless have diminished rhetorical and discursive skills to convey the relative merits of that practice. Alternat</w:t>
      </w:r>
      <w:r w:rsidR="00C21DFA">
        <w:rPr>
          <w:rFonts w:ascii="Garamond" w:hAnsi="Garamond" w:cstheme="minorHAnsi"/>
          <w:sz w:val="24"/>
          <w:szCs w:val="24"/>
        </w:rPr>
        <w:t>ively,</w:t>
      </w:r>
      <w:r w:rsidR="00016049" w:rsidRPr="00461D74">
        <w:rPr>
          <w:rFonts w:ascii="Garamond" w:hAnsi="Garamond" w:cstheme="minorHAnsi"/>
          <w:sz w:val="24"/>
          <w:szCs w:val="24"/>
        </w:rPr>
        <w:t xml:space="preserve"> a </w:t>
      </w:r>
      <w:proofErr w:type="spellStart"/>
      <w:r w:rsidR="00016049" w:rsidRPr="00461D74">
        <w:rPr>
          <w:rFonts w:ascii="Garamond" w:hAnsi="Garamond" w:cstheme="minorHAnsi"/>
          <w:sz w:val="24"/>
          <w:szCs w:val="24"/>
        </w:rPr>
        <w:t>reasoner</w:t>
      </w:r>
      <w:proofErr w:type="spellEnd"/>
      <w:r w:rsidR="00016049" w:rsidRPr="00461D74">
        <w:rPr>
          <w:rFonts w:ascii="Garamond" w:hAnsi="Garamond" w:cstheme="minorHAnsi"/>
          <w:sz w:val="24"/>
          <w:szCs w:val="24"/>
        </w:rPr>
        <w:t xml:space="preserve"> versed in an ancillary practice may nevertheless possess the capacity to persuade others of the importance of her particular practice. In this way a community of individual </w:t>
      </w:r>
      <w:proofErr w:type="spellStart"/>
      <w:r w:rsidR="00016049" w:rsidRPr="00461D74">
        <w:rPr>
          <w:rFonts w:ascii="Garamond" w:hAnsi="Garamond" w:cstheme="minorHAnsi"/>
          <w:sz w:val="24"/>
          <w:szCs w:val="24"/>
        </w:rPr>
        <w:t>reasoners</w:t>
      </w:r>
      <w:proofErr w:type="spellEnd"/>
      <w:r w:rsidR="00016049" w:rsidRPr="00461D74">
        <w:rPr>
          <w:rFonts w:ascii="Garamond" w:hAnsi="Garamond" w:cstheme="minorHAnsi"/>
          <w:sz w:val="24"/>
          <w:szCs w:val="24"/>
        </w:rPr>
        <w:t xml:space="preserve"> well versed in different practices, could come to </w:t>
      </w:r>
      <w:r w:rsidR="00DE3995" w:rsidRPr="00461D74">
        <w:rPr>
          <w:rFonts w:ascii="Garamond" w:hAnsi="Garamond" w:cstheme="minorHAnsi"/>
          <w:sz w:val="24"/>
          <w:szCs w:val="24"/>
        </w:rPr>
        <w:t>arrange</w:t>
      </w:r>
      <w:r w:rsidR="00016049" w:rsidRPr="00461D74">
        <w:rPr>
          <w:rFonts w:ascii="Garamond" w:hAnsi="Garamond" w:cstheme="minorHAnsi"/>
          <w:sz w:val="24"/>
          <w:szCs w:val="24"/>
        </w:rPr>
        <w:t xml:space="preserve"> practices in way</w:t>
      </w:r>
      <w:r w:rsidR="00DE3995" w:rsidRPr="00461D74">
        <w:rPr>
          <w:rFonts w:ascii="Garamond" w:hAnsi="Garamond" w:cstheme="minorHAnsi"/>
          <w:sz w:val="24"/>
          <w:szCs w:val="24"/>
        </w:rPr>
        <w:t>s</w:t>
      </w:r>
      <w:r w:rsidR="00016049" w:rsidRPr="00461D74">
        <w:rPr>
          <w:rFonts w:ascii="Garamond" w:hAnsi="Garamond" w:cstheme="minorHAnsi"/>
          <w:sz w:val="24"/>
          <w:szCs w:val="24"/>
        </w:rPr>
        <w:t xml:space="preserve"> that diminish the community’s </w:t>
      </w:r>
      <w:r w:rsidR="00DE3995" w:rsidRPr="00461D74">
        <w:rPr>
          <w:rFonts w:ascii="Garamond" w:hAnsi="Garamond" w:cstheme="minorHAnsi"/>
          <w:sz w:val="24"/>
          <w:szCs w:val="24"/>
        </w:rPr>
        <w:t>capacity</w:t>
      </w:r>
      <w:r w:rsidR="00016049" w:rsidRPr="00461D74">
        <w:rPr>
          <w:rFonts w:ascii="Garamond" w:hAnsi="Garamond" w:cstheme="minorHAnsi"/>
          <w:sz w:val="24"/>
          <w:szCs w:val="24"/>
        </w:rPr>
        <w:t xml:space="preserve"> to </w:t>
      </w:r>
      <w:r w:rsidR="00DE3995" w:rsidRPr="00461D74">
        <w:rPr>
          <w:rFonts w:ascii="Garamond" w:hAnsi="Garamond" w:cstheme="minorHAnsi"/>
          <w:sz w:val="24"/>
          <w:szCs w:val="24"/>
        </w:rPr>
        <w:t>realise its</w:t>
      </w:r>
      <w:r w:rsidR="00016049" w:rsidRPr="00461D74">
        <w:rPr>
          <w:rFonts w:ascii="Garamond" w:hAnsi="Garamond" w:cstheme="minorHAnsi"/>
          <w:sz w:val="24"/>
          <w:szCs w:val="24"/>
        </w:rPr>
        <w:t xml:space="preserve"> common good. Could MacIntyre offer us a different rejoinder?</w:t>
      </w:r>
    </w:p>
    <w:p w:rsidR="00B76794" w:rsidRDefault="00DE3995" w:rsidP="00B76794">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Perhaps </w:t>
      </w:r>
      <w:r w:rsidR="00016049" w:rsidRPr="00461D74">
        <w:rPr>
          <w:rFonts w:ascii="Garamond" w:hAnsi="Garamond" w:cstheme="minorHAnsi"/>
          <w:sz w:val="24"/>
          <w:szCs w:val="24"/>
        </w:rPr>
        <w:t xml:space="preserve">MacIntyre can accept that sustained discussion on the relative merits of various arguments made for and against a particular arrangement of goods is not a necessary and sufficient </w:t>
      </w:r>
      <w:r w:rsidR="001F65DC">
        <w:rPr>
          <w:rFonts w:ascii="Garamond" w:hAnsi="Garamond" w:cstheme="minorHAnsi"/>
          <w:sz w:val="24"/>
          <w:szCs w:val="24"/>
        </w:rPr>
        <w:t>means through which</w:t>
      </w:r>
      <w:r w:rsidR="001F65D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 community </w:t>
      </w:r>
      <w:r w:rsidR="001F65DC">
        <w:rPr>
          <w:rFonts w:ascii="Garamond" w:hAnsi="Garamond" w:cstheme="minorHAnsi"/>
          <w:sz w:val="24"/>
          <w:szCs w:val="24"/>
        </w:rPr>
        <w:t>realises</w:t>
      </w:r>
      <w:r w:rsidR="001F65D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best arrangement of </w:t>
      </w:r>
      <w:r w:rsidR="00E1269E" w:rsidRPr="00461D74">
        <w:rPr>
          <w:rFonts w:ascii="Garamond" w:hAnsi="Garamond" w:cstheme="minorHAnsi"/>
          <w:sz w:val="24"/>
          <w:szCs w:val="24"/>
        </w:rPr>
        <w:t>th</w:t>
      </w:r>
      <w:r w:rsidR="001D4172">
        <w:rPr>
          <w:rFonts w:ascii="Garamond" w:hAnsi="Garamond" w:cstheme="minorHAnsi"/>
          <w:sz w:val="24"/>
          <w:szCs w:val="24"/>
        </w:rPr>
        <w:t>os</w:t>
      </w:r>
      <w:r w:rsidR="00E1269E" w:rsidRPr="00461D74">
        <w:rPr>
          <w:rFonts w:ascii="Garamond" w:hAnsi="Garamond" w:cstheme="minorHAnsi"/>
          <w:sz w:val="24"/>
          <w:szCs w:val="24"/>
        </w:rPr>
        <w:t xml:space="preserve">e </w:t>
      </w:r>
      <w:r w:rsidR="00016049" w:rsidRPr="00461D74">
        <w:rPr>
          <w:rFonts w:ascii="Garamond" w:hAnsi="Garamond" w:cstheme="minorHAnsi"/>
          <w:sz w:val="24"/>
          <w:szCs w:val="24"/>
        </w:rPr>
        <w:t>goods. A democratic process would supplement the sustained discussion by the individual members of the community to ensure some balance in organizing the practices. MacIntyre could offer policy forums at the level of local communities as a solution</w:t>
      </w:r>
      <w:r w:rsidR="001D4172">
        <w:rPr>
          <w:rFonts w:ascii="Garamond" w:hAnsi="Garamond" w:cstheme="minorHAnsi"/>
          <w:sz w:val="24"/>
          <w:szCs w:val="24"/>
        </w:rPr>
        <w:t xml:space="preserve"> to this problem</w:t>
      </w:r>
      <w:r w:rsidR="00016049" w:rsidRPr="00461D74">
        <w:rPr>
          <w:rFonts w:ascii="Garamond" w:hAnsi="Garamond" w:cstheme="minorHAnsi"/>
          <w:sz w:val="24"/>
          <w:szCs w:val="24"/>
        </w:rPr>
        <w:t xml:space="preserve">. </w:t>
      </w:r>
      <w:r w:rsidR="001D4172">
        <w:rPr>
          <w:rFonts w:ascii="Garamond" w:hAnsi="Garamond" w:cstheme="minorHAnsi"/>
          <w:sz w:val="24"/>
          <w:szCs w:val="24"/>
        </w:rPr>
        <w:t>Policy forums</w:t>
      </w:r>
      <w:r w:rsidR="001D4172"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would then employ the collective resources of a representative set of individuals within the community who are </w:t>
      </w:r>
      <w:r w:rsidR="00B07972" w:rsidRPr="00461D74">
        <w:rPr>
          <w:rFonts w:ascii="Garamond" w:hAnsi="Garamond" w:cstheme="minorHAnsi"/>
          <w:sz w:val="24"/>
          <w:szCs w:val="24"/>
        </w:rPr>
        <w:t xml:space="preserve">adequately </w:t>
      </w:r>
      <w:r w:rsidR="00016049" w:rsidRPr="00461D74">
        <w:rPr>
          <w:rFonts w:ascii="Garamond" w:hAnsi="Garamond" w:cstheme="minorHAnsi"/>
          <w:sz w:val="24"/>
          <w:szCs w:val="24"/>
        </w:rPr>
        <w:t xml:space="preserve">versed in a diverse set of practices. Such a forum would not only sustain the discussion of the relative merits of various practices, but also avoid the type of outcome </w:t>
      </w:r>
      <w:r w:rsidR="00E1269E" w:rsidRPr="00461D74">
        <w:rPr>
          <w:rFonts w:ascii="Garamond" w:hAnsi="Garamond" w:cstheme="minorHAnsi"/>
          <w:sz w:val="24"/>
          <w:szCs w:val="24"/>
        </w:rPr>
        <w:t xml:space="preserve">in which </w:t>
      </w:r>
      <w:r w:rsidR="00016049" w:rsidRPr="00461D74">
        <w:rPr>
          <w:rFonts w:ascii="Garamond" w:hAnsi="Garamond" w:cstheme="minorHAnsi"/>
          <w:sz w:val="24"/>
          <w:szCs w:val="24"/>
        </w:rPr>
        <w:t xml:space="preserve">the discursive skills of </w:t>
      </w:r>
      <w:r w:rsidR="00E1269E" w:rsidRPr="00461D74">
        <w:rPr>
          <w:rFonts w:ascii="Garamond" w:hAnsi="Garamond" w:cstheme="minorHAnsi"/>
          <w:sz w:val="24"/>
          <w:szCs w:val="24"/>
        </w:rPr>
        <w:t>some</w:t>
      </w:r>
      <w:r w:rsidR="00016049" w:rsidRPr="00461D74">
        <w:rPr>
          <w:rFonts w:ascii="Garamond" w:hAnsi="Garamond" w:cstheme="minorHAnsi"/>
          <w:sz w:val="24"/>
          <w:szCs w:val="24"/>
        </w:rPr>
        <w:t xml:space="preserve"> member</w:t>
      </w:r>
      <w:r w:rsidR="00E1269E" w:rsidRPr="00461D74">
        <w:rPr>
          <w:rFonts w:ascii="Garamond" w:hAnsi="Garamond" w:cstheme="minorHAnsi"/>
          <w:sz w:val="24"/>
          <w:szCs w:val="24"/>
        </w:rPr>
        <w:t>s</w:t>
      </w:r>
      <w:r w:rsidR="00016049" w:rsidRPr="00461D74">
        <w:rPr>
          <w:rFonts w:ascii="Garamond" w:hAnsi="Garamond" w:cstheme="minorHAnsi"/>
          <w:sz w:val="24"/>
          <w:szCs w:val="24"/>
        </w:rPr>
        <w:t xml:space="preserve"> of the community disproportionately promote</w:t>
      </w:r>
      <w:r w:rsidR="00E1269E"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E1269E" w:rsidRPr="00461D74">
        <w:rPr>
          <w:rFonts w:ascii="Garamond" w:hAnsi="Garamond" w:cstheme="minorHAnsi"/>
          <w:sz w:val="24"/>
          <w:szCs w:val="24"/>
        </w:rPr>
        <w:t>a particular</w:t>
      </w:r>
      <w:r w:rsidR="00016049" w:rsidRPr="00461D74">
        <w:rPr>
          <w:rFonts w:ascii="Garamond" w:hAnsi="Garamond" w:cstheme="minorHAnsi"/>
          <w:sz w:val="24"/>
          <w:szCs w:val="24"/>
        </w:rPr>
        <w:t xml:space="preserve"> practice in way</w:t>
      </w:r>
      <w:r w:rsidR="00E1269E" w:rsidRPr="00461D74">
        <w:rPr>
          <w:rFonts w:ascii="Garamond" w:hAnsi="Garamond" w:cstheme="minorHAnsi"/>
          <w:sz w:val="24"/>
          <w:szCs w:val="24"/>
        </w:rPr>
        <w:t>s</w:t>
      </w:r>
      <w:r w:rsidR="00016049" w:rsidRPr="00461D74">
        <w:rPr>
          <w:rFonts w:ascii="Garamond" w:hAnsi="Garamond" w:cstheme="minorHAnsi"/>
          <w:sz w:val="24"/>
          <w:szCs w:val="24"/>
        </w:rPr>
        <w:t xml:space="preserve"> that undermine the </w:t>
      </w:r>
      <w:r w:rsidR="00E1269E" w:rsidRPr="00461D74">
        <w:rPr>
          <w:rFonts w:ascii="Garamond" w:hAnsi="Garamond" w:cstheme="minorHAnsi"/>
          <w:sz w:val="24"/>
          <w:szCs w:val="24"/>
        </w:rPr>
        <w:t xml:space="preserve">common good </w:t>
      </w:r>
      <w:r w:rsidR="00016049" w:rsidRPr="00461D74">
        <w:rPr>
          <w:rFonts w:ascii="Garamond" w:hAnsi="Garamond" w:cstheme="minorHAnsi"/>
          <w:sz w:val="24"/>
          <w:szCs w:val="24"/>
        </w:rPr>
        <w:t xml:space="preserve">of </w:t>
      </w:r>
      <w:r w:rsidR="00E1269E"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community </w:t>
      </w:r>
      <w:r w:rsidR="00E1269E" w:rsidRPr="00461D74">
        <w:rPr>
          <w:rFonts w:ascii="Garamond" w:hAnsi="Garamond" w:cstheme="minorHAnsi"/>
          <w:sz w:val="24"/>
          <w:szCs w:val="24"/>
        </w:rPr>
        <w:t>as a whole.</w:t>
      </w:r>
      <w:r w:rsidR="00B76794">
        <w:rPr>
          <w:rFonts w:ascii="Garamond" w:hAnsi="Garamond" w:cstheme="minorHAnsi"/>
          <w:sz w:val="24"/>
          <w:szCs w:val="24"/>
        </w:rPr>
        <w:t xml:space="preserve"> </w:t>
      </w:r>
    </w:p>
    <w:p w:rsidR="00665157" w:rsidRDefault="00016049" w:rsidP="00B76794">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This solution, at least </w:t>
      </w:r>
      <w:r w:rsidRPr="00461D74">
        <w:rPr>
          <w:rFonts w:ascii="Garamond" w:hAnsi="Garamond" w:cstheme="minorHAnsi"/>
          <w:i/>
          <w:iCs/>
          <w:sz w:val="24"/>
          <w:szCs w:val="24"/>
        </w:rPr>
        <w:t>prima facie</w:t>
      </w:r>
      <w:r w:rsidRPr="00461D74">
        <w:rPr>
          <w:rFonts w:ascii="Garamond" w:hAnsi="Garamond" w:cstheme="minorHAnsi"/>
          <w:sz w:val="24"/>
          <w:szCs w:val="24"/>
        </w:rPr>
        <w:t xml:space="preserve">, appears to be similar to the type of solution </w:t>
      </w:r>
      <w:r w:rsidR="00B52EA7">
        <w:rPr>
          <w:rFonts w:ascii="Garamond" w:hAnsi="Garamond" w:cstheme="minorHAnsi"/>
          <w:sz w:val="24"/>
          <w:szCs w:val="24"/>
        </w:rPr>
        <w:t>afforded by</w:t>
      </w:r>
      <w:r w:rsidR="00B52EA7" w:rsidRPr="00461D74">
        <w:rPr>
          <w:rFonts w:ascii="Garamond" w:hAnsi="Garamond" w:cstheme="minorHAnsi"/>
          <w:sz w:val="24"/>
          <w:szCs w:val="24"/>
        </w:rPr>
        <w:t xml:space="preserve"> </w:t>
      </w:r>
      <w:r w:rsidRPr="00461D74">
        <w:rPr>
          <w:rFonts w:ascii="Garamond" w:hAnsi="Garamond" w:cstheme="minorHAnsi"/>
          <w:i/>
          <w:iCs/>
          <w:sz w:val="24"/>
          <w:szCs w:val="24"/>
        </w:rPr>
        <w:t>bureaucracies</w:t>
      </w:r>
      <w:r w:rsidRPr="00461D74">
        <w:rPr>
          <w:rFonts w:ascii="Garamond" w:hAnsi="Garamond" w:cstheme="minorHAnsi"/>
          <w:sz w:val="24"/>
          <w:szCs w:val="24"/>
        </w:rPr>
        <w:t xml:space="preserve"> and </w:t>
      </w:r>
      <w:r w:rsidRPr="00461D74">
        <w:rPr>
          <w:rFonts w:ascii="Garamond" w:hAnsi="Garamond" w:cstheme="minorHAnsi"/>
          <w:i/>
          <w:iCs/>
          <w:sz w:val="24"/>
          <w:szCs w:val="24"/>
        </w:rPr>
        <w:t>institutions</w:t>
      </w:r>
      <w:r w:rsidRPr="00461D74">
        <w:rPr>
          <w:rFonts w:ascii="Garamond" w:hAnsi="Garamond" w:cstheme="minorHAnsi"/>
          <w:sz w:val="24"/>
          <w:szCs w:val="24"/>
        </w:rPr>
        <w:t xml:space="preserve"> at the level of </w:t>
      </w:r>
      <w:r w:rsidR="00B52EA7">
        <w:rPr>
          <w:rFonts w:ascii="Garamond" w:hAnsi="Garamond" w:cstheme="minorHAnsi"/>
          <w:sz w:val="24"/>
          <w:szCs w:val="24"/>
        </w:rPr>
        <w:t>large-scale political structures</w:t>
      </w:r>
      <w:r w:rsidRPr="00461D74">
        <w:rPr>
          <w:rFonts w:ascii="Garamond" w:hAnsi="Garamond" w:cstheme="minorHAnsi"/>
          <w:sz w:val="24"/>
          <w:szCs w:val="24"/>
        </w:rPr>
        <w:t xml:space="preserve">. But on MacIntyre’s account, bureaucracies and institutions, at the state-level, are subject to the type of pressures that undermines the internal goods of practices. This is because institutions and bureaucracies </w:t>
      </w:r>
      <w:r w:rsidR="00B52EA7">
        <w:rPr>
          <w:rFonts w:ascii="Garamond" w:hAnsi="Garamond" w:cstheme="minorHAnsi"/>
          <w:sz w:val="24"/>
          <w:szCs w:val="24"/>
        </w:rPr>
        <w:t>tend to gradually</w:t>
      </w:r>
      <w:r w:rsidRPr="00461D74">
        <w:rPr>
          <w:rFonts w:ascii="Garamond" w:hAnsi="Garamond" w:cstheme="minorHAnsi"/>
          <w:sz w:val="24"/>
          <w:szCs w:val="24"/>
        </w:rPr>
        <w:t xml:space="preserve"> </w:t>
      </w:r>
      <w:r w:rsidR="00E1269E" w:rsidRPr="00461D74">
        <w:rPr>
          <w:rFonts w:ascii="Garamond" w:hAnsi="Garamond" w:cstheme="minorHAnsi"/>
          <w:sz w:val="24"/>
          <w:szCs w:val="24"/>
        </w:rPr>
        <w:t xml:space="preserve">corrupt </w:t>
      </w:r>
      <w:r w:rsidRPr="00461D74">
        <w:rPr>
          <w:rFonts w:ascii="Garamond" w:hAnsi="Garamond" w:cstheme="minorHAnsi"/>
          <w:sz w:val="24"/>
          <w:szCs w:val="24"/>
        </w:rPr>
        <w:t xml:space="preserve">the original </w:t>
      </w:r>
      <w:r w:rsidR="00BB526C" w:rsidRPr="00461D74">
        <w:rPr>
          <w:rFonts w:ascii="Garamond" w:hAnsi="Garamond" w:cstheme="minorHAnsi"/>
          <w:sz w:val="24"/>
          <w:szCs w:val="24"/>
        </w:rPr>
        <w:t xml:space="preserve">purpose </w:t>
      </w:r>
      <w:r w:rsidRPr="00461D74">
        <w:rPr>
          <w:rFonts w:ascii="Garamond" w:hAnsi="Garamond" w:cstheme="minorHAnsi"/>
          <w:sz w:val="24"/>
          <w:szCs w:val="24"/>
        </w:rPr>
        <w:t>of the institution</w:t>
      </w:r>
      <w:r w:rsidR="000F3EE0">
        <w:rPr>
          <w:rFonts w:ascii="Garamond" w:hAnsi="Garamond" w:cstheme="minorHAnsi"/>
          <w:sz w:val="24"/>
          <w:szCs w:val="24"/>
        </w:rPr>
        <w:t>s tasked with</w:t>
      </w:r>
      <w:r w:rsidRPr="00461D74">
        <w:rPr>
          <w:rFonts w:ascii="Garamond" w:hAnsi="Garamond" w:cstheme="minorHAnsi"/>
          <w:sz w:val="24"/>
          <w:szCs w:val="24"/>
        </w:rPr>
        <w:t xml:space="preserve"> sustaining so</w:t>
      </w:r>
      <w:r w:rsidR="00BB526C" w:rsidRPr="00461D74">
        <w:rPr>
          <w:rFonts w:ascii="Garamond" w:hAnsi="Garamond" w:cstheme="minorHAnsi"/>
          <w:sz w:val="24"/>
          <w:szCs w:val="24"/>
        </w:rPr>
        <w:t>cial</w:t>
      </w:r>
      <w:r w:rsidRPr="00461D74">
        <w:rPr>
          <w:rFonts w:ascii="Garamond" w:hAnsi="Garamond" w:cstheme="minorHAnsi"/>
          <w:sz w:val="24"/>
          <w:szCs w:val="24"/>
        </w:rPr>
        <w:t xml:space="preserve"> practice</w:t>
      </w:r>
      <w:r w:rsidR="00BB526C" w:rsidRPr="00461D74">
        <w:rPr>
          <w:rFonts w:ascii="Garamond" w:hAnsi="Garamond" w:cstheme="minorHAnsi"/>
          <w:sz w:val="24"/>
          <w:szCs w:val="24"/>
        </w:rPr>
        <w:t xml:space="preserve">s. </w:t>
      </w:r>
      <w:r w:rsidRPr="00461D74">
        <w:rPr>
          <w:rFonts w:ascii="Garamond" w:hAnsi="Garamond" w:cstheme="minorHAnsi"/>
          <w:sz w:val="24"/>
          <w:szCs w:val="24"/>
        </w:rPr>
        <w:t xml:space="preserve">The consequence of this is that the (internal) goods of excellence in the various practices are subordinated to the (external) goods of </w:t>
      </w:r>
      <w:r w:rsidR="00EB437D" w:rsidRPr="00461D74">
        <w:rPr>
          <w:rFonts w:ascii="Garamond" w:hAnsi="Garamond" w:cstheme="minorHAnsi"/>
          <w:sz w:val="24"/>
          <w:szCs w:val="24"/>
        </w:rPr>
        <w:t>effectiveness</w:t>
      </w:r>
      <w:r w:rsidRPr="00461D74">
        <w:rPr>
          <w:rFonts w:ascii="Garamond" w:hAnsi="Garamond" w:cstheme="minorHAnsi"/>
          <w:sz w:val="24"/>
          <w:szCs w:val="24"/>
        </w:rPr>
        <w:t xml:space="preserve">. MacIntyre has persuasively argued in his writings that bureaucracies and institutions pursue external goods of </w:t>
      </w:r>
      <w:r w:rsidR="00EB437D" w:rsidRPr="00461D74">
        <w:rPr>
          <w:rFonts w:ascii="Garamond" w:hAnsi="Garamond" w:cstheme="minorHAnsi"/>
          <w:sz w:val="24"/>
          <w:szCs w:val="24"/>
        </w:rPr>
        <w:t>effectiveness</w:t>
      </w:r>
      <w:r w:rsidRPr="00461D74">
        <w:rPr>
          <w:rFonts w:ascii="Garamond" w:hAnsi="Garamond" w:cstheme="minorHAnsi"/>
          <w:sz w:val="24"/>
          <w:szCs w:val="24"/>
        </w:rPr>
        <w:t>, namely, those of material goods and power</w:t>
      </w:r>
      <w:r w:rsidR="00EB437D" w:rsidRPr="00461D74">
        <w:rPr>
          <w:rFonts w:ascii="Garamond" w:hAnsi="Garamond" w:cstheme="minorHAnsi"/>
          <w:sz w:val="24"/>
          <w:szCs w:val="24"/>
        </w:rPr>
        <w:t>,</w:t>
      </w:r>
      <w:r w:rsidRPr="00461D74">
        <w:rPr>
          <w:rFonts w:ascii="Garamond" w:hAnsi="Garamond" w:cstheme="minorHAnsi"/>
          <w:sz w:val="24"/>
          <w:szCs w:val="24"/>
        </w:rPr>
        <w:t xml:space="preserve"> over the goods of excellence – those goods internal </w:t>
      </w:r>
      <w:r w:rsidR="00EB437D" w:rsidRPr="00461D74">
        <w:rPr>
          <w:rFonts w:ascii="Garamond" w:hAnsi="Garamond" w:cstheme="minorHAnsi"/>
          <w:sz w:val="24"/>
          <w:szCs w:val="24"/>
        </w:rPr>
        <w:t xml:space="preserve">of </w:t>
      </w:r>
      <w:r w:rsidRPr="00461D74">
        <w:rPr>
          <w:rFonts w:ascii="Garamond" w:hAnsi="Garamond" w:cstheme="minorHAnsi"/>
          <w:sz w:val="24"/>
          <w:szCs w:val="24"/>
        </w:rPr>
        <w:t>practices</w:t>
      </w:r>
      <w:r w:rsidR="00EB437D" w:rsidRPr="00461D74">
        <w:rPr>
          <w:rFonts w:ascii="Garamond" w:hAnsi="Garamond" w:cstheme="minorHAnsi"/>
          <w:sz w:val="24"/>
          <w:szCs w:val="24"/>
        </w:rPr>
        <w:t>,</w:t>
      </w:r>
      <w:r w:rsidRPr="00461D74">
        <w:rPr>
          <w:rFonts w:ascii="Garamond" w:hAnsi="Garamond" w:cstheme="minorHAnsi"/>
          <w:sz w:val="24"/>
          <w:szCs w:val="24"/>
        </w:rPr>
        <w:t xml:space="preserve"> </w:t>
      </w:r>
      <w:r w:rsidR="00EB437D" w:rsidRPr="00461D74">
        <w:rPr>
          <w:rFonts w:ascii="Garamond" w:hAnsi="Garamond" w:cstheme="minorHAnsi"/>
          <w:sz w:val="24"/>
          <w:szCs w:val="24"/>
        </w:rPr>
        <w:t xml:space="preserve">which helps to sustain them </w:t>
      </w:r>
      <w:r w:rsidRPr="00461D74">
        <w:rPr>
          <w:rFonts w:ascii="Garamond" w:hAnsi="Garamond" w:cstheme="minorHAnsi"/>
          <w:sz w:val="24"/>
          <w:szCs w:val="24"/>
        </w:rPr>
        <w:t xml:space="preserve">such as </w:t>
      </w:r>
      <w:r w:rsidR="00EB437D" w:rsidRPr="00461D74">
        <w:rPr>
          <w:rFonts w:ascii="Garamond" w:hAnsi="Garamond" w:cstheme="minorHAnsi"/>
          <w:sz w:val="24"/>
          <w:szCs w:val="24"/>
        </w:rPr>
        <w:t>truthfulness</w:t>
      </w:r>
      <w:r w:rsidRPr="00461D74">
        <w:rPr>
          <w:rFonts w:ascii="Garamond" w:hAnsi="Garamond" w:cstheme="minorHAnsi"/>
          <w:sz w:val="24"/>
          <w:szCs w:val="24"/>
        </w:rPr>
        <w:t xml:space="preserve">, courage, and </w:t>
      </w:r>
      <w:r w:rsidR="00EB437D" w:rsidRPr="00461D74">
        <w:rPr>
          <w:rFonts w:ascii="Garamond" w:hAnsi="Garamond" w:cstheme="minorHAnsi"/>
          <w:sz w:val="24"/>
          <w:szCs w:val="24"/>
        </w:rPr>
        <w:t>fairness</w:t>
      </w:r>
      <w:r w:rsidRPr="00461D74">
        <w:rPr>
          <w:rFonts w:ascii="Garamond" w:hAnsi="Garamond" w:cstheme="minorHAnsi"/>
          <w:sz w:val="24"/>
          <w:szCs w:val="24"/>
        </w:rPr>
        <w:t>.</w:t>
      </w:r>
      <w:r w:rsidR="000F3EE0" w:rsidRPr="00461D74">
        <w:rPr>
          <w:rStyle w:val="FootnoteReference"/>
          <w:rFonts w:ascii="Garamond" w:hAnsi="Garamond" w:cstheme="minorHAnsi"/>
          <w:sz w:val="24"/>
          <w:szCs w:val="24"/>
        </w:rPr>
        <w:footnoteReference w:id="346"/>
      </w:r>
      <w:r w:rsidRPr="00461D74">
        <w:rPr>
          <w:rFonts w:ascii="Garamond" w:hAnsi="Garamond" w:cstheme="minorHAnsi"/>
          <w:sz w:val="24"/>
          <w:szCs w:val="24"/>
        </w:rPr>
        <w:t xml:space="preserve"> MacIntyre’s commitment to claims about the nature of bureaucracies and institutions undermines his ability to furnish us with this type of </w:t>
      </w:r>
      <w:r w:rsidR="00EB437D" w:rsidRPr="00461D74">
        <w:rPr>
          <w:rFonts w:ascii="Garamond" w:hAnsi="Garamond" w:cstheme="minorHAnsi"/>
          <w:sz w:val="24"/>
          <w:szCs w:val="24"/>
        </w:rPr>
        <w:t>answer</w:t>
      </w:r>
      <w:r w:rsidR="00C21DFA">
        <w:rPr>
          <w:rFonts w:ascii="Garamond" w:hAnsi="Garamond" w:cstheme="minorHAnsi"/>
          <w:sz w:val="24"/>
          <w:szCs w:val="24"/>
        </w:rPr>
        <w:t>,</w:t>
      </w:r>
      <w:r w:rsidR="00EB437D" w:rsidRPr="00461D74">
        <w:rPr>
          <w:rFonts w:ascii="Garamond" w:hAnsi="Garamond" w:cstheme="minorHAnsi"/>
          <w:sz w:val="24"/>
          <w:szCs w:val="24"/>
        </w:rPr>
        <w:t xml:space="preserve"> since it seems that</w:t>
      </w:r>
      <w:r w:rsidRPr="00461D74">
        <w:rPr>
          <w:rFonts w:ascii="Garamond" w:hAnsi="Garamond" w:cstheme="minorHAnsi"/>
          <w:sz w:val="24"/>
          <w:szCs w:val="24"/>
        </w:rPr>
        <w:t xml:space="preserve"> policy forums appear to be </w:t>
      </w:r>
      <w:r w:rsidR="00EB437D" w:rsidRPr="00461D74">
        <w:rPr>
          <w:rFonts w:ascii="Garamond" w:hAnsi="Garamond" w:cstheme="minorHAnsi"/>
          <w:sz w:val="24"/>
          <w:szCs w:val="24"/>
        </w:rPr>
        <w:t xml:space="preserve">less complex forms of </w:t>
      </w:r>
      <w:r w:rsidRPr="00461D74">
        <w:rPr>
          <w:rFonts w:ascii="Garamond" w:hAnsi="Garamond" w:cstheme="minorHAnsi"/>
          <w:sz w:val="24"/>
          <w:szCs w:val="24"/>
        </w:rPr>
        <w:t xml:space="preserve">bureaucracies. In any case, either the concept of politics as a practice is incoherent, or MacIntyre would have to sanction </w:t>
      </w:r>
      <w:r w:rsidR="00EB437D" w:rsidRPr="00461D74">
        <w:rPr>
          <w:rFonts w:ascii="Garamond" w:hAnsi="Garamond" w:cstheme="minorHAnsi"/>
          <w:sz w:val="24"/>
          <w:szCs w:val="24"/>
        </w:rPr>
        <w:t xml:space="preserve">some form of bureaucracy </w:t>
      </w:r>
      <w:r w:rsidRPr="00461D74">
        <w:rPr>
          <w:rFonts w:ascii="Garamond" w:hAnsi="Garamond" w:cstheme="minorHAnsi"/>
          <w:sz w:val="24"/>
          <w:szCs w:val="24"/>
        </w:rPr>
        <w:t xml:space="preserve">at the level of local politics, </w:t>
      </w:r>
      <w:r w:rsidR="00EB437D" w:rsidRPr="00461D74">
        <w:rPr>
          <w:rFonts w:ascii="Garamond" w:hAnsi="Garamond" w:cstheme="minorHAnsi"/>
          <w:sz w:val="24"/>
          <w:szCs w:val="24"/>
        </w:rPr>
        <w:t xml:space="preserve">a position that </w:t>
      </w:r>
      <w:r w:rsidRPr="00461D74">
        <w:rPr>
          <w:rFonts w:ascii="Garamond" w:hAnsi="Garamond" w:cstheme="minorHAnsi"/>
          <w:sz w:val="24"/>
          <w:szCs w:val="24"/>
        </w:rPr>
        <w:t xml:space="preserve">does not fit well with </w:t>
      </w:r>
      <w:r w:rsidR="00EB437D" w:rsidRPr="00461D74">
        <w:rPr>
          <w:rFonts w:ascii="Garamond" w:hAnsi="Garamond" w:cstheme="minorHAnsi"/>
          <w:sz w:val="24"/>
          <w:szCs w:val="24"/>
        </w:rPr>
        <w:t>his rigorous criti</w:t>
      </w:r>
      <w:r w:rsidR="00FE67DD" w:rsidRPr="00461D74">
        <w:rPr>
          <w:rFonts w:ascii="Garamond" w:hAnsi="Garamond" w:cstheme="minorHAnsi"/>
          <w:sz w:val="24"/>
          <w:szCs w:val="24"/>
        </w:rPr>
        <w:t>que</w:t>
      </w:r>
      <w:r w:rsidR="00EB437D" w:rsidRPr="00461D74">
        <w:rPr>
          <w:rFonts w:ascii="Garamond" w:hAnsi="Garamond" w:cstheme="minorHAnsi"/>
          <w:sz w:val="24"/>
          <w:szCs w:val="24"/>
        </w:rPr>
        <w:t xml:space="preserve"> of bureaucracies and institutions</w:t>
      </w:r>
      <w:r w:rsidRPr="00461D74">
        <w:rPr>
          <w:rFonts w:ascii="Garamond" w:hAnsi="Garamond" w:cstheme="minorHAnsi"/>
          <w:sz w:val="24"/>
          <w:szCs w:val="24"/>
        </w:rPr>
        <w:t>.</w:t>
      </w:r>
      <w:r w:rsidR="000F3EE0">
        <w:rPr>
          <w:rStyle w:val="FootnoteReference"/>
          <w:rFonts w:ascii="Garamond" w:hAnsi="Garamond" w:cstheme="minorHAnsi"/>
          <w:sz w:val="24"/>
          <w:szCs w:val="24"/>
        </w:rPr>
        <w:footnoteReference w:id="347"/>
      </w:r>
    </w:p>
    <w:p w:rsidR="00665157" w:rsidRDefault="00016049" w:rsidP="00EC6B97">
      <w:pPr>
        <w:spacing w:line="360" w:lineRule="auto"/>
        <w:ind w:firstLine="720"/>
        <w:jc w:val="both"/>
        <w:rPr>
          <w:rFonts w:ascii="Garamond" w:hAnsi="Garamond" w:cstheme="minorHAnsi"/>
          <w:sz w:val="24"/>
          <w:szCs w:val="24"/>
        </w:rPr>
      </w:pPr>
      <w:r w:rsidRPr="00461D74">
        <w:rPr>
          <w:rFonts w:ascii="Garamond" w:hAnsi="Garamond" w:cstheme="minorHAnsi"/>
          <w:iCs/>
          <w:sz w:val="24"/>
          <w:szCs w:val="24"/>
        </w:rPr>
        <w:t xml:space="preserve">But perhaps MacIntyre can answer in a different way. He could weaken the connection between </w:t>
      </w:r>
      <w:r w:rsidR="00053D67">
        <w:rPr>
          <w:rFonts w:ascii="Garamond" w:hAnsi="Garamond" w:cstheme="minorHAnsi"/>
          <w:iCs/>
          <w:sz w:val="24"/>
          <w:szCs w:val="24"/>
        </w:rPr>
        <w:t>the knowledge of</w:t>
      </w:r>
      <w:r w:rsidR="00053D67" w:rsidRPr="00461D74">
        <w:rPr>
          <w:rFonts w:ascii="Garamond" w:hAnsi="Garamond" w:cstheme="minorHAnsi"/>
          <w:iCs/>
          <w:sz w:val="24"/>
          <w:szCs w:val="24"/>
        </w:rPr>
        <w:t xml:space="preserve"> </w:t>
      </w:r>
      <w:r w:rsidRPr="00461D74">
        <w:rPr>
          <w:rFonts w:ascii="Garamond" w:hAnsi="Garamond" w:cstheme="minorHAnsi"/>
          <w:iCs/>
          <w:sz w:val="24"/>
          <w:szCs w:val="24"/>
        </w:rPr>
        <w:t xml:space="preserve">the goods </w:t>
      </w:r>
      <w:r w:rsidR="00B62064">
        <w:rPr>
          <w:rFonts w:ascii="Garamond" w:hAnsi="Garamond" w:cstheme="minorHAnsi"/>
          <w:iCs/>
          <w:sz w:val="24"/>
          <w:szCs w:val="24"/>
        </w:rPr>
        <w:t>afforded by</w:t>
      </w:r>
      <w:r w:rsidR="00B62064" w:rsidRPr="00461D74">
        <w:rPr>
          <w:rFonts w:ascii="Garamond" w:hAnsi="Garamond" w:cstheme="minorHAnsi"/>
          <w:iCs/>
          <w:sz w:val="24"/>
          <w:szCs w:val="24"/>
        </w:rPr>
        <w:t xml:space="preserve"> </w:t>
      </w:r>
      <w:r w:rsidR="00EB437D" w:rsidRPr="00461D74">
        <w:rPr>
          <w:rFonts w:ascii="Garamond" w:hAnsi="Garamond" w:cstheme="minorHAnsi"/>
          <w:iCs/>
          <w:sz w:val="24"/>
          <w:szCs w:val="24"/>
        </w:rPr>
        <w:t xml:space="preserve">a </w:t>
      </w:r>
      <w:r w:rsidRPr="00461D74">
        <w:rPr>
          <w:rFonts w:ascii="Garamond" w:hAnsi="Garamond" w:cstheme="minorHAnsi"/>
          <w:iCs/>
          <w:sz w:val="24"/>
          <w:szCs w:val="24"/>
        </w:rPr>
        <w:t>practice, and</w:t>
      </w:r>
      <w:r w:rsidR="00B62064">
        <w:rPr>
          <w:rFonts w:ascii="Garamond" w:hAnsi="Garamond" w:cstheme="minorHAnsi"/>
          <w:iCs/>
          <w:sz w:val="24"/>
          <w:szCs w:val="24"/>
        </w:rPr>
        <w:t xml:space="preserve"> participation in that practice, so that it is no longer necessary to participate in a social practice for one to fully apprehend and </w:t>
      </w:r>
      <w:r w:rsidR="00EB437D" w:rsidRPr="00461D74">
        <w:rPr>
          <w:rFonts w:ascii="Garamond" w:hAnsi="Garamond" w:cstheme="minorHAnsi"/>
          <w:iCs/>
          <w:sz w:val="24"/>
          <w:szCs w:val="24"/>
        </w:rPr>
        <w:t xml:space="preserve">appreciate </w:t>
      </w:r>
      <w:r w:rsidR="00B62064">
        <w:rPr>
          <w:rFonts w:ascii="Garamond" w:hAnsi="Garamond" w:cstheme="minorHAnsi"/>
          <w:iCs/>
          <w:sz w:val="24"/>
          <w:szCs w:val="24"/>
        </w:rPr>
        <w:t xml:space="preserve">its </w:t>
      </w:r>
      <w:r w:rsidRPr="00461D74">
        <w:rPr>
          <w:rFonts w:ascii="Garamond" w:hAnsi="Garamond" w:cstheme="minorHAnsi"/>
          <w:iCs/>
          <w:sz w:val="24"/>
          <w:szCs w:val="24"/>
        </w:rPr>
        <w:t>goods.</w:t>
      </w:r>
      <w:r w:rsidRPr="00461D74">
        <w:rPr>
          <w:rFonts w:ascii="Garamond" w:hAnsi="Garamond" w:cstheme="minorHAnsi"/>
          <w:sz w:val="24"/>
          <w:szCs w:val="24"/>
        </w:rPr>
        <w:t xml:space="preserve"> </w:t>
      </w:r>
      <w:r w:rsidR="00841582" w:rsidRPr="00461D74">
        <w:rPr>
          <w:rFonts w:ascii="Garamond" w:hAnsi="Garamond" w:cstheme="minorHAnsi"/>
          <w:sz w:val="24"/>
          <w:szCs w:val="24"/>
        </w:rPr>
        <w:t xml:space="preserve">Here, </w:t>
      </w:r>
      <w:r w:rsidRPr="00461D74">
        <w:rPr>
          <w:rFonts w:ascii="Garamond" w:hAnsi="Garamond" w:cstheme="minorHAnsi"/>
          <w:iCs/>
          <w:sz w:val="24"/>
          <w:szCs w:val="24"/>
        </w:rPr>
        <w:t xml:space="preserve">MacIntyre could claim that the practice of politics is always accomplished as part of a continuing tradition. Politics might then be a sort of repository of collective </w:t>
      </w:r>
      <w:r w:rsidRPr="00461D74">
        <w:rPr>
          <w:rFonts w:ascii="Garamond" w:hAnsi="Garamond" w:cstheme="minorHAnsi"/>
          <w:iCs/>
          <w:sz w:val="24"/>
          <w:szCs w:val="24"/>
        </w:rPr>
        <w:lastRenderedPageBreak/>
        <w:t xml:space="preserve">wisdom. People in traditions inherit this collective wisdom in the practice of politics and its related institutions. </w:t>
      </w:r>
      <w:r w:rsidR="00B33E9C">
        <w:rPr>
          <w:rFonts w:ascii="Garamond" w:hAnsi="Garamond" w:cstheme="minorHAnsi"/>
          <w:iCs/>
          <w:sz w:val="24"/>
          <w:szCs w:val="24"/>
        </w:rPr>
        <w:t>Thus</w:t>
      </w:r>
      <w:r w:rsidR="00C12469">
        <w:rPr>
          <w:rFonts w:ascii="Garamond" w:hAnsi="Garamond" w:cstheme="minorHAnsi"/>
          <w:iCs/>
          <w:sz w:val="24"/>
          <w:szCs w:val="24"/>
        </w:rPr>
        <w:t>, a person</w:t>
      </w:r>
      <w:r w:rsidRPr="00461D74">
        <w:rPr>
          <w:rFonts w:ascii="Garamond" w:hAnsi="Garamond" w:cstheme="minorHAnsi"/>
          <w:iCs/>
          <w:sz w:val="24"/>
          <w:szCs w:val="24"/>
        </w:rPr>
        <w:t xml:space="preserve"> who isn’t a practitioner of </w:t>
      </w:r>
      <w:r w:rsidR="00F8064B">
        <w:rPr>
          <w:rFonts w:ascii="Garamond" w:hAnsi="Garamond" w:cstheme="minorHAnsi"/>
          <w:iCs/>
          <w:sz w:val="24"/>
          <w:szCs w:val="24"/>
        </w:rPr>
        <w:t>a range of</w:t>
      </w:r>
      <w:r w:rsidR="00841582" w:rsidRPr="00461D74">
        <w:rPr>
          <w:rFonts w:ascii="Garamond" w:hAnsi="Garamond" w:cstheme="minorHAnsi"/>
          <w:iCs/>
          <w:sz w:val="24"/>
          <w:szCs w:val="24"/>
        </w:rPr>
        <w:t xml:space="preserve"> social </w:t>
      </w:r>
      <w:r w:rsidRPr="00461D74">
        <w:rPr>
          <w:rFonts w:ascii="Garamond" w:hAnsi="Garamond" w:cstheme="minorHAnsi"/>
          <w:iCs/>
          <w:sz w:val="24"/>
          <w:szCs w:val="24"/>
        </w:rPr>
        <w:t>practice</w:t>
      </w:r>
      <w:r w:rsidR="00F8064B">
        <w:rPr>
          <w:rFonts w:ascii="Garamond" w:hAnsi="Garamond" w:cstheme="minorHAnsi"/>
          <w:iCs/>
          <w:sz w:val="24"/>
          <w:szCs w:val="24"/>
        </w:rPr>
        <w:t>s</w:t>
      </w:r>
      <w:r w:rsidRPr="00461D74">
        <w:rPr>
          <w:rFonts w:ascii="Garamond" w:hAnsi="Garamond" w:cstheme="minorHAnsi"/>
          <w:iCs/>
          <w:sz w:val="24"/>
          <w:szCs w:val="24"/>
        </w:rPr>
        <w:t xml:space="preserve"> could </w:t>
      </w:r>
      <w:r w:rsidR="00C12469">
        <w:rPr>
          <w:rFonts w:ascii="Garamond" w:hAnsi="Garamond" w:cstheme="minorHAnsi"/>
          <w:iCs/>
          <w:sz w:val="24"/>
          <w:szCs w:val="24"/>
        </w:rPr>
        <w:t xml:space="preserve">in principle </w:t>
      </w:r>
      <w:r w:rsidR="00F8064B">
        <w:rPr>
          <w:rFonts w:ascii="Garamond" w:hAnsi="Garamond" w:cstheme="minorHAnsi"/>
          <w:iCs/>
          <w:sz w:val="24"/>
          <w:szCs w:val="24"/>
        </w:rPr>
        <w:t>possess the ability to</w:t>
      </w:r>
      <w:r w:rsidRPr="00461D74">
        <w:rPr>
          <w:rFonts w:ascii="Garamond" w:hAnsi="Garamond" w:cstheme="minorHAnsi"/>
          <w:iCs/>
          <w:sz w:val="24"/>
          <w:szCs w:val="24"/>
        </w:rPr>
        <w:t xml:space="preserve"> evaluat</w:t>
      </w:r>
      <w:r w:rsidR="00F8064B">
        <w:rPr>
          <w:rFonts w:ascii="Garamond" w:hAnsi="Garamond" w:cstheme="minorHAnsi"/>
          <w:iCs/>
          <w:sz w:val="24"/>
          <w:szCs w:val="24"/>
        </w:rPr>
        <w:t>e</w:t>
      </w:r>
      <w:r w:rsidRPr="00461D74">
        <w:rPr>
          <w:rFonts w:ascii="Garamond" w:hAnsi="Garamond" w:cstheme="minorHAnsi"/>
          <w:iCs/>
          <w:sz w:val="24"/>
          <w:szCs w:val="24"/>
        </w:rPr>
        <w:t xml:space="preserve"> and </w:t>
      </w:r>
      <w:r w:rsidR="00F8064B" w:rsidRPr="00461D74">
        <w:rPr>
          <w:rFonts w:ascii="Garamond" w:hAnsi="Garamond" w:cstheme="minorHAnsi"/>
          <w:iCs/>
          <w:sz w:val="24"/>
          <w:szCs w:val="24"/>
        </w:rPr>
        <w:t>arrang</w:t>
      </w:r>
      <w:r w:rsidR="00F8064B">
        <w:rPr>
          <w:rFonts w:ascii="Garamond" w:hAnsi="Garamond" w:cstheme="minorHAnsi"/>
          <w:iCs/>
          <w:sz w:val="24"/>
          <w:szCs w:val="24"/>
        </w:rPr>
        <w:t>e</w:t>
      </w:r>
      <w:r w:rsidR="00F8064B" w:rsidRPr="00461D74">
        <w:rPr>
          <w:rFonts w:ascii="Garamond" w:hAnsi="Garamond" w:cstheme="minorHAnsi"/>
          <w:iCs/>
          <w:sz w:val="24"/>
          <w:szCs w:val="24"/>
        </w:rPr>
        <w:t xml:space="preserve"> </w:t>
      </w:r>
      <w:r w:rsidRPr="00461D74">
        <w:rPr>
          <w:rFonts w:ascii="Garamond" w:hAnsi="Garamond" w:cstheme="minorHAnsi"/>
          <w:iCs/>
          <w:sz w:val="24"/>
          <w:szCs w:val="24"/>
        </w:rPr>
        <w:t>the goods</w:t>
      </w:r>
      <w:r w:rsidR="00841582" w:rsidRPr="00461D74">
        <w:rPr>
          <w:rFonts w:ascii="Garamond" w:hAnsi="Garamond" w:cstheme="minorHAnsi"/>
          <w:iCs/>
          <w:sz w:val="24"/>
          <w:szCs w:val="24"/>
        </w:rPr>
        <w:t xml:space="preserve"> they </w:t>
      </w:r>
      <w:r w:rsidR="00F8064B">
        <w:rPr>
          <w:rFonts w:ascii="Garamond" w:hAnsi="Garamond" w:cstheme="minorHAnsi"/>
          <w:iCs/>
          <w:sz w:val="24"/>
          <w:szCs w:val="24"/>
        </w:rPr>
        <w:t>afford</w:t>
      </w:r>
      <w:r w:rsidRPr="00461D74">
        <w:rPr>
          <w:rFonts w:ascii="Garamond" w:hAnsi="Garamond" w:cstheme="minorHAnsi"/>
          <w:iCs/>
          <w:sz w:val="24"/>
          <w:szCs w:val="24"/>
        </w:rPr>
        <w:t>. Therefore</w:t>
      </w:r>
      <w:r w:rsidR="00841582" w:rsidRPr="00461D74">
        <w:rPr>
          <w:rFonts w:ascii="Garamond" w:hAnsi="Garamond" w:cstheme="minorHAnsi"/>
          <w:iCs/>
          <w:sz w:val="24"/>
          <w:szCs w:val="24"/>
        </w:rPr>
        <w:t>,</w:t>
      </w:r>
      <w:r w:rsidRPr="00461D74">
        <w:rPr>
          <w:rFonts w:ascii="Garamond" w:hAnsi="Garamond" w:cstheme="minorHAnsi"/>
          <w:iCs/>
          <w:sz w:val="24"/>
          <w:szCs w:val="24"/>
        </w:rPr>
        <w:t xml:space="preserve"> discussions with respect to arranging the goods of practices</w:t>
      </w:r>
      <w:r w:rsidR="00BA02C3" w:rsidRPr="00461D74">
        <w:rPr>
          <w:rFonts w:ascii="Garamond" w:hAnsi="Garamond" w:cstheme="minorHAnsi"/>
          <w:iCs/>
          <w:sz w:val="24"/>
          <w:szCs w:val="24"/>
        </w:rPr>
        <w:t xml:space="preserve"> are</w:t>
      </w:r>
      <w:r w:rsidRPr="00461D74">
        <w:rPr>
          <w:rFonts w:ascii="Garamond" w:hAnsi="Garamond" w:cstheme="minorHAnsi"/>
          <w:iCs/>
          <w:sz w:val="24"/>
          <w:szCs w:val="24"/>
        </w:rPr>
        <w:t xml:space="preserve"> always possible among different participants.</w:t>
      </w:r>
      <w:r w:rsidR="00841582" w:rsidRPr="00461D74">
        <w:rPr>
          <w:rFonts w:ascii="Garamond" w:hAnsi="Garamond" w:cstheme="minorHAnsi"/>
          <w:iCs/>
          <w:sz w:val="24"/>
          <w:szCs w:val="24"/>
        </w:rPr>
        <w:t xml:space="preserve"> Nevertheless, </w:t>
      </w:r>
      <w:r w:rsidRPr="00461D74">
        <w:rPr>
          <w:rFonts w:ascii="Garamond" w:hAnsi="Garamond" w:cstheme="minorHAnsi"/>
          <w:sz w:val="24"/>
          <w:szCs w:val="24"/>
        </w:rPr>
        <w:t xml:space="preserve">this </w:t>
      </w:r>
      <w:r w:rsidR="00841582" w:rsidRPr="00461D74">
        <w:rPr>
          <w:rFonts w:ascii="Garamond" w:hAnsi="Garamond" w:cstheme="minorHAnsi"/>
          <w:sz w:val="24"/>
          <w:szCs w:val="24"/>
        </w:rPr>
        <w:t xml:space="preserve">last </w:t>
      </w:r>
      <w:r w:rsidRPr="00461D74">
        <w:rPr>
          <w:rFonts w:ascii="Garamond" w:hAnsi="Garamond" w:cstheme="minorHAnsi"/>
          <w:sz w:val="24"/>
          <w:szCs w:val="24"/>
        </w:rPr>
        <w:t xml:space="preserve">suggestion </w:t>
      </w:r>
      <w:r w:rsidR="00841582" w:rsidRPr="00461D74">
        <w:rPr>
          <w:rFonts w:ascii="Garamond" w:hAnsi="Garamond" w:cstheme="minorHAnsi"/>
          <w:sz w:val="24"/>
          <w:szCs w:val="24"/>
        </w:rPr>
        <w:t xml:space="preserve">is </w:t>
      </w:r>
      <w:r w:rsidRPr="00461D74">
        <w:rPr>
          <w:rFonts w:ascii="Garamond" w:hAnsi="Garamond" w:cstheme="minorHAnsi"/>
          <w:sz w:val="24"/>
          <w:szCs w:val="24"/>
        </w:rPr>
        <w:t xml:space="preserve">only </w:t>
      </w:r>
      <w:r w:rsidR="00841582" w:rsidRPr="00461D74">
        <w:rPr>
          <w:rFonts w:ascii="Garamond" w:hAnsi="Garamond" w:cstheme="minorHAnsi"/>
          <w:sz w:val="24"/>
          <w:szCs w:val="24"/>
        </w:rPr>
        <w:t xml:space="preserve">possible </w:t>
      </w:r>
      <w:r w:rsidRPr="00461D74">
        <w:rPr>
          <w:rFonts w:ascii="Garamond" w:hAnsi="Garamond" w:cstheme="minorHAnsi"/>
          <w:sz w:val="24"/>
          <w:szCs w:val="24"/>
        </w:rPr>
        <w:t xml:space="preserve">if </w:t>
      </w:r>
      <w:r w:rsidR="00841582" w:rsidRPr="00461D74">
        <w:rPr>
          <w:rFonts w:ascii="Garamond" w:hAnsi="Garamond" w:cstheme="minorHAnsi"/>
          <w:sz w:val="24"/>
          <w:szCs w:val="24"/>
        </w:rPr>
        <w:t xml:space="preserve">MacIntyre decides to </w:t>
      </w:r>
      <w:r w:rsidRPr="00461D74">
        <w:rPr>
          <w:rFonts w:ascii="Garamond" w:hAnsi="Garamond" w:cstheme="minorHAnsi"/>
          <w:sz w:val="24"/>
          <w:szCs w:val="24"/>
        </w:rPr>
        <w:t>extend his account in way</w:t>
      </w:r>
      <w:r w:rsidR="00670F66" w:rsidRPr="00461D74">
        <w:rPr>
          <w:rFonts w:ascii="Garamond" w:hAnsi="Garamond" w:cstheme="minorHAnsi"/>
          <w:sz w:val="24"/>
          <w:szCs w:val="24"/>
        </w:rPr>
        <w:t>s</w:t>
      </w:r>
      <w:r w:rsidRPr="00461D74">
        <w:rPr>
          <w:rFonts w:ascii="Garamond" w:hAnsi="Garamond" w:cstheme="minorHAnsi"/>
          <w:sz w:val="24"/>
          <w:szCs w:val="24"/>
        </w:rPr>
        <w:t xml:space="preserve"> that offers a constructive role</w:t>
      </w:r>
      <w:r w:rsidR="00841582" w:rsidRPr="00461D74">
        <w:rPr>
          <w:rFonts w:ascii="Garamond" w:hAnsi="Garamond" w:cstheme="minorHAnsi"/>
          <w:sz w:val="24"/>
          <w:szCs w:val="24"/>
        </w:rPr>
        <w:t xml:space="preserve"> for </w:t>
      </w:r>
      <w:r w:rsidRPr="00461D74">
        <w:rPr>
          <w:rFonts w:ascii="Garamond" w:hAnsi="Garamond" w:cstheme="minorHAnsi"/>
          <w:sz w:val="24"/>
          <w:szCs w:val="24"/>
        </w:rPr>
        <w:t>institutions</w:t>
      </w:r>
      <w:r w:rsidR="00841582" w:rsidRPr="00461D74">
        <w:rPr>
          <w:rFonts w:ascii="Garamond" w:hAnsi="Garamond" w:cstheme="minorHAnsi"/>
          <w:sz w:val="24"/>
          <w:szCs w:val="24"/>
        </w:rPr>
        <w:t xml:space="preserve">, bureaucracies, and more generally, </w:t>
      </w:r>
      <w:r w:rsidR="00EC6B97">
        <w:rPr>
          <w:rFonts w:ascii="Garamond" w:hAnsi="Garamond" w:cstheme="minorHAnsi"/>
          <w:sz w:val="24"/>
          <w:szCs w:val="24"/>
        </w:rPr>
        <w:t xml:space="preserve">that he </w:t>
      </w:r>
      <w:r w:rsidR="00841582" w:rsidRPr="00461D74">
        <w:rPr>
          <w:rFonts w:ascii="Garamond" w:hAnsi="Garamond" w:cstheme="minorHAnsi"/>
          <w:sz w:val="24"/>
          <w:szCs w:val="24"/>
        </w:rPr>
        <w:t>remain</w:t>
      </w:r>
      <w:r w:rsidR="00EC6B97">
        <w:rPr>
          <w:rFonts w:ascii="Garamond" w:hAnsi="Garamond" w:cstheme="minorHAnsi"/>
          <w:sz w:val="24"/>
          <w:szCs w:val="24"/>
        </w:rPr>
        <w:t>s</w:t>
      </w:r>
      <w:r w:rsidR="00841582" w:rsidRPr="00461D74">
        <w:rPr>
          <w:rFonts w:ascii="Garamond" w:hAnsi="Garamond" w:cstheme="minorHAnsi"/>
          <w:sz w:val="24"/>
          <w:szCs w:val="24"/>
        </w:rPr>
        <w:t xml:space="preserve"> </w:t>
      </w:r>
      <w:r w:rsidR="00EC6B97">
        <w:rPr>
          <w:rFonts w:ascii="Garamond" w:hAnsi="Garamond" w:cstheme="minorHAnsi"/>
          <w:sz w:val="24"/>
          <w:szCs w:val="24"/>
        </w:rPr>
        <w:t xml:space="preserve">otherwise </w:t>
      </w:r>
      <w:r w:rsidR="00841582" w:rsidRPr="00461D74">
        <w:rPr>
          <w:rFonts w:ascii="Garamond" w:hAnsi="Garamond" w:cstheme="minorHAnsi"/>
          <w:sz w:val="24"/>
          <w:szCs w:val="24"/>
        </w:rPr>
        <w:t xml:space="preserve">open to correcting </w:t>
      </w:r>
      <w:r w:rsidR="00EC6B97">
        <w:rPr>
          <w:rFonts w:ascii="Garamond" w:hAnsi="Garamond" w:cstheme="minorHAnsi"/>
          <w:sz w:val="24"/>
          <w:szCs w:val="24"/>
        </w:rPr>
        <w:t xml:space="preserve">the inadequacies exhibited by </w:t>
      </w:r>
      <w:r w:rsidR="00841582" w:rsidRPr="00461D74">
        <w:rPr>
          <w:rFonts w:ascii="Garamond" w:hAnsi="Garamond" w:cstheme="minorHAnsi"/>
          <w:sz w:val="24"/>
          <w:szCs w:val="24"/>
        </w:rPr>
        <w:t xml:space="preserve">large-scale politics </w:t>
      </w:r>
      <w:r w:rsidR="00EC6B97">
        <w:rPr>
          <w:rFonts w:ascii="Garamond" w:hAnsi="Garamond" w:cstheme="minorHAnsi"/>
          <w:sz w:val="24"/>
          <w:szCs w:val="24"/>
        </w:rPr>
        <w:t>structures</w:t>
      </w:r>
      <w:r w:rsidRPr="00461D74">
        <w:rPr>
          <w:rFonts w:ascii="Garamond" w:hAnsi="Garamond" w:cstheme="minorHAnsi"/>
          <w:sz w:val="24"/>
          <w:szCs w:val="24"/>
        </w:rPr>
        <w:t xml:space="preserve">. This </w:t>
      </w:r>
      <w:r w:rsidR="00EC6B97">
        <w:rPr>
          <w:rFonts w:ascii="Garamond" w:hAnsi="Garamond" w:cstheme="minorHAnsi"/>
          <w:sz w:val="24"/>
          <w:szCs w:val="24"/>
        </w:rPr>
        <w:t>however</w:t>
      </w:r>
      <w:r w:rsidR="00670F66" w:rsidRPr="00461D74">
        <w:rPr>
          <w:rFonts w:ascii="Garamond" w:hAnsi="Garamond" w:cstheme="minorHAnsi"/>
          <w:sz w:val="24"/>
          <w:szCs w:val="24"/>
        </w:rPr>
        <w:t xml:space="preserve"> </w:t>
      </w:r>
      <w:r w:rsidRPr="00461D74">
        <w:rPr>
          <w:rFonts w:ascii="Garamond" w:hAnsi="Garamond" w:cstheme="minorHAnsi"/>
          <w:sz w:val="24"/>
          <w:szCs w:val="24"/>
        </w:rPr>
        <w:t>reinforce</w:t>
      </w:r>
      <w:r w:rsidR="00EC6B97">
        <w:rPr>
          <w:rFonts w:ascii="Garamond" w:hAnsi="Garamond" w:cstheme="minorHAnsi"/>
          <w:sz w:val="24"/>
          <w:szCs w:val="24"/>
        </w:rPr>
        <w:t>s</w:t>
      </w:r>
      <w:r w:rsidRPr="00461D74">
        <w:rPr>
          <w:rFonts w:ascii="Garamond" w:hAnsi="Garamond" w:cstheme="minorHAnsi"/>
          <w:sz w:val="24"/>
          <w:szCs w:val="24"/>
        </w:rPr>
        <w:t xml:space="preserve"> the conclusion we reached </w:t>
      </w:r>
      <w:r w:rsidR="00670F66" w:rsidRPr="00461D74">
        <w:rPr>
          <w:rFonts w:ascii="Garamond" w:hAnsi="Garamond" w:cstheme="minorHAnsi"/>
          <w:sz w:val="24"/>
          <w:szCs w:val="24"/>
        </w:rPr>
        <w:t xml:space="preserve">earlier </w:t>
      </w:r>
      <w:r w:rsidR="00EC6B97">
        <w:rPr>
          <w:rFonts w:ascii="Garamond" w:hAnsi="Garamond" w:cstheme="minorHAnsi"/>
          <w:sz w:val="24"/>
          <w:szCs w:val="24"/>
        </w:rPr>
        <w:t>– namely,</w:t>
      </w:r>
      <w:r w:rsidR="00EC6B97" w:rsidRPr="00461D74">
        <w:rPr>
          <w:rFonts w:ascii="Garamond" w:hAnsi="Garamond" w:cstheme="minorHAnsi"/>
          <w:sz w:val="24"/>
          <w:szCs w:val="24"/>
        </w:rPr>
        <w:t xml:space="preserve"> </w:t>
      </w:r>
      <w:r w:rsidRPr="00461D74">
        <w:rPr>
          <w:rFonts w:ascii="Garamond" w:hAnsi="Garamond" w:cstheme="minorHAnsi"/>
          <w:sz w:val="24"/>
          <w:szCs w:val="24"/>
        </w:rPr>
        <w:t>that MacIntyre has good reasons to</w:t>
      </w:r>
      <w:r w:rsidR="00670F66" w:rsidRPr="00461D74">
        <w:rPr>
          <w:rFonts w:ascii="Garamond" w:hAnsi="Garamond" w:cstheme="minorHAnsi"/>
          <w:sz w:val="24"/>
          <w:szCs w:val="24"/>
        </w:rPr>
        <w:t xml:space="preserve"> </w:t>
      </w:r>
      <w:r w:rsidRPr="00461D74">
        <w:rPr>
          <w:rFonts w:ascii="Garamond" w:hAnsi="Garamond" w:cstheme="minorHAnsi"/>
          <w:sz w:val="24"/>
          <w:szCs w:val="24"/>
        </w:rPr>
        <w:t xml:space="preserve">remain open to correcting the </w:t>
      </w:r>
      <w:r w:rsidR="00670F66" w:rsidRPr="00461D74">
        <w:rPr>
          <w:rFonts w:ascii="Garamond" w:hAnsi="Garamond" w:cstheme="minorHAnsi"/>
          <w:sz w:val="24"/>
          <w:szCs w:val="24"/>
        </w:rPr>
        <w:t xml:space="preserve">liberal </w:t>
      </w:r>
      <w:r w:rsidRPr="00461D74">
        <w:rPr>
          <w:rFonts w:ascii="Garamond" w:hAnsi="Garamond" w:cstheme="minorHAnsi"/>
          <w:sz w:val="24"/>
          <w:szCs w:val="24"/>
        </w:rPr>
        <w:t>state and its associated institutions</w:t>
      </w:r>
      <w:r w:rsidR="00670F66" w:rsidRPr="00461D74">
        <w:rPr>
          <w:rFonts w:ascii="Garamond" w:hAnsi="Garamond" w:cstheme="minorHAnsi"/>
          <w:sz w:val="24"/>
          <w:szCs w:val="24"/>
        </w:rPr>
        <w:t>,</w:t>
      </w:r>
      <w:r w:rsidRPr="00461D74">
        <w:rPr>
          <w:rFonts w:ascii="Garamond" w:hAnsi="Garamond" w:cstheme="minorHAnsi"/>
          <w:sz w:val="24"/>
          <w:szCs w:val="24"/>
        </w:rPr>
        <w:t xml:space="preserve"> in appropriate ways.</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r>
      <w:r w:rsidR="009B06E8" w:rsidRPr="00461D74">
        <w:rPr>
          <w:rFonts w:ascii="Garamond" w:hAnsi="Garamond" w:cstheme="minorHAnsi"/>
          <w:sz w:val="24"/>
          <w:szCs w:val="24"/>
        </w:rPr>
        <w:t xml:space="preserve">Therefore, </w:t>
      </w:r>
      <w:r w:rsidRPr="00461D74">
        <w:rPr>
          <w:rFonts w:ascii="Garamond" w:hAnsi="Garamond" w:cstheme="minorHAnsi"/>
          <w:sz w:val="24"/>
          <w:szCs w:val="24"/>
        </w:rPr>
        <w:t xml:space="preserve">in order for MacIntyre to defend a </w:t>
      </w:r>
      <w:r w:rsidR="00DD074C">
        <w:rPr>
          <w:rFonts w:ascii="Garamond" w:hAnsi="Garamond" w:cstheme="minorHAnsi"/>
          <w:sz w:val="24"/>
          <w:szCs w:val="24"/>
        </w:rPr>
        <w:t xml:space="preserve">communal form of </w:t>
      </w:r>
      <w:r w:rsidRPr="00461D74">
        <w:rPr>
          <w:rFonts w:ascii="Garamond" w:hAnsi="Garamond" w:cstheme="minorHAnsi"/>
          <w:sz w:val="24"/>
          <w:szCs w:val="24"/>
        </w:rPr>
        <w:t>politics, and put together a coherent political account</w:t>
      </w:r>
      <w:r w:rsidR="00C21DFA">
        <w:rPr>
          <w:rFonts w:ascii="Garamond" w:hAnsi="Garamond" w:cstheme="minorHAnsi"/>
          <w:sz w:val="24"/>
          <w:szCs w:val="24"/>
        </w:rPr>
        <w:t>,</w:t>
      </w:r>
      <w:r w:rsidRPr="00461D74">
        <w:rPr>
          <w:rFonts w:ascii="Garamond" w:hAnsi="Garamond" w:cstheme="minorHAnsi"/>
          <w:sz w:val="24"/>
          <w:szCs w:val="24"/>
        </w:rPr>
        <w:t xml:space="preserve"> he </w:t>
      </w:r>
      <w:r w:rsidR="00DD074C">
        <w:rPr>
          <w:rFonts w:ascii="Garamond" w:hAnsi="Garamond" w:cstheme="minorHAnsi"/>
          <w:sz w:val="24"/>
          <w:szCs w:val="24"/>
        </w:rPr>
        <w:t>ought</w:t>
      </w:r>
      <w:r w:rsidR="00DD074C" w:rsidRPr="00461D74">
        <w:rPr>
          <w:rFonts w:ascii="Garamond" w:hAnsi="Garamond" w:cstheme="minorHAnsi"/>
          <w:sz w:val="24"/>
          <w:szCs w:val="24"/>
        </w:rPr>
        <w:t xml:space="preserve"> </w:t>
      </w:r>
      <w:r w:rsidRPr="00461D74">
        <w:rPr>
          <w:rFonts w:ascii="Garamond" w:hAnsi="Garamond" w:cstheme="minorHAnsi"/>
          <w:sz w:val="24"/>
          <w:szCs w:val="24"/>
        </w:rPr>
        <w:t xml:space="preserve">to </w:t>
      </w:r>
      <w:r w:rsidR="00DD074C">
        <w:rPr>
          <w:rFonts w:ascii="Garamond" w:hAnsi="Garamond" w:cstheme="minorHAnsi"/>
          <w:sz w:val="24"/>
          <w:szCs w:val="24"/>
        </w:rPr>
        <w:t>articulate</w:t>
      </w:r>
      <w:r w:rsidR="00DD074C"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DD074C">
        <w:rPr>
          <w:rFonts w:ascii="Garamond" w:hAnsi="Garamond" w:cstheme="minorHAnsi"/>
          <w:sz w:val="24"/>
          <w:szCs w:val="24"/>
        </w:rPr>
        <w:t xml:space="preserve">kind of </w:t>
      </w:r>
      <w:r w:rsidRPr="00461D74">
        <w:rPr>
          <w:rFonts w:ascii="Garamond" w:hAnsi="Garamond" w:cstheme="minorHAnsi"/>
          <w:sz w:val="24"/>
          <w:szCs w:val="24"/>
        </w:rPr>
        <w:t xml:space="preserve">politics that addresses the deficiencies he identifies in </w:t>
      </w:r>
      <w:r w:rsidR="009B06E8" w:rsidRPr="00461D74">
        <w:rPr>
          <w:rFonts w:ascii="Garamond" w:hAnsi="Garamond" w:cstheme="minorHAnsi"/>
          <w:sz w:val="24"/>
          <w:szCs w:val="24"/>
        </w:rPr>
        <w:t xml:space="preserve">large-scale </w:t>
      </w:r>
      <w:r w:rsidRPr="00461D74">
        <w:rPr>
          <w:rFonts w:ascii="Garamond" w:hAnsi="Garamond" w:cstheme="minorHAnsi"/>
          <w:sz w:val="24"/>
          <w:szCs w:val="24"/>
        </w:rPr>
        <w:t>politic</w:t>
      </w:r>
      <w:r w:rsidR="00DD074C">
        <w:rPr>
          <w:rFonts w:ascii="Garamond" w:hAnsi="Garamond" w:cstheme="minorHAnsi"/>
          <w:sz w:val="24"/>
          <w:szCs w:val="24"/>
        </w:rPr>
        <w:t xml:space="preserve">al </w:t>
      </w:r>
      <w:r w:rsidRPr="00461D74">
        <w:rPr>
          <w:rFonts w:ascii="Garamond" w:hAnsi="Garamond" w:cstheme="minorHAnsi"/>
          <w:sz w:val="24"/>
          <w:szCs w:val="24"/>
        </w:rPr>
        <w:t>s</w:t>
      </w:r>
      <w:r w:rsidR="00DD074C">
        <w:rPr>
          <w:rFonts w:ascii="Garamond" w:hAnsi="Garamond" w:cstheme="minorHAnsi"/>
          <w:sz w:val="24"/>
          <w:szCs w:val="24"/>
        </w:rPr>
        <w:t>tructures</w:t>
      </w:r>
      <w:r w:rsidR="009B06E8" w:rsidRPr="00461D74">
        <w:rPr>
          <w:rFonts w:ascii="Garamond" w:hAnsi="Garamond" w:cstheme="minorHAnsi"/>
          <w:sz w:val="24"/>
          <w:szCs w:val="24"/>
        </w:rPr>
        <w:t>;</w:t>
      </w:r>
      <w:r w:rsidRPr="00461D74">
        <w:rPr>
          <w:rFonts w:ascii="Garamond" w:hAnsi="Garamond" w:cstheme="minorHAnsi"/>
          <w:sz w:val="24"/>
          <w:szCs w:val="24"/>
        </w:rPr>
        <w:t xml:space="preserve"> namely, </w:t>
      </w:r>
      <w:r w:rsidR="009B06E8" w:rsidRPr="00461D74">
        <w:rPr>
          <w:rFonts w:ascii="Garamond" w:hAnsi="Garamond" w:cstheme="minorHAnsi"/>
          <w:sz w:val="24"/>
          <w:szCs w:val="24"/>
        </w:rPr>
        <w:t xml:space="preserve">he need to </w:t>
      </w:r>
      <w:r w:rsidR="00DD074C">
        <w:rPr>
          <w:rFonts w:ascii="Garamond" w:hAnsi="Garamond" w:cstheme="minorHAnsi"/>
          <w:sz w:val="24"/>
          <w:szCs w:val="24"/>
        </w:rPr>
        <w:t>formulate</w:t>
      </w:r>
      <w:r w:rsidR="00DD074C" w:rsidRPr="00461D74">
        <w:rPr>
          <w:rFonts w:ascii="Garamond" w:hAnsi="Garamond" w:cstheme="minorHAnsi"/>
          <w:sz w:val="24"/>
          <w:szCs w:val="24"/>
        </w:rPr>
        <w:t xml:space="preserve"> </w:t>
      </w:r>
      <w:r w:rsidR="009B06E8" w:rsidRPr="00461D74">
        <w:rPr>
          <w:rFonts w:ascii="Garamond" w:hAnsi="Garamond" w:cstheme="minorHAnsi"/>
          <w:sz w:val="24"/>
          <w:szCs w:val="24"/>
        </w:rPr>
        <w:t xml:space="preserve">a </w:t>
      </w:r>
      <w:r w:rsidR="00DD074C">
        <w:rPr>
          <w:rFonts w:ascii="Garamond" w:hAnsi="Garamond" w:cstheme="minorHAnsi"/>
          <w:sz w:val="24"/>
          <w:szCs w:val="24"/>
        </w:rPr>
        <w:t xml:space="preserve">kind of </w:t>
      </w:r>
      <w:r w:rsidRPr="00461D74">
        <w:rPr>
          <w:rFonts w:ascii="Garamond" w:hAnsi="Garamond" w:cstheme="minorHAnsi"/>
          <w:sz w:val="24"/>
          <w:szCs w:val="24"/>
        </w:rPr>
        <w:t xml:space="preserve">politics that </w:t>
      </w:r>
      <w:r w:rsidR="00DD074C">
        <w:rPr>
          <w:rFonts w:ascii="Garamond" w:hAnsi="Garamond" w:cstheme="minorHAnsi"/>
          <w:sz w:val="24"/>
          <w:szCs w:val="24"/>
        </w:rPr>
        <w:t xml:space="preserve">can constructively </w:t>
      </w:r>
      <w:r w:rsidR="009B06E8" w:rsidRPr="00461D74">
        <w:rPr>
          <w:rFonts w:ascii="Garamond" w:hAnsi="Garamond" w:cstheme="minorHAnsi"/>
          <w:sz w:val="24"/>
          <w:szCs w:val="24"/>
        </w:rPr>
        <w:t xml:space="preserve">engage </w:t>
      </w:r>
      <w:r w:rsidRPr="00461D74">
        <w:rPr>
          <w:rFonts w:ascii="Garamond" w:hAnsi="Garamond" w:cstheme="minorHAnsi"/>
          <w:sz w:val="24"/>
          <w:szCs w:val="24"/>
        </w:rPr>
        <w:t>with the state and its</w:t>
      </w:r>
      <w:r w:rsidR="009B06E8" w:rsidRPr="00461D74">
        <w:rPr>
          <w:rFonts w:ascii="Garamond" w:hAnsi="Garamond" w:cstheme="minorHAnsi"/>
          <w:sz w:val="24"/>
          <w:szCs w:val="24"/>
        </w:rPr>
        <w:t xml:space="preserve"> </w:t>
      </w:r>
      <w:r w:rsidRPr="00461D74">
        <w:rPr>
          <w:rFonts w:ascii="Garamond" w:hAnsi="Garamond" w:cstheme="minorHAnsi"/>
          <w:sz w:val="24"/>
          <w:szCs w:val="24"/>
        </w:rPr>
        <w:t>institutions.</w:t>
      </w:r>
      <w:r w:rsidR="009327B5">
        <w:rPr>
          <w:rStyle w:val="FootnoteReference"/>
          <w:rFonts w:ascii="Garamond" w:hAnsi="Garamond" w:cstheme="minorHAnsi"/>
          <w:sz w:val="24"/>
          <w:szCs w:val="24"/>
        </w:rPr>
        <w:footnoteReference w:id="348"/>
      </w:r>
      <w:r w:rsidRPr="00461D74">
        <w:rPr>
          <w:rFonts w:ascii="Garamond" w:hAnsi="Garamond" w:cstheme="minorHAnsi"/>
          <w:sz w:val="24"/>
          <w:szCs w:val="24"/>
        </w:rPr>
        <w:t xml:space="preserve"> </w:t>
      </w:r>
      <w:r w:rsidR="00DD074C">
        <w:rPr>
          <w:rFonts w:ascii="Garamond" w:hAnsi="Garamond" w:cstheme="minorHAnsi"/>
          <w:sz w:val="24"/>
          <w:szCs w:val="24"/>
        </w:rPr>
        <w:t>Nevertheless, in the absence of a positive political account, the second tension limits the coherence and effectiveness of MacIntyre’s overall project</w:t>
      </w:r>
      <w:r w:rsidR="000670B3" w:rsidRPr="00461D74">
        <w:rPr>
          <w:rFonts w:ascii="Garamond" w:hAnsi="Garamond" w:cstheme="minorHAnsi"/>
          <w:sz w:val="24"/>
          <w:szCs w:val="24"/>
        </w:rPr>
        <w:t>.</w:t>
      </w:r>
    </w:p>
    <w:p w:rsidR="00665157" w:rsidRDefault="00665157">
      <w:pPr>
        <w:spacing w:line="360" w:lineRule="auto"/>
        <w:jc w:val="both"/>
        <w:rPr>
          <w:rFonts w:ascii="Garamond" w:hAnsi="Garamond" w:cstheme="majorHAnsi"/>
          <w:sz w:val="24"/>
          <w:szCs w:val="24"/>
        </w:rPr>
      </w:pPr>
    </w:p>
    <w:p w:rsidR="00666F76" w:rsidRDefault="00666F76">
      <w:pPr>
        <w:spacing w:line="360" w:lineRule="auto"/>
        <w:jc w:val="both"/>
        <w:rPr>
          <w:rFonts w:ascii="Garamond" w:hAnsi="Garamond" w:cstheme="majorHAnsi"/>
          <w:sz w:val="24"/>
          <w:szCs w:val="24"/>
        </w:rPr>
      </w:pPr>
    </w:p>
    <w:p w:rsidR="00666F76" w:rsidRDefault="00666F76">
      <w:pPr>
        <w:spacing w:line="360" w:lineRule="auto"/>
        <w:jc w:val="both"/>
        <w:rPr>
          <w:rFonts w:ascii="Garamond" w:hAnsi="Garamond" w:cstheme="majorHAnsi"/>
          <w:sz w:val="24"/>
          <w:szCs w:val="24"/>
        </w:rPr>
      </w:pPr>
    </w:p>
    <w:p w:rsidR="00665157" w:rsidRDefault="00BB6002">
      <w:pPr>
        <w:pStyle w:val="Heading2"/>
        <w:spacing w:line="360" w:lineRule="auto"/>
        <w:jc w:val="both"/>
        <w:rPr>
          <w:rFonts w:cstheme="majorHAnsi"/>
        </w:rPr>
      </w:pPr>
      <w:bookmarkStart w:id="44" w:name="_Toc528077821"/>
      <w:r>
        <w:rPr>
          <w:rFonts w:cstheme="majorHAnsi"/>
        </w:rPr>
        <w:t xml:space="preserve">5. </w:t>
      </w:r>
      <w:r w:rsidR="00016049" w:rsidRPr="00F03436">
        <w:rPr>
          <w:rFonts w:cstheme="majorHAnsi"/>
        </w:rPr>
        <w:t>Conclu</w:t>
      </w:r>
      <w:r w:rsidR="0035042F" w:rsidRPr="00F03436">
        <w:rPr>
          <w:rFonts w:cstheme="majorHAnsi"/>
        </w:rPr>
        <w:t>ding Remarks</w:t>
      </w:r>
      <w:bookmarkEnd w:id="44"/>
    </w:p>
    <w:p w:rsidR="00665157" w:rsidRDefault="00665157">
      <w:pPr>
        <w:spacing w:line="360" w:lineRule="auto"/>
        <w:jc w:val="both"/>
        <w:rPr>
          <w:rFonts w:ascii="Garamond" w:hAnsi="Garamond"/>
          <w:sz w:val="24"/>
          <w:szCs w:val="24"/>
        </w:rPr>
      </w:pPr>
    </w:p>
    <w:p w:rsidR="00665157" w:rsidRDefault="000D3219">
      <w:pPr>
        <w:spacing w:line="360" w:lineRule="auto"/>
        <w:jc w:val="both"/>
        <w:rPr>
          <w:rFonts w:ascii="Garamond" w:hAnsi="Garamond" w:cstheme="minorHAnsi"/>
          <w:sz w:val="24"/>
          <w:szCs w:val="24"/>
        </w:rPr>
      </w:pPr>
      <w:r w:rsidRPr="00461D74">
        <w:rPr>
          <w:rFonts w:ascii="Garamond" w:hAnsi="Garamond"/>
          <w:sz w:val="24"/>
          <w:szCs w:val="24"/>
        </w:rPr>
        <w:lastRenderedPageBreak/>
        <w:t>In this chapter</w:t>
      </w:r>
      <w:r w:rsidRPr="00461D74">
        <w:rPr>
          <w:rFonts w:ascii="Garamond" w:hAnsi="Garamond" w:cstheme="minorHAnsi"/>
          <w:sz w:val="24"/>
          <w:szCs w:val="24"/>
          <w:lang w:val="en-GB" w:eastAsia="en-US"/>
        </w:rPr>
        <w:t>, I considered</w:t>
      </w:r>
      <w:r w:rsidRPr="00461D74">
        <w:rPr>
          <w:rFonts w:ascii="Garamond" w:hAnsi="Garamond" w:cstheme="minorHAnsi"/>
          <w:sz w:val="24"/>
          <w:szCs w:val="24"/>
          <w:lang w:val="en-GB"/>
        </w:rPr>
        <w:t xml:space="preserve"> in some detail the second difficulty that emerges under MacIntyre’s overall account</w:t>
      </w:r>
      <w:r w:rsidR="00FE67DD" w:rsidRPr="00461D74">
        <w:rPr>
          <w:rFonts w:ascii="Garamond" w:hAnsi="Garamond" w:cstheme="minorHAnsi"/>
          <w:sz w:val="24"/>
          <w:szCs w:val="24"/>
          <w:lang w:val="en-GB"/>
        </w:rPr>
        <w:t>: namely</w:t>
      </w:r>
      <w:r w:rsidR="00E1033F">
        <w:rPr>
          <w:rFonts w:ascii="Garamond" w:hAnsi="Garamond" w:cstheme="minorHAnsi"/>
          <w:sz w:val="24"/>
          <w:szCs w:val="24"/>
          <w:lang w:val="en-GB"/>
        </w:rPr>
        <w:t xml:space="preserve">, MacIntyre’s wholesale rejection of </w:t>
      </w:r>
      <w:r w:rsidR="00C21DFA">
        <w:rPr>
          <w:rFonts w:ascii="Garamond" w:hAnsi="Garamond" w:cstheme="minorHAnsi"/>
          <w:sz w:val="24"/>
          <w:szCs w:val="24"/>
          <w:lang w:val="en-GB"/>
        </w:rPr>
        <w:t>a l</w:t>
      </w:r>
      <w:r w:rsidR="00E1033F">
        <w:rPr>
          <w:rFonts w:ascii="Garamond" w:hAnsi="Garamond" w:cstheme="minorHAnsi"/>
          <w:sz w:val="24"/>
          <w:szCs w:val="24"/>
          <w:lang w:val="en-GB"/>
        </w:rPr>
        <w:t xml:space="preserve">iberal socio-political order and his support for a Thomistic small-scale politics seems to be at odds with his contextualist-historicist thesis in which liberalism </w:t>
      </w:r>
      <w:r w:rsidR="000013C1">
        <w:rPr>
          <w:rFonts w:ascii="Garamond" w:hAnsi="Garamond" w:cstheme="minorHAnsi"/>
          <w:sz w:val="24"/>
          <w:szCs w:val="24"/>
          <w:lang w:val="en-GB"/>
        </w:rPr>
        <w:t>– viewed as the dominant tradition – in fact encapsulates and expresses</w:t>
      </w:r>
      <w:r w:rsidR="00E1033F">
        <w:rPr>
          <w:rFonts w:ascii="Garamond" w:hAnsi="Garamond" w:cstheme="minorHAnsi"/>
          <w:sz w:val="24"/>
          <w:szCs w:val="24"/>
          <w:lang w:val="en-GB"/>
        </w:rPr>
        <w:t xml:space="preserve"> contemporary </w:t>
      </w:r>
      <w:r w:rsidR="000013C1">
        <w:rPr>
          <w:rFonts w:ascii="Garamond" w:hAnsi="Garamond" w:cstheme="minorHAnsi"/>
          <w:sz w:val="24"/>
          <w:szCs w:val="24"/>
          <w:lang w:val="en-GB"/>
        </w:rPr>
        <w:t xml:space="preserve">everyday </w:t>
      </w:r>
      <w:r w:rsidR="00E1033F">
        <w:rPr>
          <w:rFonts w:ascii="Garamond" w:hAnsi="Garamond" w:cstheme="minorHAnsi"/>
          <w:sz w:val="24"/>
          <w:szCs w:val="24"/>
          <w:lang w:val="en-GB"/>
        </w:rPr>
        <w:t>social and cultural norms</w:t>
      </w:r>
      <w:r w:rsidR="000013C1">
        <w:rPr>
          <w:rFonts w:ascii="Garamond" w:hAnsi="Garamond" w:cstheme="minorHAnsi"/>
          <w:sz w:val="24"/>
          <w:szCs w:val="24"/>
          <w:lang w:val="en-GB"/>
        </w:rPr>
        <w:t>.</w:t>
      </w:r>
      <w:r w:rsidRPr="00461D74">
        <w:rPr>
          <w:rFonts w:ascii="Garamond" w:hAnsi="Garamond" w:cstheme="minorHAnsi"/>
          <w:sz w:val="24"/>
          <w:szCs w:val="24"/>
          <w:lang w:val="en-GB"/>
        </w:rPr>
        <w:t xml:space="preserve"> First, I unpacked some of the consequences that are generated by this difficulty. In a</w:t>
      </w:r>
      <w:r w:rsidR="00E36867" w:rsidRPr="00461D74">
        <w:rPr>
          <w:rFonts w:ascii="Garamond" w:hAnsi="Garamond" w:cstheme="minorHAnsi"/>
          <w:sz w:val="24"/>
          <w:szCs w:val="24"/>
          <w:lang w:val="en-GB"/>
        </w:rPr>
        <w:t>ddition,</w:t>
      </w:r>
      <w:r w:rsidRPr="00461D74">
        <w:rPr>
          <w:rFonts w:ascii="Garamond" w:hAnsi="Garamond" w:cstheme="minorHAnsi"/>
          <w:sz w:val="24"/>
          <w:szCs w:val="24"/>
          <w:lang w:val="en-GB"/>
        </w:rPr>
        <w:t xml:space="preserve"> </w:t>
      </w:r>
      <w:r w:rsidR="00854D6C" w:rsidRPr="00461D74">
        <w:rPr>
          <w:rFonts w:ascii="Garamond" w:hAnsi="Garamond" w:cstheme="minorHAnsi"/>
          <w:sz w:val="24"/>
          <w:szCs w:val="24"/>
        </w:rPr>
        <w:t xml:space="preserve">I </w:t>
      </w:r>
      <w:r w:rsidR="004B6177">
        <w:rPr>
          <w:rFonts w:ascii="Garamond" w:hAnsi="Garamond" w:cstheme="minorHAnsi"/>
          <w:sz w:val="24"/>
          <w:szCs w:val="24"/>
        </w:rPr>
        <w:t>argued</w:t>
      </w:r>
      <w:r w:rsidR="004B6177" w:rsidRPr="00461D74">
        <w:rPr>
          <w:rFonts w:ascii="Garamond" w:hAnsi="Garamond" w:cstheme="minorHAnsi"/>
          <w:sz w:val="24"/>
          <w:szCs w:val="24"/>
        </w:rPr>
        <w:t xml:space="preserve"> </w:t>
      </w:r>
      <w:r w:rsidR="00854D6C" w:rsidRPr="00461D74">
        <w:rPr>
          <w:rFonts w:ascii="Garamond" w:hAnsi="Garamond" w:cstheme="minorHAnsi"/>
          <w:sz w:val="24"/>
          <w:szCs w:val="24"/>
        </w:rPr>
        <w:t>that</w:t>
      </w:r>
      <w:r w:rsidR="00E36867" w:rsidRPr="00461D74">
        <w:rPr>
          <w:rFonts w:ascii="Garamond" w:hAnsi="Garamond" w:cstheme="minorHAnsi"/>
          <w:sz w:val="24"/>
          <w:szCs w:val="24"/>
        </w:rPr>
        <w:t xml:space="preserve"> MacIntyre’s Aristotelian roots</w:t>
      </w:r>
      <w:r w:rsidR="00854D6C" w:rsidRPr="00461D74">
        <w:rPr>
          <w:rFonts w:ascii="Garamond" w:hAnsi="Garamond" w:cstheme="minorHAnsi"/>
          <w:sz w:val="24"/>
          <w:szCs w:val="24"/>
        </w:rPr>
        <w:t xml:space="preserve"> closely connect ethics and politics</w:t>
      </w:r>
      <w:r w:rsidR="004B6177">
        <w:rPr>
          <w:rFonts w:ascii="Garamond" w:hAnsi="Garamond" w:cstheme="minorHAnsi"/>
          <w:sz w:val="24"/>
          <w:szCs w:val="24"/>
        </w:rPr>
        <w:t>,</w:t>
      </w:r>
      <w:r w:rsidR="00854D6C" w:rsidRPr="00461D74">
        <w:rPr>
          <w:rFonts w:ascii="Garamond" w:hAnsi="Garamond" w:cstheme="minorHAnsi"/>
          <w:sz w:val="24"/>
          <w:szCs w:val="24"/>
        </w:rPr>
        <w:t xml:space="preserve"> and on this view, political questions are ultimately ethical questions</w:t>
      </w:r>
      <w:r w:rsidR="00E36867" w:rsidRPr="00461D74">
        <w:rPr>
          <w:rFonts w:ascii="Garamond" w:hAnsi="Garamond" w:cstheme="minorHAnsi"/>
          <w:sz w:val="24"/>
          <w:szCs w:val="24"/>
        </w:rPr>
        <w:t>; nevertheless</w:t>
      </w:r>
      <w:r w:rsidR="003902F0" w:rsidRPr="00461D74">
        <w:rPr>
          <w:rFonts w:ascii="Garamond" w:hAnsi="Garamond" w:cstheme="minorHAnsi"/>
          <w:sz w:val="24"/>
          <w:szCs w:val="24"/>
        </w:rPr>
        <w:t>, the</w:t>
      </w:r>
      <w:r w:rsidRPr="00461D74">
        <w:rPr>
          <w:rFonts w:ascii="Garamond" w:hAnsi="Garamond" w:cstheme="minorHAnsi"/>
          <w:sz w:val="24"/>
          <w:szCs w:val="24"/>
        </w:rPr>
        <w:t xml:space="preserve"> close connection between ethics and politics </w:t>
      </w:r>
      <w:r w:rsidR="00E36867" w:rsidRPr="00461D74">
        <w:rPr>
          <w:rFonts w:ascii="Garamond" w:hAnsi="Garamond" w:cstheme="minorHAnsi"/>
          <w:sz w:val="24"/>
          <w:szCs w:val="24"/>
        </w:rPr>
        <w:t xml:space="preserve">in MacIntyre’s account </w:t>
      </w:r>
      <w:r w:rsidR="004B6177">
        <w:rPr>
          <w:rFonts w:ascii="Garamond" w:hAnsi="Garamond" w:cstheme="minorHAnsi"/>
          <w:sz w:val="24"/>
          <w:szCs w:val="24"/>
        </w:rPr>
        <w:t xml:space="preserve">only serves to heighten the concerns raised by this </w:t>
      </w:r>
      <w:r w:rsidR="00FB30B6">
        <w:rPr>
          <w:rFonts w:ascii="Garamond" w:hAnsi="Garamond" w:cstheme="minorHAnsi"/>
          <w:sz w:val="24"/>
          <w:szCs w:val="24"/>
        </w:rPr>
        <w:t>worry</w:t>
      </w:r>
      <w:r w:rsidR="00013BDB" w:rsidRPr="00461D74">
        <w:rPr>
          <w:rFonts w:ascii="Garamond" w:hAnsi="Garamond" w:cstheme="minorHAnsi"/>
          <w:sz w:val="24"/>
          <w:szCs w:val="24"/>
        </w:rPr>
        <w:t xml:space="preserve">. </w:t>
      </w:r>
      <w:r w:rsidR="003902F0" w:rsidRPr="00461D74">
        <w:rPr>
          <w:rFonts w:ascii="Garamond" w:hAnsi="Garamond" w:cstheme="minorHAnsi"/>
          <w:sz w:val="24"/>
          <w:szCs w:val="24"/>
          <w:lang w:val="en-GB"/>
        </w:rPr>
        <w:t xml:space="preserve">Second, I considered whether MacIntyre’s engagement with Marx and Hegel immunises his political account against the kind of objections that emanate from the second tension (or difficulty) in his work. I </w:t>
      </w:r>
      <w:r w:rsidR="00AB1E08" w:rsidRPr="00461D74">
        <w:rPr>
          <w:rFonts w:ascii="Garamond" w:hAnsi="Garamond" w:cstheme="minorHAnsi"/>
          <w:sz w:val="24"/>
          <w:szCs w:val="24"/>
          <w:lang w:val="en-GB"/>
        </w:rPr>
        <w:t>argued</w:t>
      </w:r>
      <w:r w:rsidR="003902F0" w:rsidRPr="00461D74">
        <w:rPr>
          <w:rFonts w:ascii="Garamond" w:hAnsi="Garamond" w:cstheme="minorHAnsi"/>
          <w:sz w:val="24"/>
          <w:szCs w:val="24"/>
          <w:lang w:val="en-GB"/>
        </w:rPr>
        <w:t xml:space="preserve"> that MacIntyre’s engagement wi</w:t>
      </w:r>
      <w:r w:rsidR="00AB1E08" w:rsidRPr="00461D74">
        <w:rPr>
          <w:rFonts w:ascii="Garamond" w:hAnsi="Garamond" w:cstheme="minorHAnsi"/>
          <w:sz w:val="24"/>
          <w:szCs w:val="24"/>
          <w:lang w:val="en-GB"/>
        </w:rPr>
        <w:t>th Hegel and Marx furnishes his account with a powerful social critique. MacIntyre appears to utilise th</w:t>
      </w:r>
      <w:r w:rsidR="00C21DFA">
        <w:rPr>
          <w:rFonts w:ascii="Garamond" w:hAnsi="Garamond" w:cstheme="minorHAnsi"/>
          <w:sz w:val="24"/>
          <w:szCs w:val="24"/>
          <w:lang w:val="en-GB"/>
        </w:rPr>
        <w:t>is</w:t>
      </w:r>
      <w:r w:rsidR="00AB1E08" w:rsidRPr="00461D74">
        <w:rPr>
          <w:rFonts w:ascii="Garamond" w:hAnsi="Garamond" w:cstheme="minorHAnsi"/>
          <w:sz w:val="24"/>
          <w:szCs w:val="24"/>
          <w:lang w:val="en-GB"/>
        </w:rPr>
        <w:t xml:space="preserve"> social critique to criticise liberal society and the liberal state, and </w:t>
      </w:r>
      <w:r w:rsidR="00FB30B6">
        <w:rPr>
          <w:rFonts w:ascii="Garamond" w:hAnsi="Garamond" w:cstheme="minorHAnsi"/>
          <w:sz w:val="24"/>
          <w:szCs w:val="24"/>
          <w:lang w:val="en-GB"/>
        </w:rPr>
        <w:t>argues</w:t>
      </w:r>
      <w:r w:rsidR="00FB30B6" w:rsidRPr="00461D74">
        <w:rPr>
          <w:rFonts w:ascii="Garamond" w:hAnsi="Garamond" w:cstheme="minorHAnsi"/>
          <w:sz w:val="24"/>
          <w:szCs w:val="24"/>
          <w:lang w:val="en-GB"/>
        </w:rPr>
        <w:t xml:space="preserve"> </w:t>
      </w:r>
      <w:r w:rsidR="00FB30B6">
        <w:rPr>
          <w:rFonts w:ascii="Garamond" w:hAnsi="Garamond" w:cstheme="minorHAnsi"/>
          <w:sz w:val="24"/>
          <w:szCs w:val="24"/>
          <w:lang w:val="en-GB"/>
        </w:rPr>
        <w:t>for a</w:t>
      </w:r>
      <w:r w:rsidR="00FB30B6" w:rsidRPr="00461D74">
        <w:rPr>
          <w:rFonts w:ascii="Garamond" w:hAnsi="Garamond" w:cstheme="minorHAnsi"/>
          <w:sz w:val="24"/>
          <w:szCs w:val="24"/>
          <w:lang w:val="en-GB"/>
        </w:rPr>
        <w:t xml:space="preserve"> </w:t>
      </w:r>
      <w:r w:rsidR="00FB30B6">
        <w:rPr>
          <w:rFonts w:ascii="Garamond" w:hAnsi="Garamond" w:cstheme="minorHAnsi"/>
          <w:sz w:val="24"/>
          <w:szCs w:val="24"/>
          <w:lang w:val="en-GB"/>
        </w:rPr>
        <w:t>decisive</w:t>
      </w:r>
      <w:r w:rsidR="00FB30B6" w:rsidRPr="00461D74">
        <w:rPr>
          <w:rFonts w:ascii="Garamond" w:hAnsi="Garamond" w:cstheme="minorHAnsi"/>
          <w:sz w:val="24"/>
          <w:szCs w:val="24"/>
          <w:lang w:val="en-GB"/>
        </w:rPr>
        <w:t xml:space="preserve"> </w:t>
      </w:r>
      <w:r w:rsidR="00AB1E08" w:rsidRPr="00461D74">
        <w:rPr>
          <w:rFonts w:ascii="Garamond" w:hAnsi="Garamond" w:cstheme="minorHAnsi"/>
          <w:sz w:val="24"/>
          <w:szCs w:val="24"/>
          <w:lang w:val="en-GB"/>
        </w:rPr>
        <w:t>reject</w:t>
      </w:r>
      <w:r w:rsidR="00FB30B6">
        <w:rPr>
          <w:rFonts w:ascii="Garamond" w:hAnsi="Garamond" w:cstheme="minorHAnsi"/>
          <w:sz w:val="24"/>
          <w:szCs w:val="24"/>
          <w:lang w:val="en-GB"/>
        </w:rPr>
        <w:t>ion of</w:t>
      </w:r>
      <w:r w:rsidR="00AB1E08" w:rsidRPr="00461D74">
        <w:rPr>
          <w:rFonts w:ascii="Garamond" w:hAnsi="Garamond" w:cstheme="minorHAnsi"/>
          <w:sz w:val="24"/>
          <w:szCs w:val="24"/>
          <w:lang w:val="en-GB"/>
        </w:rPr>
        <w:t xml:space="preserve"> large-scale political systems, including the liberal state. </w:t>
      </w:r>
      <w:r w:rsidR="009F5A9E" w:rsidRPr="00461D74">
        <w:rPr>
          <w:rFonts w:ascii="Garamond" w:hAnsi="Garamond" w:cstheme="minorHAnsi"/>
          <w:sz w:val="24"/>
          <w:szCs w:val="24"/>
          <w:lang w:val="en-GB"/>
        </w:rPr>
        <w:t>In its place, MacIntyre’s political philosophy seems to solely focus on the defence of local/communal forms of political associations.</w:t>
      </w:r>
    </w:p>
    <w:p w:rsidR="00665157" w:rsidRDefault="009F5A9E" w:rsidP="001325B2">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GB"/>
        </w:rPr>
        <w:t>Nevertheless, I maintained that his engagement with these authors isn’t sufficient</w:t>
      </w:r>
      <w:r w:rsidR="00FB30B6">
        <w:rPr>
          <w:rFonts w:ascii="Garamond" w:hAnsi="Garamond" w:cstheme="minorHAnsi"/>
          <w:sz w:val="24"/>
          <w:szCs w:val="24"/>
          <w:lang w:val="en-GB"/>
        </w:rPr>
        <w:t xml:space="preserve"> on its own</w:t>
      </w:r>
      <w:r w:rsidRPr="00461D74">
        <w:rPr>
          <w:rFonts w:ascii="Garamond" w:hAnsi="Garamond" w:cstheme="minorHAnsi"/>
          <w:sz w:val="24"/>
          <w:szCs w:val="24"/>
          <w:lang w:val="en-GB"/>
        </w:rPr>
        <w:t xml:space="preserve">, for it seems that MacIntyre’s politics generates a new set of worries. Namely, by failing to engage constructively with the liberal state and its institutions, he isn’t able to </w:t>
      </w:r>
      <w:r w:rsidR="00FB30B6">
        <w:rPr>
          <w:rFonts w:ascii="Garamond" w:hAnsi="Garamond" w:cstheme="minorHAnsi"/>
          <w:sz w:val="24"/>
          <w:szCs w:val="24"/>
          <w:lang w:val="en-GB"/>
        </w:rPr>
        <w:t>propose</w:t>
      </w:r>
      <w:r w:rsidR="00FB30B6" w:rsidRPr="00461D74">
        <w:rPr>
          <w:rFonts w:ascii="Garamond" w:hAnsi="Garamond" w:cstheme="minorHAnsi"/>
          <w:sz w:val="24"/>
          <w:szCs w:val="24"/>
          <w:lang w:val="en-GB"/>
        </w:rPr>
        <w:t xml:space="preserve"> </w:t>
      </w:r>
      <w:r w:rsidR="00FB30B6">
        <w:rPr>
          <w:rFonts w:ascii="Garamond" w:hAnsi="Garamond" w:cstheme="minorHAnsi"/>
          <w:sz w:val="24"/>
          <w:szCs w:val="24"/>
          <w:lang w:val="en-GB"/>
        </w:rPr>
        <w:t>a range of</w:t>
      </w:r>
      <w:r w:rsidRPr="00461D74">
        <w:rPr>
          <w:rFonts w:ascii="Garamond" w:hAnsi="Garamond" w:cstheme="minorHAnsi"/>
          <w:sz w:val="24"/>
          <w:szCs w:val="24"/>
          <w:lang w:val="en-GB"/>
        </w:rPr>
        <w:t xml:space="preserve"> concrete guidance </w:t>
      </w:r>
      <w:r w:rsidR="001325B2">
        <w:rPr>
          <w:rFonts w:ascii="Garamond" w:hAnsi="Garamond" w:cstheme="minorHAnsi"/>
          <w:sz w:val="24"/>
          <w:szCs w:val="24"/>
          <w:lang w:val="en-GB"/>
        </w:rPr>
        <w:t xml:space="preserve">as to how we can </w:t>
      </w:r>
      <w:r w:rsidRPr="00461D74">
        <w:rPr>
          <w:rFonts w:ascii="Garamond" w:hAnsi="Garamond" w:cstheme="minorHAnsi"/>
          <w:sz w:val="24"/>
          <w:szCs w:val="24"/>
          <w:lang w:val="en-GB"/>
        </w:rPr>
        <w:t xml:space="preserve">mount a successful defence of local/communal politics. Therefore, the tension in MacIntyre’s account remains unaddressed precisely because </w:t>
      </w:r>
      <w:r w:rsidRPr="00461D74">
        <w:rPr>
          <w:rFonts w:ascii="Garamond" w:hAnsi="Garamond" w:cstheme="minorHAnsi"/>
          <w:sz w:val="24"/>
          <w:szCs w:val="24"/>
        </w:rPr>
        <w:t xml:space="preserve">MacIntyre’s historicist commitments suggests that his sole focus on a Thomistic inspired form of communal politics may be ill suited </w:t>
      </w:r>
      <w:r w:rsidR="00C21DFA">
        <w:rPr>
          <w:rFonts w:ascii="Garamond" w:hAnsi="Garamond" w:cstheme="minorHAnsi"/>
          <w:sz w:val="24"/>
          <w:szCs w:val="24"/>
        </w:rPr>
        <w:t xml:space="preserve">to deal </w:t>
      </w:r>
      <w:r w:rsidRPr="00461D74">
        <w:rPr>
          <w:rFonts w:ascii="Garamond" w:hAnsi="Garamond" w:cstheme="minorHAnsi"/>
          <w:sz w:val="24"/>
          <w:szCs w:val="24"/>
        </w:rPr>
        <w:t xml:space="preserve">with the </w:t>
      </w:r>
      <w:r w:rsidR="000A7689">
        <w:rPr>
          <w:rFonts w:ascii="Garamond" w:hAnsi="Garamond" w:cstheme="minorHAnsi"/>
          <w:sz w:val="24"/>
          <w:szCs w:val="24"/>
        </w:rPr>
        <w:t>distinctive range</w:t>
      </w:r>
      <w:r w:rsidR="001325B2">
        <w:rPr>
          <w:rFonts w:ascii="Garamond" w:hAnsi="Garamond" w:cstheme="minorHAnsi"/>
          <w:sz w:val="24"/>
          <w:szCs w:val="24"/>
        </w:rPr>
        <w:t xml:space="preserve"> of </w:t>
      </w:r>
      <w:r w:rsidRPr="00461D74">
        <w:rPr>
          <w:rFonts w:ascii="Garamond" w:hAnsi="Garamond" w:cstheme="minorHAnsi"/>
          <w:sz w:val="24"/>
          <w:szCs w:val="24"/>
        </w:rPr>
        <w:t xml:space="preserve">problems </w:t>
      </w:r>
      <w:r w:rsidR="00C21DFA">
        <w:rPr>
          <w:rFonts w:ascii="Garamond" w:hAnsi="Garamond" w:cstheme="minorHAnsi"/>
          <w:sz w:val="24"/>
          <w:szCs w:val="24"/>
        </w:rPr>
        <w:t>generated</w:t>
      </w:r>
      <w:r w:rsidR="000A7689">
        <w:rPr>
          <w:rFonts w:ascii="Garamond" w:hAnsi="Garamond" w:cstheme="minorHAnsi"/>
          <w:sz w:val="24"/>
          <w:szCs w:val="24"/>
        </w:rPr>
        <w:t xml:space="preserve"> by</w:t>
      </w:r>
      <w:r w:rsidR="001325B2">
        <w:rPr>
          <w:rFonts w:ascii="Garamond" w:hAnsi="Garamond" w:cstheme="minorHAnsi"/>
          <w:sz w:val="24"/>
          <w:szCs w:val="24"/>
        </w:rPr>
        <w:t xml:space="preserve"> </w:t>
      </w:r>
      <w:r w:rsidRPr="00461D74">
        <w:rPr>
          <w:rFonts w:ascii="Garamond" w:hAnsi="Garamond" w:cstheme="minorHAnsi"/>
          <w:sz w:val="24"/>
          <w:szCs w:val="24"/>
        </w:rPr>
        <w:t>modern social-historical conditions.</w:t>
      </w:r>
    </w:p>
    <w:p w:rsidR="00665157" w:rsidRDefault="009F5A9E">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GB"/>
        </w:rPr>
        <w:lastRenderedPageBreak/>
        <w:t xml:space="preserve">I then examined the reasons behind MacIntyre’s wholesale rejection of the liberal state. I argued that MacIntyre’s reason stems in part </w:t>
      </w:r>
      <w:r w:rsidR="00C516DC" w:rsidRPr="00461D74">
        <w:rPr>
          <w:rFonts w:ascii="Garamond" w:hAnsi="Garamond" w:cstheme="minorHAnsi"/>
          <w:sz w:val="24"/>
          <w:szCs w:val="24"/>
          <w:lang w:val="en-GB"/>
        </w:rPr>
        <w:t>from</w:t>
      </w:r>
      <w:r w:rsidRPr="00461D74">
        <w:rPr>
          <w:rFonts w:ascii="Garamond" w:hAnsi="Garamond" w:cstheme="minorHAnsi"/>
          <w:sz w:val="24"/>
          <w:szCs w:val="24"/>
          <w:lang w:val="en-GB"/>
        </w:rPr>
        <w:t xml:space="preserve"> his view</w:t>
      </w:r>
      <w:r w:rsidR="00C516DC" w:rsidRPr="00461D74">
        <w:rPr>
          <w:rFonts w:ascii="Garamond" w:hAnsi="Garamond" w:cstheme="minorHAnsi"/>
          <w:sz w:val="24"/>
          <w:szCs w:val="24"/>
          <w:lang w:val="en-GB"/>
        </w:rPr>
        <w:t xml:space="preserve"> that</w:t>
      </w:r>
      <w:r w:rsidRPr="00461D74">
        <w:rPr>
          <w:rFonts w:ascii="Garamond" w:hAnsi="Garamond" w:cstheme="minorHAnsi"/>
          <w:sz w:val="24"/>
          <w:szCs w:val="24"/>
        </w:rPr>
        <w:t xml:space="preserve"> large scale political systems such as the liberal state are not properly participatory, and </w:t>
      </w:r>
      <w:r w:rsidR="003B35AC" w:rsidRPr="00461D74">
        <w:rPr>
          <w:rFonts w:ascii="Garamond" w:hAnsi="Garamond" w:cstheme="minorHAnsi"/>
          <w:sz w:val="24"/>
          <w:szCs w:val="24"/>
        </w:rPr>
        <w:t>hence</w:t>
      </w:r>
      <w:r w:rsidRPr="00461D74">
        <w:rPr>
          <w:rFonts w:ascii="Garamond" w:hAnsi="Garamond" w:cstheme="minorHAnsi"/>
          <w:sz w:val="24"/>
          <w:szCs w:val="24"/>
        </w:rPr>
        <w:t xml:space="preserve"> </w:t>
      </w:r>
      <w:r w:rsidR="003B35AC" w:rsidRPr="00461D74">
        <w:rPr>
          <w:rFonts w:ascii="Garamond" w:hAnsi="Garamond" w:cstheme="minorHAnsi"/>
          <w:sz w:val="24"/>
          <w:szCs w:val="24"/>
        </w:rPr>
        <w:t>they fail to advance the common good</w:t>
      </w:r>
      <w:r w:rsidRPr="00461D74">
        <w:rPr>
          <w:rFonts w:ascii="Garamond" w:hAnsi="Garamond" w:cstheme="minorHAnsi"/>
          <w:sz w:val="24"/>
          <w:szCs w:val="24"/>
        </w:rPr>
        <w:t xml:space="preserve">; </w:t>
      </w:r>
      <w:r w:rsidR="003B35AC" w:rsidRPr="00461D74">
        <w:rPr>
          <w:rFonts w:ascii="Garamond" w:hAnsi="Garamond" w:cstheme="minorHAnsi"/>
          <w:sz w:val="24"/>
          <w:szCs w:val="24"/>
        </w:rPr>
        <w:t xml:space="preserve">and </w:t>
      </w:r>
      <w:r w:rsidRPr="00461D74">
        <w:rPr>
          <w:rFonts w:ascii="Garamond" w:hAnsi="Garamond" w:cstheme="minorHAnsi"/>
          <w:sz w:val="24"/>
          <w:szCs w:val="24"/>
        </w:rPr>
        <w:t xml:space="preserve">partly because </w:t>
      </w:r>
      <w:r w:rsidR="003B35AC" w:rsidRPr="00461D74">
        <w:rPr>
          <w:rFonts w:ascii="Garamond" w:hAnsi="Garamond" w:cstheme="minorHAnsi"/>
          <w:sz w:val="24"/>
          <w:szCs w:val="24"/>
        </w:rPr>
        <w:t>large-scale political structures</w:t>
      </w:r>
      <w:r w:rsidRPr="00461D74">
        <w:rPr>
          <w:rFonts w:ascii="Garamond" w:hAnsi="Garamond" w:cstheme="minorHAnsi"/>
          <w:sz w:val="24"/>
          <w:szCs w:val="24"/>
        </w:rPr>
        <w:t xml:space="preserve"> </w:t>
      </w:r>
      <w:r w:rsidR="003B35AC" w:rsidRPr="00461D74">
        <w:rPr>
          <w:rFonts w:ascii="Garamond" w:hAnsi="Garamond" w:cstheme="minorHAnsi"/>
          <w:sz w:val="24"/>
          <w:szCs w:val="24"/>
        </w:rPr>
        <w:t xml:space="preserve">tend </w:t>
      </w:r>
      <w:r w:rsidRPr="00461D74">
        <w:rPr>
          <w:rFonts w:ascii="Garamond" w:hAnsi="Garamond" w:cstheme="minorHAnsi"/>
          <w:sz w:val="24"/>
          <w:szCs w:val="24"/>
        </w:rPr>
        <w:t>to subvert the common good</w:t>
      </w:r>
      <w:r w:rsidR="003B35AC" w:rsidRPr="00461D74">
        <w:rPr>
          <w:rFonts w:ascii="Garamond" w:hAnsi="Garamond" w:cstheme="minorHAnsi"/>
          <w:sz w:val="24"/>
          <w:szCs w:val="24"/>
        </w:rPr>
        <w:t xml:space="preserve"> of</w:t>
      </w:r>
      <w:r w:rsidRPr="00461D74">
        <w:rPr>
          <w:rFonts w:ascii="Garamond" w:hAnsi="Garamond" w:cstheme="minorHAnsi"/>
          <w:sz w:val="24"/>
          <w:szCs w:val="24"/>
        </w:rPr>
        <w:t xml:space="preserve"> local political associations.</w:t>
      </w:r>
      <w:r w:rsidR="000A7689">
        <w:rPr>
          <w:rFonts w:ascii="Garamond" w:hAnsi="Garamond" w:cstheme="minorHAnsi"/>
          <w:sz w:val="24"/>
          <w:szCs w:val="24"/>
        </w:rPr>
        <w:t xml:space="preserve"> </w:t>
      </w:r>
      <w:r w:rsidR="00986F86" w:rsidRPr="00461D74">
        <w:rPr>
          <w:rFonts w:ascii="Garamond" w:hAnsi="Garamond" w:cstheme="minorHAnsi"/>
          <w:sz w:val="24"/>
          <w:szCs w:val="24"/>
        </w:rPr>
        <w:t>MacIntyre</w:t>
      </w:r>
      <w:r w:rsidR="000A7689">
        <w:rPr>
          <w:rFonts w:ascii="Garamond" w:hAnsi="Garamond" w:cstheme="minorHAnsi"/>
          <w:sz w:val="24"/>
          <w:szCs w:val="24"/>
        </w:rPr>
        <w:t>’s</w:t>
      </w:r>
      <w:r w:rsidR="00013BDB" w:rsidRPr="00461D74">
        <w:rPr>
          <w:rFonts w:ascii="Garamond" w:hAnsi="Garamond" w:cstheme="minorHAnsi"/>
          <w:sz w:val="24"/>
          <w:szCs w:val="24"/>
        </w:rPr>
        <w:t xml:space="preserve"> </w:t>
      </w:r>
      <w:r w:rsidR="000A7689" w:rsidRPr="00461D74">
        <w:rPr>
          <w:rFonts w:ascii="Garamond" w:hAnsi="Garamond" w:cstheme="minorHAnsi"/>
          <w:sz w:val="24"/>
          <w:szCs w:val="24"/>
        </w:rPr>
        <w:t>strongest reason for the rejection of the liberal state is</w:t>
      </w:r>
      <w:r w:rsidR="000A7689">
        <w:rPr>
          <w:rFonts w:ascii="Garamond" w:hAnsi="Garamond" w:cstheme="minorHAnsi"/>
          <w:sz w:val="24"/>
          <w:szCs w:val="24"/>
        </w:rPr>
        <w:t xml:space="preserve"> h</w:t>
      </w:r>
      <w:r w:rsidR="000A7689" w:rsidRPr="00461D74">
        <w:rPr>
          <w:rFonts w:ascii="Garamond" w:hAnsi="Garamond" w:cstheme="minorHAnsi"/>
          <w:sz w:val="24"/>
          <w:szCs w:val="24"/>
        </w:rPr>
        <w:t>owever</w:t>
      </w:r>
      <w:r w:rsidR="000A7689">
        <w:rPr>
          <w:rFonts w:ascii="Garamond" w:hAnsi="Garamond" w:cstheme="minorHAnsi"/>
          <w:sz w:val="24"/>
          <w:szCs w:val="24"/>
        </w:rPr>
        <w:t xml:space="preserve"> the failure of the liberal state </w:t>
      </w:r>
      <w:r w:rsidR="00013BDB" w:rsidRPr="00461D74">
        <w:rPr>
          <w:rFonts w:ascii="Garamond" w:hAnsi="Garamond" w:cstheme="minorHAnsi"/>
          <w:sz w:val="24"/>
          <w:szCs w:val="24"/>
        </w:rPr>
        <w:t xml:space="preserve">to advance the sort of common good that </w:t>
      </w:r>
      <w:r w:rsidR="001C74F0">
        <w:rPr>
          <w:rFonts w:ascii="Garamond" w:hAnsi="Garamond" w:cstheme="minorHAnsi"/>
          <w:sz w:val="24"/>
          <w:szCs w:val="24"/>
        </w:rPr>
        <w:t xml:space="preserve">closely connects the individual’s good to the common good, </w:t>
      </w:r>
      <w:r w:rsidR="00C21DFA">
        <w:rPr>
          <w:rFonts w:ascii="Garamond" w:hAnsi="Garamond" w:cstheme="minorHAnsi"/>
          <w:sz w:val="24"/>
          <w:szCs w:val="24"/>
        </w:rPr>
        <w:t>in a way</w:t>
      </w:r>
      <w:r w:rsidR="001C74F0">
        <w:rPr>
          <w:rFonts w:ascii="Garamond" w:hAnsi="Garamond" w:cstheme="minorHAnsi"/>
          <w:sz w:val="24"/>
          <w:szCs w:val="24"/>
        </w:rPr>
        <w:t xml:space="preserve"> that </w:t>
      </w:r>
      <w:r w:rsidR="00013BDB" w:rsidRPr="00461D74">
        <w:rPr>
          <w:rFonts w:ascii="Garamond" w:hAnsi="Garamond" w:cstheme="minorHAnsi"/>
          <w:sz w:val="24"/>
          <w:szCs w:val="24"/>
        </w:rPr>
        <w:t xml:space="preserve">could be recognised as Aristotelian-Thomist. MacIntyre </w:t>
      </w:r>
      <w:r w:rsidR="00384CB3" w:rsidRPr="00461D74">
        <w:rPr>
          <w:rFonts w:ascii="Garamond" w:hAnsi="Garamond" w:cstheme="minorHAnsi"/>
          <w:sz w:val="24"/>
          <w:szCs w:val="24"/>
        </w:rPr>
        <w:t>argued that a properly conceived Thomistic</w:t>
      </w:r>
      <w:r w:rsidR="00013BDB" w:rsidRPr="00461D74">
        <w:rPr>
          <w:rFonts w:ascii="Garamond" w:hAnsi="Garamond" w:cstheme="minorHAnsi"/>
          <w:sz w:val="24"/>
          <w:szCs w:val="24"/>
        </w:rPr>
        <w:t xml:space="preserve"> common good</w:t>
      </w:r>
      <w:r w:rsidR="00384CB3" w:rsidRPr="00461D74">
        <w:rPr>
          <w:rFonts w:ascii="Garamond" w:hAnsi="Garamond" w:cstheme="minorHAnsi"/>
          <w:sz w:val="24"/>
          <w:szCs w:val="24"/>
        </w:rPr>
        <w:t xml:space="preserve"> has a close conceptual relationship with the individual’s good, because the individual’s good is only realised </w:t>
      </w:r>
      <w:r w:rsidRPr="00461D74">
        <w:rPr>
          <w:rFonts w:ascii="Garamond" w:hAnsi="Garamond" w:cstheme="minorHAnsi"/>
          <w:sz w:val="24"/>
          <w:szCs w:val="24"/>
        </w:rPr>
        <w:t xml:space="preserve">through participation in social practices that </w:t>
      </w:r>
      <w:r w:rsidR="001C74F0">
        <w:rPr>
          <w:rFonts w:ascii="Garamond" w:hAnsi="Garamond" w:cstheme="minorHAnsi"/>
          <w:sz w:val="24"/>
          <w:szCs w:val="24"/>
        </w:rPr>
        <w:t xml:space="preserve">are directed towards </w:t>
      </w:r>
      <w:r w:rsidRPr="00461D74">
        <w:rPr>
          <w:rFonts w:ascii="Garamond" w:hAnsi="Garamond" w:cstheme="minorHAnsi"/>
          <w:sz w:val="24"/>
          <w:szCs w:val="24"/>
        </w:rPr>
        <w:t>advanc</w:t>
      </w:r>
      <w:r w:rsidR="001C74F0">
        <w:rPr>
          <w:rFonts w:ascii="Garamond" w:hAnsi="Garamond" w:cstheme="minorHAnsi"/>
          <w:sz w:val="24"/>
          <w:szCs w:val="24"/>
        </w:rPr>
        <w:t>ing</w:t>
      </w:r>
      <w:r w:rsidRPr="00461D74">
        <w:rPr>
          <w:rFonts w:ascii="Garamond" w:hAnsi="Garamond" w:cstheme="minorHAnsi"/>
          <w:sz w:val="24"/>
          <w:szCs w:val="24"/>
        </w:rPr>
        <w:t xml:space="preserve"> the common good. However, an individual’s desire or preference is not irreducibly connected to the notion of public interest. Thus, the concept of public interest </w:t>
      </w:r>
      <w:r w:rsidR="00013BDB" w:rsidRPr="00461D74">
        <w:rPr>
          <w:rFonts w:ascii="Garamond" w:hAnsi="Garamond" w:cstheme="minorHAnsi"/>
          <w:sz w:val="24"/>
          <w:szCs w:val="24"/>
        </w:rPr>
        <w:t xml:space="preserve">doesn’t </w:t>
      </w:r>
      <w:r w:rsidRPr="00461D74">
        <w:rPr>
          <w:rFonts w:ascii="Garamond" w:hAnsi="Garamond" w:cstheme="minorHAnsi"/>
          <w:sz w:val="24"/>
          <w:szCs w:val="24"/>
        </w:rPr>
        <w:t>hold</w:t>
      </w:r>
      <w:r w:rsidR="00013BDB" w:rsidRPr="00461D74">
        <w:rPr>
          <w:rFonts w:ascii="Garamond" w:hAnsi="Garamond" w:cstheme="minorHAnsi"/>
          <w:sz w:val="24"/>
          <w:szCs w:val="24"/>
        </w:rPr>
        <w:t xml:space="preserve"> the right sort of conceptual relationship with </w:t>
      </w:r>
      <w:r w:rsidRPr="00461D74">
        <w:rPr>
          <w:rFonts w:ascii="Garamond" w:hAnsi="Garamond" w:cstheme="minorHAnsi"/>
          <w:sz w:val="24"/>
          <w:szCs w:val="24"/>
        </w:rPr>
        <w:t>an</w:t>
      </w:r>
      <w:r w:rsidR="00013BDB" w:rsidRPr="00461D74">
        <w:rPr>
          <w:rFonts w:ascii="Garamond" w:hAnsi="Garamond" w:cstheme="minorHAnsi"/>
          <w:sz w:val="24"/>
          <w:szCs w:val="24"/>
        </w:rPr>
        <w:t xml:space="preserve"> individual’s good; hence, an individual could question why they ought to sacrifice their own desires and preferences for the sake of public interest.</w:t>
      </w:r>
    </w:p>
    <w:p w:rsidR="006423D8" w:rsidRDefault="00986F86">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then examined some important </w:t>
      </w:r>
      <w:r w:rsidR="006A4CD2" w:rsidRPr="00461D74">
        <w:rPr>
          <w:rFonts w:ascii="Garamond" w:hAnsi="Garamond" w:cstheme="minorHAnsi"/>
          <w:sz w:val="24"/>
          <w:szCs w:val="24"/>
        </w:rPr>
        <w:t xml:space="preserve">consequences that follow from MacIntyre’s wholesale rejection of the liberal state. </w:t>
      </w:r>
      <w:r w:rsidR="000973AB" w:rsidRPr="00461D74">
        <w:rPr>
          <w:rFonts w:ascii="Garamond" w:hAnsi="Garamond" w:cstheme="minorHAnsi"/>
          <w:sz w:val="24"/>
          <w:szCs w:val="24"/>
          <w:lang w:val="en-GB"/>
        </w:rPr>
        <w:t>Here</w:t>
      </w:r>
      <w:r w:rsidR="006A4CD2" w:rsidRPr="00461D74">
        <w:rPr>
          <w:rFonts w:ascii="Garamond" w:hAnsi="Garamond" w:cstheme="minorHAnsi"/>
          <w:sz w:val="24"/>
          <w:szCs w:val="24"/>
          <w:lang w:val="en-GB"/>
        </w:rPr>
        <w:t xml:space="preserve">, I </w:t>
      </w:r>
      <w:r w:rsidR="000973AB" w:rsidRPr="00461D74">
        <w:rPr>
          <w:rFonts w:ascii="Garamond" w:hAnsi="Garamond" w:cstheme="minorHAnsi"/>
          <w:sz w:val="24"/>
          <w:szCs w:val="24"/>
          <w:lang w:val="en-GB"/>
        </w:rPr>
        <w:t xml:space="preserve">utilised Mark Murphy’s argument to </w:t>
      </w:r>
      <w:r w:rsidR="006A4CD2" w:rsidRPr="00461D74">
        <w:rPr>
          <w:rFonts w:ascii="Garamond" w:hAnsi="Garamond" w:cstheme="minorHAnsi"/>
          <w:sz w:val="24"/>
          <w:szCs w:val="24"/>
          <w:lang w:val="en-GB"/>
        </w:rPr>
        <w:t xml:space="preserve">examine two particular difficulties that emerge as a result of MacIntyre’s </w:t>
      </w:r>
      <w:r w:rsidR="00FD790B">
        <w:rPr>
          <w:rFonts w:ascii="Garamond" w:hAnsi="Garamond" w:cstheme="minorHAnsi"/>
          <w:sz w:val="24"/>
          <w:szCs w:val="24"/>
          <w:lang w:val="en-GB"/>
        </w:rPr>
        <w:t>singular</w:t>
      </w:r>
      <w:r w:rsidR="00FD790B" w:rsidRPr="00461D74">
        <w:rPr>
          <w:rFonts w:ascii="Garamond" w:hAnsi="Garamond" w:cstheme="minorHAnsi"/>
          <w:sz w:val="24"/>
          <w:szCs w:val="24"/>
          <w:lang w:val="en-GB"/>
        </w:rPr>
        <w:t xml:space="preserve"> </w:t>
      </w:r>
      <w:r w:rsidR="000973AB" w:rsidRPr="00461D74">
        <w:rPr>
          <w:rFonts w:ascii="Garamond" w:hAnsi="Garamond" w:cstheme="minorHAnsi"/>
          <w:sz w:val="24"/>
          <w:szCs w:val="24"/>
          <w:lang w:val="en-GB"/>
        </w:rPr>
        <w:t xml:space="preserve">focus on communal politics, as well as his </w:t>
      </w:r>
      <w:r w:rsidR="006A4CD2" w:rsidRPr="00461D74">
        <w:rPr>
          <w:rFonts w:ascii="Garamond" w:hAnsi="Garamond" w:cstheme="minorHAnsi"/>
          <w:sz w:val="24"/>
          <w:szCs w:val="24"/>
          <w:lang w:val="en-GB"/>
        </w:rPr>
        <w:t>rejection of large-scale politic</w:t>
      </w:r>
      <w:r w:rsidR="000973AB" w:rsidRPr="00461D74">
        <w:rPr>
          <w:rFonts w:ascii="Garamond" w:hAnsi="Garamond" w:cstheme="minorHAnsi"/>
          <w:sz w:val="24"/>
          <w:szCs w:val="24"/>
          <w:lang w:val="en-GB"/>
        </w:rPr>
        <w:t>al systems.</w:t>
      </w:r>
      <w:r w:rsidRPr="00461D74">
        <w:rPr>
          <w:rFonts w:ascii="Garamond" w:hAnsi="Garamond" w:cstheme="minorHAnsi"/>
          <w:sz w:val="24"/>
          <w:szCs w:val="24"/>
          <w:lang w:val="en-GB"/>
        </w:rPr>
        <w:t xml:space="preserve"> First, MacIntyre agrees that the state is essential to the existence of small-scale political systems and that local communities often rely on the state for a number of important goods; and second, MacIntyre’s account of politics </w:t>
      </w:r>
      <w:r w:rsidR="00705987" w:rsidRPr="00461D74">
        <w:rPr>
          <w:rFonts w:ascii="Garamond" w:hAnsi="Garamond" w:cstheme="minorHAnsi"/>
          <w:sz w:val="24"/>
          <w:szCs w:val="24"/>
          <w:lang w:val="en-GB"/>
        </w:rPr>
        <w:t>conceives politics as a second-order practice</w:t>
      </w:r>
      <w:r w:rsidR="00C516DC" w:rsidRPr="00461D74">
        <w:rPr>
          <w:rFonts w:ascii="Garamond" w:hAnsi="Garamond" w:cstheme="minorHAnsi"/>
          <w:sz w:val="24"/>
          <w:szCs w:val="24"/>
          <w:lang w:val="en-GB"/>
        </w:rPr>
        <w:t xml:space="preserve"> </w:t>
      </w:r>
      <w:r w:rsidR="00705987" w:rsidRPr="00461D74">
        <w:rPr>
          <w:rFonts w:ascii="Garamond" w:hAnsi="Garamond" w:cstheme="minorHAnsi"/>
          <w:sz w:val="24"/>
          <w:szCs w:val="24"/>
          <w:lang w:val="en-GB"/>
        </w:rPr>
        <w:t>–</w:t>
      </w:r>
      <w:r w:rsidR="00C516DC" w:rsidRPr="00461D74">
        <w:rPr>
          <w:rFonts w:ascii="Garamond" w:hAnsi="Garamond" w:cstheme="minorHAnsi"/>
          <w:sz w:val="24"/>
          <w:szCs w:val="24"/>
          <w:lang w:val="en-GB"/>
        </w:rPr>
        <w:t xml:space="preserve"> </w:t>
      </w:r>
      <w:r w:rsidR="00705987" w:rsidRPr="00461D74">
        <w:rPr>
          <w:rFonts w:ascii="Garamond" w:hAnsi="Garamond" w:cstheme="minorHAnsi"/>
          <w:sz w:val="24"/>
          <w:szCs w:val="24"/>
          <w:lang w:val="en-GB"/>
        </w:rPr>
        <w:t xml:space="preserve">a practice in which individual </w:t>
      </w:r>
      <w:proofErr w:type="spellStart"/>
      <w:r w:rsidR="00705987" w:rsidRPr="00461D74">
        <w:rPr>
          <w:rFonts w:ascii="Garamond" w:hAnsi="Garamond" w:cstheme="minorHAnsi"/>
          <w:sz w:val="24"/>
          <w:szCs w:val="24"/>
          <w:lang w:val="en-GB"/>
        </w:rPr>
        <w:t>reasoners</w:t>
      </w:r>
      <w:proofErr w:type="spellEnd"/>
      <w:r w:rsidR="00705987" w:rsidRPr="00461D74">
        <w:rPr>
          <w:rFonts w:ascii="Garamond" w:hAnsi="Garamond" w:cstheme="minorHAnsi"/>
          <w:sz w:val="24"/>
          <w:szCs w:val="24"/>
          <w:lang w:val="en-GB"/>
        </w:rPr>
        <w:t xml:space="preserve"> participate in</w:t>
      </w:r>
      <w:r w:rsidR="004F2EA0" w:rsidRPr="00461D74">
        <w:rPr>
          <w:rFonts w:ascii="Garamond" w:hAnsi="Garamond" w:cstheme="minorHAnsi"/>
          <w:sz w:val="24"/>
          <w:szCs w:val="24"/>
          <w:lang w:val="en-GB"/>
        </w:rPr>
        <w:t xml:space="preserve"> the ordering of the goods of a diverse set of social practices.</w:t>
      </w:r>
      <w:r w:rsidR="00705987" w:rsidRPr="00461D74">
        <w:rPr>
          <w:rFonts w:ascii="Garamond" w:hAnsi="Garamond" w:cstheme="minorHAnsi"/>
          <w:sz w:val="24"/>
          <w:szCs w:val="24"/>
          <w:lang w:val="en-GB"/>
        </w:rPr>
        <w:t xml:space="preserve"> </w:t>
      </w:r>
      <w:r w:rsidR="00A17F1C">
        <w:rPr>
          <w:rFonts w:ascii="Garamond" w:hAnsi="Garamond" w:cstheme="minorHAnsi"/>
          <w:sz w:val="24"/>
          <w:szCs w:val="24"/>
          <w:lang w:val="en-GB"/>
        </w:rPr>
        <w:t xml:space="preserve">However, </w:t>
      </w:r>
      <w:r w:rsidR="00854D6C" w:rsidRPr="00461D74">
        <w:rPr>
          <w:rFonts w:ascii="Garamond" w:hAnsi="Garamond" w:cstheme="minorHAnsi"/>
          <w:sz w:val="24"/>
          <w:szCs w:val="24"/>
        </w:rPr>
        <w:t xml:space="preserve">MacIntyre’s political account runs into </w:t>
      </w:r>
      <w:r w:rsidR="00A17F1C">
        <w:rPr>
          <w:rFonts w:ascii="Garamond" w:hAnsi="Garamond" w:cstheme="minorHAnsi"/>
          <w:sz w:val="24"/>
          <w:szCs w:val="24"/>
        </w:rPr>
        <w:t>significant</w:t>
      </w:r>
      <w:r w:rsidR="00854D6C" w:rsidRPr="00461D74">
        <w:rPr>
          <w:rFonts w:ascii="Garamond" w:hAnsi="Garamond" w:cstheme="minorHAnsi"/>
          <w:sz w:val="24"/>
          <w:szCs w:val="24"/>
        </w:rPr>
        <w:t xml:space="preserve"> inconsistencies. </w:t>
      </w:r>
      <w:r w:rsidR="00705987" w:rsidRPr="00461D74">
        <w:rPr>
          <w:rFonts w:ascii="Garamond" w:hAnsi="Garamond" w:cstheme="minorHAnsi"/>
          <w:sz w:val="24"/>
          <w:szCs w:val="24"/>
        </w:rPr>
        <w:t>On MacIntyre’s view,</w:t>
      </w:r>
      <w:r w:rsidR="00854D6C" w:rsidRPr="00461D74">
        <w:rPr>
          <w:rFonts w:ascii="Garamond" w:hAnsi="Garamond" w:cstheme="minorHAnsi"/>
          <w:sz w:val="24"/>
          <w:szCs w:val="24"/>
        </w:rPr>
        <w:t xml:space="preserve"> the state </w:t>
      </w:r>
      <w:r w:rsidR="00705987" w:rsidRPr="00461D74">
        <w:rPr>
          <w:rFonts w:ascii="Garamond" w:hAnsi="Garamond" w:cstheme="minorHAnsi"/>
          <w:sz w:val="24"/>
          <w:szCs w:val="24"/>
        </w:rPr>
        <w:t>generates a number of</w:t>
      </w:r>
      <w:r w:rsidR="00854D6C" w:rsidRPr="00461D74">
        <w:rPr>
          <w:rFonts w:ascii="Garamond" w:hAnsi="Garamond" w:cstheme="minorHAnsi"/>
          <w:sz w:val="24"/>
          <w:szCs w:val="24"/>
        </w:rPr>
        <w:t xml:space="preserve"> goods that </w:t>
      </w:r>
      <w:r w:rsidR="00854D6C" w:rsidRPr="00461D74">
        <w:rPr>
          <w:rFonts w:ascii="Garamond" w:hAnsi="Garamond" w:cstheme="minorHAnsi"/>
          <w:sz w:val="24"/>
          <w:szCs w:val="24"/>
        </w:rPr>
        <w:lastRenderedPageBreak/>
        <w:t xml:space="preserve">are necessary for </w:t>
      </w:r>
      <w:r w:rsidR="004F2EA0" w:rsidRPr="00461D74">
        <w:rPr>
          <w:rFonts w:ascii="Garamond" w:hAnsi="Garamond" w:cstheme="minorHAnsi"/>
          <w:sz w:val="24"/>
          <w:szCs w:val="24"/>
        </w:rPr>
        <w:t xml:space="preserve">communal </w:t>
      </w:r>
      <w:r w:rsidR="00854D6C" w:rsidRPr="00461D74">
        <w:rPr>
          <w:rFonts w:ascii="Garamond" w:hAnsi="Garamond" w:cstheme="minorHAnsi"/>
          <w:sz w:val="24"/>
          <w:szCs w:val="24"/>
        </w:rPr>
        <w:t>local politics</w:t>
      </w:r>
      <w:r w:rsidR="00A17F1C">
        <w:rPr>
          <w:rFonts w:ascii="Garamond" w:hAnsi="Garamond" w:cstheme="minorHAnsi"/>
          <w:sz w:val="24"/>
          <w:szCs w:val="24"/>
        </w:rPr>
        <w:t>.</w:t>
      </w:r>
      <w:r w:rsidR="004F2EA0" w:rsidRPr="00461D74">
        <w:rPr>
          <w:rFonts w:ascii="Garamond" w:hAnsi="Garamond" w:cstheme="minorHAnsi"/>
          <w:sz w:val="24"/>
          <w:szCs w:val="24"/>
        </w:rPr>
        <w:t xml:space="preserve"> </w:t>
      </w:r>
      <w:r w:rsidR="00B1040C">
        <w:rPr>
          <w:rFonts w:ascii="Garamond" w:hAnsi="Garamond" w:cstheme="minorHAnsi"/>
          <w:sz w:val="24"/>
          <w:szCs w:val="24"/>
        </w:rPr>
        <w:t>N</w:t>
      </w:r>
      <w:r w:rsidR="004F2EA0" w:rsidRPr="00461D74">
        <w:rPr>
          <w:rFonts w:ascii="Garamond" w:hAnsi="Garamond" w:cstheme="minorHAnsi"/>
          <w:sz w:val="24"/>
          <w:szCs w:val="24"/>
        </w:rPr>
        <w:t>evertheless</w:t>
      </w:r>
      <w:r w:rsidR="00854D6C" w:rsidRPr="00461D74">
        <w:rPr>
          <w:rFonts w:ascii="Garamond" w:hAnsi="Garamond" w:cstheme="minorHAnsi"/>
          <w:sz w:val="24"/>
          <w:szCs w:val="24"/>
        </w:rPr>
        <w:t xml:space="preserve">, </w:t>
      </w:r>
      <w:r w:rsidR="004F2EA0" w:rsidRPr="00461D74">
        <w:rPr>
          <w:rFonts w:ascii="Garamond" w:hAnsi="Garamond" w:cstheme="minorHAnsi"/>
          <w:sz w:val="24"/>
          <w:szCs w:val="24"/>
        </w:rPr>
        <w:t xml:space="preserve">the liberal state appears to actively </w:t>
      </w:r>
      <w:r w:rsidR="00705987" w:rsidRPr="00461D74">
        <w:rPr>
          <w:rFonts w:ascii="Garamond" w:hAnsi="Garamond" w:cstheme="minorHAnsi"/>
          <w:sz w:val="24"/>
          <w:szCs w:val="24"/>
        </w:rPr>
        <w:t>corrupt</w:t>
      </w:r>
      <w:r w:rsidR="004F2EA0" w:rsidRPr="00461D74">
        <w:rPr>
          <w:rFonts w:ascii="Garamond" w:hAnsi="Garamond" w:cstheme="minorHAnsi"/>
          <w:sz w:val="24"/>
          <w:szCs w:val="24"/>
        </w:rPr>
        <w:t xml:space="preserve"> the </w:t>
      </w:r>
      <w:r w:rsidR="00705987" w:rsidRPr="00461D74">
        <w:rPr>
          <w:rFonts w:ascii="Garamond" w:hAnsi="Garamond" w:cstheme="minorHAnsi"/>
          <w:sz w:val="24"/>
          <w:szCs w:val="24"/>
        </w:rPr>
        <w:t xml:space="preserve">sort of </w:t>
      </w:r>
      <w:r w:rsidR="004F2EA0" w:rsidRPr="00461D74">
        <w:rPr>
          <w:rFonts w:ascii="Garamond" w:hAnsi="Garamond" w:cstheme="minorHAnsi"/>
          <w:sz w:val="24"/>
          <w:szCs w:val="24"/>
        </w:rPr>
        <w:t>common good pursued by local communities</w:t>
      </w:r>
      <w:r w:rsidR="00705987" w:rsidRPr="00461D74">
        <w:rPr>
          <w:rFonts w:ascii="Garamond" w:hAnsi="Garamond" w:cstheme="minorHAnsi"/>
          <w:sz w:val="24"/>
          <w:szCs w:val="24"/>
        </w:rPr>
        <w:t>;</w:t>
      </w:r>
      <w:r w:rsidR="004F2EA0" w:rsidRPr="00461D74">
        <w:rPr>
          <w:rFonts w:ascii="Garamond" w:hAnsi="Garamond" w:cstheme="minorHAnsi"/>
          <w:sz w:val="24"/>
          <w:szCs w:val="24"/>
        </w:rPr>
        <w:t xml:space="preserve"> and MacIntyre </w:t>
      </w:r>
      <w:r w:rsidR="00833BE3">
        <w:rPr>
          <w:rFonts w:ascii="Garamond" w:hAnsi="Garamond" w:cstheme="minorHAnsi"/>
          <w:sz w:val="24"/>
          <w:szCs w:val="24"/>
        </w:rPr>
        <w:t>rejects</w:t>
      </w:r>
      <w:r w:rsidR="00833BE3" w:rsidRPr="00461D74">
        <w:rPr>
          <w:rFonts w:ascii="Garamond" w:hAnsi="Garamond" w:cstheme="minorHAnsi"/>
          <w:sz w:val="24"/>
          <w:szCs w:val="24"/>
        </w:rPr>
        <w:t xml:space="preserve"> </w:t>
      </w:r>
      <w:r w:rsidR="004F2EA0" w:rsidRPr="00461D74">
        <w:rPr>
          <w:rFonts w:ascii="Garamond" w:hAnsi="Garamond" w:cstheme="minorHAnsi"/>
          <w:sz w:val="24"/>
          <w:szCs w:val="24"/>
        </w:rPr>
        <w:t xml:space="preserve">the liberal state because </w:t>
      </w:r>
      <w:r w:rsidR="00854D6C" w:rsidRPr="00461D74">
        <w:rPr>
          <w:rFonts w:ascii="Garamond" w:hAnsi="Garamond" w:cstheme="minorHAnsi"/>
          <w:sz w:val="24"/>
          <w:szCs w:val="24"/>
        </w:rPr>
        <w:t xml:space="preserve">it </w:t>
      </w:r>
      <w:r w:rsidR="004F2EA0" w:rsidRPr="00461D74">
        <w:rPr>
          <w:rFonts w:ascii="Garamond" w:hAnsi="Garamond" w:cstheme="minorHAnsi"/>
          <w:sz w:val="24"/>
          <w:szCs w:val="24"/>
        </w:rPr>
        <w:t xml:space="preserve">fails to </w:t>
      </w:r>
      <w:r w:rsidR="00833BE3">
        <w:rPr>
          <w:rFonts w:ascii="Garamond" w:hAnsi="Garamond" w:cstheme="minorHAnsi"/>
          <w:sz w:val="24"/>
          <w:szCs w:val="24"/>
        </w:rPr>
        <w:t>embody</w:t>
      </w:r>
      <w:r w:rsidR="00833BE3" w:rsidRPr="00461D74">
        <w:rPr>
          <w:rFonts w:ascii="Garamond" w:hAnsi="Garamond" w:cstheme="minorHAnsi"/>
          <w:sz w:val="24"/>
          <w:szCs w:val="24"/>
        </w:rPr>
        <w:t xml:space="preserve"> </w:t>
      </w:r>
      <w:r w:rsidR="004F2EA0" w:rsidRPr="00461D74">
        <w:rPr>
          <w:rFonts w:ascii="Garamond" w:hAnsi="Garamond" w:cstheme="minorHAnsi"/>
          <w:sz w:val="24"/>
          <w:szCs w:val="24"/>
        </w:rPr>
        <w:t xml:space="preserve">a </w:t>
      </w:r>
      <w:r w:rsidR="00833BE3">
        <w:rPr>
          <w:rFonts w:ascii="Garamond" w:hAnsi="Garamond" w:cstheme="minorHAnsi"/>
          <w:sz w:val="24"/>
          <w:szCs w:val="24"/>
        </w:rPr>
        <w:t>more substantive</w:t>
      </w:r>
      <w:r w:rsidR="004F2EA0" w:rsidRPr="00461D74">
        <w:rPr>
          <w:rFonts w:ascii="Garamond" w:hAnsi="Garamond" w:cstheme="minorHAnsi"/>
          <w:sz w:val="24"/>
          <w:szCs w:val="24"/>
        </w:rPr>
        <w:t xml:space="preserve"> conception of the good. </w:t>
      </w:r>
      <w:r w:rsidR="00705987" w:rsidRPr="00461D74">
        <w:rPr>
          <w:rFonts w:ascii="Garamond" w:hAnsi="Garamond" w:cstheme="minorHAnsi"/>
          <w:sz w:val="24"/>
          <w:szCs w:val="24"/>
        </w:rPr>
        <w:t>In addition</w:t>
      </w:r>
      <w:r w:rsidR="004F2EA0" w:rsidRPr="00461D74">
        <w:rPr>
          <w:rFonts w:ascii="Garamond" w:hAnsi="Garamond" w:cstheme="minorHAnsi"/>
          <w:sz w:val="24"/>
          <w:szCs w:val="24"/>
        </w:rPr>
        <w:t xml:space="preserve">, MacIntyre’s Thomistic account of politics means that the goods </w:t>
      </w:r>
      <w:r w:rsidR="00705987" w:rsidRPr="00461D74">
        <w:rPr>
          <w:rFonts w:ascii="Garamond" w:hAnsi="Garamond" w:cstheme="minorHAnsi"/>
          <w:sz w:val="24"/>
          <w:szCs w:val="24"/>
        </w:rPr>
        <w:t>of different</w:t>
      </w:r>
      <w:r w:rsidR="004F2EA0" w:rsidRPr="00461D74">
        <w:rPr>
          <w:rFonts w:ascii="Garamond" w:hAnsi="Garamond" w:cstheme="minorHAnsi"/>
          <w:sz w:val="24"/>
          <w:szCs w:val="24"/>
        </w:rPr>
        <w:t xml:space="preserve"> </w:t>
      </w:r>
      <w:r w:rsidR="00705987" w:rsidRPr="00461D74">
        <w:rPr>
          <w:rFonts w:ascii="Garamond" w:hAnsi="Garamond" w:cstheme="minorHAnsi"/>
          <w:sz w:val="24"/>
          <w:szCs w:val="24"/>
        </w:rPr>
        <w:t>social practices ought to be</w:t>
      </w:r>
      <w:r w:rsidR="004F2EA0" w:rsidRPr="00461D74">
        <w:rPr>
          <w:rFonts w:ascii="Garamond" w:hAnsi="Garamond" w:cstheme="minorHAnsi"/>
          <w:sz w:val="24"/>
          <w:szCs w:val="24"/>
        </w:rPr>
        <w:t xml:space="preserve"> organised through </w:t>
      </w:r>
      <w:r w:rsidR="00705987" w:rsidRPr="00461D74">
        <w:rPr>
          <w:rFonts w:ascii="Garamond" w:hAnsi="Garamond" w:cstheme="minorHAnsi"/>
          <w:sz w:val="24"/>
          <w:szCs w:val="24"/>
        </w:rPr>
        <w:t>an extended</w:t>
      </w:r>
      <w:r w:rsidR="004F2EA0" w:rsidRPr="00461D74">
        <w:rPr>
          <w:rFonts w:ascii="Garamond" w:hAnsi="Garamond" w:cstheme="minorHAnsi"/>
          <w:sz w:val="24"/>
          <w:szCs w:val="24"/>
        </w:rPr>
        <w:t xml:space="preserve"> </w:t>
      </w:r>
      <w:r w:rsidR="00705987" w:rsidRPr="00461D74">
        <w:rPr>
          <w:rFonts w:ascii="Garamond" w:hAnsi="Garamond" w:cstheme="minorHAnsi"/>
          <w:sz w:val="24"/>
          <w:szCs w:val="24"/>
        </w:rPr>
        <w:t xml:space="preserve">deliberative mechanisms. Nonetheless, MacIntyre’s definition of social practices </w:t>
      </w:r>
      <w:r w:rsidR="006423D8">
        <w:rPr>
          <w:rFonts w:ascii="Garamond" w:hAnsi="Garamond" w:cstheme="minorHAnsi"/>
          <w:sz w:val="24"/>
          <w:szCs w:val="24"/>
        </w:rPr>
        <w:t>entails a marked degree of reliance on large-scale political structures, employed to underwrite MacIntyre’s communal form of politics.</w:t>
      </w:r>
    </w:p>
    <w:p w:rsidR="00665157" w:rsidRDefault="00453FBF">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I conclude</w:t>
      </w:r>
      <w:r w:rsidR="008F2F58" w:rsidRPr="00461D74">
        <w:rPr>
          <w:rFonts w:ascii="Garamond" w:hAnsi="Garamond" w:cstheme="minorHAnsi"/>
          <w:sz w:val="24"/>
          <w:szCs w:val="24"/>
          <w:lang w:val="en-GB"/>
        </w:rPr>
        <w:t>d</w:t>
      </w:r>
      <w:r w:rsidRPr="00461D74">
        <w:rPr>
          <w:rFonts w:ascii="Garamond" w:hAnsi="Garamond" w:cstheme="minorHAnsi"/>
          <w:sz w:val="24"/>
          <w:szCs w:val="24"/>
          <w:lang w:val="en-GB"/>
        </w:rPr>
        <w:t xml:space="preserve"> that </w:t>
      </w:r>
      <w:r w:rsidR="006423D8">
        <w:rPr>
          <w:rFonts w:ascii="Garamond" w:hAnsi="Garamond" w:cstheme="minorHAnsi"/>
          <w:sz w:val="24"/>
          <w:szCs w:val="24"/>
          <w:lang w:val="en-GB"/>
        </w:rPr>
        <w:t xml:space="preserve">a number of </w:t>
      </w:r>
      <w:r w:rsidRPr="00461D74">
        <w:rPr>
          <w:rFonts w:ascii="Garamond" w:hAnsi="Garamond" w:cstheme="minorHAnsi"/>
          <w:sz w:val="24"/>
          <w:szCs w:val="24"/>
          <w:lang w:val="en-GB"/>
        </w:rPr>
        <w:t xml:space="preserve">MacIntyre’s </w:t>
      </w:r>
      <w:r w:rsidR="007B6821" w:rsidRPr="00461D74">
        <w:rPr>
          <w:rFonts w:ascii="Garamond" w:hAnsi="Garamond" w:cstheme="minorHAnsi"/>
          <w:sz w:val="24"/>
          <w:szCs w:val="24"/>
          <w:lang w:val="en-GB"/>
        </w:rPr>
        <w:t xml:space="preserve">political commitments appear </w:t>
      </w:r>
      <w:r w:rsidR="006423D8">
        <w:rPr>
          <w:rFonts w:ascii="Garamond" w:hAnsi="Garamond" w:cstheme="minorHAnsi"/>
          <w:sz w:val="24"/>
          <w:szCs w:val="24"/>
          <w:lang w:val="en-GB"/>
        </w:rPr>
        <w:t xml:space="preserve">to be </w:t>
      </w:r>
      <w:r w:rsidR="007B6821" w:rsidRPr="00461D74">
        <w:rPr>
          <w:rFonts w:ascii="Garamond" w:hAnsi="Garamond" w:cstheme="minorHAnsi"/>
          <w:sz w:val="24"/>
          <w:szCs w:val="24"/>
          <w:lang w:val="en-GB"/>
        </w:rPr>
        <w:t>inconsistent</w:t>
      </w:r>
      <w:r w:rsidRPr="00461D74">
        <w:rPr>
          <w:rFonts w:ascii="Garamond" w:hAnsi="Garamond" w:cstheme="minorHAnsi"/>
          <w:sz w:val="24"/>
          <w:szCs w:val="24"/>
          <w:lang w:val="en-GB"/>
        </w:rPr>
        <w:t xml:space="preserve">. If MacIntyre indeed accepts that the shortcomings of large-scale political systems </w:t>
      </w:r>
      <w:r w:rsidR="007B6821" w:rsidRPr="00461D74">
        <w:rPr>
          <w:rFonts w:ascii="Garamond" w:hAnsi="Garamond" w:cstheme="minorHAnsi"/>
          <w:sz w:val="24"/>
          <w:szCs w:val="24"/>
          <w:lang w:val="en-GB"/>
        </w:rPr>
        <w:t>are for the most part permanent</w:t>
      </w:r>
      <w:r w:rsidR="00C516DC" w:rsidRPr="00461D74">
        <w:rPr>
          <w:rFonts w:ascii="Garamond" w:hAnsi="Garamond" w:cstheme="minorHAnsi"/>
          <w:sz w:val="24"/>
          <w:szCs w:val="24"/>
          <w:lang w:val="en-GB"/>
        </w:rPr>
        <w:t>,</w:t>
      </w:r>
      <w:r w:rsidRPr="00461D74">
        <w:rPr>
          <w:rFonts w:ascii="Garamond" w:hAnsi="Garamond" w:cstheme="minorHAnsi"/>
          <w:sz w:val="24"/>
          <w:szCs w:val="24"/>
          <w:lang w:val="en-GB"/>
        </w:rPr>
        <w:t xml:space="preserve"> he leaves open the possibility that local political structures are inevitably corrupted, precisely </w:t>
      </w:r>
      <w:r w:rsidR="007B6821" w:rsidRPr="00461D74">
        <w:rPr>
          <w:rFonts w:ascii="Garamond" w:hAnsi="Garamond" w:cstheme="minorHAnsi"/>
          <w:sz w:val="24"/>
          <w:szCs w:val="24"/>
          <w:lang w:val="en-GB"/>
        </w:rPr>
        <w:t>because</w:t>
      </w:r>
      <w:r w:rsidRPr="00461D74">
        <w:rPr>
          <w:rFonts w:ascii="Garamond" w:hAnsi="Garamond" w:cstheme="minorHAnsi"/>
          <w:sz w:val="24"/>
          <w:szCs w:val="24"/>
          <w:lang w:val="en-GB"/>
        </w:rPr>
        <w:t xml:space="preserve"> of their vulnerab</w:t>
      </w:r>
      <w:r w:rsidR="007B6821" w:rsidRPr="00461D74">
        <w:rPr>
          <w:rFonts w:ascii="Garamond" w:hAnsi="Garamond" w:cstheme="minorHAnsi"/>
          <w:sz w:val="24"/>
          <w:szCs w:val="24"/>
          <w:lang w:val="en-GB"/>
        </w:rPr>
        <w:t>ility to political machinations</w:t>
      </w:r>
      <w:r w:rsidR="00C516DC" w:rsidRPr="00461D74">
        <w:rPr>
          <w:rFonts w:ascii="Garamond" w:hAnsi="Garamond" w:cstheme="minorHAnsi"/>
          <w:sz w:val="24"/>
          <w:szCs w:val="24"/>
          <w:lang w:val="en-GB"/>
        </w:rPr>
        <w:t xml:space="preserve"> </w:t>
      </w:r>
      <w:r w:rsidR="007B6821" w:rsidRPr="00461D74">
        <w:rPr>
          <w:rFonts w:ascii="Garamond" w:hAnsi="Garamond" w:cstheme="minorHAnsi"/>
          <w:sz w:val="24"/>
          <w:szCs w:val="24"/>
          <w:lang w:val="en-GB"/>
        </w:rPr>
        <w:t>–</w:t>
      </w:r>
      <w:r w:rsidR="00C516DC" w:rsidRPr="00461D74">
        <w:rPr>
          <w:rFonts w:ascii="Garamond" w:hAnsi="Garamond" w:cstheme="minorHAnsi"/>
          <w:sz w:val="24"/>
          <w:szCs w:val="24"/>
          <w:lang w:val="en-GB"/>
        </w:rPr>
        <w:t xml:space="preserve"> </w:t>
      </w:r>
      <w:r w:rsidR="007B6821" w:rsidRPr="00461D74">
        <w:rPr>
          <w:rFonts w:ascii="Garamond" w:hAnsi="Garamond" w:cstheme="minorHAnsi"/>
          <w:sz w:val="24"/>
          <w:szCs w:val="24"/>
          <w:lang w:val="en-GB"/>
        </w:rPr>
        <w:t>machinations which on MacIntyre’s view</w:t>
      </w:r>
      <w:r w:rsidRPr="00461D74">
        <w:rPr>
          <w:rFonts w:ascii="Garamond" w:hAnsi="Garamond" w:cstheme="minorHAnsi"/>
          <w:sz w:val="24"/>
          <w:szCs w:val="24"/>
          <w:lang w:val="en-GB"/>
        </w:rPr>
        <w:t xml:space="preserve"> are a</w:t>
      </w:r>
      <w:r w:rsidR="006423D8">
        <w:rPr>
          <w:rFonts w:ascii="Garamond" w:hAnsi="Garamond" w:cstheme="minorHAnsi"/>
          <w:sz w:val="24"/>
          <w:szCs w:val="24"/>
          <w:lang w:val="en-GB"/>
        </w:rPr>
        <w:t>n all too familiar</w:t>
      </w:r>
      <w:r w:rsidRPr="00461D74">
        <w:rPr>
          <w:rFonts w:ascii="Garamond" w:hAnsi="Garamond" w:cstheme="minorHAnsi"/>
          <w:sz w:val="24"/>
          <w:szCs w:val="24"/>
          <w:lang w:val="en-GB"/>
        </w:rPr>
        <w:t xml:space="preserve"> part of all contemporary large-scale political systems. Therefore, MacIntyre’s communal politics is susceptible to what he identifies as the subversive nature of large-scale political systems</w:t>
      </w:r>
      <w:r w:rsidR="007B6821" w:rsidRPr="00461D74">
        <w:rPr>
          <w:rFonts w:ascii="Garamond" w:hAnsi="Garamond" w:cstheme="minorHAnsi"/>
          <w:sz w:val="24"/>
          <w:szCs w:val="24"/>
          <w:lang w:val="en-GB"/>
        </w:rPr>
        <w:t>. And</w:t>
      </w:r>
      <w:r w:rsidRPr="00461D74">
        <w:rPr>
          <w:rFonts w:ascii="Garamond" w:hAnsi="Garamond" w:cstheme="minorHAnsi"/>
          <w:sz w:val="24"/>
          <w:szCs w:val="24"/>
          <w:lang w:val="en-GB"/>
        </w:rPr>
        <w:t xml:space="preserve"> in the absence of a sufficiently detailed constructive approach to politics</w:t>
      </w:r>
      <w:r w:rsidR="00C516DC" w:rsidRPr="00461D74">
        <w:rPr>
          <w:rFonts w:ascii="Garamond" w:hAnsi="Garamond" w:cstheme="minorHAnsi"/>
          <w:sz w:val="24"/>
          <w:szCs w:val="24"/>
          <w:lang w:val="en-GB"/>
        </w:rPr>
        <w:t xml:space="preserve"> </w:t>
      </w:r>
      <w:r w:rsidRPr="00461D74">
        <w:rPr>
          <w:rFonts w:ascii="Garamond" w:hAnsi="Garamond" w:cstheme="minorHAnsi"/>
          <w:sz w:val="24"/>
          <w:szCs w:val="24"/>
          <w:lang w:val="en-GB"/>
        </w:rPr>
        <w:t>–</w:t>
      </w:r>
      <w:r w:rsidR="00C516DC" w:rsidRPr="00461D74">
        <w:rPr>
          <w:rFonts w:ascii="Garamond" w:hAnsi="Garamond" w:cstheme="minorHAnsi"/>
          <w:sz w:val="24"/>
          <w:szCs w:val="24"/>
          <w:lang w:val="en-GB"/>
        </w:rPr>
        <w:t xml:space="preserve"> </w:t>
      </w:r>
      <w:r w:rsidRPr="00461D74">
        <w:rPr>
          <w:rFonts w:ascii="Garamond" w:hAnsi="Garamond" w:cstheme="minorHAnsi"/>
          <w:sz w:val="24"/>
          <w:szCs w:val="24"/>
          <w:lang w:val="en-GB"/>
        </w:rPr>
        <w:t>one that could potentially mitigate the subversive effects of large-scale political structures</w:t>
      </w:r>
      <w:r w:rsidR="00C516DC" w:rsidRPr="00461D74">
        <w:rPr>
          <w:rFonts w:ascii="Garamond" w:hAnsi="Garamond" w:cstheme="minorHAnsi"/>
          <w:sz w:val="24"/>
          <w:szCs w:val="24"/>
          <w:lang w:val="en-GB"/>
        </w:rPr>
        <w:t xml:space="preserve"> </w:t>
      </w:r>
      <w:r w:rsidRPr="00461D74">
        <w:rPr>
          <w:rFonts w:ascii="Garamond" w:hAnsi="Garamond" w:cstheme="minorHAnsi"/>
          <w:sz w:val="24"/>
          <w:szCs w:val="24"/>
          <w:lang w:val="en-GB"/>
        </w:rPr>
        <w:t>–</w:t>
      </w:r>
      <w:r w:rsidR="00C516DC" w:rsidRPr="00461D74">
        <w:rPr>
          <w:rFonts w:ascii="Garamond" w:hAnsi="Garamond" w:cstheme="minorHAnsi"/>
          <w:sz w:val="24"/>
          <w:szCs w:val="24"/>
          <w:lang w:val="en-GB"/>
        </w:rPr>
        <w:t xml:space="preserve"> </w:t>
      </w:r>
      <w:r w:rsidRPr="00461D74">
        <w:rPr>
          <w:rFonts w:ascii="Garamond" w:hAnsi="Garamond" w:cstheme="minorHAnsi"/>
          <w:sz w:val="24"/>
          <w:szCs w:val="24"/>
          <w:lang w:val="en-GB"/>
        </w:rPr>
        <w:t>we are unable to defend local communities</w:t>
      </w:r>
      <w:r w:rsidR="002247FD">
        <w:rPr>
          <w:rFonts w:ascii="Garamond" w:hAnsi="Garamond" w:cstheme="minorHAnsi"/>
          <w:sz w:val="24"/>
          <w:szCs w:val="24"/>
          <w:lang w:val="en-GB"/>
        </w:rPr>
        <w:t>, which are on his account the locus of the common good</w:t>
      </w:r>
      <w:r w:rsidR="007B6821" w:rsidRPr="00461D74">
        <w:rPr>
          <w:rFonts w:ascii="Garamond" w:hAnsi="Garamond" w:cstheme="minorHAnsi"/>
          <w:sz w:val="24"/>
          <w:szCs w:val="24"/>
          <w:lang w:val="en-GB"/>
        </w:rPr>
        <w:t>. While MacIntyre espouses a defence of local</w:t>
      </w:r>
      <w:r w:rsidR="008F2F58" w:rsidRPr="00461D74">
        <w:rPr>
          <w:rFonts w:ascii="Garamond" w:hAnsi="Garamond" w:cstheme="minorHAnsi"/>
          <w:sz w:val="24"/>
          <w:szCs w:val="24"/>
          <w:lang w:val="en-GB"/>
        </w:rPr>
        <w:t xml:space="preserve"> communities</w:t>
      </w:r>
      <w:r w:rsidR="007B6821" w:rsidRPr="00461D74">
        <w:rPr>
          <w:rFonts w:ascii="Garamond" w:hAnsi="Garamond" w:cstheme="minorHAnsi"/>
          <w:sz w:val="24"/>
          <w:szCs w:val="24"/>
          <w:lang w:val="en-GB"/>
        </w:rPr>
        <w:t>, under his account</w:t>
      </w:r>
      <w:r w:rsidR="006423D8">
        <w:rPr>
          <w:rFonts w:ascii="Garamond" w:hAnsi="Garamond" w:cstheme="minorHAnsi"/>
          <w:sz w:val="24"/>
          <w:szCs w:val="24"/>
          <w:lang w:val="en-GB"/>
        </w:rPr>
        <w:t>,</w:t>
      </w:r>
      <w:r w:rsidR="008F2F58" w:rsidRPr="00461D74">
        <w:rPr>
          <w:rFonts w:ascii="Garamond" w:hAnsi="Garamond" w:cstheme="minorHAnsi"/>
          <w:sz w:val="24"/>
          <w:szCs w:val="24"/>
          <w:lang w:val="en-GB"/>
        </w:rPr>
        <w:t xml:space="preserve"> </w:t>
      </w:r>
      <w:r w:rsidR="007B6821" w:rsidRPr="00461D74">
        <w:rPr>
          <w:rFonts w:ascii="Garamond" w:hAnsi="Garamond" w:cstheme="minorHAnsi"/>
          <w:sz w:val="24"/>
          <w:szCs w:val="24"/>
          <w:lang w:val="en-GB"/>
        </w:rPr>
        <w:t xml:space="preserve">politics in local communities </w:t>
      </w:r>
      <w:r w:rsidR="008F2F58" w:rsidRPr="00461D74">
        <w:rPr>
          <w:rFonts w:ascii="Garamond" w:hAnsi="Garamond" w:cstheme="minorHAnsi"/>
          <w:sz w:val="24"/>
          <w:szCs w:val="24"/>
          <w:lang w:val="en-GB"/>
        </w:rPr>
        <w:t>remain</w:t>
      </w:r>
      <w:r w:rsidRPr="00461D74">
        <w:rPr>
          <w:rFonts w:ascii="Garamond" w:hAnsi="Garamond" w:cstheme="minorHAnsi"/>
          <w:sz w:val="24"/>
          <w:szCs w:val="24"/>
          <w:lang w:val="en-GB"/>
        </w:rPr>
        <w:t xml:space="preserve"> largely at the mercy of large-scale political </w:t>
      </w:r>
      <w:r w:rsidR="007B6821" w:rsidRPr="00461D74">
        <w:rPr>
          <w:rFonts w:ascii="Garamond" w:hAnsi="Garamond" w:cstheme="minorHAnsi"/>
          <w:sz w:val="24"/>
          <w:szCs w:val="24"/>
          <w:lang w:val="en-GB"/>
        </w:rPr>
        <w:t>structures</w:t>
      </w:r>
      <w:r w:rsidRPr="00461D74">
        <w:rPr>
          <w:rFonts w:ascii="Garamond" w:hAnsi="Garamond" w:cstheme="minorHAnsi"/>
          <w:sz w:val="24"/>
          <w:szCs w:val="24"/>
          <w:lang w:val="en-GB"/>
        </w:rPr>
        <w:t>.</w:t>
      </w:r>
    </w:p>
    <w:p w:rsidR="00665157" w:rsidRDefault="00665157">
      <w:pPr>
        <w:spacing w:line="360" w:lineRule="auto"/>
        <w:jc w:val="both"/>
        <w:rPr>
          <w:rFonts w:ascii="Garamond" w:hAnsi="Garamond"/>
        </w:rPr>
      </w:pPr>
    </w:p>
    <w:p w:rsidR="009B08FB" w:rsidRPr="00461D74" w:rsidRDefault="009B08FB" w:rsidP="00164E4D">
      <w:pPr>
        <w:pStyle w:val="Heading1"/>
        <w:spacing w:line="360" w:lineRule="auto"/>
        <w:jc w:val="both"/>
        <w:rPr>
          <w:rFonts w:ascii="Garamond" w:hAnsi="Garamond" w:cstheme="majorHAnsi"/>
        </w:rPr>
        <w:sectPr w:rsidR="009B08FB" w:rsidRPr="00461D74" w:rsidSect="003D0941">
          <w:footnotePr>
            <w:numRestart w:val="eachSect"/>
          </w:footnotePr>
          <w:pgSz w:w="12240" w:h="15840"/>
          <w:pgMar w:top="1985" w:right="2268" w:bottom="2268" w:left="2268" w:header="709" w:footer="709" w:gutter="0"/>
          <w:cols w:space="708"/>
          <w:docGrid w:linePitch="360"/>
        </w:sectPr>
      </w:pPr>
    </w:p>
    <w:p w:rsidR="00665157" w:rsidRDefault="00016049">
      <w:pPr>
        <w:pStyle w:val="Heading1"/>
        <w:spacing w:line="360" w:lineRule="auto"/>
        <w:jc w:val="both"/>
        <w:rPr>
          <w:rFonts w:cstheme="majorHAnsi"/>
        </w:rPr>
      </w:pPr>
      <w:bookmarkStart w:id="45" w:name="_Toc528077822"/>
      <w:r w:rsidRPr="00F03436">
        <w:rPr>
          <w:rFonts w:cstheme="majorHAnsi"/>
        </w:rPr>
        <w:lastRenderedPageBreak/>
        <w:t>Chapter 5</w:t>
      </w:r>
      <w:r w:rsidR="00453FBF" w:rsidRPr="00F03436">
        <w:rPr>
          <w:rFonts w:cstheme="majorHAnsi"/>
        </w:rPr>
        <w:t xml:space="preserve">: Two </w:t>
      </w:r>
      <w:r w:rsidR="00A011D0" w:rsidRPr="00F03436">
        <w:rPr>
          <w:rFonts w:cstheme="majorHAnsi"/>
        </w:rPr>
        <w:t>Potential</w:t>
      </w:r>
      <w:r w:rsidR="00453FBF" w:rsidRPr="00F03436">
        <w:rPr>
          <w:rFonts w:cstheme="majorHAnsi"/>
        </w:rPr>
        <w:t xml:space="preserve"> </w:t>
      </w:r>
      <w:r w:rsidR="00A011D0" w:rsidRPr="00F03436">
        <w:rPr>
          <w:rFonts w:cstheme="majorHAnsi"/>
        </w:rPr>
        <w:t xml:space="preserve">Political </w:t>
      </w:r>
      <w:r w:rsidR="00453FBF" w:rsidRPr="00F03436">
        <w:rPr>
          <w:rFonts w:cstheme="majorHAnsi"/>
        </w:rPr>
        <w:t>Strategies</w:t>
      </w:r>
      <w:r w:rsidR="00A011D0" w:rsidRPr="00F03436">
        <w:rPr>
          <w:rFonts w:cstheme="majorHAnsi"/>
        </w:rPr>
        <w:t xml:space="preserve"> – Ideal Theory vs. Traditional Aristotelian-Thomism</w:t>
      </w:r>
      <w:bookmarkEnd w:id="45"/>
    </w:p>
    <w:p w:rsidR="00665157" w:rsidRDefault="00665157">
      <w:pPr>
        <w:spacing w:line="360" w:lineRule="auto"/>
        <w:jc w:val="both"/>
        <w:rPr>
          <w:rFonts w:asciiTheme="majorHAnsi" w:eastAsiaTheme="majorEastAsia" w:hAnsiTheme="majorHAnsi" w:cstheme="majorHAnsi"/>
          <w:b/>
          <w:bCs/>
          <w:color w:val="4472C4" w:themeColor="accent1"/>
          <w:sz w:val="26"/>
          <w:szCs w:val="26"/>
        </w:rPr>
      </w:pPr>
    </w:p>
    <w:p w:rsidR="00665157" w:rsidRDefault="00C66538" w:rsidP="00C66538">
      <w:pPr>
        <w:pStyle w:val="Heading2"/>
        <w:spacing w:line="360" w:lineRule="auto"/>
        <w:jc w:val="both"/>
        <w:rPr>
          <w:rFonts w:cstheme="majorHAnsi"/>
        </w:rPr>
      </w:pPr>
      <w:bookmarkStart w:id="46" w:name="_Toc528077823"/>
      <w:r>
        <w:rPr>
          <w:rFonts w:cstheme="majorHAnsi"/>
        </w:rPr>
        <w:t xml:space="preserve">1. </w:t>
      </w:r>
      <w:r w:rsidR="00016049" w:rsidRPr="00F03436">
        <w:rPr>
          <w:rFonts w:cstheme="majorHAnsi"/>
        </w:rPr>
        <w:t>Introduction</w:t>
      </w:r>
      <w:bookmarkEnd w:id="46"/>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In the previous chapter I outlined the second tension in MacIntyre’s project between on the one hand</w:t>
      </w:r>
      <w:r w:rsidR="002119C2" w:rsidRPr="00461D74">
        <w:rPr>
          <w:rFonts w:ascii="Garamond" w:hAnsi="Garamond" w:cstheme="minorHAnsi"/>
          <w:sz w:val="24"/>
          <w:szCs w:val="24"/>
        </w:rPr>
        <w:t>,</w:t>
      </w:r>
      <w:r w:rsidRPr="00461D74">
        <w:rPr>
          <w:rFonts w:ascii="Garamond" w:hAnsi="Garamond" w:cstheme="minorHAnsi"/>
          <w:sz w:val="24"/>
          <w:szCs w:val="24"/>
        </w:rPr>
        <w:t xml:space="preserve"> the historicism central to his overall account, and on the other, an Aristotelian-Thomist politics of the polis. What follows from the historicist thesis is that </w:t>
      </w:r>
      <w:r w:rsidR="00892CC4" w:rsidRPr="00461D74">
        <w:rPr>
          <w:rFonts w:ascii="Garamond" w:hAnsi="Garamond" w:cstheme="minorHAnsi"/>
          <w:sz w:val="24"/>
          <w:szCs w:val="24"/>
        </w:rPr>
        <w:t xml:space="preserve">Aristotelian or Thomist </w:t>
      </w:r>
      <w:r w:rsidRPr="00461D74">
        <w:rPr>
          <w:rFonts w:ascii="Garamond" w:hAnsi="Garamond" w:cstheme="minorHAnsi"/>
          <w:sz w:val="24"/>
          <w:szCs w:val="24"/>
        </w:rPr>
        <w:t>politics</w:t>
      </w:r>
      <w:r w:rsidR="00892CC4" w:rsidRPr="00461D74">
        <w:rPr>
          <w:rFonts w:ascii="Garamond" w:hAnsi="Garamond" w:cstheme="minorHAnsi"/>
          <w:sz w:val="24"/>
          <w:szCs w:val="24"/>
        </w:rPr>
        <w:t xml:space="preserve"> seems to be</w:t>
      </w:r>
      <w:r w:rsidRPr="00461D74">
        <w:rPr>
          <w:rFonts w:ascii="Garamond" w:hAnsi="Garamond" w:cstheme="minorHAnsi"/>
          <w:sz w:val="24"/>
          <w:szCs w:val="24"/>
        </w:rPr>
        <w:t xml:space="preserve"> a theoretical articulation of a politics appropriate </w:t>
      </w:r>
      <w:r w:rsidR="0010634C" w:rsidRPr="00461D74">
        <w:rPr>
          <w:rFonts w:ascii="Garamond" w:hAnsi="Garamond" w:cstheme="minorHAnsi"/>
          <w:sz w:val="24"/>
          <w:szCs w:val="24"/>
        </w:rPr>
        <w:t>to</w:t>
      </w:r>
      <w:r w:rsidR="00892CC4" w:rsidRPr="00461D74">
        <w:rPr>
          <w:rFonts w:ascii="Garamond" w:hAnsi="Garamond" w:cstheme="minorHAnsi"/>
          <w:sz w:val="24"/>
          <w:szCs w:val="24"/>
        </w:rPr>
        <w:t xml:space="preserve"> </w:t>
      </w:r>
      <w:r w:rsidRPr="00461D74">
        <w:rPr>
          <w:rFonts w:ascii="Garamond" w:hAnsi="Garamond" w:cstheme="minorHAnsi"/>
          <w:sz w:val="24"/>
          <w:szCs w:val="24"/>
        </w:rPr>
        <w:t xml:space="preserve">a </w:t>
      </w:r>
      <w:r w:rsidR="00892CC4" w:rsidRPr="00461D74">
        <w:rPr>
          <w:rFonts w:ascii="Garamond" w:hAnsi="Garamond" w:cstheme="minorHAnsi"/>
          <w:sz w:val="24"/>
          <w:szCs w:val="24"/>
        </w:rPr>
        <w:t xml:space="preserve">particular </w:t>
      </w:r>
      <w:r w:rsidRPr="00461D74">
        <w:rPr>
          <w:rFonts w:ascii="Garamond" w:hAnsi="Garamond" w:cstheme="minorHAnsi"/>
          <w:sz w:val="24"/>
          <w:szCs w:val="24"/>
        </w:rPr>
        <w:t xml:space="preserve">historical social context in </w:t>
      </w:r>
      <w:r w:rsidR="0010634C" w:rsidRPr="00461D74">
        <w:rPr>
          <w:rFonts w:ascii="Garamond" w:hAnsi="Garamond" w:cstheme="minorHAnsi"/>
          <w:sz w:val="24"/>
          <w:szCs w:val="24"/>
        </w:rPr>
        <w:t xml:space="preserve">our </w:t>
      </w:r>
      <w:r w:rsidRPr="00461D74">
        <w:rPr>
          <w:rFonts w:ascii="Garamond" w:hAnsi="Garamond" w:cstheme="minorHAnsi"/>
          <w:sz w:val="24"/>
          <w:szCs w:val="24"/>
        </w:rPr>
        <w:t xml:space="preserve">past. If we then accept that the modern social form is very different from the Aristotelian polis, the appropriation of an Aristotelian-Thomistic politics for the modern context appears misguided. This problem is then made more acute for MacIntyre </w:t>
      </w:r>
      <w:r w:rsidR="00D531A3">
        <w:rPr>
          <w:rFonts w:ascii="Garamond" w:hAnsi="Garamond" w:cstheme="minorHAnsi"/>
          <w:sz w:val="24"/>
          <w:szCs w:val="24"/>
        </w:rPr>
        <w:t>since</w:t>
      </w:r>
      <w:r w:rsidR="00D531A3" w:rsidRPr="00461D74">
        <w:rPr>
          <w:rFonts w:ascii="Garamond" w:hAnsi="Garamond" w:cstheme="minorHAnsi"/>
          <w:sz w:val="24"/>
          <w:szCs w:val="24"/>
        </w:rPr>
        <w:t xml:space="preserve"> </w:t>
      </w:r>
      <w:r w:rsidRPr="00461D74">
        <w:rPr>
          <w:rFonts w:ascii="Garamond" w:hAnsi="Garamond" w:cstheme="minorHAnsi"/>
          <w:sz w:val="24"/>
          <w:szCs w:val="24"/>
        </w:rPr>
        <w:t>on his account ethics and politics are interdependent or continuous. Hence a failure to remove the tension in his political work has repercussions for his ethics.</w:t>
      </w:r>
    </w:p>
    <w:p w:rsidR="00665157" w:rsidRDefault="00016049" w:rsidP="00EF56D2">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then turned to considering whether MacIntyre might be able to deflect my criticism through his engagement with Marx and Hegel. </w:t>
      </w:r>
      <w:r w:rsidR="00C555D7">
        <w:rPr>
          <w:rFonts w:ascii="Garamond" w:hAnsi="Garamond" w:cstheme="minorHAnsi"/>
          <w:sz w:val="24"/>
          <w:szCs w:val="24"/>
        </w:rPr>
        <w:t>W</w:t>
      </w:r>
      <w:r w:rsidRPr="00461D74">
        <w:rPr>
          <w:rFonts w:ascii="Garamond" w:hAnsi="Garamond" w:cstheme="minorHAnsi"/>
          <w:sz w:val="24"/>
          <w:szCs w:val="24"/>
        </w:rPr>
        <w:t xml:space="preserve">hile MacIntyre’s engagement with Marx and Hegel </w:t>
      </w:r>
      <w:r w:rsidR="00C555D7">
        <w:rPr>
          <w:rFonts w:ascii="Garamond" w:hAnsi="Garamond" w:cstheme="minorHAnsi"/>
          <w:sz w:val="24"/>
          <w:szCs w:val="24"/>
        </w:rPr>
        <w:t>affords</w:t>
      </w:r>
      <w:r w:rsidR="00C555D7" w:rsidRPr="00461D74">
        <w:rPr>
          <w:rFonts w:ascii="Garamond" w:hAnsi="Garamond" w:cstheme="minorHAnsi"/>
          <w:sz w:val="24"/>
          <w:szCs w:val="24"/>
        </w:rPr>
        <w:t xml:space="preserve"> </w:t>
      </w:r>
      <w:r w:rsidRPr="00461D74">
        <w:rPr>
          <w:rFonts w:ascii="Garamond" w:hAnsi="Garamond" w:cstheme="minorHAnsi"/>
          <w:sz w:val="24"/>
          <w:szCs w:val="24"/>
        </w:rPr>
        <w:t xml:space="preserve">his Aristotelian account a </w:t>
      </w:r>
      <w:r w:rsidR="00C555D7">
        <w:rPr>
          <w:rFonts w:ascii="Garamond" w:hAnsi="Garamond" w:cstheme="minorHAnsi"/>
          <w:sz w:val="24"/>
          <w:szCs w:val="24"/>
        </w:rPr>
        <w:t xml:space="preserve">resource for </w:t>
      </w:r>
      <w:r w:rsidRPr="00461D74">
        <w:rPr>
          <w:rFonts w:ascii="Garamond" w:hAnsi="Garamond" w:cstheme="minorHAnsi"/>
          <w:sz w:val="24"/>
          <w:szCs w:val="24"/>
        </w:rPr>
        <w:t>social criti</w:t>
      </w:r>
      <w:r w:rsidR="00C555D7">
        <w:rPr>
          <w:rFonts w:ascii="Garamond" w:hAnsi="Garamond" w:cstheme="minorHAnsi"/>
          <w:sz w:val="24"/>
          <w:szCs w:val="24"/>
        </w:rPr>
        <w:t>cism</w:t>
      </w:r>
      <w:r w:rsidR="00A17F1C">
        <w:rPr>
          <w:rFonts w:ascii="Garamond" w:hAnsi="Garamond" w:cstheme="minorHAnsi"/>
          <w:sz w:val="24"/>
          <w:szCs w:val="24"/>
        </w:rPr>
        <w:t>,</w:t>
      </w:r>
      <w:r w:rsidRPr="00461D74">
        <w:rPr>
          <w:rFonts w:ascii="Garamond" w:hAnsi="Garamond" w:cstheme="minorHAnsi"/>
          <w:sz w:val="24"/>
          <w:szCs w:val="24"/>
        </w:rPr>
        <w:t xml:space="preserve"> his prescription of defending local communities </w:t>
      </w:r>
      <w:r w:rsidR="00D42102" w:rsidRPr="00461D74">
        <w:rPr>
          <w:rFonts w:ascii="Garamond" w:hAnsi="Garamond" w:cstheme="minorHAnsi"/>
          <w:sz w:val="24"/>
          <w:szCs w:val="24"/>
        </w:rPr>
        <w:t xml:space="preserve">and ways of life </w:t>
      </w:r>
      <w:r w:rsidR="00C555D7">
        <w:rPr>
          <w:rFonts w:ascii="Garamond" w:hAnsi="Garamond" w:cstheme="minorHAnsi"/>
          <w:sz w:val="24"/>
          <w:szCs w:val="24"/>
        </w:rPr>
        <w:t>doesn’t</w:t>
      </w:r>
      <w:r w:rsidR="00D42102" w:rsidRPr="00461D74">
        <w:rPr>
          <w:rFonts w:ascii="Garamond" w:hAnsi="Garamond" w:cstheme="minorHAnsi"/>
          <w:sz w:val="24"/>
          <w:szCs w:val="24"/>
        </w:rPr>
        <w:t xml:space="preserve"> possess </w:t>
      </w:r>
      <w:r w:rsidR="00C555D7">
        <w:rPr>
          <w:rFonts w:ascii="Garamond" w:hAnsi="Garamond" w:cstheme="minorHAnsi"/>
          <w:sz w:val="24"/>
          <w:szCs w:val="24"/>
        </w:rPr>
        <w:t>the sort of</w:t>
      </w:r>
      <w:r w:rsidR="00C555D7" w:rsidRPr="00461D74">
        <w:rPr>
          <w:rFonts w:ascii="Garamond" w:hAnsi="Garamond" w:cstheme="minorHAnsi"/>
          <w:sz w:val="24"/>
          <w:szCs w:val="24"/>
        </w:rPr>
        <w:t xml:space="preserve"> </w:t>
      </w:r>
      <w:r w:rsidRPr="00461D74">
        <w:rPr>
          <w:rFonts w:ascii="Garamond" w:hAnsi="Garamond" w:cstheme="minorHAnsi"/>
          <w:sz w:val="24"/>
          <w:szCs w:val="24"/>
        </w:rPr>
        <w:t>content</w:t>
      </w:r>
      <w:r w:rsidR="00C555D7">
        <w:rPr>
          <w:rFonts w:ascii="Garamond" w:hAnsi="Garamond" w:cstheme="minorHAnsi"/>
          <w:sz w:val="24"/>
          <w:szCs w:val="24"/>
        </w:rPr>
        <w:t xml:space="preserve"> that could mount a successful defence</w:t>
      </w:r>
      <w:r w:rsidRPr="00461D74">
        <w:rPr>
          <w:rFonts w:ascii="Garamond" w:hAnsi="Garamond" w:cstheme="minorHAnsi"/>
          <w:sz w:val="24"/>
          <w:szCs w:val="24"/>
        </w:rPr>
        <w:t xml:space="preserve">. </w:t>
      </w:r>
      <w:r w:rsidR="00C555D7">
        <w:rPr>
          <w:rFonts w:ascii="Garamond" w:hAnsi="Garamond" w:cstheme="minorHAnsi"/>
          <w:sz w:val="24"/>
          <w:szCs w:val="24"/>
        </w:rPr>
        <w:t>I</w:t>
      </w:r>
      <w:r w:rsidR="00C555D7" w:rsidRPr="00461D74">
        <w:rPr>
          <w:rFonts w:ascii="Garamond" w:hAnsi="Garamond" w:cstheme="minorHAnsi"/>
          <w:sz w:val="24"/>
          <w:szCs w:val="24"/>
        </w:rPr>
        <w:t xml:space="preserve"> </w:t>
      </w:r>
      <w:r w:rsidR="00C555D7">
        <w:rPr>
          <w:rFonts w:ascii="Garamond" w:hAnsi="Garamond" w:cstheme="minorHAnsi"/>
          <w:sz w:val="24"/>
          <w:szCs w:val="24"/>
        </w:rPr>
        <w:t>argued</w:t>
      </w:r>
      <w:r w:rsidR="00C555D7" w:rsidRPr="00461D74">
        <w:rPr>
          <w:rFonts w:ascii="Garamond" w:hAnsi="Garamond" w:cstheme="minorHAnsi"/>
          <w:sz w:val="24"/>
          <w:szCs w:val="24"/>
        </w:rPr>
        <w:t xml:space="preserve"> </w:t>
      </w:r>
      <w:r w:rsidRPr="00461D74">
        <w:rPr>
          <w:rFonts w:ascii="Garamond" w:hAnsi="Garamond" w:cstheme="minorHAnsi"/>
          <w:sz w:val="24"/>
          <w:szCs w:val="24"/>
        </w:rPr>
        <w:t>that MacIntyre</w:t>
      </w:r>
      <w:r w:rsidR="004E5EF7" w:rsidRPr="00461D74">
        <w:rPr>
          <w:rFonts w:ascii="Garamond" w:hAnsi="Garamond" w:cstheme="minorHAnsi"/>
          <w:sz w:val="24"/>
          <w:szCs w:val="24"/>
        </w:rPr>
        <w:t>’s</w:t>
      </w:r>
      <w:r w:rsidRPr="00461D74">
        <w:rPr>
          <w:rFonts w:ascii="Garamond" w:hAnsi="Garamond" w:cstheme="minorHAnsi"/>
          <w:sz w:val="24"/>
          <w:szCs w:val="24"/>
        </w:rPr>
        <w:t xml:space="preserve"> political account is for the most part a critique of modern contemporary state politics. </w:t>
      </w:r>
      <w:r w:rsidR="00EF56D2">
        <w:rPr>
          <w:rFonts w:ascii="Garamond" w:hAnsi="Garamond" w:cstheme="minorHAnsi"/>
          <w:sz w:val="24"/>
          <w:szCs w:val="24"/>
        </w:rPr>
        <w:t xml:space="preserve">Now, </w:t>
      </w:r>
      <w:r w:rsidRPr="00461D74">
        <w:rPr>
          <w:rFonts w:ascii="Garamond" w:hAnsi="Garamond" w:cstheme="minorHAnsi"/>
          <w:sz w:val="24"/>
          <w:szCs w:val="24"/>
        </w:rPr>
        <w:t xml:space="preserve">MacIntyre rejects macro or large-scale politics as not properly </w:t>
      </w:r>
      <w:r w:rsidR="00D05FB7" w:rsidRPr="00461D74">
        <w:rPr>
          <w:rFonts w:ascii="Garamond" w:hAnsi="Garamond" w:cstheme="minorHAnsi"/>
          <w:sz w:val="24"/>
          <w:szCs w:val="24"/>
        </w:rPr>
        <w:t>aimed at the common good</w:t>
      </w:r>
      <w:r w:rsidR="00917A51">
        <w:rPr>
          <w:rFonts w:ascii="Garamond" w:hAnsi="Garamond" w:cstheme="minorHAnsi"/>
          <w:sz w:val="24"/>
          <w:szCs w:val="24"/>
        </w:rPr>
        <w:t>, nevertheless</w:t>
      </w:r>
      <w:r w:rsidRPr="00461D74">
        <w:rPr>
          <w:rFonts w:ascii="Garamond" w:hAnsi="Garamond" w:cstheme="minorHAnsi"/>
          <w:sz w:val="24"/>
          <w:szCs w:val="24"/>
        </w:rPr>
        <w:t xml:space="preserve"> he </w:t>
      </w:r>
      <w:r w:rsidR="00917A51">
        <w:rPr>
          <w:rFonts w:ascii="Garamond" w:hAnsi="Garamond" w:cstheme="minorHAnsi"/>
          <w:sz w:val="24"/>
          <w:szCs w:val="24"/>
        </w:rPr>
        <w:t>also suggests</w:t>
      </w:r>
      <w:r w:rsidR="00917A51" w:rsidRPr="00461D74">
        <w:rPr>
          <w:rFonts w:ascii="Garamond" w:hAnsi="Garamond" w:cstheme="minorHAnsi"/>
          <w:sz w:val="24"/>
          <w:szCs w:val="24"/>
        </w:rPr>
        <w:t xml:space="preserve"> </w:t>
      </w:r>
      <w:r w:rsidRPr="00461D74">
        <w:rPr>
          <w:rFonts w:ascii="Garamond" w:hAnsi="Garamond" w:cstheme="minorHAnsi"/>
          <w:sz w:val="24"/>
          <w:szCs w:val="24"/>
        </w:rPr>
        <w:t xml:space="preserve">that the state provides important goods that are essential to engendering politics in local </w:t>
      </w:r>
      <w:r w:rsidRPr="00461D74">
        <w:rPr>
          <w:rFonts w:ascii="Garamond" w:hAnsi="Garamond" w:cstheme="minorHAnsi"/>
          <w:sz w:val="24"/>
          <w:szCs w:val="24"/>
        </w:rPr>
        <w:lastRenderedPageBreak/>
        <w:t xml:space="preserve">communities. But </w:t>
      </w:r>
      <w:r w:rsidR="00A92BA1" w:rsidRPr="00461D74">
        <w:rPr>
          <w:rFonts w:ascii="Garamond" w:hAnsi="Garamond" w:cstheme="minorHAnsi"/>
          <w:sz w:val="24"/>
          <w:szCs w:val="24"/>
        </w:rPr>
        <w:t xml:space="preserve">if MacIntyre fails to engage </w:t>
      </w:r>
      <w:r w:rsidR="00EF56D2">
        <w:rPr>
          <w:rFonts w:ascii="Garamond" w:hAnsi="Garamond" w:cstheme="minorHAnsi"/>
          <w:sz w:val="24"/>
          <w:szCs w:val="24"/>
        </w:rPr>
        <w:t>with</w:t>
      </w:r>
      <w:r w:rsidR="00EF56D2" w:rsidRPr="00461D74">
        <w:rPr>
          <w:rFonts w:ascii="Garamond" w:hAnsi="Garamond" w:cstheme="minorHAnsi"/>
          <w:sz w:val="24"/>
          <w:szCs w:val="24"/>
        </w:rPr>
        <w:t xml:space="preserve"> </w:t>
      </w:r>
      <w:r w:rsidR="00A92BA1" w:rsidRPr="00461D74">
        <w:rPr>
          <w:rFonts w:ascii="Garamond" w:hAnsi="Garamond" w:cstheme="minorHAnsi"/>
          <w:sz w:val="24"/>
          <w:szCs w:val="24"/>
        </w:rPr>
        <w:t xml:space="preserve">the </w:t>
      </w:r>
      <w:r w:rsidR="00EF56D2">
        <w:rPr>
          <w:rFonts w:ascii="Garamond" w:hAnsi="Garamond" w:cstheme="minorHAnsi"/>
          <w:sz w:val="24"/>
          <w:szCs w:val="24"/>
        </w:rPr>
        <w:t xml:space="preserve">range of </w:t>
      </w:r>
      <w:r w:rsidR="00A92BA1" w:rsidRPr="00461D74">
        <w:rPr>
          <w:rFonts w:ascii="Garamond" w:hAnsi="Garamond" w:cstheme="minorHAnsi"/>
          <w:sz w:val="24"/>
          <w:szCs w:val="24"/>
        </w:rPr>
        <w:t xml:space="preserve">problems that emerge </w:t>
      </w:r>
      <w:r w:rsidR="00EF56D2">
        <w:rPr>
          <w:rFonts w:ascii="Garamond" w:hAnsi="Garamond" w:cstheme="minorHAnsi"/>
          <w:sz w:val="24"/>
          <w:szCs w:val="24"/>
        </w:rPr>
        <w:t>as part of</w:t>
      </w:r>
      <w:r w:rsidR="00EF56D2" w:rsidRPr="00461D74">
        <w:rPr>
          <w:rFonts w:ascii="Garamond" w:hAnsi="Garamond" w:cstheme="minorHAnsi"/>
          <w:sz w:val="24"/>
          <w:szCs w:val="24"/>
        </w:rPr>
        <w:t xml:space="preserve"> </w:t>
      </w:r>
      <w:r w:rsidR="00EF56D2">
        <w:rPr>
          <w:rFonts w:ascii="Garamond" w:hAnsi="Garamond" w:cstheme="minorHAnsi"/>
          <w:sz w:val="24"/>
          <w:szCs w:val="24"/>
        </w:rPr>
        <w:t xml:space="preserve">the relationship between small-scale and </w:t>
      </w:r>
      <w:r w:rsidR="00A92BA1" w:rsidRPr="00461D74">
        <w:rPr>
          <w:rFonts w:ascii="Garamond" w:hAnsi="Garamond" w:cstheme="minorHAnsi"/>
          <w:sz w:val="24"/>
          <w:szCs w:val="24"/>
        </w:rPr>
        <w:t>lar</w:t>
      </w:r>
      <w:r w:rsidR="00E255EF" w:rsidRPr="00461D74">
        <w:rPr>
          <w:rFonts w:ascii="Garamond" w:hAnsi="Garamond" w:cstheme="minorHAnsi"/>
          <w:sz w:val="24"/>
          <w:szCs w:val="24"/>
        </w:rPr>
        <w:t>ge-scale political structures</w:t>
      </w:r>
      <w:r w:rsidR="004E5EF7" w:rsidRPr="00461D74">
        <w:rPr>
          <w:rFonts w:ascii="Garamond" w:hAnsi="Garamond" w:cstheme="minorHAnsi"/>
          <w:sz w:val="24"/>
          <w:szCs w:val="24"/>
        </w:rPr>
        <w:t>,</w:t>
      </w:r>
      <w:r w:rsidR="00E255EF" w:rsidRPr="00461D74">
        <w:rPr>
          <w:rFonts w:ascii="Garamond" w:hAnsi="Garamond" w:cstheme="minorHAnsi"/>
          <w:sz w:val="24"/>
          <w:szCs w:val="24"/>
        </w:rPr>
        <w:t xml:space="preserve"> </w:t>
      </w:r>
      <w:r w:rsidR="00691B7B" w:rsidRPr="00461D74">
        <w:rPr>
          <w:rFonts w:ascii="Garamond" w:hAnsi="Garamond" w:cstheme="minorHAnsi"/>
          <w:sz w:val="24"/>
          <w:szCs w:val="24"/>
        </w:rPr>
        <w:t xml:space="preserve">we are left in the dark as to </w:t>
      </w:r>
      <w:r w:rsidRPr="00461D74">
        <w:rPr>
          <w:rFonts w:ascii="Garamond" w:hAnsi="Garamond" w:cstheme="minorHAnsi"/>
          <w:sz w:val="24"/>
          <w:szCs w:val="24"/>
        </w:rPr>
        <w:t xml:space="preserve">how </w:t>
      </w:r>
      <w:r w:rsidR="00691B7B" w:rsidRPr="00461D74">
        <w:rPr>
          <w:rFonts w:ascii="Garamond" w:hAnsi="Garamond" w:cstheme="minorHAnsi"/>
          <w:sz w:val="24"/>
          <w:szCs w:val="24"/>
        </w:rPr>
        <w:t>best</w:t>
      </w:r>
      <w:r w:rsidR="00E255EF" w:rsidRPr="00461D74">
        <w:rPr>
          <w:rFonts w:ascii="Garamond" w:hAnsi="Garamond" w:cstheme="minorHAnsi"/>
          <w:sz w:val="24"/>
          <w:szCs w:val="24"/>
        </w:rPr>
        <w:t xml:space="preserve"> we can</w:t>
      </w:r>
      <w:r w:rsidR="00691B7B" w:rsidRPr="00461D74">
        <w:rPr>
          <w:rFonts w:ascii="Garamond" w:hAnsi="Garamond" w:cstheme="minorHAnsi"/>
          <w:sz w:val="24"/>
          <w:szCs w:val="24"/>
        </w:rPr>
        <w:t xml:space="preserve"> </w:t>
      </w:r>
      <w:r w:rsidR="00E255EF" w:rsidRPr="00461D74">
        <w:rPr>
          <w:rFonts w:ascii="Garamond" w:hAnsi="Garamond" w:cstheme="minorHAnsi"/>
          <w:sz w:val="24"/>
          <w:szCs w:val="24"/>
        </w:rPr>
        <w:t>defend local communities</w:t>
      </w:r>
      <w:r w:rsidR="003C02B4" w:rsidRPr="00461D74">
        <w:rPr>
          <w:rFonts w:ascii="Garamond" w:hAnsi="Garamond" w:cstheme="minorHAnsi"/>
          <w:sz w:val="24"/>
          <w:szCs w:val="24"/>
        </w:rPr>
        <w:t>.</w:t>
      </w:r>
      <w:r w:rsidR="00EF56D2">
        <w:rPr>
          <w:rFonts w:ascii="Garamond" w:hAnsi="Garamond" w:cstheme="minorHAnsi"/>
          <w:sz w:val="24"/>
          <w:szCs w:val="24"/>
        </w:rPr>
        <w:t xml:space="preserve"> Finally, I argued that </w:t>
      </w:r>
      <w:r w:rsidRPr="00461D74">
        <w:rPr>
          <w:rFonts w:ascii="Garamond" w:hAnsi="Garamond" w:cstheme="minorHAnsi"/>
          <w:sz w:val="24"/>
          <w:szCs w:val="24"/>
        </w:rPr>
        <w:t xml:space="preserve">MacIntyre </w:t>
      </w:r>
      <w:r w:rsidR="00EF56D2">
        <w:rPr>
          <w:rFonts w:ascii="Garamond" w:hAnsi="Garamond" w:cstheme="minorHAnsi"/>
          <w:sz w:val="24"/>
          <w:szCs w:val="24"/>
        </w:rPr>
        <w:t>can</w:t>
      </w:r>
      <w:r w:rsidR="00EF56D2" w:rsidRPr="00461D74">
        <w:rPr>
          <w:rFonts w:ascii="Garamond" w:hAnsi="Garamond" w:cstheme="minorHAnsi"/>
          <w:sz w:val="24"/>
          <w:szCs w:val="24"/>
        </w:rPr>
        <w:t xml:space="preserve"> </w:t>
      </w:r>
      <w:r w:rsidRPr="00461D74">
        <w:rPr>
          <w:rFonts w:ascii="Garamond" w:hAnsi="Garamond" w:cstheme="minorHAnsi"/>
          <w:sz w:val="24"/>
          <w:szCs w:val="24"/>
        </w:rPr>
        <w:t>defend his account of politics as a practice,</w:t>
      </w:r>
      <w:r w:rsidRPr="00461D74">
        <w:rPr>
          <w:rStyle w:val="FootnoteReference"/>
          <w:rFonts w:ascii="Garamond" w:hAnsi="Garamond" w:cstheme="minorHAnsi"/>
          <w:sz w:val="24"/>
          <w:szCs w:val="24"/>
        </w:rPr>
        <w:footnoteReference w:id="349"/>
      </w:r>
      <w:r w:rsidRPr="00461D74">
        <w:rPr>
          <w:rFonts w:ascii="Garamond" w:hAnsi="Garamond" w:cstheme="minorHAnsi"/>
          <w:sz w:val="24"/>
          <w:szCs w:val="24"/>
        </w:rPr>
        <w:t xml:space="preserve"> </w:t>
      </w:r>
      <w:r w:rsidR="00EF56D2">
        <w:rPr>
          <w:rFonts w:ascii="Garamond" w:hAnsi="Garamond" w:cstheme="minorHAnsi"/>
          <w:sz w:val="24"/>
          <w:szCs w:val="24"/>
        </w:rPr>
        <w:t>insofar as he can advance</w:t>
      </w:r>
      <w:r w:rsidRPr="00461D74">
        <w:rPr>
          <w:rFonts w:ascii="Garamond" w:hAnsi="Garamond" w:cstheme="minorHAnsi"/>
          <w:sz w:val="24"/>
          <w:szCs w:val="24"/>
        </w:rPr>
        <w:t xml:space="preserve"> an account that deals with institutions – </w:t>
      </w:r>
      <w:r w:rsidR="005F1458" w:rsidRPr="00461D74">
        <w:rPr>
          <w:rFonts w:ascii="Garamond" w:hAnsi="Garamond" w:cstheme="minorHAnsi"/>
          <w:sz w:val="24"/>
          <w:szCs w:val="24"/>
        </w:rPr>
        <w:t>yet, institutions</w:t>
      </w:r>
      <w:r w:rsidRPr="00461D74">
        <w:rPr>
          <w:rFonts w:ascii="Garamond" w:hAnsi="Garamond" w:cstheme="minorHAnsi"/>
          <w:sz w:val="24"/>
          <w:szCs w:val="24"/>
        </w:rPr>
        <w:t xml:space="preserve"> are </w:t>
      </w:r>
      <w:r w:rsidR="00EF56D2">
        <w:rPr>
          <w:rFonts w:ascii="Garamond" w:hAnsi="Garamond" w:cstheme="minorHAnsi"/>
          <w:sz w:val="24"/>
          <w:szCs w:val="24"/>
        </w:rPr>
        <w:t xml:space="preserve">nonetheless </w:t>
      </w:r>
      <w:r w:rsidR="005F1458" w:rsidRPr="00461D74">
        <w:rPr>
          <w:rFonts w:ascii="Garamond" w:hAnsi="Garamond" w:cstheme="minorHAnsi"/>
          <w:sz w:val="24"/>
          <w:szCs w:val="24"/>
        </w:rPr>
        <w:t xml:space="preserve">part of large-scale political </w:t>
      </w:r>
      <w:r w:rsidR="00684936">
        <w:rPr>
          <w:rFonts w:ascii="Garamond" w:hAnsi="Garamond" w:cstheme="minorHAnsi"/>
          <w:sz w:val="24"/>
          <w:szCs w:val="24"/>
        </w:rPr>
        <w:t>structures</w:t>
      </w:r>
      <w:r w:rsidR="00684936" w:rsidRPr="00461D74">
        <w:rPr>
          <w:rFonts w:ascii="Garamond" w:hAnsi="Garamond" w:cstheme="minorHAnsi"/>
          <w:sz w:val="24"/>
          <w:szCs w:val="24"/>
        </w:rPr>
        <w:t xml:space="preserve"> </w:t>
      </w:r>
      <w:r w:rsidR="005F1458" w:rsidRPr="00461D74">
        <w:rPr>
          <w:rFonts w:ascii="Garamond" w:hAnsi="Garamond" w:cstheme="minorHAnsi"/>
          <w:sz w:val="24"/>
          <w:szCs w:val="24"/>
        </w:rPr>
        <w:t>which he rejects</w:t>
      </w:r>
      <w:r w:rsidRPr="00461D74">
        <w:rPr>
          <w:rFonts w:ascii="Garamond" w:hAnsi="Garamond" w:cstheme="minorHAnsi"/>
          <w:sz w:val="24"/>
          <w:szCs w:val="24"/>
        </w:rPr>
        <w:t>.</w:t>
      </w:r>
    </w:p>
    <w:p w:rsidR="00DF1284"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 now want to consider</w:t>
      </w:r>
      <w:r w:rsidR="00DF1284">
        <w:rPr>
          <w:rFonts w:ascii="Garamond" w:hAnsi="Garamond" w:cstheme="minorHAnsi"/>
          <w:sz w:val="24"/>
          <w:szCs w:val="24"/>
        </w:rPr>
        <w:t xml:space="preserve"> in this chapter</w:t>
      </w:r>
      <w:r w:rsidRPr="00461D74">
        <w:rPr>
          <w:rFonts w:ascii="Garamond" w:hAnsi="Garamond" w:cstheme="minorHAnsi"/>
          <w:sz w:val="24"/>
          <w:szCs w:val="24"/>
        </w:rPr>
        <w:t xml:space="preserve"> </w:t>
      </w:r>
      <w:r w:rsidR="00DF1284">
        <w:rPr>
          <w:rFonts w:ascii="Garamond" w:hAnsi="Garamond" w:cstheme="minorHAnsi"/>
          <w:sz w:val="24"/>
          <w:szCs w:val="24"/>
        </w:rPr>
        <w:t>two particular</w:t>
      </w:r>
      <w:r w:rsidR="00DF1284" w:rsidRPr="00461D74">
        <w:rPr>
          <w:rFonts w:ascii="Garamond" w:hAnsi="Garamond" w:cstheme="minorHAnsi"/>
          <w:sz w:val="24"/>
          <w:szCs w:val="24"/>
        </w:rPr>
        <w:t xml:space="preserve"> </w:t>
      </w:r>
      <w:r w:rsidRPr="00461D74">
        <w:rPr>
          <w:rFonts w:ascii="Garamond" w:hAnsi="Garamond" w:cstheme="minorHAnsi"/>
          <w:sz w:val="24"/>
          <w:szCs w:val="24"/>
        </w:rPr>
        <w:t>response</w:t>
      </w:r>
      <w:r w:rsidR="00DF1284">
        <w:rPr>
          <w:rFonts w:ascii="Garamond" w:hAnsi="Garamond" w:cstheme="minorHAnsi"/>
          <w:sz w:val="24"/>
          <w:szCs w:val="24"/>
        </w:rPr>
        <w:t>s</w:t>
      </w:r>
      <w:r w:rsidRPr="00461D74">
        <w:rPr>
          <w:rFonts w:ascii="Garamond" w:hAnsi="Garamond" w:cstheme="minorHAnsi"/>
          <w:sz w:val="24"/>
          <w:szCs w:val="24"/>
        </w:rPr>
        <w:t xml:space="preserve"> </w:t>
      </w:r>
      <w:r w:rsidR="00DF1284">
        <w:rPr>
          <w:rFonts w:ascii="Garamond" w:hAnsi="Garamond" w:cstheme="minorHAnsi"/>
          <w:sz w:val="24"/>
          <w:szCs w:val="24"/>
        </w:rPr>
        <w:t xml:space="preserve">that one could offer on MacIntyre’s behalf, and which </w:t>
      </w:r>
      <w:r w:rsidR="004D32AA">
        <w:rPr>
          <w:rFonts w:ascii="Garamond" w:hAnsi="Garamond" w:cstheme="minorHAnsi"/>
          <w:sz w:val="24"/>
          <w:szCs w:val="24"/>
        </w:rPr>
        <w:t xml:space="preserve">could </w:t>
      </w:r>
      <w:r w:rsidR="00DF1284">
        <w:rPr>
          <w:rFonts w:ascii="Garamond" w:hAnsi="Garamond" w:cstheme="minorHAnsi"/>
          <w:sz w:val="24"/>
          <w:szCs w:val="24"/>
        </w:rPr>
        <w:t xml:space="preserve">in turn </w:t>
      </w:r>
      <w:r w:rsidR="004D32AA">
        <w:rPr>
          <w:rFonts w:ascii="Garamond" w:hAnsi="Garamond" w:cstheme="minorHAnsi"/>
          <w:sz w:val="24"/>
          <w:szCs w:val="24"/>
        </w:rPr>
        <w:t xml:space="preserve">potentially </w:t>
      </w:r>
      <w:r w:rsidR="00DF1284">
        <w:rPr>
          <w:rFonts w:ascii="Garamond" w:hAnsi="Garamond" w:cstheme="minorHAnsi"/>
          <w:sz w:val="24"/>
          <w:szCs w:val="24"/>
        </w:rPr>
        <w:t>resolve the second tension (or difficulty) that has beset his account.</w:t>
      </w:r>
      <w:r w:rsidR="00A17F1C">
        <w:rPr>
          <w:rFonts w:ascii="Garamond" w:hAnsi="Garamond" w:cstheme="minorHAnsi"/>
          <w:sz w:val="24"/>
          <w:szCs w:val="24"/>
        </w:rPr>
        <w:t xml:space="preserve"> </w:t>
      </w:r>
    </w:p>
    <w:p w:rsidR="00665157" w:rsidRDefault="00DF1284">
      <w:pPr>
        <w:spacing w:line="360" w:lineRule="auto"/>
        <w:ind w:firstLine="720"/>
        <w:jc w:val="both"/>
        <w:rPr>
          <w:rFonts w:ascii="Garamond" w:hAnsi="Garamond" w:cstheme="minorHAnsi"/>
          <w:sz w:val="24"/>
          <w:szCs w:val="24"/>
        </w:rPr>
      </w:pPr>
      <w:r>
        <w:rPr>
          <w:rFonts w:ascii="Garamond" w:hAnsi="Garamond" w:cstheme="minorHAnsi"/>
          <w:sz w:val="24"/>
          <w:szCs w:val="24"/>
        </w:rPr>
        <w:t>First</w:t>
      </w:r>
      <w:r w:rsidR="00016049" w:rsidRPr="00461D74">
        <w:rPr>
          <w:rFonts w:ascii="Garamond" w:hAnsi="Garamond" w:cstheme="minorHAnsi"/>
          <w:sz w:val="24"/>
          <w:szCs w:val="24"/>
        </w:rPr>
        <w:t xml:space="preserve">, MacIntyre </w:t>
      </w:r>
      <w:r w:rsidRPr="00461D74">
        <w:rPr>
          <w:rFonts w:ascii="Garamond" w:hAnsi="Garamond" w:cstheme="minorHAnsi"/>
          <w:sz w:val="24"/>
          <w:szCs w:val="24"/>
        </w:rPr>
        <w:t>c</w:t>
      </w:r>
      <w:r>
        <w:rPr>
          <w:rFonts w:ascii="Garamond" w:hAnsi="Garamond" w:cstheme="minorHAnsi"/>
          <w:sz w:val="24"/>
          <w:szCs w:val="24"/>
        </w:rPr>
        <w:t>ould</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reply that he is an </w:t>
      </w:r>
      <w:r w:rsidR="009E4BE1" w:rsidRPr="009E4BE1">
        <w:rPr>
          <w:rFonts w:ascii="Garamond" w:hAnsi="Garamond" w:cstheme="minorHAnsi"/>
          <w:i/>
          <w:sz w:val="24"/>
          <w:szCs w:val="24"/>
        </w:rPr>
        <w:t>ideal theorist</w:t>
      </w:r>
      <w:r w:rsidR="00016049" w:rsidRPr="00461D74">
        <w:rPr>
          <w:rFonts w:ascii="Garamond" w:hAnsi="Garamond" w:cstheme="minorHAnsi"/>
          <w:sz w:val="24"/>
          <w:szCs w:val="24"/>
        </w:rPr>
        <w:t xml:space="preserve">, and </w:t>
      </w:r>
      <w:r w:rsidR="00CF209B" w:rsidRPr="00461D74">
        <w:rPr>
          <w:rFonts w:ascii="Garamond" w:hAnsi="Garamond" w:cstheme="minorHAnsi"/>
          <w:sz w:val="24"/>
          <w:szCs w:val="24"/>
        </w:rPr>
        <w:t>therefore the</w:t>
      </w:r>
      <w:r w:rsidR="00016049" w:rsidRPr="00461D74">
        <w:rPr>
          <w:rFonts w:ascii="Garamond" w:hAnsi="Garamond" w:cstheme="minorHAnsi"/>
          <w:sz w:val="24"/>
          <w:szCs w:val="24"/>
        </w:rPr>
        <w:t xml:space="preserve"> objections </w:t>
      </w:r>
      <w:r w:rsidR="00CF209B" w:rsidRPr="00461D74">
        <w:rPr>
          <w:rFonts w:ascii="Garamond" w:hAnsi="Garamond" w:cstheme="minorHAnsi"/>
          <w:sz w:val="24"/>
          <w:szCs w:val="24"/>
        </w:rPr>
        <w:t>I have raise</w:t>
      </w:r>
      <w:r w:rsidR="00B607D2">
        <w:rPr>
          <w:rFonts w:ascii="Garamond" w:hAnsi="Garamond" w:cstheme="minorHAnsi"/>
          <w:sz w:val="24"/>
          <w:szCs w:val="24"/>
        </w:rPr>
        <w:t>d</w:t>
      </w:r>
      <w:r w:rsidR="00CF209B" w:rsidRPr="00461D74">
        <w:rPr>
          <w:rFonts w:ascii="Garamond" w:hAnsi="Garamond" w:cstheme="minorHAnsi"/>
          <w:sz w:val="24"/>
          <w:szCs w:val="24"/>
        </w:rPr>
        <w:t xml:space="preserve"> do not ultimately </w:t>
      </w:r>
      <w:r w:rsidR="00016049" w:rsidRPr="00461D74">
        <w:rPr>
          <w:rFonts w:ascii="Garamond" w:hAnsi="Garamond" w:cstheme="minorHAnsi"/>
          <w:sz w:val="24"/>
          <w:szCs w:val="24"/>
        </w:rPr>
        <w:t xml:space="preserve">undermine his position. </w:t>
      </w:r>
      <w:r w:rsidR="00CF209B" w:rsidRPr="00461D74">
        <w:rPr>
          <w:rFonts w:ascii="Garamond" w:hAnsi="Garamond" w:cstheme="minorHAnsi"/>
          <w:sz w:val="24"/>
          <w:szCs w:val="24"/>
        </w:rPr>
        <w:t>A</w:t>
      </w:r>
      <w:r w:rsidR="00016049" w:rsidRPr="00461D74">
        <w:rPr>
          <w:rFonts w:ascii="Garamond" w:hAnsi="Garamond" w:cstheme="minorHAnsi"/>
          <w:sz w:val="24"/>
          <w:szCs w:val="24"/>
        </w:rPr>
        <w:t>s an Aristotelian ideal theorist</w:t>
      </w:r>
      <w:r w:rsidR="00CF209B" w:rsidRPr="00461D74">
        <w:rPr>
          <w:rFonts w:ascii="Garamond" w:hAnsi="Garamond" w:cstheme="minorHAnsi"/>
          <w:sz w:val="24"/>
          <w:szCs w:val="24"/>
        </w:rPr>
        <w:t>,</w:t>
      </w:r>
      <w:r w:rsidR="00016049" w:rsidRPr="00461D74">
        <w:rPr>
          <w:rFonts w:ascii="Garamond" w:hAnsi="Garamond" w:cstheme="minorHAnsi"/>
          <w:sz w:val="24"/>
          <w:szCs w:val="24"/>
        </w:rPr>
        <w:t xml:space="preserve"> MacIntyre could accept that while ethics and politics are continuous, the right kind of Aristotelian virtue ethics is incompatible with </w:t>
      </w:r>
      <w:r w:rsidR="00CF209B" w:rsidRPr="00461D74">
        <w:rPr>
          <w:rFonts w:ascii="Garamond" w:hAnsi="Garamond" w:cstheme="minorHAnsi"/>
          <w:sz w:val="24"/>
          <w:szCs w:val="24"/>
        </w:rPr>
        <w:t xml:space="preserve">the </w:t>
      </w:r>
      <w:r w:rsidR="0083375A">
        <w:rPr>
          <w:rFonts w:ascii="Garamond" w:hAnsi="Garamond" w:cstheme="minorHAnsi"/>
          <w:sz w:val="24"/>
          <w:szCs w:val="24"/>
        </w:rPr>
        <w:t>contemporary arrangement of</w:t>
      </w:r>
      <w:r w:rsidR="00CF209B" w:rsidRPr="00461D74">
        <w:rPr>
          <w:rFonts w:ascii="Garamond" w:hAnsi="Garamond" w:cstheme="minorHAnsi"/>
          <w:sz w:val="24"/>
          <w:szCs w:val="24"/>
        </w:rPr>
        <w:t xml:space="preserve"> soci</w:t>
      </w:r>
      <w:r w:rsidR="0083375A">
        <w:rPr>
          <w:rFonts w:ascii="Garamond" w:hAnsi="Garamond" w:cstheme="minorHAnsi"/>
          <w:sz w:val="24"/>
          <w:szCs w:val="24"/>
        </w:rPr>
        <w:t>o</w:t>
      </w:r>
      <w:r w:rsidR="00CF209B" w:rsidRPr="00461D74">
        <w:rPr>
          <w:rFonts w:ascii="Garamond" w:hAnsi="Garamond" w:cstheme="minorHAnsi"/>
          <w:sz w:val="24"/>
          <w:szCs w:val="24"/>
        </w:rPr>
        <w:t>-</w:t>
      </w:r>
      <w:r w:rsidR="00016049" w:rsidRPr="00461D74">
        <w:rPr>
          <w:rFonts w:ascii="Garamond" w:hAnsi="Garamond" w:cstheme="minorHAnsi"/>
          <w:sz w:val="24"/>
          <w:szCs w:val="24"/>
        </w:rPr>
        <w:t>political structure</w:t>
      </w:r>
      <w:r w:rsidR="00CF209B"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CF209B" w:rsidRPr="00461D74">
        <w:rPr>
          <w:rFonts w:ascii="Garamond" w:hAnsi="Garamond" w:cstheme="minorHAnsi"/>
          <w:sz w:val="24"/>
          <w:szCs w:val="24"/>
        </w:rPr>
        <w:t>hence,</w:t>
      </w:r>
      <w:r w:rsidR="00016049" w:rsidRPr="00461D74">
        <w:rPr>
          <w:rFonts w:ascii="Garamond" w:hAnsi="Garamond" w:cstheme="minorHAnsi"/>
          <w:sz w:val="24"/>
          <w:szCs w:val="24"/>
        </w:rPr>
        <w:t xml:space="preserve"> </w:t>
      </w:r>
      <w:r w:rsidR="00CF209B" w:rsidRPr="00461D74">
        <w:rPr>
          <w:rFonts w:ascii="Garamond" w:hAnsi="Garamond" w:cstheme="minorHAnsi"/>
          <w:sz w:val="24"/>
          <w:szCs w:val="24"/>
        </w:rPr>
        <w:t xml:space="preserve">a properly Aristotelian form of </w:t>
      </w:r>
      <w:r w:rsidR="00016049" w:rsidRPr="00461D74">
        <w:rPr>
          <w:rFonts w:ascii="Garamond" w:hAnsi="Garamond" w:cstheme="minorHAnsi"/>
          <w:sz w:val="24"/>
          <w:szCs w:val="24"/>
        </w:rPr>
        <w:t xml:space="preserve">inquiry in ethics </w:t>
      </w:r>
      <w:r w:rsidR="00CF209B" w:rsidRPr="00461D74">
        <w:rPr>
          <w:rFonts w:ascii="Garamond" w:hAnsi="Garamond" w:cstheme="minorHAnsi"/>
          <w:sz w:val="24"/>
          <w:szCs w:val="24"/>
        </w:rPr>
        <w:t xml:space="preserve">or </w:t>
      </w:r>
      <w:r w:rsidR="00016049" w:rsidRPr="00461D74">
        <w:rPr>
          <w:rFonts w:ascii="Garamond" w:hAnsi="Garamond" w:cstheme="minorHAnsi"/>
          <w:sz w:val="24"/>
          <w:szCs w:val="24"/>
        </w:rPr>
        <w:t>politics</w:t>
      </w:r>
      <w:r w:rsidR="0082467B" w:rsidRPr="00461D74">
        <w:rPr>
          <w:rFonts w:ascii="Garamond" w:hAnsi="Garamond" w:cstheme="minorHAnsi"/>
          <w:sz w:val="24"/>
          <w:szCs w:val="24"/>
        </w:rPr>
        <w:t xml:space="preserve"> is in</w:t>
      </w:r>
      <w:r w:rsidR="00CF209B" w:rsidRPr="00461D74">
        <w:rPr>
          <w:rFonts w:ascii="Garamond" w:hAnsi="Garamond" w:cstheme="minorHAnsi"/>
          <w:sz w:val="24"/>
          <w:szCs w:val="24"/>
        </w:rPr>
        <w:t>compatible</w:t>
      </w:r>
      <w:r w:rsidR="00016049" w:rsidRPr="00461D74">
        <w:rPr>
          <w:rFonts w:ascii="Garamond" w:hAnsi="Garamond" w:cstheme="minorHAnsi"/>
          <w:sz w:val="24"/>
          <w:szCs w:val="24"/>
        </w:rPr>
        <w:t xml:space="preserve"> with the </w:t>
      </w:r>
      <w:r w:rsidR="00CF209B" w:rsidRPr="00461D74">
        <w:rPr>
          <w:rFonts w:ascii="Garamond" w:hAnsi="Garamond" w:cstheme="minorHAnsi"/>
          <w:sz w:val="24"/>
          <w:szCs w:val="24"/>
        </w:rPr>
        <w:t xml:space="preserve">reality of </w:t>
      </w:r>
      <w:r w:rsidR="0083375A">
        <w:rPr>
          <w:rFonts w:ascii="Garamond" w:hAnsi="Garamond" w:cstheme="minorHAnsi"/>
          <w:sz w:val="24"/>
          <w:szCs w:val="24"/>
        </w:rPr>
        <w:t>present-day</w:t>
      </w:r>
      <w:r w:rsidR="0083375A" w:rsidRPr="00461D74">
        <w:rPr>
          <w:rFonts w:ascii="Garamond" w:hAnsi="Garamond" w:cstheme="minorHAnsi"/>
          <w:sz w:val="24"/>
          <w:szCs w:val="24"/>
        </w:rPr>
        <w:t xml:space="preserve"> </w:t>
      </w:r>
      <w:r w:rsidR="00016049" w:rsidRPr="00461D74">
        <w:rPr>
          <w:rFonts w:ascii="Garamond" w:hAnsi="Garamond" w:cstheme="minorHAnsi"/>
          <w:sz w:val="24"/>
          <w:szCs w:val="24"/>
        </w:rPr>
        <w:t>large-scale political structures</w:t>
      </w:r>
      <w:r w:rsidR="0082467B" w:rsidRPr="00461D74">
        <w:rPr>
          <w:rFonts w:ascii="Garamond" w:hAnsi="Garamond" w:cstheme="minorHAnsi"/>
          <w:sz w:val="24"/>
          <w:szCs w:val="24"/>
        </w:rPr>
        <w:t xml:space="preserve"> and social life</w:t>
      </w:r>
      <w:r w:rsidR="00CF209B" w:rsidRPr="00461D74">
        <w:rPr>
          <w:rFonts w:ascii="Garamond" w:hAnsi="Garamond" w:cstheme="minorHAnsi"/>
          <w:sz w:val="24"/>
          <w:szCs w:val="24"/>
        </w:rPr>
        <w:t>.</w:t>
      </w:r>
      <w:r w:rsidR="00016049" w:rsidRPr="00461D74">
        <w:rPr>
          <w:rFonts w:ascii="Garamond" w:hAnsi="Garamond" w:cstheme="minorHAnsi"/>
          <w:sz w:val="24"/>
          <w:szCs w:val="24"/>
        </w:rPr>
        <w:t xml:space="preserve"> This would then suggest that we should </w:t>
      </w:r>
      <w:r w:rsidR="0082467B" w:rsidRPr="00461D74">
        <w:rPr>
          <w:rFonts w:ascii="Garamond" w:hAnsi="Garamond" w:cstheme="minorHAnsi"/>
          <w:sz w:val="24"/>
          <w:szCs w:val="24"/>
        </w:rPr>
        <w:t xml:space="preserve">perhaps </w:t>
      </w:r>
      <w:r w:rsidR="00016049" w:rsidRPr="00461D74">
        <w:rPr>
          <w:rFonts w:ascii="Garamond" w:hAnsi="Garamond" w:cstheme="minorHAnsi"/>
          <w:sz w:val="24"/>
          <w:szCs w:val="24"/>
        </w:rPr>
        <w:t>proceed at the level of ideal, rather than real</w:t>
      </w:r>
      <w:r w:rsidR="0082467B" w:rsidRPr="00461D74">
        <w:rPr>
          <w:rFonts w:ascii="Garamond" w:hAnsi="Garamond" w:cstheme="minorHAnsi"/>
          <w:sz w:val="24"/>
          <w:szCs w:val="24"/>
        </w:rPr>
        <w:t>, theory</w:t>
      </w:r>
      <w:r w:rsidR="00016049" w:rsidRPr="00461D74">
        <w:rPr>
          <w:rFonts w:ascii="Garamond" w:hAnsi="Garamond" w:cstheme="minorHAnsi"/>
          <w:sz w:val="24"/>
          <w:szCs w:val="24"/>
        </w:rPr>
        <w:t>. After all</w:t>
      </w:r>
      <w:r w:rsidR="0082467B" w:rsidRPr="00461D74">
        <w:rPr>
          <w:rFonts w:ascii="Garamond" w:hAnsi="Garamond" w:cstheme="minorHAnsi"/>
          <w:sz w:val="24"/>
          <w:szCs w:val="24"/>
        </w:rPr>
        <w:t>,</w:t>
      </w:r>
      <w:r w:rsidR="00016049" w:rsidRPr="00461D74">
        <w:rPr>
          <w:rFonts w:ascii="Garamond" w:hAnsi="Garamond" w:cstheme="minorHAnsi"/>
          <w:sz w:val="24"/>
          <w:szCs w:val="24"/>
        </w:rPr>
        <w:t xml:space="preserve"> we find that in </w:t>
      </w:r>
      <w:r w:rsidR="00016049" w:rsidRPr="00461D74">
        <w:rPr>
          <w:rFonts w:ascii="Garamond" w:hAnsi="Garamond" w:cstheme="minorHAnsi"/>
          <w:i/>
          <w:iCs/>
          <w:sz w:val="24"/>
          <w:szCs w:val="24"/>
        </w:rPr>
        <w:t>After Virtue</w:t>
      </w:r>
      <w:r w:rsidR="00016049" w:rsidRPr="00461D74">
        <w:rPr>
          <w:rFonts w:ascii="Garamond" w:hAnsi="Garamond" w:cstheme="minorHAnsi"/>
          <w:sz w:val="24"/>
          <w:szCs w:val="24"/>
        </w:rPr>
        <w:t xml:space="preserve"> MacIntyre tells us that we are in the midst of a new dark age.</w:t>
      </w:r>
      <w:r w:rsidR="00016049" w:rsidRPr="00461D74">
        <w:rPr>
          <w:rStyle w:val="FootnoteReference"/>
          <w:rFonts w:ascii="Garamond" w:hAnsi="Garamond" w:cstheme="minorHAnsi"/>
          <w:sz w:val="24"/>
          <w:szCs w:val="24"/>
        </w:rPr>
        <w:footnoteReference w:id="350"/>
      </w:r>
      <w:r w:rsidR="00016049" w:rsidRPr="00461D74">
        <w:rPr>
          <w:rFonts w:ascii="Garamond" w:hAnsi="Garamond" w:cstheme="minorHAnsi"/>
          <w:sz w:val="24"/>
          <w:szCs w:val="24"/>
        </w:rPr>
        <w:t xml:space="preserve"> There is no great conceptual leap from this pessimistic view to the view that the contemporary social structure is anathema to any properly conceived life of the virtues. Using this strategy MacIntyre might find some success in </w:t>
      </w:r>
      <w:r w:rsidR="0082467B" w:rsidRPr="00461D74">
        <w:rPr>
          <w:rFonts w:ascii="Garamond" w:hAnsi="Garamond" w:cstheme="minorHAnsi"/>
          <w:sz w:val="24"/>
          <w:szCs w:val="24"/>
        </w:rPr>
        <w:t xml:space="preserve">defusing </w:t>
      </w:r>
      <w:r w:rsidR="00016049" w:rsidRPr="00461D74">
        <w:rPr>
          <w:rFonts w:ascii="Garamond" w:hAnsi="Garamond" w:cstheme="minorHAnsi"/>
          <w:sz w:val="24"/>
          <w:szCs w:val="24"/>
        </w:rPr>
        <w:t xml:space="preserve">the </w:t>
      </w:r>
      <w:r w:rsidR="0082467B" w:rsidRPr="00461D74">
        <w:rPr>
          <w:rFonts w:ascii="Garamond" w:hAnsi="Garamond" w:cstheme="minorHAnsi"/>
          <w:sz w:val="24"/>
          <w:szCs w:val="24"/>
        </w:rPr>
        <w:t xml:space="preserve">second </w:t>
      </w:r>
      <w:r w:rsidR="00016049" w:rsidRPr="00461D74">
        <w:rPr>
          <w:rFonts w:ascii="Garamond" w:hAnsi="Garamond" w:cstheme="minorHAnsi"/>
          <w:sz w:val="24"/>
          <w:szCs w:val="24"/>
        </w:rPr>
        <w:t>tension</w:t>
      </w:r>
      <w:r w:rsidR="0082467B" w:rsidRPr="00461D74">
        <w:rPr>
          <w:rFonts w:ascii="Garamond" w:hAnsi="Garamond" w:cstheme="minorHAnsi"/>
          <w:sz w:val="24"/>
          <w:szCs w:val="24"/>
        </w:rPr>
        <w:t xml:space="preserve"> </w:t>
      </w:r>
      <w:r w:rsidR="00016049" w:rsidRPr="00461D74">
        <w:rPr>
          <w:rFonts w:ascii="Garamond" w:hAnsi="Garamond" w:cstheme="minorHAnsi"/>
          <w:sz w:val="24"/>
          <w:szCs w:val="24"/>
        </w:rPr>
        <w:t>in his account.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the next section I will consider the merits of this strategy in some detail. I first briefly outline some important features of Ideal vs. Real theory. I then turn to considering whether we can read MacIntyre as an ideal theorist.  I will suggest </w:t>
      </w:r>
      <w:r w:rsidRPr="00461D74">
        <w:rPr>
          <w:rFonts w:ascii="Garamond" w:hAnsi="Garamond" w:cstheme="minorHAnsi"/>
          <w:sz w:val="24"/>
          <w:szCs w:val="24"/>
        </w:rPr>
        <w:lastRenderedPageBreak/>
        <w:t xml:space="preserve">that while this strategy can help deflect the tension, it will nonetheless certainly undermine </w:t>
      </w:r>
      <w:r w:rsidR="00967465">
        <w:rPr>
          <w:rFonts w:ascii="Garamond" w:hAnsi="Garamond" w:cstheme="minorHAnsi"/>
          <w:sz w:val="24"/>
          <w:szCs w:val="24"/>
        </w:rPr>
        <w:t>chief</w:t>
      </w:r>
      <w:r w:rsidR="005710B8" w:rsidRPr="00461D74">
        <w:rPr>
          <w:rFonts w:ascii="Garamond" w:hAnsi="Garamond" w:cstheme="minorHAnsi"/>
          <w:sz w:val="24"/>
          <w:szCs w:val="24"/>
        </w:rPr>
        <w:t xml:space="preserve"> </w:t>
      </w:r>
      <w:r w:rsidRPr="00461D74">
        <w:rPr>
          <w:rFonts w:ascii="Garamond" w:hAnsi="Garamond" w:cstheme="minorHAnsi"/>
          <w:sz w:val="24"/>
          <w:szCs w:val="24"/>
        </w:rPr>
        <w:t xml:space="preserve">constitutive elements, </w:t>
      </w:r>
      <w:r w:rsidR="005710B8">
        <w:rPr>
          <w:rFonts w:ascii="Garamond" w:hAnsi="Garamond" w:cstheme="minorHAnsi"/>
          <w:sz w:val="24"/>
          <w:szCs w:val="24"/>
        </w:rPr>
        <w:t>as well as</w:t>
      </w:r>
      <w:r w:rsidR="005710B8" w:rsidRPr="00461D74">
        <w:rPr>
          <w:rFonts w:ascii="Garamond" w:hAnsi="Garamond" w:cstheme="minorHAnsi"/>
          <w:sz w:val="24"/>
          <w:szCs w:val="24"/>
        </w:rPr>
        <w:t xml:space="preserve"> </w:t>
      </w:r>
      <w:r w:rsidRPr="00461D74">
        <w:rPr>
          <w:rFonts w:ascii="Garamond" w:hAnsi="Garamond" w:cstheme="minorHAnsi"/>
          <w:sz w:val="24"/>
          <w:szCs w:val="24"/>
        </w:rPr>
        <w:t xml:space="preserve">important internal commitments that are a crucial and significant part of his </w:t>
      </w:r>
      <w:r w:rsidR="0082467B" w:rsidRPr="00461D74">
        <w:rPr>
          <w:rFonts w:ascii="Garamond" w:hAnsi="Garamond" w:cstheme="minorHAnsi"/>
          <w:sz w:val="24"/>
          <w:szCs w:val="24"/>
        </w:rPr>
        <w:t>overall</w:t>
      </w:r>
      <w:r w:rsidRPr="00461D74">
        <w:rPr>
          <w:rFonts w:ascii="Garamond" w:hAnsi="Garamond" w:cstheme="minorHAnsi"/>
          <w:sz w:val="24"/>
          <w:szCs w:val="24"/>
        </w:rPr>
        <w:t xml:space="preserve"> philosophy. Most </w:t>
      </w:r>
      <w:r w:rsidR="004E5EF7" w:rsidRPr="00461D74">
        <w:rPr>
          <w:rFonts w:ascii="Garamond" w:hAnsi="Garamond" w:cstheme="minorHAnsi"/>
          <w:sz w:val="24"/>
          <w:szCs w:val="24"/>
        </w:rPr>
        <w:t>importantly</w:t>
      </w:r>
      <w:r w:rsidRPr="00461D74">
        <w:rPr>
          <w:rFonts w:ascii="Garamond" w:hAnsi="Garamond" w:cstheme="minorHAnsi"/>
          <w:sz w:val="24"/>
          <w:szCs w:val="24"/>
        </w:rPr>
        <w:t>, by deploying this strategy, MacIntyre can neither maintain</w:t>
      </w:r>
      <w:r w:rsidR="0082467B" w:rsidRPr="00461D74">
        <w:rPr>
          <w:rFonts w:ascii="Garamond" w:hAnsi="Garamond" w:cstheme="minorHAnsi"/>
          <w:sz w:val="24"/>
          <w:szCs w:val="24"/>
        </w:rPr>
        <w:t>,</w:t>
      </w:r>
      <w:r w:rsidRPr="00461D74">
        <w:rPr>
          <w:rFonts w:ascii="Garamond" w:hAnsi="Garamond" w:cstheme="minorHAnsi"/>
          <w:sz w:val="24"/>
          <w:szCs w:val="24"/>
        </w:rPr>
        <w:t xml:space="preserve"> nor advance</w:t>
      </w:r>
      <w:r w:rsidR="0082467B" w:rsidRPr="00461D74">
        <w:rPr>
          <w:rFonts w:ascii="Garamond" w:hAnsi="Garamond" w:cstheme="minorHAnsi"/>
          <w:sz w:val="24"/>
          <w:szCs w:val="24"/>
        </w:rPr>
        <w:t>,</w:t>
      </w:r>
      <w:r w:rsidRPr="00461D74">
        <w:rPr>
          <w:rFonts w:ascii="Garamond" w:hAnsi="Garamond" w:cstheme="minorHAnsi"/>
          <w:sz w:val="24"/>
          <w:szCs w:val="24"/>
        </w:rPr>
        <w:t xml:space="preserve"> what is unique and interesting in his project.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Finally in section 3, I explore </w:t>
      </w:r>
      <w:r w:rsidR="00DF1284">
        <w:rPr>
          <w:rFonts w:ascii="Garamond" w:hAnsi="Garamond" w:cstheme="minorHAnsi"/>
          <w:sz w:val="24"/>
          <w:szCs w:val="24"/>
        </w:rPr>
        <w:t>a second</w:t>
      </w:r>
      <w:r w:rsidR="00DF1284" w:rsidRPr="00461D74">
        <w:rPr>
          <w:rFonts w:ascii="Garamond" w:hAnsi="Garamond" w:cstheme="minorHAnsi"/>
          <w:sz w:val="24"/>
          <w:szCs w:val="24"/>
        </w:rPr>
        <w:t xml:space="preserve"> </w:t>
      </w:r>
      <w:r w:rsidRPr="00461D74">
        <w:rPr>
          <w:rFonts w:ascii="Garamond" w:hAnsi="Garamond" w:cstheme="minorHAnsi"/>
          <w:sz w:val="24"/>
          <w:szCs w:val="24"/>
        </w:rPr>
        <w:t xml:space="preserve">possible strategy that MacIntyre can </w:t>
      </w:r>
      <w:r w:rsidR="0094253F" w:rsidRPr="00461D74">
        <w:rPr>
          <w:rFonts w:ascii="Garamond" w:hAnsi="Garamond" w:cstheme="minorHAnsi"/>
          <w:sz w:val="24"/>
          <w:szCs w:val="24"/>
        </w:rPr>
        <w:t xml:space="preserve">potentially </w:t>
      </w:r>
      <w:r w:rsidRPr="00461D74">
        <w:rPr>
          <w:rFonts w:ascii="Garamond" w:hAnsi="Garamond" w:cstheme="minorHAnsi"/>
          <w:sz w:val="24"/>
          <w:szCs w:val="24"/>
        </w:rPr>
        <w:t xml:space="preserve">utilise to </w:t>
      </w:r>
      <w:r w:rsidR="0094253F" w:rsidRPr="00461D74">
        <w:rPr>
          <w:rFonts w:ascii="Garamond" w:hAnsi="Garamond" w:cstheme="minorHAnsi"/>
          <w:sz w:val="24"/>
          <w:szCs w:val="24"/>
        </w:rPr>
        <w:t>develop a viable politics</w:t>
      </w:r>
      <w:r w:rsidRPr="00461D74">
        <w:rPr>
          <w:rFonts w:ascii="Garamond" w:hAnsi="Garamond" w:cstheme="minorHAnsi"/>
          <w:sz w:val="24"/>
          <w:szCs w:val="24"/>
        </w:rPr>
        <w:t xml:space="preserve">. </w:t>
      </w:r>
      <w:r w:rsidR="0082467B" w:rsidRPr="00461D74">
        <w:rPr>
          <w:rFonts w:ascii="Garamond" w:hAnsi="Garamond" w:cstheme="minorHAnsi"/>
          <w:sz w:val="24"/>
          <w:szCs w:val="24"/>
        </w:rPr>
        <w:t xml:space="preserve">Here I ask whether </w:t>
      </w:r>
      <w:r w:rsidRPr="00461D74">
        <w:rPr>
          <w:rFonts w:ascii="Garamond" w:hAnsi="Garamond" w:cstheme="minorHAnsi"/>
          <w:sz w:val="24"/>
          <w:szCs w:val="24"/>
        </w:rPr>
        <w:t xml:space="preserve">it </w:t>
      </w:r>
      <w:r w:rsidR="0082467B" w:rsidRPr="00461D74">
        <w:rPr>
          <w:rFonts w:ascii="Garamond" w:hAnsi="Garamond" w:cstheme="minorHAnsi"/>
          <w:sz w:val="24"/>
          <w:szCs w:val="24"/>
        </w:rPr>
        <w:t xml:space="preserve">is </w:t>
      </w:r>
      <w:r w:rsidRPr="00461D74">
        <w:rPr>
          <w:rFonts w:ascii="Garamond" w:hAnsi="Garamond" w:cstheme="minorHAnsi"/>
          <w:sz w:val="24"/>
          <w:szCs w:val="24"/>
        </w:rPr>
        <w:t>possible for Mac</w:t>
      </w:r>
      <w:r w:rsidR="000529E1">
        <w:rPr>
          <w:rFonts w:ascii="Garamond" w:hAnsi="Garamond" w:cstheme="minorHAnsi"/>
          <w:sz w:val="24"/>
          <w:szCs w:val="24"/>
        </w:rPr>
        <w:t>I</w:t>
      </w:r>
      <w:r w:rsidRPr="00461D74">
        <w:rPr>
          <w:rFonts w:ascii="Garamond" w:hAnsi="Garamond" w:cstheme="minorHAnsi"/>
          <w:sz w:val="24"/>
          <w:szCs w:val="24"/>
        </w:rPr>
        <w:t>ntyre to revive an orthodox Aristotelian-Thomism by abandoning the internal commitments that constitute the historical and contextualist elements in his philosophy</w:t>
      </w:r>
      <w:r w:rsidR="004E5EF7" w:rsidRPr="00461D74">
        <w:rPr>
          <w:rFonts w:ascii="Garamond" w:hAnsi="Garamond" w:cstheme="minorHAnsi"/>
          <w:sz w:val="24"/>
          <w:szCs w:val="24"/>
        </w:rPr>
        <w:t>.</w:t>
      </w:r>
      <w:r w:rsidRPr="00461D74">
        <w:rPr>
          <w:rFonts w:ascii="Garamond" w:hAnsi="Garamond" w:cstheme="minorHAnsi"/>
          <w:sz w:val="24"/>
          <w:szCs w:val="24"/>
        </w:rPr>
        <w:t xml:space="preserve"> I will show that Thomism appears to have the resources to develop a politics that can defend MacIntyre’s local communities – that is, it may be possible to defend MacIntyre’s local politics of the common good </w:t>
      </w:r>
      <w:r w:rsidR="00624376">
        <w:rPr>
          <w:rFonts w:ascii="Garamond" w:hAnsi="Garamond" w:cstheme="minorHAnsi"/>
          <w:sz w:val="24"/>
          <w:szCs w:val="24"/>
        </w:rPr>
        <w:t>in Thomistic terms</w:t>
      </w:r>
      <w:r w:rsidRPr="00461D74">
        <w:rPr>
          <w:rFonts w:ascii="Garamond" w:hAnsi="Garamond" w:cstheme="minorHAnsi"/>
          <w:sz w:val="24"/>
          <w:szCs w:val="24"/>
        </w:rPr>
        <w:t xml:space="preserve">. However, I will go on to suggest that this strategy isn’t fruitful because on MacIntyre’s </w:t>
      </w:r>
      <w:r w:rsidR="00547C86">
        <w:rPr>
          <w:rFonts w:ascii="Garamond" w:hAnsi="Garamond" w:cstheme="minorHAnsi"/>
          <w:sz w:val="24"/>
          <w:szCs w:val="24"/>
        </w:rPr>
        <w:t>reading</w:t>
      </w:r>
      <w:r w:rsidR="00547C86" w:rsidRPr="00461D74">
        <w:rPr>
          <w:rFonts w:ascii="Garamond" w:hAnsi="Garamond" w:cstheme="minorHAnsi"/>
          <w:sz w:val="24"/>
          <w:szCs w:val="24"/>
        </w:rPr>
        <w:t xml:space="preserve"> </w:t>
      </w:r>
      <w:r w:rsidRPr="00461D74">
        <w:rPr>
          <w:rFonts w:ascii="Garamond" w:hAnsi="Garamond" w:cstheme="minorHAnsi"/>
          <w:sz w:val="24"/>
          <w:szCs w:val="24"/>
        </w:rPr>
        <w:t xml:space="preserve">of the modern state, a Thomistic common good politics isn’t </w:t>
      </w:r>
      <w:r w:rsidR="0082467B" w:rsidRPr="00461D74">
        <w:rPr>
          <w:rFonts w:ascii="Garamond" w:hAnsi="Garamond" w:cstheme="minorHAnsi"/>
          <w:sz w:val="24"/>
          <w:szCs w:val="24"/>
        </w:rPr>
        <w:t xml:space="preserve">really </w:t>
      </w:r>
      <w:r w:rsidRPr="00461D74">
        <w:rPr>
          <w:rFonts w:ascii="Garamond" w:hAnsi="Garamond" w:cstheme="minorHAnsi"/>
          <w:sz w:val="24"/>
          <w:szCs w:val="24"/>
        </w:rPr>
        <w:t>available</w:t>
      </w:r>
      <w:r w:rsidR="0082467B" w:rsidRPr="00461D74">
        <w:rPr>
          <w:rFonts w:ascii="Garamond" w:hAnsi="Garamond" w:cstheme="minorHAnsi"/>
          <w:sz w:val="24"/>
          <w:szCs w:val="24"/>
        </w:rPr>
        <w:t xml:space="preserve"> to us</w:t>
      </w:r>
      <w:r w:rsidR="00547C86">
        <w:rPr>
          <w:rFonts w:ascii="Garamond" w:hAnsi="Garamond" w:cstheme="minorHAnsi"/>
          <w:sz w:val="24"/>
          <w:szCs w:val="24"/>
        </w:rPr>
        <w:t>;</w:t>
      </w:r>
      <w:r w:rsidR="00624376">
        <w:rPr>
          <w:rFonts w:ascii="Garamond" w:hAnsi="Garamond" w:cstheme="minorHAnsi"/>
          <w:sz w:val="24"/>
          <w:szCs w:val="24"/>
        </w:rPr>
        <w:t xml:space="preserve"> for </w:t>
      </w:r>
      <w:r w:rsidRPr="00461D74">
        <w:rPr>
          <w:rFonts w:ascii="Garamond" w:hAnsi="Garamond" w:cstheme="minorHAnsi"/>
          <w:sz w:val="24"/>
          <w:szCs w:val="24"/>
        </w:rPr>
        <w:t>on MacIn</w:t>
      </w:r>
      <w:r w:rsidR="004E5EF7" w:rsidRPr="00461D74">
        <w:rPr>
          <w:rFonts w:ascii="Garamond" w:hAnsi="Garamond" w:cstheme="minorHAnsi"/>
          <w:sz w:val="24"/>
          <w:szCs w:val="24"/>
        </w:rPr>
        <w:t>t</w:t>
      </w:r>
      <w:r w:rsidRPr="00461D74">
        <w:rPr>
          <w:rFonts w:ascii="Garamond" w:hAnsi="Garamond" w:cstheme="minorHAnsi"/>
          <w:sz w:val="24"/>
          <w:szCs w:val="24"/>
        </w:rPr>
        <w:t>yre’s view</w:t>
      </w:r>
      <w:r w:rsidR="004E5EF7" w:rsidRPr="00461D74">
        <w:rPr>
          <w:rFonts w:ascii="Garamond" w:hAnsi="Garamond" w:cstheme="minorHAnsi"/>
          <w:sz w:val="24"/>
          <w:szCs w:val="24"/>
        </w:rPr>
        <w:t>,</w:t>
      </w:r>
      <w:r w:rsidRPr="00461D74">
        <w:rPr>
          <w:rFonts w:ascii="Garamond" w:hAnsi="Garamond" w:cstheme="minorHAnsi"/>
          <w:sz w:val="24"/>
          <w:szCs w:val="24"/>
        </w:rPr>
        <w:t xml:space="preserve"> the relationship between the individual</w:t>
      </w:r>
      <w:r w:rsidR="00624376">
        <w:rPr>
          <w:rFonts w:ascii="Garamond" w:hAnsi="Garamond" w:cstheme="minorHAnsi"/>
          <w:sz w:val="24"/>
          <w:szCs w:val="24"/>
        </w:rPr>
        <w:t>’s</w:t>
      </w:r>
      <w:r w:rsidRPr="00461D74">
        <w:rPr>
          <w:rFonts w:ascii="Garamond" w:hAnsi="Garamond" w:cstheme="minorHAnsi"/>
          <w:sz w:val="24"/>
          <w:szCs w:val="24"/>
        </w:rPr>
        <w:t xml:space="preserve"> good and the shared goods </w:t>
      </w:r>
      <w:r w:rsidR="00624376">
        <w:rPr>
          <w:rFonts w:ascii="Garamond" w:hAnsi="Garamond" w:cstheme="minorHAnsi"/>
          <w:sz w:val="24"/>
          <w:szCs w:val="24"/>
        </w:rPr>
        <w:t>secured</w:t>
      </w:r>
      <w:r w:rsidRPr="00461D74">
        <w:rPr>
          <w:rFonts w:ascii="Garamond" w:hAnsi="Garamond" w:cstheme="minorHAnsi"/>
          <w:sz w:val="24"/>
          <w:szCs w:val="24"/>
        </w:rPr>
        <w:t xml:space="preserve"> by the state</w:t>
      </w:r>
      <w:r w:rsidR="002431A9">
        <w:rPr>
          <w:rFonts w:ascii="Garamond" w:hAnsi="Garamond" w:cstheme="minorHAnsi"/>
          <w:sz w:val="24"/>
          <w:szCs w:val="24"/>
        </w:rPr>
        <w:t>,</w:t>
      </w:r>
      <w:r w:rsidRPr="00461D74">
        <w:rPr>
          <w:rFonts w:ascii="Garamond" w:hAnsi="Garamond" w:cstheme="minorHAnsi"/>
          <w:sz w:val="24"/>
          <w:szCs w:val="24"/>
        </w:rPr>
        <w:t xml:space="preserve"> fundamentally lack</w:t>
      </w:r>
      <w:r w:rsidR="002431A9">
        <w:rPr>
          <w:rFonts w:ascii="Garamond" w:hAnsi="Garamond" w:cstheme="minorHAnsi"/>
          <w:sz w:val="24"/>
          <w:szCs w:val="24"/>
        </w:rPr>
        <w:t xml:space="preserve">s </w:t>
      </w:r>
      <w:r w:rsidRPr="00461D74">
        <w:rPr>
          <w:rFonts w:ascii="Garamond" w:hAnsi="Garamond" w:cstheme="minorHAnsi"/>
          <w:sz w:val="24"/>
          <w:szCs w:val="24"/>
        </w:rPr>
        <w:t xml:space="preserve">those characteristics </w:t>
      </w:r>
      <w:r w:rsidR="00547C86">
        <w:rPr>
          <w:rFonts w:ascii="Garamond" w:hAnsi="Garamond" w:cstheme="minorHAnsi"/>
          <w:sz w:val="24"/>
          <w:szCs w:val="24"/>
        </w:rPr>
        <w:t>which</w:t>
      </w:r>
      <w:r w:rsidR="00547C86" w:rsidRPr="00461D74">
        <w:rPr>
          <w:rFonts w:ascii="Garamond" w:hAnsi="Garamond" w:cstheme="minorHAnsi"/>
          <w:sz w:val="24"/>
          <w:szCs w:val="24"/>
        </w:rPr>
        <w:t xml:space="preserve"> </w:t>
      </w:r>
      <w:r w:rsidRPr="00461D74">
        <w:rPr>
          <w:rFonts w:ascii="Garamond" w:hAnsi="Garamond" w:cstheme="minorHAnsi"/>
          <w:sz w:val="24"/>
          <w:szCs w:val="24"/>
        </w:rPr>
        <w:t>generate the right sort of relationship between the individual</w:t>
      </w:r>
      <w:r w:rsidR="0082467B" w:rsidRPr="00461D74">
        <w:rPr>
          <w:rFonts w:ascii="Garamond" w:hAnsi="Garamond" w:cstheme="minorHAnsi"/>
          <w:sz w:val="24"/>
          <w:szCs w:val="24"/>
        </w:rPr>
        <w:t>’s</w:t>
      </w:r>
      <w:r w:rsidRPr="00461D74">
        <w:rPr>
          <w:rFonts w:ascii="Garamond" w:hAnsi="Garamond" w:cstheme="minorHAnsi"/>
          <w:sz w:val="24"/>
          <w:szCs w:val="24"/>
        </w:rPr>
        <w:t xml:space="preserve"> good and </w:t>
      </w:r>
      <w:r w:rsidR="0082467B" w:rsidRPr="00461D74">
        <w:rPr>
          <w:rFonts w:ascii="Garamond" w:hAnsi="Garamond" w:cstheme="minorHAnsi"/>
          <w:sz w:val="24"/>
          <w:szCs w:val="24"/>
        </w:rPr>
        <w:t xml:space="preserve">common </w:t>
      </w:r>
      <w:r w:rsidR="00547C86">
        <w:rPr>
          <w:rFonts w:ascii="Garamond" w:hAnsi="Garamond" w:cstheme="minorHAnsi"/>
          <w:sz w:val="24"/>
          <w:szCs w:val="24"/>
        </w:rPr>
        <w:t xml:space="preserve">(or shared) </w:t>
      </w:r>
      <w:r w:rsidRPr="00461D74">
        <w:rPr>
          <w:rFonts w:ascii="Garamond" w:hAnsi="Garamond" w:cstheme="minorHAnsi"/>
          <w:sz w:val="24"/>
          <w:szCs w:val="24"/>
        </w:rPr>
        <w:t>good</w:t>
      </w:r>
      <w:r w:rsidR="00547C86">
        <w:rPr>
          <w:rFonts w:ascii="Garamond" w:hAnsi="Garamond" w:cstheme="minorHAnsi"/>
          <w:sz w:val="24"/>
          <w:szCs w:val="24"/>
        </w:rPr>
        <w:t>s</w:t>
      </w:r>
      <w:r w:rsidR="005B6E9E">
        <w:rPr>
          <w:rFonts w:ascii="Garamond" w:hAnsi="Garamond" w:cstheme="minorHAnsi"/>
          <w:sz w:val="24"/>
          <w:szCs w:val="24"/>
        </w:rPr>
        <w:t xml:space="preserve"> realised in </w:t>
      </w:r>
      <w:r w:rsidR="007E3D73">
        <w:rPr>
          <w:rFonts w:ascii="Garamond" w:hAnsi="Garamond" w:cstheme="minorHAnsi"/>
          <w:sz w:val="24"/>
          <w:szCs w:val="24"/>
        </w:rPr>
        <w:t>social-</w:t>
      </w:r>
      <w:r w:rsidR="005B6E9E">
        <w:rPr>
          <w:rFonts w:ascii="Garamond" w:hAnsi="Garamond" w:cstheme="minorHAnsi"/>
          <w:sz w:val="24"/>
          <w:szCs w:val="24"/>
        </w:rPr>
        <w:t xml:space="preserve">communal </w:t>
      </w:r>
      <w:r w:rsidR="007E3D73">
        <w:rPr>
          <w:rFonts w:ascii="Garamond" w:hAnsi="Garamond" w:cstheme="minorHAnsi"/>
          <w:sz w:val="24"/>
          <w:szCs w:val="24"/>
        </w:rPr>
        <w:t>contexts</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 will conclude by suggesting that</w:t>
      </w:r>
      <w:r w:rsidR="00A3742A">
        <w:rPr>
          <w:rFonts w:ascii="Garamond" w:hAnsi="Garamond" w:cstheme="minorHAnsi"/>
          <w:sz w:val="24"/>
          <w:szCs w:val="24"/>
        </w:rPr>
        <w:t xml:space="preserve"> via an appeal to Pragmatism,</w:t>
      </w:r>
      <w:r w:rsidRPr="00461D74">
        <w:rPr>
          <w:rFonts w:ascii="Garamond" w:hAnsi="Garamond" w:cstheme="minorHAnsi"/>
          <w:sz w:val="24"/>
          <w:szCs w:val="24"/>
        </w:rPr>
        <w:t xml:space="preserve"> it may be possible for us to formulate an alternative politics that can realise </w:t>
      </w:r>
      <w:r w:rsidR="00D97F27">
        <w:rPr>
          <w:rFonts w:ascii="Garamond" w:hAnsi="Garamond" w:cstheme="minorHAnsi"/>
          <w:sz w:val="24"/>
          <w:szCs w:val="24"/>
        </w:rPr>
        <w:t xml:space="preserve">some of </w:t>
      </w:r>
      <w:r w:rsidRPr="00461D74">
        <w:rPr>
          <w:rFonts w:ascii="Garamond" w:hAnsi="Garamond" w:cstheme="minorHAnsi"/>
          <w:sz w:val="24"/>
          <w:szCs w:val="24"/>
        </w:rPr>
        <w:t xml:space="preserve">the benefits available to a Thomistic </w:t>
      </w:r>
      <w:r w:rsidR="00D97F27">
        <w:rPr>
          <w:rFonts w:ascii="Garamond" w:hAnsi="Garamond" w:cstheme="minorHAnsi"/>
          <w:sz w:val="24"/>
          <w:szCs w:val="24"/>
        </w:rPr>
        <w:t>framework</w:t>
      </w:r>
      <w:r w:rsidRPr="00461D74">
        <w:rPr>
          <w:rFonts w:ascii="Garamond" w:hAnsi="Garamond" w:cstheme="minorHAnsi"/>
          <w:sz w:val="24"/>
          <w:szCs w:val="24"/>
        </w:rPr>
        <w:t xml:space="preserve">, and has the resources to formulate a type of democratic common good that enjoys the right sort of relationship with the individual good. Lastly, the benefit of </w:t>
      </w:r>
      <w:r w:rsidR="0082467B" w:rsidRPr="00461D74">
        <w:rPr>
          <w:rFonts w:ascii="Garamond" w:hAnsi="Garamond" w:cstheme="minorHAnsi"/>
          <w:sz w:val="24"/>
          <w:szCs w:val="24"/>
        </w:rPr>
        <w:t xml:space="preserve">this form of </w:t>
      </w:r>
      <w:r w:rsidRPr="00461D74">
        <w:rPr>
          <w:rFonts w:ascii="Garamond" w:hAnsi="Garamond" w:cstheme="minorHAnsi"/>
          <w:sz w:val="24"/>
          <w:szCs w:val="24"/>
        </w:rPr>
        <w:t xml:space="preserve">politics </w:t>
      </w:r>
      <w:r w:rsidR="0082467B" w:rsidRPr="00461D74">
        <w:rPr>
          <w:rFonts w:ascii="Garamond" w:hAnsi="Garamond" w:cstheme="minorHAnsi"/>
          <w:sz w:val="24"/>
          <w:szCs w:val="24"/>
        </w:rPr>
        <w:t xml:space="preserve">is that it </w:t>
      </w:r>
      <w:r w:rsidRPr="00461D74">
        <w:rPr>
          <w:rFonts w:ascii="Garamond" w:hAnsi="Garamond" w:cstheme="minorHAnsi"/>
          <w:sz w:val="24"/>
          <w:szCs w:val="24"/>
        </w:rPr>
        <w:t xml:space="preserve">can be </w:t>
      </w:r>
      <w:r w:rsidR="0082467B" w:rsidRPr="00461D74">
        <w:rPr>
          <w:rFonts w:ascii="Garamond" w:hAnsi="Garamond" w:cstheme="minorHAnsi"/>
          <w:sz w:val="24"/>
          <w:szCs w:val="24"/>
        </w:rPr>
        <w:t xml:space="preserve">advanced, </w:t>
      </w:r>
      <w:r w:rsidRPr="00461D74">
        <w:rPr>
          <w:rFonts w:ascii="Garamond" w:hAnsi="Garamond" w:cstheme="minorHAnsi"/>
          <w:sz w:val="24"/>
          <w:szCs w:val="24"/>
        </w:rPr>
        <w:t>without forsaking the historical and contextualist commitments</w:t>
      </w:r>
      <w:r w:rsidR="0082467B" w:rsidRPr="00461D74">
        <w:rPr>
          <w:rFonts w:ascii="Garamond" w:hAnsi="Garamond" w:cstheme="minorHAnsi"/>
          <w:sz w:val="24"/>
          <w:szCs w:val="24"/>
        </w:rPr>
        <w:t xml:space="preserve"> that are part of </w:t>
      </w:r>
      <w:r w:rsidRPr="00461D74">
        <w:rPr>
          <w:rFonts w:ascii="Garamond" w:hAnsi="Garamond" w:cstheme="minorHAnsi"/>
          <w:sz w:val="24"/>
          <w:szCs w:val="24"/>
        </w:rPr>
        <w:t>MacIntyre’s philosophy</w:t>
      </w:r>
      <w:r w:rsidR="0082467B" w:rsidRPr="00461D74">
        <w:rPr>
          <w:rFonts w:ascii="Garamond" w:hAnsi="Garamond" w:cstheme="minorHAnsi"/>
          <w:sz w:val="24"/>
          <w:szCs w:val="24"/>
        </w:rPr>
        <w:t xml:space="preserve"> as a whole</w:t>
      </w:r>
      <w:r w:rsidRPr="00461D74">
        <w:rPr>
          <w:rFonts w:ascii="Garamond" w:hAnsi="Garamond" w:cstheme="minorHAnsi"/>
          <w:sz w:val="24"/>
          <w:szCs w:val="24"/>
        </w:rPr>
        <w:t>.</w:t>
      </w:r>
    </w:p>
    <w:p w:rsidR="00A3742A" w:rsidRDefault="00A3742A">
      <w:pPr>
        <w:spacing w:line="360" w:lineRule="auto"/>
        <w:ind w:firstLine="720"/>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47" w:name="_Toc528077824"/>
      <w:r>
        <w:rPr>
          <w:rFonts w:cstheme="majorHAnsi"/>
        </w:rPr>
        <w:lastRenderedPageBreak/>
        <w:t xml:space="preserve">2. </w:t>
      </w:r>
      <w:r w:rsidR="00016049" w:rsidRPr="00F03436">
        <w:rPr>
          <w:rFonts w:cstheme="majorHAnsi"/>
        </w:rPr>
        <w:t>MacIntyre as an Ideal theorist</w:t>
      </w:r>
      <w:bookmarkEnd w:id="47"/>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Before we can see whether MacIntyre is an ideal theorist</w:t>
      </w:r>
      <w:r w:rsidR="004E5EF7" w:rsidRPr="00461D74">
        <w:rPr>
          <w:rFonts w:ascii="Garamond" w:hAnsi="Garamond" w:cstheme="minorHAnsi"/>
          <w:sz w:val="24"/>
          <w:szCs w:val="24"/>
        </w:rPr>
        <w:t>,</w:t>
      </w:r>
      <w:r w:rsidRPr="00461D74">
        <w:rPr>
          <w:rFonts w:ascii="Garamond" w:hAnsi="Garamond" w:cstheme="minorHAnsi"/>
          <w:sz w:val="24"/>
          <w:szCs w:val="24"/>
        </w:rPr>
        <w:t xml:space="preserve"> I will briefly outline some important features of the two contrasting views of </w:t>
      </w:r>
      <w:r w:rsidRPr="00461D74">
        <w:rPr>
          <w:rFonts w:ascii="Garamond" w:hAnsi="Garamond" w:cstheme="minorHAnsi"/>
          <w:i/>
          <w:iCs/>
          <w:sz w:val="24"/>
          <w:szCs w:val="24"/>
        </w:rPr>
        <w:t>ideal theory</w:t>
      </w:r>
      <w:r w:rsidRPr="00461D74">
        <w:rPr>
          <w:rFonts w:ascii="Garamond" w:hAnsi="Garamond" w:cstheme="minorHAnsi"/>
          <w:sz w:val="24"/>
          <w:szCs w:val="24"/>
        </w:rPr>
        <w:t xml:space="preserve"> and </w:t>
      </w:r>
      <w:r w:rsidRPr="00461D74">
        <w:rPr>
          <w:rFonts w:ascii="Garamond" w:hAnsi="Garamond" w:cstheme="minorHAnsi"/>
          <w:i/>
          <w:iCs/>
          <w:sz w:val="24"/>
          <w:szCs w:val="24"/>
        </w:rPr>
        <w:t>real theory</w:t>
      </w:r>
      <w:r w:rsidR="004E5EF7" w:rsidRPr="00461D74">
        <w:rPr>
          <w:rFonts w:ascii="Garamond" w:hAnsi="Garamond" w:cstheme="minorHAnsi"/>
          <w:sz w:val="24"/>
          <w:szCs w:val="24"/>
        </w:rPr>
        <w:t xml:space="preserve"> </w:t>
      </w:r>
      <w:r w:rsidRPr="00461D74">
        <w:rPr>
          <w:rFonts w:ascii="Garamond" w:hAnsi="Garamond" w:cstheme="minorHAnsi"/>
          <w:sz w:val="24"/>
          <w:szCs w:val="24"/>
        </w:rPr>
        <w:t>in political philosophy. I then try to show how different elements of MacIntyre’s political philosophy can be read in way</w:t>
      </w:r>
      <w:r w:rsidR="00786089">
        <w:rPr>
          <w:rFonts w:ascii="Garamond" w:hAnsi="Garamond" w:cstheme="minorHAnsi"/>
          <w:sz w:val="24"/>
          <w:szCs w:val="24"/>
        </w:rPr>
        <w:t>s</w:t>
      </w:r>
      <w:r w:rsidRPr="00461D74">
        <w:rPr>
          <w:rFonts w:ascii="Garamond" w:hAnsi="Garamond" w:cstheme="minorHAnsi"/>
          <w:sz w:val="24"/>
          <w:szCs w:val="24"/>
        </w:rPr>
        <w:t xml:space="preserve"> that emphasize the real vs. ideal </w:t>
      </w:r>
      <w:r w:rsidR="00786089">
        <w:rPr>
          <w:rFonts w:ascii="Garamond" w:hAnsi="Garamond" w:cstheme="minorHAnsi"/>
          <w:sz w:val="24"/>
          <w:szCs w:val="24"/>
        </w:rPr>
        <w:t>characteristics of</w:t>
      </w:r>
      <w:r w:rsidRPr="00461D74">
        <w:rPr>
          <w:rFonts w:ascii="Garamond" w:hAnsi="Garamond" w:cstheme="minorHAnsi"/>
          <w:sz w:val="24"/>
          <w:szCs w:val="24"/>
        </w:rPr>
        <w:t xml:space="preserve"> his politic</w:t>
      </w:r>
      <w:r w:rsidR="00786089">
        <w:rPr>
          <w:rFonts w:ascii="Garamond" w:hAnsi="Garamond" w:cstheme="minorHAnsi"/>
          <w:sz w:val="24"/>
          <w:szCs w:val="24"/>
        </w:rPr>
        <w:t>al account</w:t>
      </w:r>
      <w:r w:rsidRPr="00461D74">
        <w:rPr>
          <w:rFonts w:ascii="Garamond" w:hAnsi="Garamond" w:cstheme="minorHAnsi"/>
          <w:sz w:val="24"/>
          <w:szCs w:val="24"/>
        </w:rPr>
        <w:t xml:space="preserve">. In what follows, I will start by elaborating the </w:t>
      </w:r>
      <w:r w:rsidRPr="00461D74">
        <w:rPr>
          <w:rFonts w:ascii="Garamond" w:hAnsi="Garamond" w:cstheme="minorHAnsi"/>
          <w:i/>
          <w:iCs/>
          <w:sz w:val="24"/>
          <w:szCs w:val="24"/>
        </w:rPr>
        <w:t>realist</w:t>
      </w:r>
      <w:r w:rsidRPr="00461D74">
        <w:rPr>
          <w:rFonts w:ascii="Garamond" w:hAnsi="Garamond" w:cstheme="minorHAnsi"/>
          <w:sz w:val="24"/>
          <w:szCs w:val="24"/>
        </w:rPr>
        <w:t xml:space="preserve"> position in political philosophy, followed by what is referred to by scholars as </w:t>
      </w:r>
      <w:r w:rsidRPr="00461D74">
        <w:rPr>
          <w:rFonts w:ascii="Garamond" w:hAnsi="Garamond" w:cstheme="minorHAnsi"/>
          <w:i/>
          <w:iCs/>
          <w:sz w:val="24"/>
          <w:szCs w:val="24"/>
        </w:rPr>
        <w:t>ideal</w:t>
      </w:r>
      <w:r w:rsidR="00786089" w:rsidRPr="00461D74">
        <w:rPr>
          <w:rStyle w:val="FootnoteReference"/>
          <w:rFonts w:ascii="Garamond" w:hAnsi="Garamond" w:cstheme="minorHAnsi"/>
          <w:sz w:val="24"/>
          <w:szCs w:val="24"/>
        </w:rPr>
        <w:footnoteReference w:id="351"/>
      </w:r>
      <w:r w:rsidRPr="00461D74">
        <w:rPr>
          <w:rFonts w:ascii="Garamond" w:hAnsi="Garamond" w:cstheme="minorHAnsi"/>
          <w:i/>
          <w:iCs/>
          <w:sz w:val="24"/>
          <w:szCs w:val="24"/>
        </w:rPr>
        <w:t xml:space="preserve"> </w:t>
      </w:r>
      <w:r w:rsidRPr="00461D74">
        <w:rPr>
          <w:rFonts w:ascii="Garamond" w:hAnsi="Garamond" w:cstheme="minorHAnsi"/>
          <w:sz w:val="24"/>
          <w:szCs w:val="24"/>
        </w:rPr>
        <w:t xml:space="preserve">(or </w:t>
      </w:r>
      <w:r w:rsidRPr="00461D74">
        <w:rPr>
          <w:rFonts w:ascii="Garamond" w:hAnsi="Garamond" w:cstheme="minorHAnsi"/>
          <w:i/>
          <w:iCs/>
          <w:sz w:val="24"/>
          <w:szCs w:val="24"/>
        </w:rPr>
        <w:t>normative</w:t>
      </w:r>
      <w:r w:rsidRPr="00461D74">
        <w:rPr>
          <w:rFonts w:ascii="Garamond" w:hAnsi="Garamond" w:cstheme="minorHAnsi"/>
          <w:sz w:val="24"/>
          <w:szCs w:val="24"/>
        </w:rPr>
        <w:t xml:space="preserve"> or </w:t>
      </w:r>
      <w:r w:rsidRPr="00461D74">
        <w:rPr>
          <w:rFonts w:ascii="Garamond" w:hAnsi="Garamond" w:cstheme="minorHAnsi"/>
          <w:i/>
          <w:iCs/>
          <w:sz w:val="24"/>
          <w:szCs w:val="24"/>
        </w:rPr>
        <w:t>moralist</w:t>
      </w:r>
      <w:r w:rsidRPr="00461D74">
        <w:rPr>
          <w:rFonts w:ascii="Garamond" w:hAnsi="Garamond" w:cstheme="minorHAnsi"/>
          <w:sz w:val="24"/>
          <w:szCs w:val="24"/>
        </w:rPr>
        <w:t>) political theory.</w:t>
      </w:r>
      <w:r w:rsidRPr="00461D74">
        <w:rPr>
          <w:rStyle w:val="FootnoteReference"/>
          <w:rFonts w:ascii="Garamond" w:hAnsi="Garamond" w:cstheme="minorHAnsi"/>
          <w:sz w:val="24"/>
          <w:szCs w:val="24"/>
        </w:rPr>
        <w:footnoteReference w:id="352"/>
      </w:r>
    </w:p>
    <w:p w:rsidR="00665157" w:rsidRDefault="00665157">
      <w:pPr>
        <w:spacing w:line="360" w:lineRule="auto"/>
        <w:jc w:val="both"/>
        <w:rPr>
          <w:rFonts w:ascii="Garamond" w:hAnsi="Garamond" w:cstheme="minorHAnsi"/>
        </w:rPr>
      </w:pPr>
    </w:p>
    <w:p w:rsidR="00665157" w:rsidRDefault="00C66538">
      <w:pPr>
        <w:pStyle w:val="Heading3"/>
        <w:spacing w:line="360" w:lineRule="auto"/>
        <w:jc w:val="both"/>
        <w:rPr>
          <w:rFonts w:cstheme="majorHAnsi"/>
        </w:rPr>
      </w:pPr>
      <w:bookmarkStart w:id="48" w:name="_Toc528077825"/>
      <w:r>
        <w:rPr>
          <w:rFonts w:cstheme="majorHAnsi"/>
        </w:rPr>
        <w:t xml:space="preserve">2.1 </w:t>
      </w:r>
      <w:r w:rsidR="00016049" w:rsidRPr="00F03436">
        <w:rPr>
          <w:rFonts w:cstheme="majorHAnsi"/>
        </w:rPr>
        <w:t xml:space="preserve">Ideal vs. Real </w:t>
      </w:r>
      <w:r w:rsidR="007B7FD8" w:rsidRPr="00F03436">
        <w:rPr>
          <w:rFonts w:cstheme="majorHAnsi"/>
        </w:rPr>
        <w:t>T</w:t>
      </w:r>
      <w:r w:rsidR="00016049" w:rsidRPr="00F03436">
        <w:rPr>
          <w:rFonts w:cstheme="majorHAnsi"/>
        </w:rPr>
        <w:t>heory</w:t>
      </w:r>
      <w:bookmarkEnd w:id="48"/>
    </w:p>
    <w:p w:rsidR="00F83E9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Political realism is often characterized as eschewing abstract normative political theory, in favour of historicizing the project of political philosophy. The realist position in political philosophy emphasizes the importance of socio-historicity, contingency, and pluralism. Most </w:t>
      </w:r>
      <w:r w:rsidR="00786089">
        <w:rPr>
          <w:rFonts w:ascii="Garamond" w:hAnsi="Garamond" w:cstheme="minorHAnsi"/>
          <w:sz w:val="24"/>
          <w:szCs w:val="24"/>
        </w:rPr>
        <w:t>r</w:t>
      </w:r>
      <w:r w:rsidRPr="00461D74">
        <w:rPr>
          <w:rFonts w:ascii="Garamond" w:hAnsi="Garamond" w:cstheme="minorHAnsi"/>
          <w:sz w:val="24"/>
          <w:szCs w:val="24"/>
        </w:rPr>
        <w:t>ealists tend to believe that value pluralism is a condition of the political</w:t>
      </w:r>
      <w:r w:rsidR="006A250C" w:rsidRPr="00461D74">
        <w:rPr>
          <w:rFonts w:ascii="Garamond" w:hAnsi="Garamond" w:cstheme="minorHAnsi"/>
          <w:sz w:val="24"/>
          <w:szCs w:val="24"/>
        </w:rPr>
        <w:t>,</w:t>
      </w:r>
      <w:r w:rsidRPr="00461D74">
        <w:rPr>
          <w:rFonts w:ascii="Garamond" w:hAnsi="Garamond" w:cstheme="minorHAnsi"/>
          <w:sz w:val="24"/>
          <w:szCs w:val="24"/>
        </w:rPr>
        <w:t xml:space="preserve"> where competing conceptions of the good vie for allegiance in the political arena. Realists are often value pluralist</w:t>
      </w:r>
      <w:r w:rsidR="005B3905" w:rsidRPr="00461D74">
        <w:rPr>
          <w:rFonts w:ascii="Garamond" w:hAnsi="Garamond" w:cstheme="minorHAnsi"/>
          <w:sz w:val="24"/>
          <w:szCs w:val="24"/>
        </w:rPr>
        <w:t>s</w:t>
      </w:r>
      <w:r w:rsidRPr="00461D74">
        <w:rPr>
          <w:rFonts w:ascii="Garamond" w:hAnsi="Garamond" w:cstheme="minorHAnsi"/>
          <w:sz w:val="24"/>
          <w:szCs w:val="24"/>
        </w:rPr>
        <w:t xml:space="preserve"> and tend to </w:t>
      </w:r>
      <w:r w:rsidR="005B3905" w:rsidRPr="00461D74">
        <w:rPr>
          <w:rFonts w:ascii="Garamond" w:hAnsi="Garamond" w:cstheme="minorHAnsi"/>
          <w:sz w:val="24"/>
          <w:szCs w:val="24"/>
        </w:rPr>
        <w:t xml:space="preserve">maintain </w:t>
      </w:r>
      <w:r w:rsidRPr="00461D74">
        <w:rPr>
          <w:rFonts w:ascii="Garamond" w:hAnsi="Garamond" w:cstheme="minorHAnsi"/>
          <w:sz w:val="24"/>
          <w:szCs w:val="24"/>
        </w:rPr>
        <w:t xml:space="preserve">that values are </w:t>
      </w:r>
      <w:proofErr w:type="spellStart"/>
      <w:r w:rsidRPr="00461D74">
        <w:rPr>
          <w:rFonts w:ascii="Garamond" w:hAnsi="Garamond" w:cstheme="minorHAnsi"/>
          <w:sz w:val="24"/>
          <w:szCs w:val="24"/>
        </w:rPr>
        <w:t>incompossible</w:t>
      </w:r>
      <w:proofErr w:type="spellEnd"/>
      <w:r w:rsidR="005B3905" w:rsidRPr="00461D74">
        <w:rPr>
          <w:rFonts w:ascii="Garamond" w:hAnsi="Garamond" w:cstheme="minorHAnsi"/>
          <w:sz w:val="24"/>
          <w:szCs w:val="24"/>
        </w:rPr>
        <w:t>,</w:t>
      </w:r>
      <w:r w:rsidRPr="00461D74">
        <w:rPr>
          <w:rFonts w:ascii="Garamond" w:hAnsi="Garamond" w:cstheme="minorHAnsi"/>
          <w:sz w:val="24"/>
          <w:szCs w:val="24"/>
        </w:rPr>
        <w:t xml:space="preserve"> </w:t>
      </w:r>
      <w:r w:rsidR="005B3905" w:rsidRPr="00461D74">
        <w:rPr>
          <w:rFonts w:ascii="Garamond" w:hAnsi="Garamond" w:cstheme="minorHAnsi"/>
          <w:sz w:val="24"/>
          <w:szCs w:val="24"/>
        </w:rPr>
        <w:t xml:space="preserve">precisely </w:t>
      </w:r>
      <w:r w:rsidRPr="00461D74">
        <w:rPr>
          <w:rFonts w:ascii="Garamond" w:hAnsi="Garamond" w:cstheme="minorHAnsi"/>
          <w:sz w:val="24"/>
          <w:szCs w:val="24"/>
        </w:rPr>
        <w:t>because rational methods underdetermine the relative priority of values when they do come into conflict.</w:t>
      </w:r>
    </w:p>
    <w:p w:rsidR="00DA7D32" w:rsidRDefault="00551D32" w:rsidP="00F83E97">
      <w:pPr>
        <w:spacing w:line="360" w:lineRule="auto"/>
        <w:ind w:firstLine="720"/>
        <w:jc w:val="both"/>
        <w:rPr>
          <w:rFonts w:ascii="Garamond" w:hAnsi="Garamond" w:cstheme="minorHAnsi"/>
          <w:sz w:val="24"/>
          <w:szCs w:val="24"/>
        </w:rPr>
      </w:pPr>
      <w:r>
        <w:rPr>
          <w:rFonts w:ascii="Garamond" w:hAnsi="Garamond" w:cstheme="minorHAnsi"/>
          <w:sz w:val="24"/>
          <w:szCs w:val="24"/>
        </w:rPr>
        <w:t xml:space="preserve">Realists </w:t>
      </w:r>
      <w:r w:rsidR="00F83E97">
        <w:rPr>
          <w:rFonts w:ascii="Garamond" w:hAnsi="Garamond" w:cstheme="minorHAnsi"/>
          <w:sz w:val="24"/>
          <w:szCs w:val="24"/>
        </w:rPr>
        <w:t>argue</w:t>
      </w:r>
      <w:r>
        <w:rPr>
          <w:rFonts w:ascii="Garamond" w:hAnsi="Garamond" w:cstheme="minorHAnsi"/>
          <w:sz w:val="24"/>
          <w:szCs w:val="24"/>
        </w:rPr>
        <w:t xml:space="preserve"> that liberal ideal theorists, like </w:t>
      </w:r>
      <w:proofErr w:type="spellStart"/>
      <w:r>
        <w:rPr>
          <w:rFonts w:ascii="Garamond" w:hAnsi="Garamond" w:cstheme="minorHAnsi"/>
          <w:sz w:val="24"/>
          <w:szCs w:val="24"/>
        </w:rPr>
        <w:t>Nozick</w:t>
      </w:r>
      <w:proofErr w:type="spellEnd"/>
      <w:r>
        <w:rPr>
          <w:rFonts w:ascii="Garamond" w:hAnsi="Garamond" w:cstheme="minorHAnsi"/>
          <w:sz w:val="24"/>
          <w:szCs w:val="24"/>
        </w:rPr>
        <w:t xml:space="preserve">, Rawls, or </w:t>
      </w:r>
      <w:proofErr w:type="spellStart"/>
      <w:r>
        <w:rPr>
          <w:rFonts w:ascii="Garamond" w:hAnsi="Garamond" w:cstheme="minorHAnsi"/>
          <w:sz w:val="24"/>
          <w:szCs w:val="24"/>
        </w:rPr>
        <w:t>Dworkin</w:t>
      </w:r>
      <w:proofErr w:type="spellEnd"/>
      <w:r>
        <w:rPr>
          <w:rFonts w:ascii="Garamond" w:hAnsi="Garamond" w:cstheme="minorHAnsi"/>
          <w:sz w:val="24"/>
          <w:szCs w:val="24"/>
        </w:rPr>
        <w:t xml:space="preserve">, by </w:t>
      </w:r>
      <w:r w:rsidR="00F83E97">
        <w:rPr>
          <w:rFonts w:ascii="Garamond" w:hAnsi="Garamond" w:cstheme="minorHAnsi"/>
          <w:sz w:val="24"/>
          <w:szCs w:val="24"/>
        </w:rPr>
        <w:t>importing</w:t>
      </w:r>
      <w:r>
        <w:rPr>
          <w:rFonts w:ascii="Garamond" w:hAnsi="Garamond" w:cstheme="minorHAnsi"/>
          <w:sz w:val="24"/>
          <w:szCs w:val="24"/>
        </w:rPr>
        <w:t xml:space="preserve"> moral </w:t>
      </w:r>
      <w:r w:rsidR="00F83E97">
        <w:rPr>
          <w:rFonts w:ascii="Garamond" w:hAnsi="Garamond" w:cstheme="minorHAnsi"/>
          <w:sz w:val="24"/>
          <w:szCs w:val="24"/>
        </w:rPr>
        <w:t>presuppositions</w:t>
      </w:r>
      <w:r>
        <w:rPr>
          <w:rFonts w:ascii="Garamond" w:hAnsi="Garamond" w:cstheme="minorHAnsi"/>
          <w:sz w:val="24"/>
          <w:szCs w:val="24"/>
        </w:rPr>
        <w:t xml:space="preserve">, </w:t>
      </w:r>
      <w:r w:rsidR="00F83E97">
        <w:rPr>
          <w:rFonts w:ascii="Garamond" w:hAnsi="Garamond" w:cstheme="minorHAnsi"/>
          <w:sz w:val="24"/>
          <w:szCs w:val="24"/>
        </w:rPr>
        <w:t xml:space="preserve">end up </w:t>
      </w:r>
      <w:r>
        <w:rPr>
          <w:rFonts w:ascii="Garamond" w:hAnsi="Garamond" w:cstheme="minorHAnsi"/>
          <w:sz w:val="24"/>
          <w:szCs w:val="24"/>
        </w:rPr>
        <w:t>only pay</w:t>
      </w:r>
      <w:r w:rsidR="00F83E97">
        <w:rPr>
          <w:rFonts w:ascii="Garamond" w:hAnsi="Garamond" w:cstheme="minorHAnsi"/>
          <w:sz w:val="24"/>
          <w:szCs w:val="24"/>
        </w:rPr>
        <w:t>ing</w:t>
      </w:r>
      <w:r>
        <w:rPr>
          <w:rFonts w:ascii="Garamond" w:hAnsi="Garamond" w:cstheme="minorHAnsi"/>
          <w:sz w:val="24"/>
          <w:szCs w:val="24"/>
        </w:rPr>
        <w:t xml:space="preserve"> lip service to the concept of neutrality; and that their work, by ignoring </w:t>
      </w:r>
      <w:r w:rsidR="00F83E97">
        <w:rPr>
          <w:rFonts w:ascii="Garamond" w:hAnsi="Garamond" w:cstheme="minorHAnsi"/>
          <w:sz w:val="24"/>
          <w:szCs w:val="24"/>
        </w:rPr>
        <w:t>political realities, amounts to</w:t>
      </w:r>
      <w:r>
        <w:rPr>
          <w:rFonts w:ascii="Garamond" w:hAnsi="Garamond" w:cstheme="minorHAnsi"/>
          <w:sz w:val="24"/>
          <w:szCs w:val="24"/>
        </w:rPr>
        <w:t xml:space="preserve"> </w:t>
      </w:r>
      <w:r w:rsidR="00F83E97" w:rsidRPr="00461D74">
        <w:rPr>
          <w:rFonts w:ascii="Garamond" w:hAnsi="Garamond" w:cstheme="minorHAnsi"/>
          <w:sz w:val="24"/>
          <w:szCs w:val="24"/>
        </w:rPr>
        <w:t xml:space="preserve">an evasion and displacement of </w:t>
      </w:r>
      <w:r w:rsidR="00F83E97">
        <w:rPr>
          <w:rFonts w:ascii="Garamond" w:hAnsi="Garamond" w:cstheme="minorHAnsi"/>
          <w:sz w:val="24"/>
          <w:szCs w:val="24"/>
        </w:rPr>
        <w:t xml:space="preserve">important problems in </w:t>
      </w:r>
      <w:r w:rsidR="00F83E97" w:rsidRPr="00461D74">
        <w:rPr>
          <w:rFonts w:ascii="Garamond" w:hAnsi="Garamond" w:cstheme="minorHAnsi"/>
          <w:sz w:val="24"/>
          <w:szCs w:val="24"/>
        </w:rPr>
        <w:t>the political arena</w:t>
      </w:r>
      <w:r w:rsidR="00F83E97">
        <w:rPr>
          <w:rFonts w:ascii="Garamond" w:hAnsi="Garamond" w:cstheme="minorHAnsi"/>
          <w:sz w:val="24"/>
          <w:szCs w:val="24"/>
        </w:rPr>
        <w:t>,</w:t>
      </w:r>
      <w:r w:rsidR="00F83E97" w:rsidRPr="00461D74">
        <w:rPr>
          <w:rFonts w:ascii="Garamond" w:hAnsi="Garamond" w:cstheme="minorHAnsi"/>
          <w:sz w:val="24"/>
          <w:szCs w:val="24"/>
        </w:rPr>
        <w:t xml:space="preserve"> </w:t>
      </w:r>
      <w:r w:rsidR="00F83E97">
        <w:rPr>
          <w:rFonts w:ascii="Garamond" w:hAnsi="Garamond" w:cstheme="minorHAnsi"/>
          <w:sz w:val="24"/>
          <w:szCs w:val="24"/>
        </w:rPr>
        <w:t xml:space="preserve">and </w:t>
      </w:r>
      <w:r w:rsidR="00F83E97">
        <w:rPr>
          <w:rFonts w:ascii="Garamond" w:hAnsi="Garamond" w:cstheme="minorHAnsi"/>
          <w:sz w:val="24"/>
          <w:szCs w:val="24"/>
        </w:rPr>
        <w:lastRenderedPageBreak/>
        <w:t xml:space="preserve">therefore should not be viewed as genuine </w:t>
      </w:r>
      <w:r w:rsidR="00F83E97" w:rsidRPr="00461D74">
        <w:rPr>
          <w:rFonts w:ascii="Garamond" w:hAnsi="Garamond" w:cstheme="minorHAnsi"/>
          <w:sz w:val="24"/>
          <w:szCs w:val="24"/>
        </w:rPr>
        <w:t>attempt</w:t>
      </w:r>
      <w:r w:rsidR="00F83E97">
        <w:rPr>
          <w:rFonts w:ascii="Garamond" w:hAnsi="Garamond" w:cstheme="minorHAnsi"/>
          <w:sz w:val="24"/>
          <w:szCs w:val="24"/>
        </w:rPr>
        <w:t>s</w:t>
      </w:r>
      <w:r w:rsidR="00F83E97" w:rsidRPr="00461D74">
        <w:rPr>
          <w:rFonts w:ascii="Garamond" w:hAnsi="Garamond" w:cstheme="minorHAnsi"/>
          <w:sz w:val="24"/>
          <w:szCs w:val="24"/>
        </w:rPr>
        <w:t xml:space="preserve"> to </w:t>
      </w:r>
      <w:r w:rsidR="00F83E97">
        <w:rPr>
          <w:rFonts w:ascii="Garamond" w:hAnsi="Garamond" w:cstheme="minorHAnsi"/>
          <w:sz w:val="24"/>
          <w:szCs w:val="24"/>
        </w:rPr>
        <w:t xml:space="preserve">engage and ultimately </w:t>
      </w:r>
      <w:r w:rsidR="00F83E97" w:rsidRPr="00461D74">
        <w:rPr>
          <w:rFonts w:ascii="Garamond" w:hAnsi="Garamond" w:cstheme="minorHAnsi"/>
          <w:sz w:val="24"/>
          <w:szCs w:val="24"/>
        </w:rPr>
        <w:t xml:space="preserve">address </w:t>
      </w:r>
      <w:r w:rsidR="00F83E97">
        <w:rPr>
          <w:rFonts w:ascii="Garamond" w:hAnsi="Garamond" w:cstheme="minorHAnsi"/>
          <w:sz w:val="24"/>
          <w:szCs w:val="24"/>
        </w:rPr>
        <w:t>those problems</w:t>
      </w:r>
      <w:r w:rsidR="00F83E97" w:rsidRPr="00461D74">
        <w:rPr>
          <w:rFonts w:ascii="Garamond" w:hAnsi="Garamond" w:cstheme="minorHAnsi"/>
          <w:sz w:val="24"/>
          <w:szCs w:val="24"/>
        </w:rPr>
        <w:t>.</w:t>
      </w:r>
      <w:r w:rsidR="00F83E97" w:rsidRPr="00461D74">
        <w:rPr>
          <w:rStyle w:val="FootnoteReference"/>
          <w:rFonts w:ascii="Garamond" w:hAnsi="Garamond" w:cstheme="minorHAnsi"/>
          <w:sz w:val="24"/>
          <w:szCs w:val="24"/>
        </w:rPr>
        <w:footnoteReference w:id="353"/>
      </w:r>
      <w:r w:rsidR="00F83E97">
        <w:rPr>
          <w:rFonts w:ascii="Garamond" w:hAnsi="Garamond" w:cstheme="minorHAnsi"/>
          <w:sz w:val="24"/>
          <w:szCs w:val="24"/>
        </w:rPr>
        <w:t xml:space="preserve"> In addition, r</w:t>
      </w:r>
      <w:r w:rsidR="00016049" w:rsidRPr="00461D74">
        <w:rPr>
          <w:rFonts w:ascii="Garamond" w:hAnsi="Garamond" w:cstheme="minorHAnsi"/>
          <w:sz w:val="24"/>
          <w:szCs w:val="24"/>
        </w:rPr>
        <w:t xml:space="preserve">ealist political philosophers reject ideal theory because </w:t>
      </w:r>
      <w:r w:rsidR="00F83E97">
        <w:rPr>
          <w:rFonts w:ascii="Garamond" w:hAnsi="Garamond" w:cstheme="minorHAnsi"/>
          <w:sz w:val="24"/>
          <w:szCs w:val="24"/>
        </w:rPr>
        <w:t xml:space="preserve">of </w:t>
      </w:r>
      <w:r w:rsidR="00016049" w:rsidRPr="00461D74">
        <w:rPr>
          <w:rFonts w:ascii="Garamond" w:hAnsi="Garamond" w:cstheme="minorHAnsi"/>
          <w:sz w:val="24"/>
          <w:szCs w:val="24"/>
        </w:rPr>
        <w:t>it</w:t>
      </w:r>
      <w:r w:rsidR="00D4115E">
        <w:rPr>
          <w:rFonts w:ascii="Garamond" w:hAnsi="Garamond" w:cstheme="minorHAnsi"/>
          <w:sz w:val="24"/>
          <w:szCs w:val="24"/>
        </w:rPr>
        <w:t>s</w:t>
      </w:r>
      <w:r w:rsidR="00016049" w:rsidRPr="00461D74">
        <w:rPr>
          <w:rFonts w:ascii="Garamond" w:hAnsi="Garamond" w:cstheme="minorHAnsi"/>
          <w:sz w:val="24"/>
          <w:szCs w:val="24"/>
        </w:rPr>
        <w:t xml:space="preserve"> </w:t>
      </w:r>
      <w:r w:rsidR="00F83E97">
        <w:rPr>
          <w:rFonts w:ascii="Garamond" w:hAnsi="Garamond" w:cstheme="minorHAnsi"/>
          <w:sz w:val="24"/>
          <w:szCs w:val="24"/>
        </w:rPr>
        <w:t xml:space="preserve">tendency to </w:t>
      </w:r>
      <w:r w:rsidR="00016049" w:rsidRPr="00461D74">
        <w:rPr>
          <w:rFonts w:ascii="Garamond" w:hAnsi="Garamond" w:cstheme="minorHAnsi"/>
          <w:sz w:val="24"/>
          <w:szCs w:val="24"/>
        </w:rPr>
        <w:t xml:space="preserve">utilise an abstract </w:t>
      </w:r>
      <w:proofErr w:type="spellStart"/>
      <w:r w:rsidR="00016049" w:rsidRPr="00461D74">
        <w:rPr>
          <w:rFonts w:ascii="Garamond" w:hAnsi="Garamond" w:cstheme="minorHAnsi"/>
          <w:sz w:val="24"/>
          <w:szCs w:val="24"/>
        </w:rPr>
        <w:t>ahistorical</w:t>
      </w:r>
      <w:proofErr w:type="spellEnd"/>
      <w:r w:rsidR="00016049" w:rsidRPr="00461D74">
        <w:rPr>
          <w:rFonts w:ascii="Garamond" w:hAnsi="Garamond" w:cstheme="minorHAnsi"/>
          <w:sz w:val="24"/>
          <w:szCs w:val="24"/>
        </w:rPr>
        <w:t xml:space="preserve"> approach to moral and political problems. </w:t>
      </w:r>
      <w:r w:rsidR="00F83E97">
        <w:rPr>
          <w:rFonts w:ascii="Garamond" w:hAnsi="Garamond" w:cstheme="minorHAnsi"/>
          <w:sz w:val="24"/>
          <w:szCs w:val="24"/>
        </w:rPr>
        <w:t>They</w:t>
      </w:r>
      <w:r w:rsidR="00F83E97"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hold that normative political philosophy is only ostensibly </w:t>
      </w:r>
      <w:proofErr w:type="gramStart"/>
      <w:r w:rsidR="00016049" w:rsidRPr="00461D74">
        <w:rPr>
          <w:rFonts w:ascii="Garamond" w:hAnsi="Garamond" w:cstheme="minorHAnsi"/>
          <w:sz w:val="24"/>
          <w:szCs w:val="24"/>
        </w:rPr>
        <w:t>universalist</w:t>
      </w:r>
      <w:proofErr w:type="gramEnd"/>
      <w:r w:rsidR="00016049" w:rsidRPr="00461D74">
        <w:rPr>
          <w:rFonts w:ascii="Garamond" w:hAnsi="Garamond" w:cstheme="minorHAnsi"/>
          <w:sz w:val="24"/>
          <w:szCs w:val="24"/>
        </w:rPr>
        <w:t xml:space="preserve"> and </w:t>
      </w:r>
      <w:r w:rsidR="005B3905" w:rsidRPr="00461D74">
        <w:rPr>
          <w:rFonts w:ascii="Garamond" w:hAnsi="Garamond" w:cstheme="minorHAnsi"/>
          <w:sz w:val="24"/>
          <w:szCs w:val="24"/>
        </w:rPr>
        <w:t xml:space="preserve">that </w:t>
      </w:r>
      <w:r w:rsidR="00016049" w:rsidRPr="00461D74">
        <w:rPr>
          <w:rFonts w:ascii="Garamond" w:hAnsi="Garamond" w:cstheme="minorHAnsi"/>
          <w:sz w:val="24"/>
          <w:szCs w:val="24"/>
        </w:rPr>
        <w:t xml:space="preserve">it can’t but embody </w:t>
      </w:r>
      <w:r w:rsidR="004E5EF7"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bias and prejudice prevalent </w:t>
      </w:r>
      <w:r w:rsidR="001D6036" w:rsidRPr="00461D74">
        <w:rPr>
          <w:rFonts w:ascii="Garamond" w:hAnsi="Garamond" w:cstheme="minorHAnsi"/>
          <w:sz w:val="24"/>
          <w:szCs w:val="24"/>
        </w:rPr>
        <w:t>in</w:t>
      </w:r>
      <w:r w:rsidR="00016049" w:rsidRPr="00461D74">
        <w:rPr>
          <w:rFonts w:ascii="Garamond" w:hAnsi="Garamond" w:cstheme="minorHAnsi"/>
          <w:sz w:val="24"/>
          <w:szCs w:val="24"/>
        </w:rPr>
        <w:t xml:space="preserve"> </w:t>
      </w:r>
      <w:r w:rsidR="00055E36">
        <w:rPr>
          <w:rFonts w:ascii="Garamond" w:hAnsi="Garamond" w:cstheme="minorHAnsi"/>
          <w:sz w:val="24"/>
          <w:szCs w:val="24"/>
        </w:rPr>
        <w:t>all</w:t>
      </w:r>
      <w:r w:rsidR="00055E36"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particular </w:t>
      </w:r>
      <w:r w:rsidR="00055E36">
        <w:rPr>
          <w:rFonts w:ascii="Garamond" w:hAnsi="Garamond" w:cstheme="minorHAnsi"/>
          <w:sz w:val="24"/>
          <w:szCs w:val="24"/>
        </w:rPr>
        <w:t xml:space="preserve">historical </w:t>
      </w:r>
      <w:r w:rsidR="00016049" w:rsidRPr="00461D74">
        <w:rPr>
          <w:rFonts w:ascii="Garamond" w:hAnsi="Garamond" w:cstheme="minorHAnsi"/>
          <w:sz w:val="24"/>
          <w:szCs w:val="24"/>
        </w:rPr>
        <w:t>context</w:t>
      </w:r>
      <w:r w:rsidR="00055E36">
        <w:rPr>
          <w:rFonts w:ascii="Garamond" w:hAnsi="Garamond" w:cstheme="minorHAnsi"/>
          <w:sz w:val="24"/>
          <w:szCs w:val="24"/>
        </w:rPr>
        <w:t>s</w:t>
      </w:r>
      <w:r w:rsidR="00016049" w:rsidRPr="00461D74">
        <w:rPr>
          <w:rFonts w:ascii="Garamond" w:hAnsi="Garamond" w:cstheme="minorHAnsi"/>
          <w:sz w:val="24"/>
          <w:szCs w:val="24"/>
        </w:rPr>
        <w:t xml:space="preserve">. The ideal theorist’s </w:t>
      </w:r>
      <w:proofErr w:type="gramStart"/>
      <w:r w:rsidR="00016049" w:rsidRPr="00461D74">
        <w:rPr>
          <w:rFonts w:ascii="Garamond" w:hAnsi="Garamond" w:cstheme="minorHAnsi"/>
          <w:sz w:val="24"/>
          <w:szCs w:val="24"/>
        </w:rPr>
        <w:t>universalist</w:t>
      </w:r>
      <w:proofErr w:type="gramEnd"/>
      <w:r w:rsidR="00016049" w:rsidRPr="00461D74">
        <w:rPr>
          <w:rFonts w:ascii="Garamond" w:hAnsi="Garamond" w:cstheme="minorHAnsi"/>
          <w:sz w:val="24"/>
          <w:szCs w:val="24"/>
        </w:rPr>
        <w:t xml:space="preserve"> appeal to reason and correct rational procedures are in actual fact appeals to the type of reasons and procedures that are </w:t>
      </w:r>
      <w:r w:rsidR="005B3905" w:rsidRPr="00461D74">
        <w:rPr>
          <w:rFonts w:ascii="Garamond" w:hAnsi="Garamond" w:cstheme="minorHAnsi"/>
          <w:sz w:val="24"/>
          <w:szCs w:val="24"/>
        </w:rPr>
        <w:t xml:space="preserve">most </w:t>
      </w:r>
      <w:r w:rsidR="00016049" w:rsidRPr="00461D74">
        <w:rPr>
          <w:rFonts w:ascii="Garamond" w:hAnsi="Garamond" w:cstheme="minorHAnsi"/>
          <w:sz w:val="24"/>
          <w:szCs w:val="24"/>
        </w:rPr>
        <w:t xml:space="preserve">prominent within the moral discourse of some particular historical social form or other. </w:t>
      </w:r>
    </w:p>
    <w:p w:rsidR="00665157" w:rsidRDefault="005B3905" w:rsidP="00F83E97">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Therefore,</w:t>
      </w:r>
      <w:r w:rsidR="00016049" w:rsidRPr="00461D74">
        <w:rPr>
          <w:rFonts w:ascii="Garamond" w:hAnsi="Garamond" w:cstheme="minorHAnsi"/>
          <w:sz w:val="24"/>
          <w:szCs w:val="24"/>
        </w:rPr>
        <w:t xml:space="preserve"> normative political theory </w:t>
      </w:r>
      <w:r w:rsidR="00DA7D32">
        <w:rPr>
          <w:rFonts w:ascii="Garamond" w:hAnsi="Garamond" w:cstheme="minorHAnsi"/>
          <w:sz w:val="24"/>
          <w:szCs w:val="24"/>
        </w:rPr>
        <w:t xml:space="preserve">appears to </w:t>
      </w:r>
      <w:r w:rsidRPr="00461D74">
        <w:rPr>
          <w:rFonts w:ascii="Garamond" w:hAnsi="Garamond" w:cstheme="minorHAnsi"/>
          <w:sz w:val="24"/>
          <w:szCs w:val="24"/>
        </w:rPr>
        <w:t xml:space="preserve">maintain a </w:t>
      </w:r>
      <w:r w:rsidR="00016049" w:rsidRPr="00461D74">
        <w:rPr>
          <w:rFonts w:ascii="Garamond" w:hAnsi="Garamond" w:cstheme="minorHAnsi"/>
          <w:sz w:val="24"/>
          <w:szCs w:val="24"/>
        </w:rPr>
        <w:t xml:space="preserve">greater </w:t>
      </w:r>
      <w:r w:rsidR="00DA7D32">
        <w:rPr>
          <w:rFonts w:ascii="Garamond" w:hAnsi="Garamond" w:cstheme="minorHAnsi"/>
          <w:sz w:val="24"/>
          <w:szCs w:val="24"/>
        </w:rPr>
        <w:t xml:space="preserve">level of </w:t>
      </w:r>
      <w:r w:rsidR="00016049" w:rsidRPr="00461D74">
        <w:rPr>
          <w:rFonts w:ascii="Garamond" w:hAnsi="Garamond" w:cstheme="minorHAnsi"/>
          <w:sz w:val="24"/>
          <w:szCs w:val="24"/>
        </w:rPr>
        <w:t>commitment to its models</w:t>
      </w:r>
      <w:r w:rsidR="00DA7D32">
        <w:rPr>
          <w:rFonts w:ascii="Garamond" w:hAnsi="Garamond" w:cstheme="minorHAnsi"/>
          <w:sz w:val="24"/>
          <w:szCs w:val="24"/>
        </w:rPr>
        <w:t>,</w:t>
      </w:r>
      <w:r w:rsidR="00016049" w:rsidRPr="00461D74">
        <w:rPr>
          <w:rFonts w:ascii="Garamond" w:hAnsi="Garamond" w:cstheme="minorHAnsi"/>
          <w:sz w:val="24"/>
          <w:szCs w:val="24"/>
        </w:rPr>
        <w:t xml:space="preserve"> than to the political realities such models are supposed to explain. For realists, politics must be concerned with political concepts such as power</w:t>
      </w:r>
      <w:r w:rsidRPr="00461D74">
        <w:rPr>
          <w:rFonts w:ascii="Garamond" w:hAnsi="Garamond" w:cstheme="minorHAnsi"/>
          <w:sz w:val="24"/>
          <w:szCs w:val="24"/>
        </w:rPr>
        <w:t>,</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legitimacy, and other </w:t>
      </w:r>
      <w:r w:rsidR="00D4115E">
        <w:rPr>
          <w:rFonts w:ascii="Garamond" w:hAnsi="Garamond" w:cstheme="minorHAnsi"/>
          <w:sz w:val="24"/>
          <w:szCs w:val="24"/>
        </w:rPr>
        <w:t>similar</w:t>
      </w:r>
      <w:r w:rsidRPr="00461D74">
        <w:rPr>
          <w:rFonts w:ascii="Garamond" w:hAnsi="Garamond" w:cstheme="minorHAnsi"/>
          <w:sz w:val="24"/>
          <w:szCs w:val="24"/>
        </w:rPr>
        <w:t xml:space="preserve"> concepts</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354"/>
      </w:r>
      <w:r w:rsidR="00016049" w:rsidRPr="00461D74">
        <w:rPr>
          <w:rFonts w:ascii="Garamond" w:hAnsi="Garamond" w:cstheme="minorHAnsi"/>
          <w:sz w:val="24"/>
          <w:szCs w:val="24"/>
        </w:rPr>
        <w:t xml:space="preserve"> Politics, viewed in this light, involves the exercise of the sort of judgments that are not reducible to any other principle</w:t>
      </w:r>
      <w:r w:rsidRPr="00461D74">
        <w:rPr>
          <w:rFonts w:ascii="Garamond" w:hAnsi="Garamond" w:cstheme="minorHAnsi"/>
          <w:sz w:val="24"/>
          <w:szCs w:val="24"/>
        </w:rPr>
        <w:t>,</w:t>
      </w:r>
      <w:r w:rsidR="00016049" w:rsidRPr="00461D74">
        <w:rPr>
          <w:rFonts w:ascii="Garamond" w:hAnsi="Garamond" w:cstheme="minorHAnsi"/>
          <w:sz w:val="24"/>
          <w:szCs w:val="24"/>
        </w:rPr>
        <w:t xml:space="preserve"> whether economic, legal or moral.</w:t>
      </w:r>
      <w:r w:rsidR="00016049" w:rsidRPr="00461D74">
        <w:rPr>
          <w:rStyle w:val="FootnoteReference"/>
          <w:rFonts w:ascii="Garamond" w:hAnsi="Garamond" w:cstheme="minorHAnsi"/>
          <w:sz w:val="24"/>
          <w:szCs w:val="24"/>
        </w:rPr>
        <w:footnoteReference w:id="355"/>
      </w:r>
      <w:r w:rsidR="00016049" w:rsidRPr="00461D74">
        <w:rPr>
          <w:rFonts w:ascii="Garamond" w:hAnsi="Garamond" w:cstheme="minorHAnsi"/>
          <w:sz w:val="24"/>
          <w:szCs w:val="24"/>
        </w:rPr>
        <w:t xml:space="preserve"> Hence a politically moral action is not equivalent to an individual moral action.</w:t>
      </w:r>
      <w:r w:rsidR="00016049" w:rsidRPr="00461D74">
        <w:rPr>
          <w:rStyle w:val="FootnoteReference"/>
          <w:rFonts w:ascii="Garamond" w:hAnsi="Garamond" w:cstheme="minorHAnsi"/>
          <w:sz w:val="24"/>
          <w:szCs w:val="24"/>
        </w:rPr>
        <w:footnoteReference w:id="356"/>
      </w:r>
      <w:r w:rsidR="00016049" w:rsidRPr="00461D74">
        <w:rPr>
          <w:rFonts w:ascii="Garamond" w:hAnsi="Garamond" w:cstheme="minorHAnsi"/>
          <w:sz w:val="24"/>
          <w:szCs w:val="24"/>
        </w:rPr>
        <w:t xml:space="preserve"> Thus, realists hold that ethics and politics are distinct; </w:t>
      </w:r>
      <w:r w:rsidRPr="00461D74">
        <w:rPr>
          <w:rFonts w:ascii="Garamond" w:hAnsi="Garamond" w:cstheme="minorHAnsi"/>
          <w:sz w:val="24"/>
          <w:szCs w:val="24"/>
        </w:rPr>
        <w:t xml:space="preserve">hence, </w:t>
      </w:r>
      <w:r w:rsidR="00016049" w:rsidRPr="00461D74">
        <w:rPr>
          <w:rFonts w:ascii="Garamond" w:hAnsi="Garamond" w:cstheme="minorHAnsi"/>
          <w:sz w:val="24"/>
          <w:szCs w:val="24"/>
        </w:rPr>
        <w:t xml:space="preserve">importing moralist commitments ensures that we </w:t>
      </w:r>
      <w:r w:rsidRPr="00461D74">
        <w:rPr>
          <w:rFonts w:ascii="Garamond" w:hAnsi="Garamond" w:cstheme="minorHAnsi"/>
          <w:sz w:val="24"/>
          <w:szCs w:val="24"/>
        </w:rPr>
        <w:t xml:space="preserve">continue to </w:t>
      </w:r>
      <w:r w:rsidR="00016049" w:rsidRPr="00461D74">
        <w:rPr>
          <w:rFonts w:ascii="Garamond" w:hAnsi="Garamond" w:cstheme="minorHAnsi"/>
          <w:sz w:val="24"/>
          <w:szCs w:val="24"/>
        </w:rPr>
        <w:t xml:space="preserve">lack </w:t>
      </w:r>
      <w:r w:rsidRPr="00461D74">
        <w:rPr>
          <w:rFonts w:ascii="Garamond" w:hAnsi="Garamond" w:cstheme="minorHAnsi"/>
          <w:sz w:val="24"/>
          <w:szCs w:val="24"/>
        </w:rPr>
        <w:t xml:space="preserve">the kind of </w:t>
      </w:r>
      <w:r w:rsidR="00016049" w:rsidRPr="00461D74">
        <w:rPr>
          <w:rFonts w:ascii="Garamond" w:hAnsi="Garamond" w:cstheme="minorHAnsi"/>
          <w:sz w:val="24"/>
          <w:szCs w:val="24"/>
        </w:rPr>
        <w:t xml:space="preserve">political philosophy that </w:t>
      </w:r>
      <w:r w:rsidRPr="00461D74">
        <w:rPr>
          <w:rFonts w:ascii="Garamond" w:hAnsi="Garamond" w:cstheme="minorHAnsi"/>
          <w:sz w:val="24"/>
          <w:szCs w:val="24"/>
        </w:rPr>
        <w:t xml:space="preserve">is </w:t>
      </w:r>
      <w:r w:rsidR="00FE6EB5">
        <w:rPr>
          <w:rFonts w:ascii="Garamond" w:hAnsi="Garamond" w:cstheme="minorHAnsi"/>
          <w:sz w:val="24"/>
          <w:szCs w:val="24"/>
        </w:rPr>
        <w:t>cap</w:t>
      </w:r>
      <w:r w:rsidRPr="00461D74">
        <w:rPr>
          <w:rFonts w:ascii="Garamond" w:hAnsi="Garamond" w:cstheme="minorHAnsi"/>
          <w:sz w:val="24"/>
          <w:szCs w:val="24"/>
        </w:rPr>
        <w:t xml:space="preserve">able </w:t>
      </w:r>
      <w:r w:rsidR="00016049" w:rsidRPr="00461D74">
        <w:rPr>
          <w:rFonts w:ascii="Garamond" w:hAnsi="Garamond" w:cstheme="minorHAnsi"/>
          <w:sz w:val="24"/>
          <w:szCs w:val="24"/>
        </w:rPr>
        <w:t>of</w:t>
      </w:r>
      <w:r w:rsidR="00FE6EB5">
        <w:rPr>
          <w:rFonts w:ascii="Garamond" w:hAnsi="Garamond" w:cstheme="minorHAnsi"/>
          <w:sz w:val="24"/>
          <w:szCs w:val="24"/>
        </w:rPr>
        <w:t xml:space="preserve"> coming to terms with</w:t>
      </w:r>
      <w:r w:rsidR="00016049" w:rsidRPr="00461D74">
        <w:rPr>
          <w:rFonts w:ascii="Garamond" w:hAnsi="Garamond" w:cstheme="minorHAnsi"/>
          <w:sz w:val="24"/>
          <w:szCs w:val="24"/>
        </w:rPr>
        <w:t xml:space="preserve"> the real world.</w:t>
      </w:r>
      <w:r w:rsidR="00016049" w:rsidRPr="00461D74">
        <w:rPr>
          <w:rStyle w:val="FootnoteReference"/>
          <w:rFonts w:ascii="Garamond" w:hAnsi="Garamond" w:cstheme="minorHAnsi"/>
          <w:sz w:val="24"/>
          <w:szCs w:val="24"/>
        </w:rPr>
        <w:footnoteReference w:id="357"/>
      </w:r>
    </w:p>
    <w:p w:rsidR="0041410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Proponents of the second prominent school in political philosophy are not as cohesive a group as the realists, and so are </w:t>
      </w:r>
      <w:r w:rsidR="00FE6EB5">
        <w:rPr>
          <w:rFonts w:ascii="Garamond" w:hAnsi="Garamond" w:cstheme="minorHAnsi"/>
          <w:sz w:val="24"/>
          <w:szCs w:val="24"/>
        </w:rPr>
        <w:t>alternately classified</w:t>
      </w:r>
      <w:r w:rsidR="00FE6EB5" w:rsidRPr="00461D74">
        <w:rPr>
          <w:rFonts w:ascii="Garamond" w:hAnsi="Garamond" w:cstheme="minorHAnsi"/>
          <w:sz w:val="24"/>
          <w:szCs w:val="24"/>
        </w:rPr>
        <w:t xml:space="preserve"> </w:t>
      </w:r>
      <w:r w:rsidR="00026E3D" w:rsidRPr="00461D74">
        <w:rPr>
          <w:rFonts w:ascii="Garamond" w:hAnsi="Garamond" w:cstheme="minorHAnsi"/>
          <w:sz w:val="24"/>
          <w:szCs w:val="24"/>
        </w:rPr>
        <w:t xml:space="preserve">as </w:t>
      </w:r>
      <w:r w:rsidRPr="00461D74">
        <w:rPr>
          <w:rFonts w:ascii="Garamond" w:hAnsi="Garamond" w:cstheme="minorHAnsi"/>
          <w:sz w:val="24"/>
          <w:szCs w:val="24"/>
        </w:rPr>
        <w:t xml:space="preserve">political </w:t>
      </w:r>
      <w:r w:rsidRPr="00461D74">
        <w:rPr>
          <w:rFonts w:ascii="Garamond" w:hAnsi="Garamond" w:cstheme="minorHAnsi"/>
          <w:sz w:val="24"/>
          <w:szCs w:val="24"/>
        </w:rPr>
        <w:lastRenderedPageBreak/>
        <w:t>moralists, ideal theorists, or normative theorists.</w:t>
      </w:r>
      <w:r w:rsidRPr="00461D74">
        <w:rPr>
          <w:rStyle w:val="FootnoteReference"/>
          <w:rFonts w:ascii="Garamond" w:hAnsi="Garamond" w:cstheme="minorHAnsi"/>
          <w:sz w:val="24"/>
          <w:szCs w:val="24"/>
        </w:rPr>
        <w:footnoteReference w:id="358"/>
      </w:r>
      <w:r w:rsidRPr="00461D74">
        <w:rPr>
          <w:rFonts w:ascii="Garamond" w:hAnsi="Garamond" w:cstheme="minorHAnsi"/>
          <w:sz w:val="24"/>
          <w:szCs w:val="24"/>
        </w:rPr>
        <w:t xml:space="preserve"> </w:t>
      </w:r>
      <w:r w:rsidR="00026E3D" w:rsidRPr="00461D74">
        <w:rPr>
          <w:rFonts w:ascii="Garamond" w:hAnsi="Garamond" w:cstheme="minorHAnsi"/>
          <w:sz w:val="24"/>
          <w:szCs w:val="24"/>
        </w:rPr>
        <w:t>As a group, the</w:t>
      </w:r>
      <w:r w:rsidR="00FE6EB5">
        <w:rPr>
          <w:rFonts w:ascii="Garamond" w:hAnsi="Garamond" w:cstheme="minorHAnsi"/>
          <w:sz w:val="24"/>
          <w:szCs w:val="24"/>
        </w:rPr>
        <w:t>ir work is perhaps best</w:t>
      </w:r>
      <w:r w:rsidR="00026E3D" w:rsidRPr="00461D74">
        <w:rPr>
          <w:rFonts w:ascii="Garamond" w:hAnsi="Garamond" w:cstheme="minorHAnsi"/>
          <w:sz w:val="24"/>
          <w:szCs w:val="24"/>
        </w:rPr>
        <w:t xml:space="preserve"> </w:t>
      </w:r>
      <w:r w:rsidRPr="00461D74">
        <w:rPr>
          <w:rFonts w:ascii="Garamond" w:hAnsi="Garamond" w:cstheme="minorHAnsi"/>
          <w:sz w:val="24"/>
          <w:szCs w:val="24"/>
        </w:rPr>
        <w:t xml:space="preserve">understood </w:t>
      </w:r>
      <w:r w:rsidR="00026E3D" w:rsidRPr="00461D74">
        <w:rPr>
          <w:rFonts w:ascii="Garamond" w:hAnsi="Garamond" w:cstheme="minorHAnsi"/>
          <w:sz w:val="24"/>
          <w:szCs w:val="24"/>
        </w:rPr>
        <w:t xml:space="preserve">in </w:t>
      </w:r>
      <w:r w:rsidR="00FE6EB5">
        <w:rPr>
          <w:rFonts w:ascii="Garamond" w:hAnsi="Garamond" w:cstheme="minorHAnsi"/>
          <w:sz w:val="24"/>
          <w:szCs w:val="24"/>
        </w:rPr>
        <w:t>terms of its</w:t>
      </w:r>
      <w:r w:rsidR="00026E3D" w:rsidRPr="00461D74">
        <w:rPr>
          <w:rFonts w:ascii="Garamond" w:hAnsi="Garamond" w:cstheme="minorHAnsi"/>
          <w:sz w:val="24"/>
          <w:szCs w:val="24"/>
        </w:rPr>
        <w:t xml:space="preserve"> opposition to </w:t>
      </w:r>
      <w:r w:rsidRPr="00461D74">
        <w:rPr>
          <w:rFonts w:ascii="Garamond" w:hAnsi="Garamond" w:cstheme="minorHAnsi"/>
          <w:sz w:val="24"/>
          <w:szCs w:val="24"/>
        </w:rPr>
        <w:t>political realis</w:t>
      </w:r>
      <w:r w:rsidR="00026E3D" w:rsidRPr="00461D74">
        <w:rPr>
          <w:rFonts w:ascii="Garamond" w:hAnsi="Garamond" w:cstheme="minorHAnsi"/>
          <w:sz w:val="24"/>
          <w:szCs w:val="24"/>
        </w:rPr>
        <w:t>m</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59"/>
      </w:r>
    </w:p>
    <w:p w:rsidR="0041410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Theorists categorised as ideal/normative/moralist generally (but not always</w:t>
      </w:r>
      <w:r w:rsidR="001D6036"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60"/>
      </w:r>
      <w:r w:rsidRPr="00461D74">
        <w:rPr>
          <w:rFonts w:ascii="Garamond" w:hAnsi="Garamond" w:cstheme="minorHAnsi"/>
          <w:sz w:val="24"/>
          <w:szCs w:val="24"/>
        </w:rPr>
        <w:t xml:space="preserve"> hold that normative political theorizing should start primarily with ethical or moral claims, and employ these claims in order that it can construct political theories about the fundamental structure of politics; one that utilizes the right procedures to bring about the right type of political communities.</w:t>
      </w:r>
      <w:r w:rsidRPr="00461D74">
        <w:rPr>
          <w:rStyle w:val="FootnoteReference"/>
          <w:rFonts w:ascii="Garamond" w:hAnsi="Garamond" w:cstheme="minorHAnsi"/>
          <w:sz w:val="24"/>
          <w:szCs w:val="24"/>
        </w:rPr>
        <w:footnoteReference w:id="361"/>
      </w:r>
      <w:r w:rsidRPr="00461D74">
        <w:rPr>
          <w:rFonts w:ascii="Garamond" w:hAnsi="Garamond" w:cstheme="minorHAnsi"/>
          <w:sz w:val="24"/>
          <w:szCs w:val="24"/>
        </w:rPr>
        <w:t xml:space="preserve"> Consequently, the correct set of procedures should be exercised in order that the conditions where the various moral and political goods of the community, such as justice, liberty, or autonomy, etc., are </w:t>
      </w:r>
      <w:r w:rsidR="00505332" w:rsidRPr="00461D74">
        <w:rPr>
          <w:rFonts w:ascii="Garamond" w:hAnsi="Garamond" w:cstheme="minorHAnsi"/>
          <w:sz w:val="24"/>
          <w:szCs w:val="24"/>
        </w:rPr>
        <w:t>advanced</w:t>
      </w:r>
      <w:r w:rsidRPr="00461D74">
        <w:rPr>
          <w:rFonts w:ascii="Garamond" w:hAnsi="Garamond" w:cstheme="minorHAnsi"/>
          <w:sz w:val="24"/>
          <w:szCs w:val="24"/>
        </w:rPr>
        <w:t xml:space="preserve">. </w:t>
      </w:r>
      <w:r w:rsidR="006C33B9">
        <w:rPr>
          <w:rFonts w:ascii="Garamond" w:hAnsi="Garamond" w:cstheme="minorHAnsi"/>
          <w:sz w:val="24"/>
          <w:szCs w:val="24"/>
        </w:rPr>
        <w:t xml:space="preserve">John </w:t>
      </w:r>
      <w:r w:rsidRPr="00461D74">
        <w:rPr>
          <w:rFonts w:ascii="Garamond" w:hAnsi="Garamond" w:cstheme="minorHAnsi"/>
          <w:sz w:val="24"/>
          <w:szCs w:val="24"/>
        </w:rPr>
        <w:t xml:space="preserve">Rawls, </w:t>
      </w:r>
      <w:r w:rsidR="006C33B9">
        <w:rPr>
          <w:rFonts w:ascii="Garamond" w:hAnsi="Garamond" w:cstheme="minorHAnsi"/>
          <w:sz w:val="24"/>
          <w:szCs w:val="24"/>
        </w:rPr>
        <w:t xml:space="preserve">Robert </w:t>
      </w:r>
      <w:proofErr w:type="spellStart"/>
      <w:r w:rsidRPr="00461D74">
        <w:rPr>
          <w:rFonts w:ascii="Garamond" w:hAnsi="Garamond" w:cstheme="minorHAnsi"/>
          <w:sz w:val="24"/>
          <w:szCs w:val="24"/>
        </w:rPr>
        <w:t>Nozick</w:t>
      </w:r>
      <w:proofErr w:type="spellEnd"/>
      <w:r w:rsidRPr="00461D74">
        <w:rPr>
          <w:rFonts w:ascii="Garamond" w:hAnsi="Garamond" w:cstheme="minorHAnsi"/>
          <w:sz w:val="24"/>
          <w:szCs w:val="24"/>
        </w:rPr>
        <w:t xml:space="preserve">, </w:t>
      </w:r>
      <w:r w:rsidR="007138F7" w:rsidRPr="00461D74">
        <w:rPr>
          <w:rFonts w:ascii="Garamond" w:hAnsi="Garamond" w:cstheme="minorHAnsi"/>
          <w:sz w:val="24"/>
          <w:szCs w:val="24"/>
        </w:rPr>
        <w:t xml:space="preserve">Ronald </w:t>
      </w:r>
      <w:proofErr w:type="spellStart"/>
      <w:r w:rsidRPr="00461D74">
        <w:rPr>
          <w:rFonts w:ascii="Garamond" w:hAnsi="Garamond" w:cstheme="minorHAnsi"/>
          <w:sz w:val="24"/>
          <w:szCs w:val="24"/>
        </w:rPr>
        <w:t>Dworkin</w:t>
      </w:r>
      <w:proofErr w:type="spellEnd"/>
      <w:r w:rsidRPr="00461D74">
        <w:rPr>
          <w:rFonts w:ascii="Garamond" w:hAnsi="Garamond" w:cstheme="minorHAnsi"/>
          <w:sz w:val="24"/>
          <w:szCs w:val="24"/>
        </w:rPr>
        <w:t xml:space="preserve">, and </w:t>
      </w:r>
      <w:r w:rsidR="001D6036" w:rsidRPr="00461D74">
        <w:rPr>
          <w:rFonts w:ascii="Garamond" w:hAnsi="Garamond" w:cstheme="minorHAnsi"/>
          <w:sz w:val="24"/>
          <w:szCs w:val="24"/>
        </w:rPr>
        <w:t xml:space="preserve">G. A. </w:t>
      </w:r>
      <w:r w:rsidRPr="00461D74">
        <w:rPr>
          <w:rFonts w:ascii="Garamond" w:hAnsi="Garamond" w:cstheme="minorHAnsi"/>
          <w:sz w:val="24"/>
          <w:szCs w:val="24"/>
        </w:rPr>
        <w:t xml:space="preserve">Cohen, are </w:t>
      </w:r>
      <w:r w:rsidR="006C33B9">
        <w:rPr>
          <w:rFonts w:ascii="Garamond" w:hAnsi="Garamond" w:cstheme="minorHAnsi"/>
          <w:sz w:val="24"/>
          <w:szCs w:val="24"/>
        </w:rPr>
        <w:t xml:space="preserve">alternatively </w:t>
      </w:r>
      <w:r w:rsidRPr="00461D74">
        <w:rPr>
          <w:rFonts w:ascii="Garamond" w:hAnsi="Garamond" w:cstheme="minorHAnsi"/>
          <w:sz w:val="24"/>
          <w:szCs w:val="24"/>
        </w:rPr>
        <w:t>categorised as ideal theorists or political moralists.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 assumption shared by ideal theorists from a variety of different spectrums is their desire to converge on the idea that success is the absence or the reduction of forceful conflict and interminable struggle in the political domain. Politics, viewed in this light, has the regulatory task of stabilizing social institutions, maintaining agreement and consolidating communities in ways that lead to the resolution of most conflicts.</w:t>
      </w:r>
      <w:r w:rsidRPr="00461D74">
        <w:rPr>
          <w:rFonts w:ascii="Garamond" w:hAnsi="Garamond" w:cstheme="minorHAnsi"/>
          <w:sz w:val="24"/>
          <w:szCs w:val="24"/>
          <w:vertAlign w:val="superscript"/>
        </w:rPr>
        <w:footnoteReference w:id="362"/>
      </w:r>
      <w:r w:rsidRPr="00461D74">
        <w:rPr>
          <w:rFonts w:ascii="Garamond" w:hAnsi="Garamond" w:cstheme="minorHAnsi"/>
          <w:sz w:val="24"/>
          <w:szCs w:val="24"/>
        </w:rPr>
        <w:t xml:space="preserve">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Up to this point I have tried to provide a very concise high level account of the two major views in political philosophy. In what follows I will venture to place MacIntyre’s account of politics discussed in the </w:t>
      </w:r>
      <w:r w:rsidR="001D6036" w:rsidRPr="00461D74">
        <w:rPr>
          <w:rFonts w:ascii="Garamond" w:hAnsi="Garamond" w:cstheme="minorHAnsi"/>
          <w:sz w:val="24"/>
          <w:szCs w:val="24"/>
        </w:rPr>
        <w:t>previous</w:t>
      </w:r>
      <w:r w:rsidRPr="00461D74">
        <w:rPr>
          <w:rFonts w:ascii="Garamond" w:hAnsi="Garamond" w:cstheme="minorHAnsi"/>
          <w:sz w:val="24"/>
          <w:szCs w:val="24"/>
        </w:rPr>
        <w:t xml:space="preserve"> chapter</w:t>
      </w:r>
      <w:r w:rsidR="006C33B9">
        <w:rPr>
          <w:rFonts w:ascii="Garamond" w:hAnsi="Garamond" w:cstheme="minorHAnsi"/>
          <w:sz w:val="24"/>
          <w:szCs w:val="24"/>
        </w:rPr>
        <w:t>,</w:t>
      </w:r>
      <w:r w:rsidRPr="00461D74">
        <w:rPr>
          <w:rFonts w:ascii="Garamond" w:hAnsi="Garamond" w:cstheme="minorHAnsi"/>
          <w:sz w:val="24"/>
          <w:szCs w:val="24"/>
        </w:rPr>
        <w:t xml:space="preserve"> within </w:t>
      </w:r>
      <w:r w:rsidR="006C33B9">
        <w:rPr>
          <w:rFonts w:ascii="Garamond" w:hAnsi="Garamond" w:cstheme="minorHAnsi"/>
          <w:sz w:val="24"/>
          <w:szCs w:val="24"/>
        </w:rPr>
        <w:t>the</w:t>
      </w:r>
      <w:r w:rsidR="006C33B9" w:rsidRPr="00461D74">
        <w:rPr>
          <w:rFonts w:ascii="Garamond" w:hAnsi="Garamond" w:cstheme="minorHAnsi"/>
          <w:sz w:val="24"/>
          <w:szCs w:val="24"/>
        </w:rPr>
        <w:t xml:space="preserve"> </w:t>
      </w:r>
      <w:r w:rsidRPr="00461D74">
        <w:rPr>
          <w:rFonts w:ascii="Garamond" w:hAnsi="Garamond" w:cstheme="minorHAnsi"/>
          <w:sz w:val="24"/>
          <w:szCs w:val="24"/>
        </w:rPr>
        <w:t xml:space="preserve">wider debate </w:t>
      </w:r>
      <w:r w:rsidR="006C33B9">
        <w:rPr>
          <w:rFonts w:ascii="Garamond" w:hAnsi="Garamond" w:cstheme="minorHAnsi"/>
          <w:sz w:val="24"/>
          <w:szCs w:val="24"/>
        </w:rPr>
        <w:t>between these two opposing camps in</w:t>
      </w:r>
      <w:r w:rsidR="006C33B9" w:rsidRPr="00461D74">
        <w:rPr>
          <w:rFonts w:ascii="Garamond" w:hAnsi="Garamond" w:cstheme="minorHAnsi"/>
          <w:sz w:val="24"/>
          <w:szCs w:val="24"/>
        </w:rPr>
        <w:t xml:space="preserve"> </w:t>
      </w:r>
      <w:r w:rsidRPr="00461D74">
        <w:rPr>
          <w:rFonts w:ascii="Garamond" w:hAnsi="Garamond" w:cstheme="minorHAnsi"/>
          <w:sz w:val="24"/>
          <w:szCs w:val="24"/>
        </w:rPr>
        <w:t>political philosophy.</w:t>
      </w:r>
    </w:p>
    <w:p w:rsidR="00665157" w:rsidRDefault="00665157" w:rsidP="006C33B9">
      <w:pPr>
        <w:spacing w:line="360" w:lineRule="auto"/>
        <w:jc w:val="both"/>
        <w:rPr>
          <w:rFonts w:ascii="Garamond" w:hAnsi="Garamond" w:cstheme="minorHAnsi"/>
          <w:sz w:val="24"/>
          <w:szCs w:val="24"/>
        </w:rPr>
      </w:pPr>
    </w:p>
    <w:p w:rsidR="00665157" w:rsidRDefault="00016049">
      <w:pPr>
        <w:pStyle w:val="Heading3"/>
        <w:spacing w:line="360" w:lineRule="auto"/>
        <w:jc w:val="both"/>
        <w:rPr>
          <w:rFonts w:cstheme="majorHAnsi"/>
        </w:rPr>
      </w:pPr>
      <w:bookmarkStart w:id="49" w:name="_Toc528077826"/>
      <w:r w:rsidRPr="00F03436">
        <w:rPr>
          <w:rFonts w:cstheme="majorHAnsi"/>
        </w:rPr>
        <w:t xml:space="preserve">2.2 MacIntyre’s </w:t>
      </w:r>
      <w:r w:rsidR="007B7FD8" w:rsidRPr="00F03436">
        <w:rPr>
          <w:rFonts w:cstheme="majorHAnsi"/>
        </w:rPr>
        <w:t>P</w:t>
      </w:r>
      <w:r w:rsidRPr="00F03436">
        <w:rPr>
          <w:rFonts w:cstheme="majorHAnsi"/>
        </w:rPr>
        <w:t xml:space="preserve">olitics in the </w:t>
      </w:r>
      <w:r w:rsidR="007B7FD8" w:rsidRPr="00F03436">
        <w:rPr>
          <w:rFonts w:cstheme="majorHAnsi"/>
        </w:rPr>
        <w:t>C</w:t>
      </w:r>
      <w:r w:rsidRPr="00F03436">
        <w:rPr>
          <w:rFonts w:cstheme="majorHAnsi"/>
        </w:rPr>
        <w:t>ontext of the Ideal vs. Real</w:t>
      </w:r>
      <w:r w:rsidR="007B7FD8" w:rsidRPr="00F03436">
        <w:rPr>
          <w:rFonts w:cstheme="majorHAnsi"/>
        </w:rPr>
        <w:t xml:space="preserve"> Theory</w:t>
      </w:r>
      <w:bookmarkEnd w:id="49"/>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We observed that on MacIntyre’s account, participation of individual agents within local communities in the practice of politics </w:t>
      </w:r>
      <w:r w:rsidR="008344FA" w:rsidRPr="00461D74">
        <w:rPr>
          <w:rFonts w:ascii="Garamond" w:hAnsi="Garamond" w:cstheme="minorHAnsi"/>
          <w:sz w:val="24"/>
          <w:szCs w:val="24"/>
        </w:rPr>
        <w:t xml:space="preserve">generates </w:t>
      </w:r>
      <w:r w:rsidRPr="00461D74">
        <w:rPr>
          <w:rFonts w:ascii="Garamond" w:hAnsi="Garamond" w:cstheme="minorHAnsi"/>
          <w:sz w:val="24"/>
          <w:szCs w:val="24"/>
        </w:rPr>
        <w:t>the common good of the community. Here, politics viewed as a second order practice is tasked with ranking the various goods within the political community</w:t>
      </w:r>
      <w:r w:rsidR="00D4115E">
        <w:rPr>
          <w:rFonts w:ascii="Garamond" w:hAnsi="Garamond" w:cstheme="minorHAnsi"/>
          <w:sz w:val="24"/>
          <w:szCs w:val="24"/>
        </w:rPr>
        <w:t>,</w:t>
      </w:r>
      <w:r w:rsidRPr="00461D74">
        <w:rPr>
          <w:rFonts w:ascii="Garamond" w:hAnsi="Garamond" w:cstheme="minorHAnsi"/>
          <w:sz w:val="24"/>
          <w:szCs w:val="24"/>
        </w:rPr>
        <w:t xml:space="preserve"> and members of community achieve this through participatory practical deliberation.</w:t>
      </w:r>
    </w:p>
    <w:p w:rsidR="00665157" w:rsidRDefault="00016049">
      <w:pPr>
        <w:spacing w:line="360" w:lineRule="auto"/>
        <w:ind w:firstLine="720"/>
        <w:jc w:val="both"/>
        <w:rPr>
          <w:rFonts w:ascii="Garamond" w:hAnsi="Garamond" w:cstheme="minorHAnsi"/>
          <w:sz w:val="24"/>
          <w:szCs w:val="24"/>
          <w:lang w:val="en-US"/>
        </w:rPr>
      </w:pPr>
      <w:r w:rsidRPr="00461D74">
        <w:rPr>
          <w:rFonts w:ascii="Garamond" w:hAnsi="Garamond" w:cstheme="minorHAnsi"/>
          <w:sz w:val="24"/>
          <w:szCs w:val="24"/>
          <w:lang w:val="en-US"/>
        </w:rPr>
        <w:t>In contrast, the neutral state and its thin notion of public interest</w:t>
      </w:r>
      <w:r w:rsidR="008344FA" w:rsidRPr="00461D74">
        <w:rPr>
          <w:rFonts w:ascii="Garamond" w:hAnsi="Garamond" w:cstheme="minorHAnsi"/>
          <w:sz w:val="24"/>
          <w:szCs w:val="24"/>
          <w:lang w:val="en-US"/>
        </w:rPr>
        <w:t>,</w:t>
      </w:r>
      <w:r w:rsidRPr="00461D74">
        <w:rPr>
          <w:rFonts w:ascii="Garamond" w:hAnsi="Garamond" w:cstheme="minorHAnsi"/>
          <w:sz w:val="24"/>
          <w:szCs w:val="24"/>
          <w:lang w:val="en-US"/>
        </w:rPr>
        <w:t xml:space="preserve"> fails to furnish us with a substantive conception of the good. This is because the state’s thin notion of public interest is distinct from, and posterior to, the individual’s interest; hence, in the modern state, the notion of public interest is parasitic on the </w:t>
      </w:r>
      <w:r w:rsidR="00DA0AE8">
        <w:rPr>
          <w:rFonts w:ascii="Garamond" w:hAnsi="Garamond" w:cstheme="minorHAnsi"/>
          <w:sz w:val="24"/>
          <w:szCs w:val="24"/>
          <w:lang w:val="en-US"/>
        </w:rPr>
        <w:t xml:space="preserve">concept of the </w:t>
      </w:r>
      <w:r w:rsidRPr="00461D74">
        <w:rPr>
          <w:rFonts w:ascii="Garamond" w:hAnsi="Garamond" w:cstheme="minorHAnsi"/>
          <w:sz w:val="24"/>
          <w:szCs w:val="24"/>
          <w:lang w:val="en-US"/>
        </w:rPr>
        <w:t xml:space="preserve">individual’s interest. Public interest, viewed in this light, is a set of conditions that are thought to realize the individual pursuit of subjective preferences. Thus, the problem of political authority as outlined by MacIntyre is that it is not clear why </w:t>
      </w:r>
      <w:r w:rsidR="00DA0AE8">
        <w:rPr>
          <w:rFonts w:ascii="Garamond" w:hAnsi="Garamond" w:cstheme="minorHAnsi"/>
          <w:sz w:val="24"/>
          <w:szCs w:val="24"/>
          <w:lang w:val="en-US"/>
        </w:rPr>
        <w:t>an</w:t>
      </w:r>
      <w:r w:rsidR="00DA0AE8" w:rsidRPr="00461D74">
        <w:rPr>
          <w:rFonts w:ascii="Garamond" w:hAnsi="Garamond" w:cstheme="minorHAnsi"/>
          <w:sz w:val="24"/>
          <w:szCs w:val="24"/>
          <w:lang w:val="en-US"/>
        </w:rPr>
        <w:t xml:space="preserve"> </w:t>
      </w:r>
      <w:r w:rsidRPr="00461D74">
        <w:rPr>
          <w:rFonts w:ascii="Garamond" w:hAnsi="Garamond" w:cstheme="minorHAnsi"/>
          <w:sz w:val="24"/>
          <w:szCs w:val="24"/>
          <w:lang w:val="en-US"/>
        </w:rPr>
        <w:t>individual</w:t>
      </w:r>
      <w:r w:rsidR="00DA0AE8">
        <w:rPr>
          <w:rFonts w:ascii="Garamond" w:hAnsi="Garamond" w:cstheme="minorHAnsi"/>
          <w:sz w:val="24"/>
          <w:szCs w:val="24"/>
          <w:lang w:val="en-US"/>
        </w:rPr>
        <w:t xml:space="preserve"> should subordinate his or her </w:t>
      </w:r>
      <w:r w:rsidRPr="00461D74">
        <w:rPr>
          <w:rFonts w:ascii="Garamond" w:hAnsi="Garamond" w:cstheme="minorHAnsi"/>
          <w:sz w:val="24"/>
          <w:szCs w:val="24"/>
          <w:lang w:val="en-US"/>
        </w:rPr>
        <w:t xml:space="preserve">interest </w:t>
      </w:r>
      <w:r w:rsidR="00DA0AE8">
        <w:rPr>
          <w:rFonts w:ascii="Garamond" w:hAnsi="Garamond" w:cstheme="minorHAnsi"/>
          <w:sz w:val="24"/>
          <w:szCs w:val="24"/>
          <w:lang w:val="en-US"/>
        </w:rPr>
        <w:t>for the sake of</w:t>
      </w:r>
      <w:r w:rsidRPr="00461D74">
        <w:rPr>
          <w:rFonts w:ascii="Garamond" w:hAnsi="Garamond" w:cstheme="minorHAnsi"/>
          <w:sz w:val="24"/>
          <w:szCs w:val="24"/>
          <w:lang w:val="en-US"/>
        </w:rPr>
        <w:t xml:space="preserve"> the public</w:t>
      </w:r>
      <w:r w:rsidR="00DA0AE8">
        <w:rPr>
          <w:rFonts w:ascii="Garamond" w:hAnsi="Garamond" w:cstheme="minorHAnsi"/>
          <w:sz w:val="24"/>
          <w:szCs w:val="24"/>
          <w:lang w:val="en-US"/>
        </w:rPr>
        <w:t>’s</w:t>
      </w:r>
      <w:r w:rsidRPr="00461D74">
        <w:rPr>
          <w:rFonts w:ascii="Garamond" w:hAnsi="Garamond" w:cstheme="minorHAnsi"/>
          <w:sz w:val="24"/>
          <w:szCs w:val="24"/>
          <w:lang w:val="en-US"/>
        </w:rPr>
        <w:t xml:space="preserve"> interest.</w:t>
      </w:r>
    </w:p>
    <w:p w:rsidR="00665157" w:rsidRDefault="00DA0AE8">
      <w:pPr>
        <w:spacing w:line="360" w:lineRule="auto"/>
        <w:ind w:firstLine="720"/>
        <w:jc w:val="both"/>
        <w:rPr>
          <w:rFonts w:ascii="Garamond" w:hAnsi="Garamond" w:cstheme="minorHAnsi"/>
          <w:sz w:val="24"/>
          <w:szCs w:val="24"/>
        </w:rPr>
      </w:pPr>
      <w:r>
        <w:rPr>
          <w:rFonts w:ascii="Garamond" w:hAnsi="Garamond" w:cstheme="minorHAnsi"/>
          <w:sz w:val="24"/>
          <w:szCs w:val="24"/>
        </w:rPr>
        <w:t>Now, if</w:t>
      </w:r>
      <w:r w:rsidR="002F39AE" w:rsidRPr="00461D74">
        <w:rPr>
          <w:rFonts w:ascii="Garamond" w:hAnsi="Garamond" w:cstheme="minorHAnsi"/>
          <w:sz w:val="24"/>
          <w:szCs w:val="24"/>
        </w:rPr>
        <w:t xml:space="preserve"> we accept the liberal state’s conception of public interest and individual good, we end up endorsing </w:t>
      </w:r>
      <w:r w:rsidR="00016049" w:rsidRPr="00461D74">
        <w:rPr>
          <w:rFonts w:ascii="Garamond" w:hAnsi="Garamond" w:cstheme="minorHAnsi"/>
          <w:sz w:val="24"/>
          <w:szCs w:val="24"/>
        </w:rPr>
        <w:t xml:space="preserve">a thin conception of the good, and an </w:t>
      </w:r>
      <w:r w:rsidR="002F39AE" w:rsidRPr="00461D74">
        <w:rPr>
          <w:rFonts w:ascii="Garamond" w:hAnsi="Garamond" w:cstheme="minorHAnsi"/>
          <w:sz w:val="24"/>
          <w:szCs w:val="24"/>
        </w:rPr>
        <w:t xml:space="preserve">artificial form </w:t>
      </w:r>
      <w:r w:rsidR="00016049" w:rsidRPr="00461D74">
        <w:rPr>
          <w:rFonts w:ascii="Garamond" w:hAnsi="Garamond" w:cstheme="minorHAnsi"/>
          <w:sz w:val="24"/>
          <w:szCs w:val="24"/>
        </w:rPr>
        <w:t>of pluralism</w:t>
      </w:r>
      <w:r w:rsidR="001D6036" w:rsidRPr="00461D74">
        <w:rPr>
          <w:rFonts w:ascii="Garamond" w:hAnsi="Garamond" w:cstheme="minorHAnsi"/>
          <w:sz w:val="24"/>
          <w:szCs w:val="24"/>
        </w:rPr>
        <w:t xml:space="preserve"> </w:t>
      </w:r>
      <w:r w:rsidR="002F39AE" w:rsidRPr="00461D74">
        <w:rPr>
          <w:rFonts w:ascii="Garamond" w:hAnsi="Garamond" w:cstheme="minorHAnsi"/>
          <w:sz w:val="24"/>
          <w:szCs w:val="24"/>
        </w:rPr>
        <w:t>–</w:t>
      </w:r>
      <w:r w:rsidR="001D6036" w:rsidRPr="00461D74">
        <w:rPr>
          <w:rFonts w:ascii="Garamond" w:hAnsi="Garamond" w:cstheme="minorHAnsi"/>
          <w:sz w:val="24"/>
          <w:szCs w:val="24"/>
        </w:rPr>
        <w:t xml:space="preserve"> </w:t>
      </w:r>
      <w:r w:rsidR="002F39AE" w:rsidRPr="00461D74">
        <w:rPr>
          <w:rFonts w:ascii="Garamond" w:hAnsi="Garamond" w:cstheme="minorHAnsi"/>
          <w:sz w:val="24"/>
          <w:szCs w:val="24"/>
        </w:rPr>
        <w:t xml:space="preserve">a pluralism </w:t>
      </w:r>
      <w:r w:rsidR="00016049" w:rsidRPr="00461D74">
        <w:rPr>
          <w:rFonts w:ascii="Garamond" w:hAnsi="Garamond" w:cstheme="minorHAnsi"/>
          <w:sz w:val="24"/>
          <w:szCs w:val="24"/>
        </w:rPr>
        <w:t>that</w:t>
      </w:r>
      <w:r w:rsidR="008344FA" w:rsidRPr="00461D74">
        <w:rPr>
          <w:rFonts w:ascii="Garamond" w:hAnsi="Garamond" w:cstheme="minorHAnsi"/>
          <w:sz w:val="24"/>
          <w:szCs w:val="24"/>
        </w:rPr>
        <w:t xml:space="preserve"> is by </w:t>
      </w:r>
      <w:r w:rsidR="00D4115E">
        <w:rPr>
          <w:rFonts w:ascii="Garamond" w:hAnsi="Garamond" w:cstheme="minorHAnsi"/>
          <w:sz w:val="24"/>
          <w:szCs w:val="24"/>
        </w:rPr>
        <w:t>and</w:t>
      </w:r>
      <w:r w:rsidR="002F39AE" w:rsidRPr="00461D74">
        <w:rPr>
          <w:rFonts w:ascii="Garamond" w:hAnsi="Garamond" w:cstheme="minorHAnsi"/>
          <w:sz w:val="24"/>
          <w:szCs w:val="24"/>
        </w:rPr>
        <w:t xml:space="preserve"> large</w:t>
      </w:r>
      <w:r w:rsidR="008344FA" w:rsidRPr="00461D74">
        <w:rPr>
          <w:rFonts w:ascii="Garamond" w:hAnsi="Garamond" w:cstheme="minorHAnsi"/>
          <w:sz w:val="24"/>
          <w:szCs w:val="24"/>
        </w:rPr>
        <w:t xml:space="preserve"> vulnerable </w:t>
      </w:r>
      <w:r w:rsidR="00337002" w:rsidRPr="00337002">
        <w:rPr>
          <w:rFonts w:ascii="Garamond" w:hAnsi="Garamond" w:cstheme="minorHAnsi"/>
          <w:iCs/>
          <w:sz w:val="24"/>
          <w:szCs w:val="24"/>
        </w:rPr>
        <w:t>to</w:t>
      </w:r>
      <w:r w:rsidR="00016049" w:rsidRPr="00461D74">
        <w:rPr>
          <w:rFonts w:ascii="Garamond" w:hAnsi="Garamond" w:cstheme="minorHAnsi"/>
          <w:sz w:val="24"/>
          <w:szCs w:val="24"/>
        </w:rPr>
        <w:t xml:space="preserve"> </w:t>
      </w:r>
      <w:r w:rsidR="00FC2F18" w:rsidRPr="00461D74">
        <w:rPr>
          <w:rFonts w:ascii="Garamond" w:hAnsi="Garamond" w:cstheme="minorHAnsi"/>
          <w:sz w:val="24"/>
          <w:szCs w:val="24"/>
        </w:rPr>
        <w:t xml:space="preserve">the unjustified exercise of economic </w:t>
      </w:r>
      <w:r w:rsidR="00016049" w:rsidRPr="00461D74">
        <w:rPr>
          <w:rFonts w:ascii="Garamond" w:hAnsi="Garamond" w:cstheme="minorHAnsi"/>
          <w:sz w:val="24"/>
          <w:szCs w:val="24"/>
        </w:rPr>
        <w:t>power</w:t>
      </w:r>
      <w:r w:rsidR="00FC2F18" w:rsidRPr="00461D74">
        <w:rPr>
          <w:rFonts w:ascii="Garamond" w:hAnsi="Garamond" w:cstheme="minorHAnsi"/>
          <w:sz w:val="24"/>
          <w:szCs w:val="24"/>
        </w:rPr>
        <w:t xml:space="preserve"> and material influence</w:t>
      </w:r>
      <w:r>
        <w:rPr>
          <w:rFonts w:ascii="Garamond" w:hAnsi="Garamond" w:cstheme="minorHAnsi"/>
          <w:sz w:val="24"/>
          <w:szCs w:val="24"/>
        </w:rPr>
        <w:t>; and</w:t>
      </w:r>
      <w:r w:rsidR="00FC2F18" w:rsidRPr="00461D74">
        <w:rPr>
          <w:rFonts w:ascii="Garamond" w:hAnsi="Garamond" w:cstheme="minorHAnsi"/>
          <w:sz w:val="24"/>
          <w:szCs w:val="24"/>
        </w:rPr>
        <w:t xml:space="preserve"> which</w:t>
      </w:r>
      <w:r w:rsidR="008344FA" w:rsidRPr="00461D74">
        <w:rPr>
          <w:rFonts w:ascii="Garamond" w:hAnsi="Garamond" w:cstheme="minorHAnsi"/>
          <w:sz w:val="24"/>
          <w:szCs w:val="24"/>
        </w:rPr>
        <w:t xml:space="preserve"> </w:t>
      </w:r>
      <w:r w:rsidR="00FC2F18" w:rsidRPr="00461D74">
        <w:rPr>
          <w:rFonts w:ascii="Garamond" w:hAnsi="Garamond" w:cstheme="minorHAnsi"/>
          <w:sz w:val="24"/>
          <w:szCs w:val="24"/>
        </w:rPr>
        <w:t xml:space="preserve">ultimately advances a conception of flourishing that promotes </w:t>
      </w:r>
      <w:r w:rsidR="002F39AE" w:rsidRPr="00461D74">
        <w:rPr>
          <w:rFonts w:ascii="Garamond" w:hAnsi="Garamond" w:cstheme="minorHAnsi"/>
          <w:sz w:val="24"/>
          <w:szCs w:val="24"/>
        </w:rPr>
        <w:t xml:space="preserve">the </w:t>
      </w:r>
      <w:r w:rsidR="00016049" w:rsidRPr="00461D74">
        <w:rPr>
          <w:rFonts w:ascii="Garamond" w:hAnsi="Garamond" w:cstheme="minorHAnsi"/>
          <w:sz w:val="24"/>
          <w:szCs w:val="24"/>
        </w:rPr>
        <w:t>tendency towards acquisitiveness</w:t>
      </w:r>
      <w:r w:rsidR="002F39AE" w:rsidRPr="00461D74">
        <w:rPr>
          <w:rFonts w:ascii="Garamond" w:hAnsi="Garamond" w:cstheme="minorHAnsi"/>
          <w:sz w:val="24"/>
          <w:szCs w:val="24"/>
        </w:rPr>
        <w:t xml:space="preserve"> and </w:t>
      </w:r>
      <w:r w:rsidR="00016049" w:rsidRPr="00461D74">
        <w:rPr>
          <w:rFonts w:ascii="Garamond" w:hAnsi="Garamond" w:cstheme="minorHAnsi"/>
          <w:sz w:val="24"/>
          <w:szCs w:val="24"/>
        </w:rPr>
        <w:t>privileg</w:t>
      </w:r>
      <w:r w:rsidR="00D4115E">
        <w:rPr>
          <w:rFonts w:ascii="Garamond" w:hAnsi="Garamond" w:cstheme="minorHAnsi"/>
          <w:sz w:val="24"/>
          <w:szCs w:val="24"/>
        </w:rPr>
        <w:t>es</w:t>
      </w:r>
      <w:r w:rsidR="008344FA"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pursuit of </w:t>
      </w:r>
      <w:r w:rsidR="00FC2F18" w:rsidRPr="00461D74">
        <w:rPr>
          <w:rFonts w:ascii="Garamond" w:hAnsi="Garamond" w:cstheme="minorHAnsi"/>
          <w:sz w:val="24"/>
          <w:szCs w:val="24"/>
        </w:rPr>
        <w:t xml:space="preserve">economic </w:t>
      </w:r>
      <w:r w:rsidR="00016049" w:rsidRPr="00461D74">
        <w:rPr>
          <w:rFonts w:ascii="Garamond" w:hAnsi="Garamond" w:cstheme="minorHAnsi"/>
          <w:sz w:val="24"/>
          <w:szCs w:val="24"/>
        </w:rPr>
        <w:t xml:space="preserve">goods. </w:t>
      </w:r>
      <w:r w:rsidR="00016049" w:rsidRPr="00461D74">
        <w:rPr>
          <w:rFonts w:ascii="Garamond" w:hAnsi="Garamond" w:cstheme="minorHAnsi"/>
          <w:sz w:val="24"/>
          <w:szCs w:val="24"/>
          <w:lang w:val="en-US"/>
        </w:rPr>
        <w:t xml:space="preserve">MacIntyre </w:t>
      </w:r>
      <w:r w:rsidR="00833801">
        <w:rPr>
          <w:rFonts w:ascii="Garamond" w:hAnsi="Garamond" w:cstheme="minorHAnsi"/>
          <w:sz w:val="24"/>
          <w:szCs w:val="24"/>
          <w:lang w:val="en-US"/>
        </w:rPr>
        <w:t>nevertheless denies</w:t>
      </w:r>
      <w:r w:rsidR="00FC2F18"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 xml:space="preserve">that a non-neutral state with a thick conception of the good can engender a substantive notion of the </w:t>
      </w:r>
      <w:r w:rsidR="00016049" w:rsidRPr="00461D74">
        <w:rPr>
          <w:rFonts w:ascii="Garamond" w:hAnsi="Garamond" w:cstheme="minorHAnsi"/>
          <w:iCs/>
          <w:sz w:val="24"/>
          <w:szCs w:val="24"/>
          <w:lang w:val="en-US"/>
        </w:rPr>
        <w:t>common good</w:t>
      </w:r>
      <w:r w:rsidR="00016049" w:rsidRPr="00461D74">
        <w:rPr>
          <w:rFonts w:ascii="Garamond" w:hAnsi="Garamond" w:cstheme="minorHAnsi"/>
          <w:sz w:val="24"/>
          <w:szCs w:val="24"/>
          <w:lang w:val="en-US"/>
        </w:rPr>
        <w:t xml:space="preserve">. Why? On MacIntyre’s view, the </w:t>
      </w:r>
      <w:r w:rsidR="00016049" w:rsidRPr="00461D74">
        <w:rPr>
          <w:rFonts w:ascii="Garamond" w:hAnsi="Garamond" w:cstheme="minorHAnsi"/>
          <w:iCs/>
          <w:sz w:val="24"/>
          <w:szCs w:val="24"/>
          <w:lang w:val="en-US"/>
        </w:rPr>
        <w:t xml:space="preserve">common good properly conceived </w:t>
      </w:r>
      <w:r w:rsidR="00016049" w:rsidRPr="00461D74">
        <w:rPr>
          <w:rFonts w:ascii="Garamond" w:hAnsi="Garamond" w:cstheme="minorHAnsi"/>
          <w:sz w:val="24"/>
          <w:szCs w:val="24"/>
          <w:lang w:val="en-US"/>
        </w:rPr>
        <w:t xml:space="preserve">can only be realized through </w:t>
      </w:r>
      <w:r w:rsidR="00016049" w:rsidRPr="00461D74">
        <w:rPr>
          <w:rFonts w:ascii="Garamond" w:hAnsi="Garamond" w:cstheme="minorHAnsi"/>
          <w:sz w:val="24"/>
          <w:szCs w:val="24"/>
          <w:lang w:val="en-US"/>
        </w:rPr>
        <w:lastRenderedPageBreak/>
        <w:t>participatory practical deliberation by individual members of a community.</w:t>
      </w:r>
      <w:r w:rsidR="00016049" w:rsidRPr="00461D74">
        <w:rPr>
          <w:rStyle w:val="FootnoteReference"/>
          <w:rFonts w:ascii="Garamond" w:hAnsi="Garamond" w:cstheme="minorHAnsi"/>
          <w:sz w:val="24"/>
          <w:szCs w:val="24"/>
          <w:lang w:val="en-US"/>
        </w:rPr>
        <w:footnoteReference w:id="363"/>
      </w:r>
      <w:r w:rsidR="00016049" w:rsidRPr="00461D74">
        <w:rPr>
          <w:rFonts w:ascii="Garamond" w:hAnsi="Garamond" w:cstheme="minorHAnsi"/>
          <w:sz w:val="24"/>
          <w:szCs w:val="24"/>
          <w:lang w:val="en-US"/>
        </w:rPr>
        <w:t xml:space="preserve"> </w:t>
      </w:r>
      <w:r w:rsidR="00781DDF" w:rsidRPr="00461D74">
        <w:rPr>
          <w:rFonts w:ascii="Garamond" w:hAnsi="Garamond" w:cstheme="minorHAnsi"/>
          <w:sz w:val="24"/>
          <w:szCs w:val="24"/>
          <w:lang w:val="en-US"/>
        </w:rPr>
        <w:t>By imposing a thick conception of the good in a top-down hierarchical fashion, we end up</w:t>
      </w:r>
      <w:r w:rsidR="00016049" w:rsidRPr="00461D74">
        <w:rPr>
          <w:rFonts w:ascii="Garamond" w:hAnsi="Garamond" w:cstheme="minorHAnsi"/>
          <w:sz w:val="24"/>
          <w:szCs w:val="24"/>
          <w:lang w:val="en-US"/>
        </w:rPr>
        <w:t xml:space="preserve"> eliminat</w:t>
      </w:r>
      <w:r w:rsidR="00781DDF" w:rsidRPr="00461D74">
        <w:rPr>
          <w:rFonts w:ascii="Garamond" w:hAnsi="Garamond" w:cstheme="minorHAnsi"/>
          <w:sz w:val="24"/>
          <w:szCs w:val="24"/>
          <w:lang w:val="en-US"/>
        </w:rPr>
        <w:t xml:space="preserve">ing, or at least limiting, </w:t>
      </w:r>
      <w:r w:rsidR="00016049" w:rsidRPr="00461D74">
        <w:rPr>
          <w:rFonts w:ascii="Garamond" w:hAnsi="Garamond" w:cstheme="minorHAnsi"/>
          <w:sz w:val="24"/>
          <w:szCs w:val="24"/>
          <w:lang w:val="en-US"/>
        </w:rPr>
        <w:t xml:space="preserve">the opportunity for </w:t>
      </w:r>
      <w:r w:rsidR="00FC2F18" w:rsidRPr="00461D74">
        <w:rPr>
          <w:rFonts w:ascii="Garamond" w:hAnsi="Garamond" w:cstheme="minorHAnsi"/>
          <w:sz w:val="24"/>
          <w:szCs w:val="24"/>
          <w:lang w:val="en-US"/>
        </w:rPr>
        <w:t xml:space="preserve">ongoing practical </w:t>
      </w:r>
      <w:r w:rsidR="00016049" w:rsidRPr="00461D74">
        <w:rPr>
          <w:rFonts w:ascii="Garamond" w:hAnsi="Garamond" w:cstheme="minorHAnsi"/>
          <w:sz w:val="24"/>
          <w:szCs w:val="24"/>
          <w:lang w:val="en-US"/>
        </w:rPr>
        <w:t>deliberation by individual members of the community</w:t>
      </w:r>
      <w:r w:rsidR="00FC2F18" w:rsidRPr="00461D74">
        <w:rPr>
          <w:rFonts w:ascii="Garamond" w:hAnsi="Garamond" w:cstheme="minorHAnsi"/>
          <w:sz w:val="24"/>
          <w:szCs w:val="24"/>
          <w:lang w:val="en-US"/>
        </w:rPr>
        <w:t xml:space="preserve">; </w:t>
      </w:r>
      <w:r w:rsidR="00833801">
        <w:rPr>
          <w:rFonts w:ascii="Garamond" w:hAnsi="Garamond" w:cstheme="minorHAnsi"/>
          <w:sz w:val="24"/>
          <w:szCs w:val="24"/>
          <w:lang w:val="en-US"/>
        </w:rPr>
        <w:t>but</w:t>
      </w:r>
      <w:r w:rsidR="00FC2F18" w:rsidRPr="00461D74">
        <w:rPr>
          <w:rFonts w:ascii="Garamond" w:hAnsi="Garamond" w:cstheme="minorHAnsi"/>
          <w:sz w:val="24"/>
          <w:szCs w:val="24"/>
          <w:lang w:val="en-US"/>
        </w:rPr>
        <w:t xml:space="preserve">, </w:t>
      </w:r>
      <w:r w:rsidR="00833801">
        <w:rPr>
          <w:rFonts w:ascii="Garamond" w:hAnsi="Garamond" w:cstheme="minorHAnsi"/>
          <w:sz w:val="24"/>
          <w:szCs w:val="24"/>
          <w:lang w:val="en-US"/>
        </w:rPr>
        <w:t>this</w:t>
      </w:r>
      <w:r w:rsidR="00FC2F18" w:rsidRPr="00461D74">
        <w:rPr>
          <w:rFonts w:ascii="Garamond" w:hAnsi="Garamond" w:cstheme="minorHAnsi"/>
          <w:sz w:val="24"/>
          <w:szCs w:val="24"/>
          <w:lang w:val="en-US"/>
        </w:rPr>
        <w:t xml:space="preserve"> outcome </w:t>
      </w:r>
      <w:r w:rsidR="00833801">
        <w:rPr>
          <w:rFonts w:ascii="Garamond" w:hAnsi="Garamond" w:cstheme="minorHAnsi"/>
          <w:sz w:val="24"/>
          <w:szCs w:val="24"/>
          <w:lang w:val="en-US"/>
        </w:rPr>
        <w:t>is nonetheless</w:t>
      </w:r>
      <w:r w:rsidR="00833801" w:rsidRPr="00461D74">
        <w:rPr>
          <w:rFonts w:ascii="Garamond" w:hAnsi="Garamond" w:cstheme="minorHAnsi"/>
          <w:sz w:val="24"/>
          <w:szCs w:val="24"/>
          <w:lang w:val="en-US"/>
        </w:rPr>
        <w:t xml:space="preserve"> </w:t>
      </w:r>
      <w:r w:rsidR="00781DDF" w:rsidRPr="00461D74">
        <w:rPr>
          <w:rFonts w:ascii="Garamond" w:hAnsi="Garamond" w:cstheme="minorHAnsi"/>
          <w:sz w:val="24"/>
          <w:szCs w:val="24"/>
          <w:lang w:val="en-US"/>
        </w:rPr>
        <w:t>incompatible</w:t>
      </w:r>
      <w:r w:rsidR="00FC2F18" w:rsidRPr="00461D74">
        <w:rPr>
          <w:rFonts w:ascii="Garamond" w:hAnsi="Garamond" w:cstheme="minorHAnsi"/>
          <w:sz w:val="24"/>
          <w:szCs w:val="24"/>
          <w:lang w:val="en-US"/>
        </w:rPr>
        <w:t xml:space="preserve"> with MacIntyre’s </w:t>
      </w:r>
      <w:r w:rsidR="00833801">
        <w:rPr>
          <w:rFonts w:ascii="Garamond" w:hAnsi="Garamond" w:cstheme="minorHAnsi"/>
          <w:sz w:val="24"/>
          <w:szCs w:val="24"/>
          <w:lang w:val="en-US"/>
        </w:rPr>
        <w:t>account</w:t>
      </w:r>
      <w:r w:rsidR="00833801" w:rsidRPr="00461D74">
        <w:rPr>
          <w:rFonts w:ascii="Garamond" w:hAnsi="Garamond" w:cstheme="minorHAnsi"/>
          <w:sz w:val="24"/>
          <w:szCs w:val="24"/>
          <w:lang w:val="en-US"/>
        </w:rPr>
        <w:t xml:space="preserve"> </w:t>
      </w:r>
      <w:r w:rsidR="00016049" w:rsidRPr="00461D74">
        <w:rPr>
          <w:rFonts w:ascii="Garamond" w:hAnsi="Garamond" w:cstheme="minorHAnsi"/>
          <w:sz w:val="24"/>
          <w:szCs w:val="24"/>
          <w:lang w:val="en-US"/>
        </w:rPr>
        <w:t>of the common good.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also observed that MacIntyre, following Aristotle, maintains that ethics properly conceived should not be divorced from politics, because politics always involves non-neutral evaluative questions that cannot be settled in a procedurally neutral way. The liberal theorist’s attempt to achieve neutrality is not only deceptive but amounts to an ideology that underhandedly restricts the discourse in </w:t>
      </w:r>
      <w:r w:rsidR="002159DD" w:rsidRPr="00461D74">
        <w:rPr>
          <w:rFonts w:ascii="Garamond" w:hAnsi="Garamond" w:cstheme="minorHAnsi"/>
          <w:sz w:val="24"/>
          <w:szCs w:val="24"/>
        </w:rPr>
        <w:t xml:space="preserve">a </w:t>
      </w:r>
      <w:r w:rsidRPr="00461D74">
        <w:rPr>
          <w:rFonts w:ascii="Garamond" w:hAnsi="Garamond" w:cstheme="minorHAnsi"/>
          <w:sz w:val="24"/>
          <w:szCs w:val="24"/>
        </w:rPr>
        <w:t xml:space="preserve">non-neutral </w:t>
      </w:r>
      <w:r w:rsidR="002159DD" w:rsidRPr="00461D74">
        <w:rPr>
          <w:rFonts w:ascii="Garamond" w:hAnsi="Garamond" w:cstheme="minorHAnsi"/>
          <w:sz w:val="24"/>
          <w:szCs w:val="24"/>
        </w:rPr>
        <w:t xml:space="preserve">and question-begging way, precisely </w:t>
      </w:r>
      <w:r w:rsidR="00E81BAB" w:rsidRPr="00461D74">
        <w:rPr>
          <w:rFonts w:ascii="Garamond" w:hAnsi="Garamond" w:cstheme="minorHAnsi"/>
          <w:sz w:val="24"/>
          <w:szCs w:val="24"/>
        </w:rPr>
        <w:t>on the grounds that</w:t>
      </w:r>
      <w:r w:rsidR="002159DD" w:rsidRPr="00461D74">
        <w:rPr>
          <w:rFonts w:ascii="Garamond" w:hAnsi="Garamond" w:cstheme="minorHAnsi"/>
          <w:sz w:val="24"/>
          <w:szCs w:val="24"/>
        </w:rPr>
        <w:t xml:space="preserve"> liberalism</w:t>
      </w:r>
      <w:r w:rsidRPr="00461D74">
        <w:rPr>
          <w:rFonts w:ascii="Garamond" w:hAnsi="Garamond" w:cstheme="minorHAnsi"/>
          <w:sz w:val="24"/>
          <w:szCs w:val="24"/>
        </w:rPr>
        <w:t xml:space="preserve"> </w:t>
      </w:r>
      <w:r w:rsidR="00E81BAB" w:rsidRPr="00461D74">
        <w:rPr>
          <w:rFonts w:ascii="Garamond" w:hAnsi="Garamond" w:cstheme="minorHAnsi"/>
          <w:sz w:val="24"/>
          <w:szCs w:val="24"/>
        </w:rPr>
        <w:t xml:space="preserve">presupposes a </w:t>
      </w:r>
      <w:r w:rsidR="002159DD" w:rsidRPr="00461D74">
        <w:rPr>
          <w:rFonts w:ascii="Garamond" w:hAnsi="Garamond" w:cstheme="minorHAnsi"/>
          <w:sz w:val="24"/>
          <w:szCs w:val="24"/>
        </w:rPr>
        <w:t>controversial</w:t>
      </w:r>
      <w:r w:rsidR="00E81BAB" w:rsidRPr="00461D74">
        <w:rPr>
          <w:rFonts w:ascii="Garamond" w:hAnsi="Garamond" w:cstheme="minorHAnsi"/>
          <w:sz w:val="24"/>
          <w:szCs w:val="24"/>
        </w:rPr>
        <w:t>,</w:t>
      </w:r>
      <w:r w:rsidR="002159DD" w:rsidRPr="00461D74">
        <w:rPr>
          <w:rFonts w:ascii="Garamond" w:hAnsi="Garamond" w:cstheme="minorHAnsi"/>
          <w:sz w:val="24"/>
          <w:szCs w:val="24"/>
        </w:rPr>
        <w:t xml:space="preserve"> </w:t>
      </w:r>
      <w:r w:rsidRPr="00461D74">
        <w:rPr>
          <w:rFonts w:ascii="Garamond" w:hAnsi="Garamond" w:cstheme="minorHAnsi"/>
          <w:sz w:val="24"/>
          <w:szCs w:val="24"/>
        </w:rPr>
        <w:t>individualist-materialist conception of the good. This ostensible neutrality is not neutral to the corrosive influence of material interest, and more generally it is predisposed to outcome</w:t>
      </w:r>
      <w:r w:rsidR="00DC3FB7" w:rsidRPr="00461D74">
        <w:rPr>
          <w:rFonts w:ascii="Garamond" w:hAnsi="Garamond" w:cstheme="minorHAnsi"/>
          <w:sz w:val="24"/>
          <w:szCs w:val="24"/>
        </w:rPr>
        <w:t>s that privilege prudence and effectiveness over excellence</w:t>
      </w:r>
      <w:r w:rsidRPr="00461D74">
        <w:rPr>
          <w:rFonts w:ascii="Garamond" w:hAnsi="Garamond" w:cstheme="minorHAnsi"/>
          <w:sz w:val="24"/>
          <w:szCs w:val="24"/>
        </w:rPr>
        <w:t xml:space="preserve">. </w:t>
      </w:r>
      <w:r w:rsidR="00833801">
        <w:rPr>
          <w:rFonts w:ascii="Garamond" w:hAnsi="Garamond" w:cstheme="minorHAnsi"/>
          <w:sz w:val="24"/>
          <w:szCs w:val="24"/>
        </w:rPr>
        <w:t xml:space="preserve">This turn of events however serves to </w:t>
      </w:r>
      <w:r w:rsidRPr="00461D74">
        <w:rPr>
          <w:rFonts w:ascii="Garamond" w:hAnsi="Garamond" w:cstheme="minorHAnsi"/>
          <w:sz w:val="24"/>
          <w:szCs w:val="24"/>
        </w:rPr>
        <w:t>advance an empty form of pluralism, one that strengthens an overtly individualist-materialist conception of the good</w:t>
      </w:r>
      <w:r w:rsidR="00DC3FB7" w:rsidRPr="00461D74">
        <w:rPr>
          <w:rFonts w:ascii="Garamond" w:hAnsi="Garamond" w:cstheme="minorHAnsi"/>
          <w:sz w:val="24"/>
          <w:szCs w:val="24"/>
        </w:rPr>
        <w:t xml:space="preserve">, at the expense of </w:t>
      </w:r>
      <w:r w:rsidR="00E81BAB" w:rsidRPr="00461D74">
        <w:rPr>
          <w:rFonts w:ascii="Garamond" w:hAnsi="Garamond" w:cstheme="minorHAnsi"/>
          <w:sz w:val="24"/>
          <w:szCs w:val="24"/>
        </w:rPr>
        <w:t xml:space="preserve">other potential </w:t>
      </w:r>
      <w:r w:rsidR="00307983" w:rsidRPr="00461D74">
        <w:rPr>
          <w:rFonts w:ascii="Garamond" w:hAnsi="Garamond" w:cstheme="minorHAnsi"/>
          <w:sz w:val="24"/>
          <w:szCs w:val="24"/>
        </w:rPr>
        <w:t>conceptions</w:t>
      </w:r>
      <w:r w:rsidR="00DE7037" w:rsidRPr="00461D74">
        <w:rPr>
          <w:rFonts w:ascii="Garamond" w:hAnsi="Garamond" w:cstheme="minorHAnsi"/>
          <w:sz w:val="24"/>
          <w:szCs w:val="24"/>
        </w:rPr>
        <w:t xml:space="preserve"> of human flourishing</w:t>
      </w:r>
      <w:r w:rsidRPr="00461D74">
        <w:rPr>
          <w:rFonts w:ascii="Garamond" w:hAnsi="Garamond" w:cstheme="minorHAnsi"/>
          <w:sz w:val="24"/>
          <w:szCs w:val="24"/>
        </w:rPr>
        <w:t>. Thus liberal politics, although ostensibly neutral, is in fact partial to</w:t>
      </w:r>
      <w:r w:rsidR="00DE7037" w:rsidRPr="00461D74">
        <w:rPr>
          <w:rFonts w:ascii="Garamond" w:hAnsi="Garamond" w:cstheme="minorHAnsi"/>
          <w:sz w:val="24"/>
          <w:szCs w:val="24"/>
        </w:rPr>
        <w:t>wards</w:t>
      </w:r>
      <w:r w:rsidRPr="00461D74">
        <w:rPr>
          <w:rFonts w:ascii="Garamond" w:hAnsi="Garamond" w:cstheme="minorHAnsi"/>
          <w:sz w:val="24"/>
          <w:szCs w:val="24"/>
        </w:rPr>
        <w:t xml:space="preserve"> a particular conception of the good.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What passes as a façade of neutrality in liberal politics has the consequence of insulating ethical questions from the political sphere. </w:t>
      </w:r>
      <w:r w:rsidR="00EF16DB" w:rsidRPr="00461D74">
        <w:rPr>
          <w:rFonts w:ascii="Garamond" w:hAnsi="Garamond" w:cstheme="minorHAnsi"/>
          <w:sz w:val="24"/>
          <w:szCs w:val="24"/>
        </w:rPr>
        <w:t>On the standard liberal view,</w:t>
      </w:r>
      <w:r w:rsidRPr="00461D74">
        <w:rPr>
          <w:rFonts w:ascii="Garamond" w:hAnsi="Garamond" w:cstheme="minorHAnsi"/>
          <w:sz w:val="24"/>
          <w:szCs w:val="24"/>
        </w:rPr>
        <w:t xml:space="preserve"> all first order appeals to a substantive conception of the good are </w:t>
      </w:r>
      <w:r w:rsidR="001A7F7A">
        <w:rPr>
          <w:rFonts w:ascii="Garamond" w:hAnsi="Garamond" w:cstheme="minorHAnsi"/>
          <w:sz w:val="24"/>
          <w:szCs w:val="24"/>
        </w:rPr>
        <w:t>eliminated</w:t>
      </w:r>
      <w:r w:rsidR="001A7F7A" w:rsidRPr="00461D74">
        <w:rPr>
          <w:rFonts w:ascii="Garamond" w:hAnsi="Garamond" w:cstheme="minorHAnsi"/>
          <w:sz w:val="24"/>
          <w:szCs w:val="24"/>
        </w:rPr>
        <w:t xml:space="preserve"> </w:t>
      </w:r>
      <w:r w:rsidRPr="00461D74">
        <w:rPr>
          <w:rFonts w:ascii="Garamond" w:hAnsi="Garamond" w:cstheme="minorHAnsi"/>
          <w:sz w:val="24"/>
          <w:szCs w:val="24"/>
        </w:rPr>
        <w:t>from the political sphere</w:t>
      </w:r>
      <w:r w:rsidR="00EF16DB" w:rsidRPr="00461D74">
        <w:rPr>
          <w:rFonts w:ascii="Garamond" w:hAnsi="Garamond" w:cstheme="minorHAnsi"/>
          <w:sz w:val="24"/>
          <w:szCs w:val="24"/>
        </w:rPr>
        <w:t>, since</w:t>
      </w:r>
      <w:r w:rsidRPr="00461D74">
        <w:rPr>
          <w:rFonts w:ascii="Garamond" w:hAnsi="Garamond" w:cstheme="minorHAnsi"/>
          <w:sz w:val="24"/>
          <w:szCs w:val="24"/>
        </w:rPr>
        <w:t xml:space="preserve"> liberal politics is supposed to be neutral </w:t>
      </w:r>
      <w:r w:rsidR="00EF16DB" w:rsidRPr="00461D74">
        <w:rPr>
          <w:rFonts w:ascii="Garamond" w:hAnsi="Garamond" w:cstheme="minorHAnsi"/>
          <w:sz w:val="24"/>
          <w:szCs w:val="24"/>
        </w:rPr>
        <w:t xml:space="preserve">in deciding </w:t>
      </w:r>
      <w:r w:rsidRPr="00461D74">
        <w:rPr>
          <w:rFonts w:ascii="Garamond" w:hAnsi="Garamond" w:cstheme="minorHAnsi"/>
          <w:sz w:val="24"/>
          <w:szCs w:val="24"/>
        </w:rPr>
        <w:t>between various conceptions of the good</w:t>
      </w:r>
      <w:r w:rsidR="00EF16DB" w:rsidRPr="00461D74">
        <w:rPr>
          <w:rFonts w:ascii="Garamond" w:hAnsi="Garamond" w:cstheme="minorHAnsi"/>
          <w:sz w:val="24"/>
          <w:szCs w:val="24"/>
        </w:rPr>
        <w:t>. Therefore,</w:t>
      </w:r>
      <w:r w:rsidRPr="00461D74">
        <w:rPr>
          <w:rFonts w:ascii="Garamond" w:hAnsi="Garamond" w:cstheme="minorHAnsi"/>
          <w:sz w:val="24"/>
          <w:szCs w:val="24"/>
        </w:rPr>
        <w:t xml:space="preserve"> </w:t>
      </w:r>
      <w:r w:rsidR="00EF16DB" w:rsidRPr="00461D74">
        <w:rPr>
          <w:rFonts w:ascii="Garamond" w:hAnsi="Garamond" w:cstheme="minorHAnsi"/>
          <w:sz w:val="24"/>
          <w:szCs w:val="24"/>
        </w:rPr>
        <w:t xml:space="preserve">we have to </w:t>
      </w:r>
      <w:r w:rsidR="00307983" w:rsidRPr="00461D74">
        <w:rPr>
          <w:rFonts w:ascii="Garamond" w:hAnsi="Garamond" w:cstheme="minorHAnsi"/>
          <w:sz w:val="24"/>
          <w:szCs w:val="24"/>
        </w:rPr>
        <w:t>inoculate</w:t>
      </w:r>
      <w:r w:rsidR="00EF16DB" w:rsidRPr="00461D74">
        <w:rPr>
          <w:rFonts w:ascii="Garamond" w:hAnsi="Garamond" w:cstheme="minorHAnsi"/>
          <w:sz w:val="24"/>
          <w:szCs w:val="24"/>
        </w:rPr>
        <w:t xml:space="preserve"> from </w:t>
      </w:r>
      <w:r w:rsidRPr="00461D74">
        <w:rPr>
          <w:rFonts w:ascii="Garamond" w:hAnsi="Garamond" w:cstheme="minorHAnsi"/>
          <w:sz w:val="24"/>
          <w:szCs w:val="24"/>
        </w:rPr>
        <w:t>the political arena all first-order appeals</w:t>
      </w:r>
      <w:r w:rsidR="00EF16DB" w:rsidRPr="00461D74">
        <w:rPr>
          <w:rFonts w:ascii="Garamond" w:hAnsi="Garamond" w:cstheme="minorHAnsi"/>
          <w:sz w:val="24"/>
          <w:szCs w:val="24"/>
        </w:rPr>
        <w:t xml:space="preserve"> which now belong to </w:t>
      </w:r>
      <w:r w:rsidRPr="00461D74">
        <w:rPr>
          <w:rFonts w:ascii="Garamond" w:hAnsi="Garamond" w:cstheme="minorHAnsi"/>
          <w:sz w:val="24"/>
          <w:szCs w:val="24"/>
        </w:rPr>
        <w:t xml:space="preserve">the private moral </w:t>
      </w:r>
      <w:r w:rsidRPr="00461D74">
        <w:rPr>
          <w:rFonts w:ascii="Garamond" w:hAnsi="Garamond" w:cstheme="minorHAnsi"/>
          <w:sz w:val="24"/>
          <w:szCs w:val="24"/>
        </w:rPr>
        <w:lastRenderedPageBreak/>
        <w:t xml:space="preserve">sphere. </w:t>
      </w:r>
      <w:r w:rsidR="00EF16DB" w:rsidRPr="00461D74">
        <w:rPr>
          <w:rFonts w:ascii="Garamond" w:hAnsi="Garamond" w:cstheme="minorHAnsi"/>
          <w:sz w:val="24"/>
          <w:szCs w:val="24"/>
        </w:rPr>
        <w:t>Thus</w:t>
      </w:r>
      <w:r w:rsidRPr="00461D74">
        <w:rPr>
          <w:rFonts w:ascii="Garamond" w:hAnsi="Garamond" w:cstheme="minorHAnsi"/>
          <w:sz w:val="24"/>
          <w:szCs w:val="24"/>
        </w:rPr>
        <w:t xml:space="preserve"> ethical questions have no place in </w:t>
      </w:r>
      <w:r w:rsidR="00EF16DB" w:rsidRPr="00461D74">
        <w:rPr>
          <w:rFonts w:ascii="Garamond" w:hAnsi="Garamond" w:cstheme="minorHAnsi"/>
          <w:sz w:val="24"/>
          <w:szCs w:val="24"/>
        </w:rPr>
        <w:t xml:space="preserve">contemporary </w:t>
      </w:r>
      <w:r w:rsidRPr="00461D74">
        <w:rPr>
          <w:rFonts w:ascii="Garamond" w:hAnsi="Garamond" w:cstheme="minorHAnsi"/>
          <w:sz w:val="24"/>
          <w:szCs w:val="24"/>
        </w:rPr>
        <w:t>liberal political discourse.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So where does MacIntyre’s political philosophy fit in this wider debate? Here we find a rather interesting </w:t>
      </w:r>
      <w:r w:rsidR="00F25859">
        <w:rPr>
          <w:rFonts w:ascii="Garamond" w:hAnsi="Garamond" w:cstheme="minorHAnsi"/>
          <w:sz w:val="24"/>
          <w:szCs w:val="24"/>
        </w:rPr>
        <w:t>answer</w:t>
      </w:r>
      <w:r w:rsidR="00D4115E">
        <w:rPr>
          <w:rFonts w:ascii="Garamond" w:hAnsi="Garamond" w:cstheme="minorHAnsi"/>
          <w:sz w:val="24"/>
          <w:szCs w:val="24"/>
        </w:rPr>
        <w:t>,</w:t>
      </w:r>
      <w:r w:rsidR="00F25859" w:rsidRPr="00461D74">
        <w:rPr>
          <w:rFonts w:ascii="Garamond" w:hAnsi="Garamond" w:cstheme="minorHAnsi"/>
          <w:sz w:val="24"/>
          <w:szCs w:val="24"/>
        </w:rPr>
        <w:t xml:space="preserve"> </w:t>
      </w:r>
      <w:r w:rsidR="00D4115E">
        <w:rPr>
          <w:rFonts w:ascii="Garamond" w:hAnsi="Garamond" w:cstheme="minorHAnsi"/>
          <w:sz w:val="24"/>
          <w:szCs w:val="24"/>
        </w:rPr>
        <w:t>as</w:t>
      </w:r>
      <w:r w:rsidR="00F25859" w:rsidRPr="00461D74">
        <w:rPr>
          <w:rFonts w:ascii="Garamond" w:hAnsi="Garamond" w:cstheme="minorHAnsi"/>
          <w:sz w:val="24"/>
          <w:szCs w:val="24"/>
        </w:rPr>
        <w:t xml:space="preserve"> </w:t>
      </w:r>
      <w:r w:rsidRPr="00461D74">
        <w:rPr>
          <w:rFonts w:ascii="Garamond" w:hAnsi="Garamond" w:cstheme="minorHAnsi"/>
          <w:sz w:val="24"/>
          <w:szCs w:val="24"/>
        </w:rPr>
        <w:t xml:space="preserve">parts of his view </w:t>
      </w:r>
      <w:r w:rsidR="00F25859">
        <w:rPr>
          <w:rFonts w:ascii="Garamond" w:hAnsi="Garamond" w:cstheme="minorHAnsi"/>
          <w:sz w:val="24"/>
          <w:szCs w:val="24"/>
        </w:rPr>
        <w:t xml:space="preserve">certainly seem to </w:t>
      </w:r>
      <w:r w:rsidRPr="00461D74">
        <w:rPr>
          <w:rFonts w:ascii="Garamond" w:hAnsi="Garamond" w:cstheme="minorHAnsi"/>
          <w:sz w:val="24"/>
          <w:szCs w:val="24"/>
        </w:rPr>
        <w:t xml:space="preserve">belong </w:t>
      </w:r>
      <w:r w:rsidR="00F25859">
        <w:rPr>
          <w:rFonts w:ascii="Garamond" w:hAnsi="Garamond" w:cstheme="minorHAnsi"/>
          <w:sz w:val="24"/>
          <w:szCs w:val="24"/>
        </w:rPr>
        <w:t>in</w:t>
      </w:r>
      <w:r w:rsidR="00F25859" w:rsidRPr="00461D74">
        <w:rPr>
          <w:rFonts w:ascii="Garamond" w:hAnsi="Garamond" w:cstheme="minorHAnsi"/>
          <w:sz w:val="24"/>
          <w:szCs w:val="24"/>
        </w:rPr>
        <w:t xml:space="preserve"> </w:t>
      </w:r>
      <w:r w:rsidRPr="00461D74">
        <w:rPr>
          <w:rFonts w:ascii="Garamond" w:hAnsi="Garamond" w:cstheme="minorHAnsi"/>
          <w:sz w:val="24"/>
          <w:szCs w:val="24"/>
        </w:rPr>
        <w:t xml:space="preserve">the realist camp, while other elements of his view are firmly normative or moralist. MacIntyre’s account of local politics as a practice is the type of politics where a hierarchical conception of shared goods is achieved through rank-ordering of the goods of various practices. By participating in the various practices we achieve their internal goods, and </w:t>
      </w:r>
      <w:r w:rsidR="00F25859">
        <w:rPr>
          <w:rFonts w:ascii="Garamond" w:hAnsi="Garamond" w:cstheme="minorHAnsi"/>
          <w:sz w:val="24"/>
          <w:szCs w:val="24"/>
        </w:rPr>
        <w:t>in this way,</w:t>
      </w:r>
      <w:r w:rsidRPr="00461D74">
        <w:rPr>
          <w:rFonts w:ascii="Garamond" w:hAnsi="Garamond" w:cstheme="minorHAnsi"/>
          <w:sz w:val="24"/>
          <w:szCs w:val="24"/>
        </w:rPr>
        <w:t xml:space="preserve"> we are habituated into the virtues. This view appears to be in line with an Aristotelian, normative </w:t>
      </w:r>
      <w:r w:rsidR="007B1773" w:rsidRPr="00461D74">
        <w:rPr>
          <w:rFonts w:ascii="Garamond" w:hAnsi="Garamond" w:cstheme="minorHAnsi"/>
          <w:sz w:val="24"/>
          <w:szCs w:val="24"/>
        </w:rPr>
        <w:t>(</w:t>
      </w:r>
      <w:r w:rsidRPr="00461D74">
        <w:rPr>
          <w:rFonts w:ascii="Garamond" w:hAnsi="Garamond" w:cstheme="minorHAnsi"/>
          <w:sz w:val="24"/>
          <w:szCs w:val="24"/>
        </w:rPr>
        <w:t>or moralist</w:t>
      </w:r>
      <w:r w:rsidR="007B1773" w:rsidRPr="00461D74">
        <w:rPr>
          <w:rFonts w:ascii="Garamond" w:hAnsi="Garamond" w:cstheme="minorHAnsi"/>
          <w:sz w:val="24"/>
          <w:szCs w:val="24"/>
        </w:rPr>
        <w:t>)</w:t>
      </w:r>
      <w:r w:rsidR="00307983" w:rsidRPr="00461D74">
        <w:rPr>
          <w:rFonts w:ascii="Garamond" w:hAnsi="Garamond" w:cstheme="minorHAnsi"/>
          <w:sz w:val="24"/>
          <w:szCs w:val="24"/>
        </w:rPr>
        <w:t xml:space="preserve"> conception of political philosophy</w:t>
      </w:r>
      <w:r w:rsidRPr="00461D74">
        <w:rPr>
          <w:rFonts w:ascii="Garamond" w:hAnsi="Garamond" w:cstheme="minorHAnsi"/>
          <w:sz w:val="24"/>
          <w:szCs w:val="24"/>
        </w:rPr>
        <w:t xml:space="preserve">. Yet on the other hand, he stands in opposition to a politics that envisions a substantive conception of the good at the state level, a position that is at least at odds with communitarians who are identified </w:t>
      </w:r>
      <w:r w:rsidR="007B1773" w:rsidRPr="00461D74">
        <w:rPr>
          <w:rFonts w:ascii="Garamond" w:hAnsi="Garamond" w:cstheme="minorHAnsi"/>
          <w:sz w:val="24"/>
          <w:szCs w:val="24"/>
        </w:rPr>
        <w:t>with the</w:t>
      </w:r>
      <w:r w:rsidRPr="00461D74">
        <w:rPr>
          <w:rFonts w:ascii="Garamond" w:hAnsi="Garamond" w:cstheme="minorHAnsi"/>
          <w:sz w:val="24"/>
          <w:szCs w:val="24"/>
        </w:rPr>
        <w:t xml:space="preserve"> </w:t>
      </w:r>
      <w:r w:rsidR="007B1773" w:rsidRPr="00461D74">
        <w:rPr>
          <w:rFonts w:ascii="Garamond" w:hAnsi="Garamond" w:cstheme="minorHAnsi"/>
          <w:sz w:val="24"/>
          <w:szCs w:val="24"/>
        </w:rPr>
        <w:t xml:space="preserve">more </w:t>
      </w:r>
      <w:r w:rsidRPr="00461D74">
        <w:rPr>
          <w:rFonts w:ascii="Garamond" w:hAnsi="Garamond" w:cstheme="minorHAnsi"/>
          <w:sz w:val="24"/>
          <w:szCs w:val="24"/>
        </w:rPr>
        <w:t xml:space="preserve">normative </w:t>
      </w:r>
      <w:r w:rsidR="007B1773" w:rsidRPr="00461D74">
        <w:rPr>
          <w:rFonts w:ascii="Garamond" w:hAnsi="Garamond" w:cstheme="minorHAnsi"/>
          <w:sz w:val="24"/>
          <w:szCs w:val="24"/>
        </w:rPr>
        <w:t>(</w:t>
      </w:r>
      <w:r w:rsidRPr="00461D74">
        <w:rPr>
          <w:rFonts w:ascii="Garamond" w:hAnsi="Garamond" w:cstheme="minorHAnsi"/>
          <w:sz w:val="24"/>
          <w:szCs w:val="24"/>
        </w:rPr>
        <w:t>or moralist</w:t>
      </w:r>
      <w:r w:rsidR="007B1773" w:rsidRPr="00461D74">
        <w:rPr>
          <w:rFonts w:ascii="Garamond" w:hAnsi="Garamond" w:cstheme="minorHAnsi"/>
          <w:sz w:val="24"/>
          <w:szCs w:val="24"/>
        </w:rPr>
        <w:t>)</w:t>
      </w:r>
      <w:r w:rsidRPr="00461D74">
        <w:rPr>
          <w:rFonts w:ascii="Garamond" w:hAnsi="Garamond" w:cstheme="minorHAnsi"/>
          <w:sz w:val="24"/>
          <w:szCs w:val="24"/>
        </w:rPr>
        <w:t xml:space="preserve"> political program</w:t>
      </w:r>
      <w:r w:rsidR="007B1773" w:rsidRPr="00461D74">
        <w:rPr>
          <w:rFonts w:ascii="Garamond" w:hAnsi="Garamond" w:cstheme="minorHAnsi"/>
          <w:sz w:val="24"/>
          <w:szCs w:val="24"/>
        </w:rPr>
        <w:t>s</w:t>
      </w:r>
      <w:r w:rsidRPr="00461D74">
        <w:rPr>
          <w:rFonts w:ascii="Garamond" w:hAnsi="Garamond" w:cstheme="minorHAnsi"/>
          <w:sz w:val="24"/>
          <w:szCs w:val="24"/>
        </w:rPr>
        <w:t>.</w:t>
      </w:r>
    </w:p>
    <w:p w:rsidR="0038214C"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We also observed that MacIntyre rejected the idea that liberal state or politics can be neutral. T</w:t>
      </w:r>
      <w:r w:rsidR="00D4115E">
        <w:rPr>
          <w:rFonts w:ascii="Garamond" w:hAnsi="Garamond" w:cstheme="minorHAnsi"/>
          <w:sz w:val="24"/>
          <w:szCs w:val="24"/>
        </w:rPr>
        <w:t xml:space="preserve">wo aspects of this </w:t>
      </w:r>
      <w:r w:rsidRPr="00461D74">
        <w:rPr>
          <w:rFonts w:ascii="Garamond" w:hAnsi="Garamond" w:cstheme="minorHAnsi"/>
          <w:sz w:val="24"/>
          <w:szCs w:val="24"/>
        </w:rPr>
        <w:t xml:space="preserve">claim can be distinguished. First, that the practice of politics is never neutral. Second, that political philosophy or political science is not neutral. Realist political philosophers agree that politics as an activity is never neutral, and </w:t>
      </w:r>
      <w:r w:rsidR="007B1773" w:rsidRPr="00461D74">
        <w:rPr>
          <w:rFonts w:ascii="Garamond" w:hAnsi="Garamond" w:cstheme="minorHAnsi"/>
          <w:sz w:val="24"/>
          <w:szCs w:val="24"/>
        </w:rPr>
        <w:t xml:space="preserve">that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political philosophy </w:t>
      </w:r>
      <w:r w:rsidR="007B1773" w:rsidRPr="00461D74">
        <w:rPr>
          <w:rFonts w:ascii="Garamond" w:hAnsi="Garamond" w:cstheme="minorHAnsi"/>
          <w:sz w:val="24"/>
          <w:szCs w:val="24"/>
        </w:rPr>
        <w:t xml:space="preserve">best exemplified by </w:t>
      </w:r>
      <w:r w:rsidRPr="00461D74">
        <w:rPr>
          <w:rFonts w:ascii="Garamond" w:hAnsi="Garamond" w:cstheme="minorHAnsi"/>
          <w:sz w:val="24"/>
          <w:szCs w:val="24"/>
        </w:rPr>
        <w:t xml:space="preserve">Rawls isn’t either. </w:t>
      </w:r>
      <w:r w:rsidR="00273481" w:rsidRPr="00461D74">
        <w:rPr>
          <w:rFonts w:ascii="Garamond" w:hAnsi="Garamond" w:cstheme="minorHAnsi"/>
          <w:sz w:val="24"/>
          <w:szCs w:val="24"/>
        </w:rPr>
        <w:t>The</w:t>
      </w:r>
      <w:r w:rsidR="0038214C">
        <w:rPr>
          <w:rFonts w:ascii="Garamond" w:hAnsi="Garamond" w:cstheme="minorHAnsi"/>
          <w:sz w:val="24"/>
          <w:szCs w:val="24"/>
        </w:rPr>
        <w:t>y</w:t>
      </w:r>
      <w:r w:rsidR="00273481" w:rsidRPr="00461D74">
        <w:rPr>
          <w:rFonts w:ascii="Garamond" w:hAnsi="Garamond" w:cstheme="minorHAnsi"/>
          <w:sz w:val="24"/>
          <w:szCs w:val="24"/>
        </w:rPr>
        <w:t xml:space="preserve"> </w:t>
      </w:r>
      <w:r w:rsidR="0038214C">
        <w:rPr>
          <w:rFonts w:ascii="Garamond" w:hAnsi="Garamond" w:cstheme="minorHAnsi"/>
          <w:sz w:val="24"/>
          <w:szCs w:val="24"/>
        </w:rPr>
        <w:t>maintain</w:t>
      </w:r>
      <w:r w:rsidR="00273481" w:rsidRPr="00461D74">
        <w:rPr>
          <w:rFonts w:ascii="Garamond" w:hAnsi="Garamond" w:cstheme="minorHAnsi"/>
          <w:sz w:val="24"/>
          <w:szCs w:val="24"/>
        </w:rPr>
        <w:t xml:space="preserve"> that</w:t>
      </w:r>
      <w:r w:rsidRPr="00461D74">
        <w:rPr>
          <w:rFonts w:ascii="Garamond" w:hAnsi="Garamond" w:cstheme="minorHAnsi"/>
          <w:sz w:val="24"/>
          <w:szCs w:val="24"/>
        </w:rPr>
        <w:t xml:space="preserve"> Rawls</w:t>
      </w:r>
      <w:r w:rsidR="00273481" w:rsidRPr="00461D74">
        <w:rPr>
          <w:rFonts w:ascii="Garamond" w:hAnsi="Garamond" w:cstheme="minorHAnsi"/>
          <w:sz w:val="24"/>
          <w:szCs w:val="24"/>
        </w:rPr>
        <w:t>’</w:t>
      </w:r>
      <w:r w:rsidRPr="00461D74">
        <w:rPr>
          <w:rFonts w:ascii="Garamond" w:hAnsi="Garamond" w:cstheme="minorHAnsi"/>
          <w:sz w:val="24"/>
          <w:szCs w:val="24"/>
        </w:rPr>
        <w:t xml:space="preserve"> original position already </w:t>
      </w:r>
      <w:r w:rsidR="00273481" w:rsidRPr="00461D74">
        <w:rPr>
          <w:rFonts w:ascii="Garamond" w:hAnsi="Garamond" w:cstheme="minorHAnsi"/>
          <w:sz w:val="24"/>
          <w:szCs w:val="24"/>
        </w:rPr>
        <w:t xml:space="preserve">subscribes to </w:t>
      </w:r>
      <w:r w:rsidRPr="00461D74">
        <w:rPr>
          <w:rFonts w:ascii="Garamond" w:hAnsi="Garamond" w:cstheme="minorHAnsi"/>
          <w:sz w:val="24"/>
          <w:szCs w:val="24"/>
        </w:rPr>
        <w:t>a substantive conception of the good</w:t>
      </w:r>
      <w:r w:rsidR="0038214C">
        <w:rPr>
          <w:rFonts w:ascii="Garamond" w:hAnsi="Garamond" w:cstheme="minorHAnsi"/>
          <w:sz w:val="24"/>
          <w:szCs w:val="24"/>
        </w:rPr>
        <w:t xml:space="preserve">, and go on to argue </w:t>
      </w:r>
      <w:r w:rsidRPr="00461D74">
        <w:rPr>
          <w:rFonts w:ascii="Garamond" w:hAnsi="Garamond" w:cstheme="minorHAnsi"/>
          <w:sz w:val="24"/>
          <w:szCs w:val="24"/>
        </w:rPr>
        <w:t xml:space="preserve">that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ideal theory is only ostensibly neutral</w:t>
      </w:r>
      <w:r w:rsidR="0038214C">
        <w:rPr>
          <w:rFonts w:ascii="Garamond" w:hAnsi="Garamond" w:cstheme="minorHAnsi"/>
          <w:sz w:val="24"/>
          <w:szCs w:val="24"/>
        </w:rPr>
        <w:t>;</w:t>
      </w:r>
      <w:r w:rsidR="005B2906" w:rsidRPr="00461D74">
        <w:rPr>
          <w:rFonts w:ascii="Garamond" w:hAnsi="Garamond" w:cstheme="minorHAnsi"/>
          <w:sz w:val="24"/>
          <w:szCs w:val="24"/>
        </w:rPr>
        <w:t xml:space="preserve"> and that</w:t>
      </w:r>
      <w:r w:rsidRPr="00461D74">
        <w:rPr>
          <w:rFonts w:ascii="Garamond" w:hAnsi="Garamond" w:cstheme="minorHAnsi"/>
          <w:sz w:val="24"/>
          <w:szCs w:val="24"/>
        </w:rPr>
        <w:t xml:space="preserve"> the premises that ground </w:t>
      </w:r>
      <w:r w:rsidR="005B2906" w:rsidRPr="00461D74">
        <w:rPr>
          <w:rFonts w:ascii="Garamond" w:hAnsi="Garamond" w:cstheme="minorHAnsi"/>
          <w:sz w:val="24"/>
          <w:szCs w:val="24"/>
        </w:rPr>
        <w:t xml:space="preserve">his </w:t>
      </w:r>
      <w:r w:rsidRPr="00461D74">
        <w:rPr>
          <w:rFonts w:ascii="Garamond" w:hAnsi="Garamond" w:cstheme="minorHAnsi"/>
          <w:sz w:val="24"/>
          <w:szCs w:val="24"/>
        </w:rPr>
        <w:t xml:space="preserve">theory are in fact moral.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Up </w:t>
      </w:r>
      <w:r w:rsidR="00436284" w:rsidRPr="00461D74">
        <w:rPr>
          <w:rFonts w:ascii="Garamond" w:hAnsi="Garamond" w:cstheme="minorHAnsi"/>
          <w:sz w:val="24"/>
          <w:szCs w:val="24"/>
        </w:rPr>
        <w:t xml:space="preserve">until </w:t>
      </w:r>
      <w:r w:rsidRPr="00461D74">
        <w:rPr>
          <w:rFonts w:ascii="Garamond" w:hAnsi="Garamond" w:cstheme="minorHAnsi"/>
          <w:sz w:val="24"/>
          <w:szCs w:val="24"/>
        </w:rPr>
        <w:t>this point</w:t>
      </w:r>
      <w:r w:rsidR="00436284" w:rsidRPr="00461D74">
        <w:rPr>
          <w:rFonts w:ascii="Garamond" w:hAnsi="Garamond" w:cstheme="minorHAnsi"/>
          <w:sz w:val="24"/>
          <w:szCs w:val="24"/>
        </w:rPr>
        <w:t>,</w:t>
      </w:r>
      <w:r w:rsidRPr="00461D74">
        <w:rPr>
          <w:rFonts w:ascii="Garamond" w:hAnsi="Garamond" w:cstheme="minorHAnsi"/>
          <w:sz w:val="24"/>
          <w:szCs w:val="24"/>
        </w:rPr>
        <w:t xml:space="preserve"> MacIntyre agrees with the realist critique. The realist however </w:t>
      </w:r>
      <w:r w:rsidR="00436284" w:rsidRPr="00461D74">
        <w:rPr>
          <w:rFonts w:ascii="Garamond" w:hAnsi="Garamond" w:cstheme="minorHAnsi"/>
          <w:sz w:val="24"/>
          <w:szCs w:val="24"/>
        </w:rPr>
        <w:t xml:space="preserve">goes on to </w:t>
      </w:r>
      <w:r w:rsidRPr="00461D74">
        <w:rPr>
          <w:rFonts w:ascii="Garamond" w:hAnsi="Garamond" w:cstheme="minorHAnsi"/>
          <w:sz w:val="24"/>
          <w:szCs w:val="24"/>
        </w:rPr>
        <w:t>conclude that while politics as an activity isn’t neutral, political philosophy and political science should in fact try to be more neutral</w:t>
      </w:r>
      <w:r w:rsidR="0038214C">
        <w:rPr>
          <w:rFonts w:ascii="Garamond" w:hAnsi="Garamond" w:cstheme="minorHAnsi"/>
          <w:sz w:val="24"/>
          <w:szCs w:val="24"/>
        </w:rPr>
        <w:t xml:space="preserve"> in the sense that it should be separated from moral concerns</w:t>
      </w:r>
      <w:r w:rsidRPr="00461D74">
        <w:rPr>
          <w:rFonts w:ascii="Garamond" w:hAnsi="Garamond" w:cstheme="minorHAnsi"/>
          <w:sz w:val="24"/>
          <w:szCs w:val="24"/>
        </w:rPr>
        <w:t xml:space="preserve">. On this view, politics is viewed </w:t>
      </w:r>
      <w:r w:rsidRPr="00461D74">
        <w:rPr>
          <w:rFonts w:ascii="Garamond" w:hAnsi="Garamond" w:cstheme="minorHAnsi"/>
          <w:sz w:val="24"/>
          <w:szCs w:val="24"/>
        </w:rPr>
        <w:lastRenderedPageBreak/>
        <w:t>as a separate discipline from ethics – one that is engaged in a comparative study of politics in different historical contexts. Here</w:t>
      </w:r>
      <w:r w:rsidR="00436284" w:rsidRPr="00461D74">
        <w:rPr>
          <w:rFonts w:ascii="Garamond" w:hAnsi="Garamond" w:cstheme="minorHAnsi"/>
          <w:sz w:val="24"/>
          <w:szCs w:val="24"/>
        </w:rPr>
        <w:t>,</w:t>
      </w:r>
      <w:r w:rsidRPr="00461D74">
        <w:rPr>
          <w:rFonts w:ascii="Garamond" w:hAnsi="Garamond" w:cstheme="minorHAnsi"/>
          <w:sz w:val="24"/>
          <w:szCs w:val="24"/>
        </w:rPr>
        <w:t xml:space="preserve"> MacIntyre agrees with the realist that the right sort of political science should concern itself with a comparative study of politics in different context</w:t>
      </w:r>
      <w:r w:rsidR="001D6036" w:rsidRPr="00461D74">
        <w:rPr>
          <w:rFonts w:ascii="Garamond" w:hAnsi="Garamond" w:cstheme="minorHAnsi"/>
          <w:sz w:val="24"/>
          <w:szCs w:val="24"/>
        </w:rPr>
        <w:t>s</w:t>
      </w:r>
      <w:r w:rsidRPr="00461D74">
        <w:rPr>
          <w:rFonts w:ascii="Garamond" w:hAnsi="Garamond" w:cstheme="minorHAnsi"/>
          <w:sz w:val="24"/>
          <w:szCs w:val="24"/>
        </w:rPr>
        <w:t>, and that politics as an activity isn’t neutral.</w:t>
      </w:r>
      <w:r w:rsidR="00EF4C02">
        <w:rPr>
          <w:rStyle w:val="FootnoteReference"/>
          <w:rFonts w:ascii="Garamond" w:hAnsi="Garamond" w:cstheme="minorHAnsi"/>
          <w:sz w:val="24"/>
          <w:szCs w:val="24"/>
        </w:rPr>
        <w:footnoteReference w:id="364"/>
      </w:r>
      <w:r w:rsidRPr="00461D74">
        <w:rPr>
          <w:rFonts w:ascii="Garamond" w:hAnsi="Garamond" w:cstheme="minorHAnsi"/>
          <w:sz w:val="24"/>
          <w:szCs w:val="24"/>
        </w:rPr>
        <w:t xml:space="preserve"> On the other hand, MacIntyre reject</w:t>
      </w:r>
      <w:r w:rsidR="001D6036" w:rsidRPr="00461D74">
        <w:rPr>
          <w:rFonts w:ascii="Garamond" w:hAnsi="Garamond" w:cstheme="minorHAnsi"/>
          <w:sz w:val="24"/>
          <w:szCs w:val="24"/>
        </w:rPr>
        <w:t>s</w:t>
      </w:r>
      <w:r w:rsidRPr="00461D74">
        <w:rPr>
          <w:rFonts w:ascii="Garamond" w:hAnsi="Garamond" w:cstheme="minorHAnsi"/>
          <w:sz w:val="24"/>
          <w:szCs w:val="24"/>
        </w:rPr>
        <w:t xml:space="preserve"> the realist assertion that the right sort of political science can become neutral. MacIntyre </w:t>
      </w:r>
      <w:r w:rsidR="00D237C8">
        <w:rPr>
          <w:rFonts w:ascii="Garamond" w:hAnsi="Garamond" w:cstheme="minorHAnsi"/>
          <w:sz w:val="24"/>
          <w:szCs w:val="24"/>
        </w:rPr>
        <w:t>argues</w:t>
      </w:r>
      <w:r w:rsidR="00D237C8" w:rsidRPr="00461D74">
        <w:rPr>
          <w:rFonts w:ascii="Garamond" w:hAnsi="Garamond" w:cstheme="minorHAnsi"/>
          <w:sz w:val="24"/>
          <w:szCs w:val="24"/>
        </w:rPr>
        <w:t xml:space="preserve"> </w:t>
      </w:r>
      <w:r w:rsidRPr="00461D74">
        <w:rPr>
          <w:rFonts w:ascii="Garamond" w:hAnsi="Garamond" w:cstheme="minorHAnsi"/>
          <w:sz w:val="24"/>
          <w:szCs w:val="24"/>
        </w:rPr>
        <w:t>that the study of politics and political science formulated in realist terms cannot be separated from ethical questions, because the sort of evaluative questions that generate explanations are inherently normative</w:t>
      </w:r>
      <w:r w:rsidR="00D4115E">
        <w:rPr>
          <w:rFonts w:ascii="Garamond" w:hAnsi="Garamond" w:cstheme="minorHAnsi"/>
          <w:sz w:val="24"/>
          <w:szCs w:val="24"/>
        </w:rPr>
        <w:t>ly</w:t>
      </w:r>
      <w:r w:rsidR="00146D51">
        <w:rPr>
          <w:rFonts w:ascii="Garamond" w:hAnsi="Garamond" w:cstheme="minorHAnsi"/>
          <w:sz w:val="24"/>
          <w:szCs w:val="24"/>
        </w:rPr>
        <w:t>-laden</w:t>
      </w:r>
      <w:r w:rsidR="001D6036" w:rsidRPr="00461D74">
        <w:rPr>
          <w:rFonts w:ascii="Garamond" w:hAnsi="Garamond" w:cstheme="minorHAnsi"/>
          <w:sz w:val="24"/>
          <w:szCs w:val="24"/>
        </w:rPr>
        <w:t>,</w:t>
      </w:r>
      <w:r w:rsidRPr="00461D74">
        <w:rPr>
          <w:rFonts w:ascii="Garamond" w:hAnsi="Garamond" w:cstheme="minorHAnsi"/>
          <w:sz w:val="24"/>
          <w:szCs w:val="24"/>
        </w:rPr>
        <w:t xml:space="preserve"> which in turn impedes the formulation of a neutral political theory or political science.</w:t>
      </w:r>
    </w:p>
    <w:p w:rsidR="00665157" w:rsidRDefault="00016049">
      <w:pPr>
        <w:spacing w:line="360" w:lineRule="auto"/>
        <w:ind w:left="1440"/>
        <w:jc w:val="both"/>
        <w:rPr>
          <w:rFonts w:ascii="Garamond" w:hAnsi="Garamond" w:cstheme="minorHAnsi"/>
        </w:rPr>
      </w:pPr>
      <w:r w:rsidRPr="00461D74">
        <w:rPr>
          <w:rFonts w:ascii="Garamond" w:hAnsi="Garamond" w:cstheme="minorHAnsi"/>
        </w:rPr>
        <w:t>“To insist that political science be value-free is to insist that we never use in our explanations such clauses as ‘because it was unjust’ or ‘because it was illegitimate’ when we explain the collapse of policy or a regime.”</w:t>
      </w:r>
      <w:r w:rsidRPr="00461D74">
        <w:rPr>
          <w:rStyle w:val="FootnoteReference"/>
          <w:rFonts w:ascii="Garamond" w:hAnsi="Garamond" w:cstheme="minorHAnsi"/>
        </w:rPr>
        <w:footnoteReference w:id="365"/>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Thus, while MacIntyre at times </w:t>
      </w:r>
      <w:r w:rsidR="00D237C8">
        <w:rPr>
          <w:rFonts w:ascii="Garamond" w:hAnsi="Garamond" w:cstheme="minorHAnsi"/>
          <w:sz w:val="24"/>
          <w:szCs w:val="24"/>
        </w:rPr>
        <w:t>seems to believe</w:t>
      </w:r>
      <w:r w:rsidR="00D237C8" w:rsidRPr="00461D74">
        <w:rPr>
          <w:rFonts w:ascii="Garamond" w:hAnsi="Garamond" w:cstheme="minorHAnsi"/>
          <w:sz w:val="24"/>
          <w:szCs w:val="24"/>
        </w:rPr>
        <w:t xml:space="preserve"> </w:t>
      </w:r>
      <w:r w:rsidRPr="00461D74">
        <w:rPr>
          <w:rFonts w:ascii="Garamond" w:hAnsi="Garamond" w:cstheme="minorHAnsi"/>
          <w:sz w:val="24"/>
          <w:szCs w:val="24"/>
        </w:rPr>
        <w:t>that it would be better for the liberal state to be more neutral than it is,</w:t>
      </w:r>
      <w:r w:rsidRPr="00461D74">
        <w:rPr>
          <w:rStyle w:val="FootnoteReference"/>
          <w:rFonts w:ascii="Garamond" w:hAnsi="Garamond" w:cstheme="minorHAnsi"/>
          <w:sz w:val="24"/>
          <w:szCs w:val="24"/>
        </w:rPr>
        <w:footnoteReference w:id="366"/>
      </w:r>
      <w:r w:rsidRPr="00461D74">
        <w:rPr>
          <w:rFonts w:ascii="Garamond" w:hAnsi="Garamond" w:cstheme="minorHAnsi"/>
          <w:sz w:val="24"/>
          <w:szCs w:val="24"/>
        </w:rPr>
        <w:t xml:space="preserve"> </w:t>
      </w:r>
      <w:r w:rsidR="00D237C8">
        <w:rPr>
          <w:rFonts w:ascii="Garamond" w:hAnsi="Garamond" w:cstheme="minorHAnsi"/>
          <w:sz w:val="24"/>
          <w:szCs w:val="24"/>
        </w:rPr>
        <w:t xml:space="preserve">he also argues that </w:t>
      </w:r>
      <w:r w:rsidRPr="00461D74">
        <w:rPr>
          <w:rFonts w:ascii="Garamond" w:hAnsi="Garamond" w:cstheme="minorHAnsi"/>
          <w:sz w:val="24"/>
          <w:szCs w:val="24"/>
        </w:rPr>
        <w:t>this will inevitabl</w:t>
      </w:r>
      <w:r w:rsidR="00864F8B" w:rsidRPr="00461D74">
        <w:rPr>
          <w:rFonts w:ascii="Garamond" w:hAnsi="Garamond" w:cstheme="minorHAnsi"/>
          <w:sz w:val="24"/>
          <w:szCs w:val="24"/>
        </w:rPr>
        <w:t>y</w:t>
      </w:r>
      <w:r w:rsidRPr="00461D74">
        <w:rPr>
          <w:rFonts w:ascii="Garamond" w:hAnsi="Garamond" w:cstheme="minorHAnsi"/>
          <w:sz w:val="24"/>
          <w:szCs w:val="24"/>
        </w:rPr>
        <w:t xml:space="preserve"> fail because political questions are inescapably normative questions. Thus, neutrality</w:t>
      </w:r>
      <w:r w:rsidR="00864F8B" w:rsidRPr="00461D74">
        <w:rPr>
          <w:rFonts w:ascii="Garamond" w:hAnsi="Garamond" w:cstheme="minorHAnsi"/>
          <w:sz w:val="24"/>
          <w:szCs w:val="24"/>
        </w:rPr>
        <w:t>,</w:t>
      </w:r>
      <w:r w:rsidRPr="00461D74">
        <w:rPr>
          <w:rFonts w:ascii="Garamond" w:hAnsi="Garamond" w:cstheme="minorHAnsi"/>
          <w:sz w:val="24"/>
          <w:szCs w:val="24"/>
        </w:rPr>
        <w:t xml:space="preserve"> in principle</w:t>
      </w:r>
      <w:r w:rsidR="00864F8B" w:rsidRPr="00461D74">
        <w:rPr>
          <w:rFonts w:ascii="Garamond" w:hAnsi="Garamond" w:cstheme="minorHAnsi"/>
          <w:sz w:val="24"/>
          <w:szCs w:val="24"/>
        </w:rPr>
        <w:t>, is</w:t>
      </w:r>
      <w:r w:rsidRPr="00461D74">
        <w:rPr>
          <w:rFonts w:ascii="Garamond" w:hAnsi="Garamond" w:cstheme="minorHAnsi"/>
          <w:sz w:val="24"/>
          <w:szCs w:val="24"/>
        </w:rPr>
        <w:t xml:space="preserve"> not possible</w:t>
      </w:r>
      <w:r w:rsidR="00864F8B" w:rsidRPr="00461D74">
        <w:rPr>
          <w:rFonts w:ascii="Garamond" w:hAnsi="Garamond" w:cstheme="minorHAnsi"/>
          <w:sz w:val="24"/>
          <w:szCs w:val="24"/>
        </w:rPr>
        <w:t>;</w:t>
      </w:r>
      <w:r w:rsidRPr="00461D74">
        <w:rPr>
          <w:rFonts w:ascii="Garamond" w:hAnsi="Garamond" w:cstheme="minorHAnsi"/>
          <w:sz w:val="24"/>
          <w:szCs w:val="24"/>
        </w:rPr>
        <w:t xml:space="preserve"> </w:t>
      </w:r>
      <w:r w:rsidR="00864F8B" w:rsidRPr="00461D74">
        <w:rPr>
          <w:rFonts w:ascii="Garamond" w:hAnsi="Garamond" w:cstheme="minorHAnsi"/>
          <w:sz w:val="24"/>
          <w:szCs w:val="24"/>
        </w:rPr>
        <w:t xml:space="preserve">hence, </w:t>
      </w:r>
      <w:r w:rsidRPr="00461D74">
        <w:rPr>
          <w:rFonts w:ascii="Garamond" w:hAnsi="Garamond" w:cstheme="minorHAnsi"/>
          <w:sz w:val="24"/>
          <w:szCs w:val="24"/>
        </w:rPr>
        <w:t xml:space="preserve">ethics and politics </w:t>
      </w:r>
      <w:r w:rsidR="00375835">
        <w:rPr>
          <w:rFonts w:ascii="Garamond" w:hAnsi="Garamond" w:cstheme="minorHAnsi"/>
          <w:sz w:val="24"/>
          <w:szCs w:val="24"/>
        </w:rPr>
        <w:t xml:space="preserve">could not </w:t>
      </w:r>
      <w:r w:rsidR="00D4115E">
        <w:rPr>
          <w:rFonts w:ascii="Garamond" w:hAnsi="Garamond" w:cstheme="minorHAnsi"/>
          <w:sz w:val="24"/>
          <w:szCs w:val="24"/>
        </w:rPr>
        <w:t xml:space="preserve">be </w:t>
      </w:r>
      <w:r w:rsidR="00BA3648">
        <w:rPr>
          <w:rFonts w:ascii="Garamond" w:hAnsi="Garamond" w:cstheme="minorHAnsi"/>
          <w:sz w:val="24"/>
          <w:szCs w:val="24"/>
        </w:rPr>
        <w:t>but</w:t>
      </w:r>
      <w:r w:rsidR="00BA3648" w:rsidRPr="00461D74">
        <w:rPr>
          <w:rFonts w:ascii="Garamond" w:hAnsi="Garamond" w:cstheme="minorHAnsi"/>
          <w:sz w:val="24"/>
          <w:szCs w:val="24"/>
        </w:rPr>
        <w:t xml:space="preserve"> </w:t>
      </w:r>
      <w:r w:rsidRPr="00461D74">
        <w:rPr>
          <w:rFonts w:ascii="Garamond" w:hAnsi="Garamond" w:cstheme="minorHAnsi"/>
          <w:sz w:val="24"/>
          <w:szCs w:val="24"/>
        </w:rPr>
        <w:t xml:space="preserve">entangled.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In summary</w:t>
      </w:r>
      <w:r w:rsidR="001D6036" w:rsidRPr="00461D74">
        <w:rPr>
          <w:rFonts w:ascii="Garamond" w:hAnsi="Garamond" w:cstheme="minorHAnsi"/>
          <w:sz w:val="24"/>
          <w:szCs w:val="24"/>
        </w:rPr>
        <w:t>,</w:t>
      </w:r>
      <w:r w:rsidRPr="00461D74">
        <w:rPr>
          <w:rFonts w:ascii="Garamond" w:hAnsi="Garamond" w:cstheme="minorHAnsi"/>
          <w:sz w:val="24"/>
          <w:szCs w:val="24"/>
        </w:rPr>
        <w:t xml:space="preserve"> we observe that on the one hand MacIntyre’s broader historicism seems to indicate a type of political philosophy that is firmly realist. An essential element of MacIntyre’s ideological critique of modern liberal politics – his polemic against the self-disguising nature of ideal (liberal) theory, its </w:t>
      </w:r>
      <w:proofErr w:type="gramStart"/>
      <w:r w:rsidRPr="00461D74">
        <w:rPr>
          <w:rFonts w:ascii="Garamond" w:hAnsi="Garamond" w:cstheme="minorHAnsi"/>
          <w:sz w:val="24"/>
          <w:szCs w:val="24"/>
        </w:rPr>
        <w:t>universalist</w:t>
      </w:r>
      <w:proofErr w:type="gramEnd"/>
      <w:r w:rsidRPr="00461D74">
        <w:rPr>
          <w:rFonts w:ascii="Garamond" w:hAnsi="Garamond" w:cstheme="minorHAnsi"/>
          <w:sz w:val="24"/>
          <w:szCs w:val="24"/>
        </w:rPr>
        <w:t xml:space="preserve"> pretensions, and its moral-cum-philosophical hegemony over other traditions</w:t>
      </w:r>
      <w:r w:rsidR="001D6036" w:rsidRPr="00461D74">
        <w:rPr>
          <w:rFonts w:ascii="Garamond" w:hAnsi="Garamond" w:cstheme="minorHAnsi"/>
          <w:sz w:val="24"/>
          <w:szCs w:val="24"/>
        </w:rPr>
        <w:t xml:space="preserve"> –</w:t>
      </w:r>
      <w:r w:rsidRPr="00461D74">
        <w:rPr>
          <w:rFonts w:ascii="Garamond" w:hAnsi="Garamond" w:cstheme="minorHAnsi"/>
          <w:sz w:val="24"/>
          <w:szCs w:val="24"/>
        </w:rPr>
        <w:t xml:space="preserve"> is </w:t>
      </w:r>
      <w:r w:rsidRPr="00461D74">
        <w:rPr>
          <w:rFonts w:ascii="Garamond" w:hAnsi="Garamond" w:cstheme="minorHAnsi"/>
          <w:sz w:val="24"/>
          <w:szCs w:val="24"/>
        </w:rPr>
        <w:lastRenderedPageBreak/>
        <w:t xml:space="preserve">safely within the confines of a real theorist’s critique of power and its application. On the other hand, the question of the good life is central to MacIntyre’s </w:t>
      </w:r>
      <w:r w:rsidR="00B55C52">
        <w:rPr>
          <w:rFonts w:ascii="Garamond" w:hAnsi="Garamond" w:cstheme="minorHAnsi"/>
          <w:sz w:val="24"/>
          <w:szCs w:val="24"/>
        </w:rPr>
        <w:t>Neo</w:t>
      </w:r>
      <w:r w:rsidR="00E05C3C">
        <w:rPr>
          <w:rFonts w:ascii="Garamond" w:hAnsi="Garamond" w:cstheme="minorHAnsi"/>
          <w:sz w:val="24"/>
          <w:szCs w:val="24"/>
        </w:rPr>
        <w:t>-</w:t>
      </w:r>
      <w:r w:rsidRPr="00461D74">
        <w:rPr>
          <w:rFonts w:ascii="Garamond" w:hAnsi="Garamond" w:cstheme="minorHAnsi"/>
          <w:sz w:val="24"/>
          <w:szCs w:val="24"/>
        </w:rPr>
        <w:t xml:space="preserve">Aristotelian-Thomistic politics. </w:t>
      </w:r>
      <w:r w:rsidR="00864F8B" w:rsidRPr="00461D74">
        <w:rPr>
          <w:rFonts w:ascii="Garamond" w:hAnsi="Garamond" w:cstheme="minorHAnsi"/>
          <w:sz w:val="24"/>
          <w:szCs w:val="24"/>
        </w:rPr>
        <w:t xml:space="preserve">On this view, </w:t>
      </w:r>
      <w:r w:rsidRPr="00461D74">
        <w:rPr>
          <w:rFonts w:ascii="Garamond" w:hAnsi="Garamond" w:cstheme="minorHAnsi"/>
          <w:sz w:val="24"/>
          <w:szCs w:val="24"/>
        </w:rPr>
        <w:t xml:space="preserve">the task </w:t>
      </w:r>
      <w:r w:rsidR="00864F8B" w:rsidRPr="00461D74">
        <w:rPr>
          <w:rFonts w:ascii="Garamond" w:hAnsi="Garamond" w:cstheme="minorHAnsi"/>
          <w:sz w:val="24"/>
          <w:szCs w:val="24"/>
        </w:rPr>
        <w:t xml:space="preserve">of politics </w:t>
      </w:r>
      <w:r w:rsidRPr="00461D74">
        <w:rPr>
          <w:rFonts w:ascii="Garamond" w:hAnsi="Garamond" w:cstheme="minorHAnsi"/>
          <w:sz w:val="24"/>
          <w:szCs w:val="24"/>
        </w:rPr>
        <w:t xml:space="preserve">is the ordering </w:t>
      </w:r>
      <w:r w:rsidR="00864F8B" w:rsidRPr="00461D74">
        <w:rPr>
          <w:rFonts w:ascii="Garamond" w:hAnsi="Garamond" w:cstheme="minorHAnsi"/>
          <w:sz w:val="24"/>
          <w:szCs w:val="24"/>
        </w:rPr>
        <w:t xml:space="preserve">and arrangement </w:t>
      </w:r>
      <w:r w:rsidRPr="00461D74">
        <w:rPr>
          <w:rFonts w:ascii="Garamond" w:hAnsi="Garamond" w:cstheme="minorHAnsi"/>
          <w:sz w:val="24"/>
          <w:szCs w:val="24"/>
        </w:rPr>
        <w:t>of various goods</w:t>
      </w:r>
      <w:r w:rsidR="00864F8B" w:rsidRPr="00461D74">
        <w:rPr>
          <w:rFonts w:ascii="Garamond" w:hAnsi="Garamond" w:cstheme="minorHAnsi"/>
          <w:sz w:val="24"/>
          <w:szCs w:val="24"/>
        </w:rPr>
        <w:t>,</w:t>
      </w:r>
      <w:r w:rsidRPr="00461D74">
        <w:rPr>
          <w:rFonts w:ascii="Garamond" w:hAnsi="Garamond" w:cstheme="minorHAnsi"/>
          <w:sz w:val="24"/>
          <w:szCs w:val="24"/>
        </w:rPr>
        <w:t xml:space="preserve"> </w:t>
      </w:r>
      <w:r w:rsidR="00864F8B" w:rsidRPr="00461D74">
        <w:rPr>
          <w:rFonts w:ascii="Garamond" w:hAnsi="Garamond" w:cstheme="minorHAnsi"/>
          <w:sz w:val="24"/>
          <w:szCs w:val="24"/>
        </w:rPr>
        <w:t xml:space="preserve">for the purpose of generating the best outcomes, within </w:t>
      </w:r>
      <w:r w:rsidRPr="00461D74">
        <w:rPr>
          <w:rFonts w:ascii="Garamond" w:hAnsi="Garamond" w:cstheme="minorHAnsi"/>
          <w:sz w:val="24"/>
          <w:szCs w:val="24"/>
        </w:rPr>
        <w:t xml:space="preserve">a particular human community. Yet, realist political philosophy eschews the grand meta-narratives of the good life (like those in Plato or Aristotle) and any thick account of the good. Thus, </w:t>
      </w:r>
      <w:r w:rsidR="00864F8B" w:rsidRPr="00461D74">
        <w:rPr>
          <w:rFonts w:ascii="Garamond" w:hAnsi="Garamond" w:cstheme="minorHAnsi"/>
          <w:sz w:val="24"/>
          <w:szCs w:val="24"/>
        </w:rPr>
        <w:t xml:space="preserve">MacIntyre’s </w:t>
      </w:r>
      <w:r w:rsidRPr="00461D74">
        <w:rPr>
          <w:rFonts w:ascii="Garamond" w:hAnsi="Garamond" w:cstheme="minorHAnsi"/>
          <w:sz w:val="24"/>
          <w:szCs w:val="24"/>
        </w:rPr>
        <w:t xml:space="preserve">Aristotelian inspired views </w:t>
      </w:r>
      <w:r w:rsidR="00864F8B" w:rsidRPr="00461D74">
        <w:rPr>
          <w:rFonts w:ascii="Garamond" w:hAnsi="Garamond" w:cstheme="minorHAnsi"/>
          <w:sz w:val="24"/>
          <w:szCs w:val="24"/>
        </w:rPr>
        <w:t xml:space="preserve">appear to </w:t>
      </w:r>
      <w:r w:rsidRPr="00461D74">
        <w:rPr>
          <w:rFonts w:ascii="Garamond" w:hAnsi="Garamond" w:cstheme="minorHAnsi"/>
          <w:sz w:val="24"/>
          <w:szCs w:val="24"/>
        </w:rPr>
        <w:t xml:space="preserve">sit uncomfortably with </w:t>
      </w:r>
      <w:r w:rsidR="00864F8B" w:rsidRPr="00461D74">
        <w:rPr>
          <w:rFonts w:ascii="Garamond" w:hAnsi="Garamond" w:cstheme="minorHAnsi"/>
          <w:sz w:val="24"/>
          <w:szCs w:val="24"/>
        </w:rPr>
        <w:t xml:space="preserve">the </w:t>
      </w:r>
      <w:r w:rsidRPr="00461D74">
        <w:rPr>
          <w:rFonts w:ascii="Garamond" w:hAnsi="Garamond" w:cstheme="minorHAnsi"/>
          <w:sz w:val="24"/>
          <w:szCs w:val="24"/>
        </w:rPr>
        <w:t xml:space="preserve">realist </w:t>
      </w:r>
      <w:r w:rsidR="00864F8B" w:rsidRPr="00461D74">
        <w:rPr>
          <w:rFonts w:ascii="Garamond" w:hAnsi="Garamond" w:cstheme="minorHAnsi"/>
          <w:sz w:val="24"/>
          <w:szCs w:val="24"/>
        </w:rPr>
        <w:t xml:space="preserve">elements in his </w:t>
      </w:r>
      <w:r w:rsidRPr="00461D74">
        <w:rPr>
          <w:rFonts w:ascii="Garamond" w:hAnsi="Garamond" w:cstheme="minorHAnsi"/>
          <w:sz w:val="24"/>
          <w:szCs w:val="24"/>
        </w:rPr>
        <w:t>political philosophy.</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 xml:space="preserve">Next, I consider whether we can read MacIntyre as an ideal theorist </w:t>
      </w:r>
      <w:r w:rsidR="00675E30" w:rsidRPr="00461D74">
        <w:rPr>
          <w:rFonts w:ascii="Garamond" w:hAnsi="Garamond" w:cstheme="minorHAnsi"/>
          <w:sz w:val="24"/>
          <w:szCs w:val="24"/>
        </w:rPr>
        <w:t xml:space="preserve">in a way that </w:t>
      </w:r>
      <w:r w:rsidRPr="00461D74">
        <w:rPr>
          <w:rFonts w:ascii="Garamond" w:hAnsi="Garamond" w:cstheme="minorHAnsi"/>
          <w:sz w:val="24"/>
          <w:szCs w:val="24"/>
        </w:rPr>
        <w:t>disarm</w:t>
      </w:r>
      <w:r w:rsidR="00675E30" w:rsidRPr="00461D74">
        <w:rPr>
          <w:rFonts w:ascii="Garamond" w:hAnsi="Garamond" w:cstheme="minorHAnsi"/>
          <w:sz w:val="24"/>
          <w:szCs w:val="24"/>
        </w:rPr>
        <w:t>s</w:t>
      </w:r>
      <w:r w:rsidRPr="00461D74">
        <w:rPr>
          <w:rFonts w:ascii="Garamond" w:hAnsi="Garamond" w:cstheme="minorHAnsi"/>
          <w:sz w:val="24"/>
          <w:szCs w:val="24"/>
        </w:rPr>
        <w:t xml:space="preserve"> the </w:t>
      </w:r>
      <w:r w:rsidR="00675E30" w:rsidRPr="00461D74">
        <w:rPr>
          <w:rFonts w:ascii="Garamond" w:hAnsi="Garamond" w:cstheme="minorHAnsi"/>
          <w:sz w:val="24"/>
          <w:szCs w:val="24"/>
        </w:rPr>
        <w:t xml:space="preserve">second </w:t>
      </w:r>
      <w:r w:rsidRPr="00461D74">
        <w:rPr>
          <w:rFonts w:ascii="Garamond" w:hAnsi="Garamond" w:cstheme="minorHAnsi"/>
          <w:sz w:val="24"/>
          <w:szCs w:val="24"/>
        </w:rPr>
        <w:t xml:space="preserve">tension </w:t>
      </w:r>
      <w:r w:rsidR="00675E30" w:rsidRPr="00461D74">
        <w:rPr>
          <w:rFonts w:ascii="Garamond" w:hAnsi="Garamond" w:cstheme="minorHAnsi"/>
          <w:sz w:val="24"/>
          <w:szCs w:val="24"/>
        </w:rPr>
        <w:t>I identified earlier</w:t>
      </w:r>
      <w:r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7B7FD8">
      <w:pPr>
        <w:pStyle w:val="Heading3"/>
        <w:spacing w:line="360" w:lineRule="auto"/>
        <w:jc w:val="both"/>
        <w:rPr>
          <w:rFonts w:cstheme="majorHAnsi"/>
        </w:rPr>
      </w:pPr>
      <w:bookmarkStart w:id="50" w:name="_Toc528077827"/>
      <w:r w:rsidRPr="00F03436">
        <w:rPr>
          <w:rFonts w:cstheme="majorHAnsi"/>
        </w:rPr>
        <w:t>2.3 MacIntyre as an Ideal T</w:t>
      </w:r>
      <w:r w:rsidR="00016049" w:rsidRPr="00F03436">
        <w:rPr>
          <w:rFonts w:cstheme="majorHAnsi"/>
        </w:rPr>
        <w:t>heorist</w:t>
      </w:r>
      <w:bookmarkEnd w:id="50"/>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MacIntyre</w:t>
      </w:r>
      <w:r w:rsidR="00A611A3" w:rsidRPr="00461D74">
        <w:rPr>
          <w:rFonts w:ascii="Garamond" w:hAnsi="Garamond" w:cstheme="minorHAnsi"/>
          <w:sz w:val="24"/>
          <w:szCs w:val="24"/>
        </w:rPr>
        <w:t>,</w:t>
      </w:r>
      <w:r w:rsidRPr="00461D74">
        <w:rPr>
          <w:rFonts w:ascii="Garamond" w:hAnsi="Garamond" w:cstheme="minorHAnsi"/>
          <w:sz w:val="24"/>
          <w:szCs w:val="24"/>
        </w:rPr>
        <w:t xml:space="preserve"> following Aristotle and Plato</w:t>
      </w:r>
      <w:r w:rsidR="00A611A3" w:rsidRPr="00461D74">
        <w:rPr>
          <w:rFonts w:ascii="Garamond" w:hAnsi="Garamond" w:cstheme="minorHAnsi"/>
          <w:sz w:val="24"/>
          <w:szCs w:val="24"/>
        </w:rPr>
        <w:t>,</w:t>
      </w:r>
      <w:r w:rsidRPr="00461D74">
        <w:rPr>
          <w:rFonts w:ascii="Garamond" w:hAnsi="Garamond" w:cstheme="minorHAnsi"/>
          <w:sz w:val="24"/>
          <w:szCs w:val="24"/>
        </w:rPr>
        <w:t xml:space="preserve"> maintains that the central task in ethical inquiry is to understand the constitutive elements of the good life and human flourishing. On MacIntyre’s account</w:t>
      </w:r>
      <w:r w:rsidR="00A611A3" w:rsidRPr="00461D74">
        <w:rPr>
          <w:rFonts w:ascii="Garamond" w:hAnsi="Garamond" w:cstheme="minorHAnsi"/>
          <w:sz w:val="24"/>
          <w:szCs w:val="24"/>
        </w:rPr>
        <w:t>,</w:t>
      </w:r>
      <w:r w:rsidRPr="00461D74">
        <w:rPr>
          <w:rFonts w:ascii="Garamond" w:hAnsi="Garamond" w:cstheme="minorHAnsi"/>
          <w:sz w:val="24"/>
          <w:szCs w:val="24"/>
        </w:rPr>
        <w:t xml:space="preserve"> a substantive conception of the good grounded in human nature is </w:t>
      </w:r>
      <w:r w:rsidR="005C5258">
        <w:rPr>
          <w:rFonts w:ascii="Garamond" w:hAnsi="Garamond" w:cstheme="minorHAnsi"/>
          <w:sz w:val="24"/>
          <w:szCs w:val="24"/>
        </w:rPr>
        <w:t>a crucial</w:t>
      </w:r>
      <w:r w:rsidR="005C5258" w:rsidRPr="00461D74">
        <w:rPr>
          <w:rFonts w:ascii="Garamond" w:hAnsi="Garamond" w:cstheme="minorHAnsi"/>
          <w:sz w:val="24"/>
          <w:szCs w:val="24"/>
        </w:rPr>
        <w:t xml:space="preserve"> </w:t>
      </w:r>
      <w:r w:rsidR="005C5258">
        <w:rPr>
          <w:rFonts w:ascii="Garamond" w:hAnsi="Garamond" w:cstheme="minorHAnsi"/>
          <w:sz w:val="24"/>
          <w:szCs w:val="24"/>
        </w:rPr>
        <w:t>aspect of generating the conditions under which</w:t>
      </w:r>
      <w:r w:rsidRPr="00461D74">
        <w:rPr>
          <w:rFonts w:ascii="Garamond" w:hAnsi="Garamond" w:cstheme="minorHAnsi"/>
          <w:sz w:val="24"/>
          <w:szCs w:val="24"/>
        </w:rPr>
        <w:t xml:space="preserve"> human </w:t>
      </w:r>
      <w:r w:rsidR="005C5258">
        <w:rPr>
          <w:rFonts w:ascii="Garamond" w:hAnsi="Garamond" w:cstheme="minorHAnsi"/>
          <w:sz w:val="24"/>
          <w:szCs w:val="24"/>
        </w:rPr>
        <w:t xml:space="preserve">beings can </w:t>
      </w:r>
      <w:r w:rsidRPr="00461D74">
        <w:rPr>
          <w:rFonts w:ascii="Garamond" w:hAnsi="Garamond" w:cstheme="minorHAnsi"/>
          <w:sz w:val="24"/>
          <w:szCs w:val="24"/>
        </w:rPr>
        <w:t xml:space="preserve">flourish. On this Aristotelian view, human beings are political animals and so human flourishing understood as a whole can only be achieved </w:t>
      </w:r>
      <w:r w:rsidR="00A611A3" w:rsidRPr="00461D74">
        <w:rPr>
          <w:rFonts w:ascii="Garamond" w:hAnsi="Garamond" w:cstheme="minorHAnsi"/>
          <w:sz w:val="24"/>
          <w:szCs w:val="24"/>
        </w:rPr>
        <w:t xml:space="preserve">if we consider the concept of flourishing as inextricably tied to </w:t>
      </w:r>
      <w:r w:rsidRPr="00461D74">
        <w:rPr>
          <w:rFonts w:ascii="Garamond" w:hAnsi="Garamond" w:cstheme="minorHAnsi"/>
          <w:sz w:val="24"/>
          <w:szCs w:val="24"/>
        </w:rPr>
        <w:t xml:space="preserve">the wider </w:t>
      </w:r>
      <w:r w:rsidR="00A611A3" w:rsidRPr="00461D74">
        <w:rPr>
          <w:rFonts w:ascii="Garamond" w:hAnsi="Garamond" w:cstheme="minorHAnsi"/>
          <w:sz w:val="24"/>
          <w:szCs w:val="24"/>
        </w:rPr>
        <w:t>social</w:t>
      </w:r>
      <w:r w:rsidRPr="00461D74">
        <w:rPr>
          <w:rFonts w:ascii="Garamond" w:hAnsi="Garamond" w:cstheme="minorHAnsi"/>
          <w:sz w:val="24"/>
          <w:szCs w:val="24"/>
        </w:rPr>
        <w:t>-political context. In order for human beings to achieve the good life</w:t>
      </w:r>
      <w:r w:rsidR="00D4115E">
        <w:rPr>
          <w:rFonts w:ascii="Garamond" w:hAnsi="Garamond" w:cstheme="minorHAnsi"/>
          <w:sz w:val="24"/>
          <w:szCs w:val="24"/>
        </w:rPr>
        <w:t>,</w:t>
      </w:r>
      <w:r w:rsidRPr="00461D74">
        <w:rPr>
          <w:rFonts w:ascii="Garamond" w:hAnsi="Garamond" w:cstheme="minorHAnsi"/>
          <w:sz w:val="24"/>
          <w:szCs w:val="24"/>
        </w:rPr>
        <w:t xml:space="preserve"> they must participate in society and exercise their political rights as citizens. </w:t>
      </w:r>
      <w:r w:rsidR="005C5258">
        <w:rPr>
          <w:rFonts w:ascii="Garamond" w:hAnsi="Garamond" w:cstheme="minorHAnsi"/>
          <w:sz w:val="24"/>
          <w:szCs w:val="24"/>
        </w:rPr>
        <w:t>Thus, i</w:t>
      </w:r>
      <w:r w:rsidR="00A611A3" w:rsidRPr="00461D74">
        <w:rPr>
          <w:rFonts w:ascii="Garamond" w:hAnsi="Garamond" w:cstheme="minorHAnsi"/>
          <w:sz w:val="24"/>
          <w:szCs w:val="24"/>
        </w:rPr>
        <w:t xml:space="preserve">n the absence of adequate </w:t>
      </w:r>
      <w:r w:rsidRPr="00461D74">
        <w:rPr>
          <w:rFonts w:ascii="Garamond" w:hAnsi="Garamond" w:cstheme="minorHAnsi"/>
          <w:sz w:val="24"/>
          <w:szCs w:val="24"/>
        </w:rPr>
        <w:t>social</w:t>
      </w:r>
      <w:r w:rsidR="00A611A3" w:rsidRPr="00461D74">
        <w:rPr>
          <w:rFonts w:ascii="Garamond" w:hAnsi="Garamond" w:cstheme="minorHAnsi"/>
          <w:sz w:val="24"/>
          <w:szCs w:val="24"/>
        </w:rPr>
        <w:t xml:space="preserve"> and </w:t>
      </w:r>
      <w:r w:rsidRPr="00461D74">
        <w:rPr>
          <w:rFonts w:ascii="Garamond" w:hAnsi="Garamond" w:cstheme="minorHAnsi"/>
          <w:sz w:val="24"/>
          <w:szCs w:val="24"/>
        </w:rPr>
        <w:t xml:space="preserve">political </w:t>
      </w:r>
      <w:r w:rsidR="00A611A3" w:rsidRPr="00461D74">
        <w:rPr>
          <w:rFonts w:ascii="Garamond" w:hAnsi="Garamond" w:cstheme="minorHAnsi"/>
          <w:sz w:val="24"/>
          <w:szCs w:val="24"/>
        </w:rPr>
        <w:t xml:space="preserve">activity, </w:t>
      </w:r>
      <w:r w:rsidRPr="00461D74">
        <w:rPr>
          <w:rFonts w:ascii="Garamond" w:hAnsi="Garamond" w:cstheme="minorHAnsi"/>
          <w:sz w:val="24"/>
          <w:szCs w:val="24"/>
        </w:rPr>
        <w:t>human beings cannot flourish</w:t>
      </w:r>
      <w:r w:rsidR="00A611A3" w:rsidRPr="00461D74">
        <w:rPr>
          <w:rFonts w:ascii="Garamond" w:hAnsi="Garamond" w:cstheme="minorHAnsi"/>
          <w:sz w:val="24"/>
          <w:szCs w:val="24"/>
        </w:rPr>
        <w:t>,</w:t>
      </w:r>
      <w:r w:rsidRPr="00461D74">
        <w:rPr>
          <w:rFonts w:ascii="Garamond" w:hAnsi="Garamond" w:cstheme="minorHAnsi"/>
          <w:sz w:val="24"/>
          <w:szCs w:val="24"/>
        </w:rPr>
        <w:t xml:space="preserve"> and will </w:t>
      </w:r>
      <w:r w:rsidR="00A611A3" w:rsidRPr="00461D74">
        <w:rPr>
          <w:rFonts w:ascii="Garamond" w:hAnsi="Garamond" w:cstheme="minorHAnsi"/>
          <w:sz w:val="24"/>
          <w:szCs w:val="24"/>
        </w:rPr>
        <w:t xml:space="preserve">most likely </w:t>
      </w:r>
      <w:r w:rsidRPr="00461D74">
        <w:rPr>
          <w:rFonts w:ascii="Garamond" w:hAnsi="Garamond" w:cstheme="minorHAnsi"/>
          <w:sz w:val="24"/>
          <w:szCs w:val="24"/>
        </w:rPr>
        <w:t xml:space="preserve">fail </w:t>
      </w:r>
      <w:r w:rsidR="00A611A3" w:rsidRPr="00461D74">
        <w:rPr>
          <w:rFonts w:ascii="Garamond" w:hAnsi="Garamond" w:cstheme="minorHAnsi"/>
          <w:sz w:val="24"/>
          <w:szCs w:val="24"/>
        </w:rPr>
        <w:t xml:space="preserve">in realising </w:t>
      </w:r>
      <w:r w:rsidRPr="00461D74">
        <w:rPr>
          <w:rFonts w:ascii="Garamond" w:hAnsi="Garamond" w:cstheme="minorHAnsi"/>
          <w:sz w:val="24"/>
          <w:szCs w:val="24"/>
        </w:rPr>
        <w:t>the</w:t>
      </w:r>
      <w:r w:rsidR="00A611A3" w:rsidRPr="00461D74">
        <w:rPr>
          <w:rFonts w:ascii="Garamond" w:hAnsi="Garamond" w:cstheme="minorHAnsi"/>
          <w:sz w:val="24"/>
          <w:szCs w:val="24"/>
        </w:rPr>
        <w:t>ir</w:t>
      </w:r>
      <w:r w:rsidRPr="00461D74">
        <w:rPr>
          <w:rFonts w:ascii="Garamond" w:hAnsi="Garamond" w:cstheme="minorHAnsi"/>
          <w:sz w:val="24"/>
          <w:szCs w:val="24"/>
        </w:rPr>
        <w:t xml:space="preserve"> </w:t>
      </w:r>
      <w:r w:rsidR="005C5258">
        <w:rPr>
          <w:rFonts w:ascii="Garamond" w:hAnsi="Garamond" w:cstheme="minorHAnsi"/>
          <w:sz w:val="24"/>
          <w:szCs w:val="24"/>
        </w:rPr>
        <w:t xml:space="preserve">characteristically human </w:t>
      </w:r>
      <w:r w:rsidRPr="00461D74">
        <w:rPr>
          <w:rFonts w:ascii="Garamond" w:hAnsi="Garamond" w:cstheme="minorHAnsi"/>
          <w:sz w:val="24"/>
          <w:szCs w:val="24"/>
        </w:rPr>
        <w:t xml:space="preserve">good. </w:t>
      </w:r>
      <w:r w:rsidR="001D6036" w:rsidRPr="00461D74">
        <w:rPr>
          <w:rFonts w:ascii="Garamond" w:hAnsi="Garamond" w:cstheme="minorHAnsi"/>
          <w:sz w:val="24"/>
          <w:szCs w:val="24"/>
        </w:rPr>
        <w:t>H</w:t>
      </w:r>
      <w:r w:rsidRPr="00461D74">
        <w:rPr>
          <w:rFonts w:ascii="Garamond" w:hAnsi="Garamond" w:cstheme="minorHAnsi"/>
          <w:sz w:val="24"/>
          <w:szCs w:val="24"/>
        </w:rPr>
        <w:t>uman flourishing and the good life are the</w:t>
      </w:r>
      <w:r w:rsidR="001D6036" w:rsidRPr="00461D74">
        <w:rPr>
          <w:rFonts w:ascii="Garamond" w:hAnsi="Garamond" w:cstheme="minorHAnsi"/>
          <w:sz w:val="24"/>
          <w:szCs w:val="24"/>
        </w:rPr>
        <w:t>refore</w:t>
      </w:r>
      <w:r w:rsidRPr="00461D74">
        <w:rPr>
          <w:rFonts w:ascii="Garamond" w:hAnsi="Garamond" w:cstheme="minorHAnsi"/>
          <w:sz w:val="24"/>
          <w:szCs w:val="24"/>
        </w:rPr>
        <w:t xml:space="preserve"> central questions in ethics</w:t>
      </w:r>
      <w:r w:rsidR="00307983" w:rsidRPr="00461D74">
        <w:rPr>
          <w:rFonts w:ascii="Garamond" w:hAnsi="Garamond" w:cstheme="minorHAnsi"/>
          <w:sz w:val="24"/>
          <w:szCs w:val="24"/>
        </w:rPr>
        <w:t xml:space="preserve">; </w:t>
      </w:r>
      <w:r w:rsidR="001D6036" w:rsidRPr="00461D74">
        <w:rPr>
          <w:rFonts w:ascii="Garamond" w:hAnsi="Garamond" w:cstheme="minorHAnsi"/>
          <w:sz w:val="24"/>
          <w:szCs w:val="24"/>
        </w:rPr>
        <w:t>thus</w:t>
      </w:r>
      <w:r w:rsidR="00991673" w:rsidRPr="00461D74">
        <w:rPr>
          <w:rFonts w:ascii="Garamond" w:hAnsi="Garamond" w:cstheme="minorHAnsi"/>
          <w:sz w:val="24"/>
          <w:szCs w:val="24"/>
        </w:rPr>
        <w:t>,</w:t>
      </w:r>
      <w:r w:rsidR="00A611A3" w:rsidRPr="00461D74">
        <w:rPr>
          <w:rFonts w:ascii="Garamond" w:hAnsi="Garamond" w:cstheme="minorHAnsi"/>
          <w:sz w:val="24"/>
          <w:szCs w:val="24"/>
        </w:rPr>
        <w:t xml:space="preserve"> </w:t>
      </w:r>
      <w:r w:rsidR="00150DFA" w:rsidRPr="00461D74">
        <w:rPr>
          <w:rFonts w:ascii="Garamond" w:hAnsi="Garamond" w:cstheme="minorHAnsi"/>
          <w:sz w:val="24"/>
          <w:szCs w:val="24"/>
        </w:rPr>
        <w:t>should</w:t>
      </w:r>
      <w:r w:rsidR="00307983" w:rsidRPr="00461D74">
        <w:rPr>
          <w:rFonts w:ascii="Garamond" w:hAnsi="Garamond" w:cstheme="minorHAnsi"/>
          <w:sz w:val="24"/>
          <w:szCs w:val="24"/>
        </w:rPr>
        <w:t xml:space="preserve"> ethical inquiry</w:t>
      </w:r>
      <w:r w:rsidRPr="00461D74">
        <w:rPr>
          <w:rFonts w:ascii="Garamond" w:hAnsi="Garamond" w:cstheme="minorHAnsi"/>
          <w:sz w:val="24"/>
          <w:szCs w:val="24"/>
        </w:rPr>
        <w:t xml:space="preserve"> </w:t>
      </w:r>
      <w:r w:rsidR="00307983" w:rsidRPr="00461D74">
        <w:rPr>
          <w:rFonts w:ascii="Garamond" w:hAnsi="Garamond" w:cstheme="minorHAnsi"/>
          <w:sz w:val="24"/>
          <w:szCs w:val="24"/>
        </w:rPr>
        <w:t>remain</w:t>
      </w:r>
      <w:r w:rsidRPr="00461D74">
        <w:rPr>
          <w:rFonts w:ascii="Garamond" w:hAnsi="Garamond" w:cstheme="minorHAnsi"/>
          <w:sz w:val="24"/>
          <w:szCs w:val="24"/>
        </w:rPr>
        <w:t xml:space="preserve"> </w:t>
      </w:r>
      <w:r w:rsidR="00307983" w:rsidRPr="00461D74">
        <w:rPr>
          <w:rFonts w:ascii="Garamond" w:hAnsi="Garamond" w:cstheme="minorHAnsi"/>
          <w:sz w:val="24"/>
          <w:szCs w:val="24"/>
        </w:rPr>
        <w:t>divorced</w:t>
      </w:r>
      <w:r w:rsidRPr="00461D74">
        <w:rPr>
          <w:rFonts w:ascii="Garamond" w:hAnsi="Garamond" w:cstheme="minorHAnsi"/>
          <w:sz w:val="24"/>
          <w:szCs w:val="24"/>
        </w:rPr>
        <w:t xml:space="preserve"> from politics</w:t>
      </w:r>
      <w:r w:rsidR="00307983" w:rsidRPr="00461D74">
        <w:rPr>
          <w:rFonts w:ascii="Garamond" w:hAnsi="Garamond" w:cstheme="minorHAnsi"/>
          <w:sz w:val="24"/>
          <w:szCs w:val="24"/>
        </w:rPr>
        <w:t>,</w:t>
      </w:r>
      <w:r w:rsidRPr="00461D74">
        <w:rPr>
          <w:rFonts w:ascii="Garamond" w:hAnsi="Garamond" w:cstheme="minorHAnsi"/>
          <w:sz w:val="24"/>
          <w:szCs w:val="24"/>
        </w:rPr>
        <w:t xml:space="preserve"> </w:t>
      </w:r>
      <w:r w:rsidR="00150DFA" w:rsidRPr="00461D74">
        <w:rPr>
          <w:rFonts w:ascii="Garamond" w:hAnsi="Garamond" w:cstheme="minorHAnsi"/>
          <w:sz w:val="24"/>
          <w:szCs w:val="24"/>
        </w:rPr>
        <w:t xml:space="preserve">this form of inquiry </w:t>
      </w:r>
      <w:r w:rsidR="001D6036" w:rsidRPr="00461D74">
        <w:rPr>
          <w:rFonts w:ascii="Garamond" w:hAnsi="Garamond" w:cstheme="minorHAnsi"/>
          <w:sz w:val="24"/>
          <w:szCs w:val="24"/>
        </w:rPr>
        <w:t xml:space="preserve">would </w:t>
      </w:r>
      <w:r w:rsidR="00150DFA" w:rsidRPr="00461D74">
        <w:rPr>
          <w:rFonts w:ascii="Garamond" w:hAnsi="Garamond" w:cstheme="minorHAnsi"/>
          <w:sz w:val="24"/>
          <w:szCs w:val="24"/>
        </w:rPr>
        <w:t>fail to genuinely concern itself with the human good</w:t>
      </w:r>
      <w:r w:rsidRPr="00461D74">
        <w:rPr>
          <w:rFonts w:ascii="Garamond" w:hAnsi="Garamond" w:cstheme="minorHAnsi"/>
          <w:sz w:val="24"/>
          <w:szCs w:val="24"/>
        </w:rPr>
        <w:t xml:space="preserve">. </w:t>
      </w:r>
      <w:r w:rsidR="00150DFA" w:rsidRPr="00461D74">
        <w:rPr>
          <w:rFonts w:ascii="Garamond" w:hAnsi="Garamond" w:cstheme="minorHAnsi"/>
          <w:sz w:val="24"/>
          <w:szCs w:val="24"/>
        </w:rPr>
        <w:t>This</w:t>
      </w:r>
      <w:r w:rsidRPr="00461D74">
        <w:rPr>
          <w:rFonts w:ascii="Garamond" w:hAnsi="Garamond" w:cstheme="minorHAnsi"/>
          <w:sz w:val="24"/>
          <w:szCs w:val="24"/>
        </w:rPr>
        <w:t xml:space="preserve"> characterization of human </w:t>
      </w:r>
      <w:r w:rsidRPr="00461D74">
        <w:rPr>
          <w:rFonts w:ascii="Garamond" w:hAnsi="Garamond" w:cstheme="minorHAnsi"/>
          <w:sz w:val="24"/>
          <w:szCs w:val="24"/>
        </w:rPr>
        <w:lastRenderedPageBreak/>
        <w:t>flourishing is a constitutive feature of Aristotle’s ethics as understood by MacIntyre.</w:t>
      </w:r>
    </w:p>
    <w:p w:rsidR="00F600EB"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MacIntyre follows Aristotle and so connects ethics to politics. On MacIntyre’s account</w:t>
      </w:r>
      <w:r w:rsidR="00D4115E">
        <w:rPr>
          <w:rFonts w:ascii="Garamond" w:hAnsi="Garamond" w:cstheme="minorHAnsi"/>
          <w:sz w:val="24"/>
          <w:szCs w:val="24"/>
        </w:rPr>
        <w:t>,</w:t>
      </w:r>
      <w:r w:rsidRPr="00461D74">
        <w:rPr>
          <w:rFonts w:ascii="Garamond" w:hAnsi="Garamond" w:cstheme="minorHAnsi"/>
          <w:sz w:val="24"/>
          <w:szCs w:val="24"/>
        </w:rPr>
        <w:t xml:space="preserve"> political questions are normative questions and hence non-neutral. More importantly</w:t>
      </w:r>
      <w:r w:rsidR="00D4115E">
        <w:rPr>
          <w:rFonts w:ascii="Garamond" w:hAnsi="Garamond" w:cstheme="minorHAnsi"/>
          <w:sz w:val="24"/>
          <w:szCs w:val="24"/>
        </w:rPr>
        <w:t>,</w:t>
      </w:r>
      <w:r w:rsidRPr="00461D74">
        <w:rPr>
          <w:rFonts w:ascii="Garamond" w:hAnsi="Garamond" w:cstheme="minorHAnsi"/>
          <w:sz w:val="24"/>
          <w:szCs w:val="24"/>
        </w:rPr>
        <w:t xml:space="preserve"> political decisions have ethical implications – they deal with questions such as what justice requires. Therefore, ethics separated from politics fails to achieve its </w:t>
      </w:r>
      <w:r w:rsidR="00C364D2" w:rsidRPr="00461D74">
        <w:rPr>
          <w:rFonts w:ascii="Garamond" w:hAnsi="Garamond" w:cstheme="minorHAnsi"/>
          <w:sz w:val="24"/>
          <w:szCs w:val="24"/>
        </w:rPr>
        <w:t xml:space="preserve">ultimate </w:t>
      </w:r>
      <w:r w:rsidRPr="00461D74">
        <w:rPr>
          <w:rFonts w:ascii="Garamond" w:hAnsi="Garamond" w:cstheme="minorHAnsi"/>
          <w:sz w:val="24"/>
          <w:szCs w:val="24"/>
        </w:rPr>
        <w:t xml:space="preserve">aim. </w:t>
      </w:r>
    </w:p>
    <w:p w:rsidR="00665157" w:rsidRDefault="00016049" w:rsidP="00F600EB">
      <w:pPr>
        <w:spacing w:line="360" w:lineRule="auto"/>
        <w:ind w:firstLine="720"/>
        <w:jc w:val="both"/>
        <w:rPr>
          <w:rFonts w:ascii="Garamond" w:hAnsi="Garamond" w:cstheme="minorHAnsi"/>
          <w:sz w:val="24"/>
          <w:szCs w:val="24"/>
        </w:rPr>
      </w:pPr>
      <w:r w:rsidRPr="00461D74">
        <w:rPr>
          <w:rFonts w:ascii="Garamond" w:hAnsi="Garamond" w:cstheme="minorHAnsi"/>
          <w:sz w:val="24"/>
          <w:szCs w:val="24"/>
        </w:rPr>
        <w:t>We also observed that on MacIntyre’s view, the liberal principle of neutrality of public reason in contemporary politics, which separates substantive ethical questions from political question, can only amount to a façade of neutrality. Th</w:t>
      </w:r>
      <w:r w:rsidR="00D57B31">
        <w:rPr>
          <w:rFonts w:ascii="Garamond" w:hAnsi="Garamond" w:cstheme="minorHAnsi"/>
          <w:sz w:val="24"/>
          <w:szCs w:val="24"/>
        </w:rPr>
        <w:t xml:space="preserve">e reason for this </w:t>
      </w:r>
      <w:r w:rsidRPr="00461D74">
        <w:rPr>
          <w:rFonts w:ascii="Garamond" w:hAnsi="Garamond" w:cstheme="minorHAnsi"/>
          <w:sz w:val="24"/>
          <w:szCs w:val="24"/>
        </w:rPr>
        <w:t xml:space="preserve">is </w:t>
      </w:r>
      <w:r w:rsidR="00D57B31">
        <w:rPr>
          <w:rFonts w:ascii="Garamond" w:hAnsi="Garamond" w:cstheme="minorHAnsi"/>
          <w:sz w:val="24"/>
          <w:szCs w:val="24"/>
        </w:rPr>
        <w:t>that</w:t>
      </w:r>
      <w:r w:rsidRPr="00461D74">
        <w:rPr>
          <w:rFonts w:ascii="Garamond" w:hAnsi="Garamond" w:cstheme="minorHAnsi"/>
          <w:sz w:val="24"/>
          <w:szCs w:val="24"/>
        </w:rPr>
        <w:t xml:space="preserve"> political decisions </w:t>
      </w:r>
      <w:r w:rsidR="00D57B31">
        <w:rPr>
          <w:rFonts w:ascii="Garamond" w:hAnsi="Garamond" w:cstheme="minorHAnsi"/>
          <w:sz w:val="24"/>
          <w:szCs w:val="24"/>
        </w:rPr>
        <w:t>in</w:t>
      </w:r>
      <w:r w:rsidR="00D57B31" w:rsidRPr="00461D74">
        <w:rPr>
          <w:rFonts w:ascii="Garamond" w:hAnsi="Garamond" w:cstheme="minorHAnsi"/>
          <w:sz w:val="24"/>
          <w:szCs w:val="24"/>
        </w:rPr>
        <w:t xml:space="preserve"> </w:t>
      </w:r>
      <w:r w:rsidRPr="00461D74">
        <w:rPr>
          <w:rFonts w:ascii="Garamond" w:hAnsi="Garamond" w:cstheme="minorHAnsi"/>
          <w:sz w:val="24"/>
          <w:szCs w:val="24"/>
        </w:rPr>
        <w:t xml:space="preserve">the </w:t>
      </w:r>
      <w:r w:rsidR="00D57B31">
        <w:rPr>
          <w:rFonts w:ascii="Garamond" w:hAnsi="Garamond" w:cstheme="minorHAnsi"/>
          <w:sz w:val="24"/>
          <w:szCs w:val="24"/>
        </w:rPr>
        <w:t>liberal</w:t>
      </w:r>
      <w:r w:rsidRPr="00461D74">
        <w:rPr>
          <w:rFonts w:ascii="Garamond" w:hAnsi="Garamond" w:cstheme="minorHAnsi"/>
          <w:sz w:val="24"/>
          <w:szCs w:val="24"/>
        </w:rPr>
        <w:t xml:space="preserve"> state are for the most part settled by the market and its related institutions</w:t>
      </w:r>
      <w:r w:rsidR="006D48F7" w:rsidRPr="00461D74">
        <w:rPr>
          <w:rFonts w:ascii="Garamond" w:hAnsi="Garamond" w:cstheme="minorHAnsi"/>
          <w:sz w:val="24"/>
          <w:szCs w:val="24"/>
        </w:rPr>
        <w:t>;</w:t>
      </w:r>
      <w:r w:rsidRPr="00461D74">
        <w:rPr>
          <w:rFonts w:ascii="Garamond" w:hAnsi="Garamond" w:cstheme="minorHAnsi"/>
          <w:sz w:val="24"/>
          <w:szCs w:val="24"/>
        </w:rPr>
        <w:t xml:space="preserve"> </w:t>
      </w:r>
      <w:r w:rsidR="00D57B31">
        <w:rPr>
          <w:rFonts w:ascii="Garamond" w:hAnsi="Garamond" w:cstheme="minorHAnsi"/>
          <w:sz w:val="24"/>
          <w:szCs w:val="24"/>
        </w:rPr>
        <w:t>and given that</w:t>
      </w:r>
      <w:r w:rsidR="00D57B31" w:rsidRPr="00461D74">
        <w:rPr>
          <w:rFonts w:ascii="Garamond" w:hAnsi="Garamond" w:cstheme="minorHAnsi"/>
          <w:sz w:val="24"/>
          <w:szCs w:val="24"/>
        </w:rPr>
        <w:t xml:space="preserve"> </w:t>
      </w:r>
      <w:r w:rsidRPr="00461D74">
        <w:rPr>
          <w:rFonts w:ascii="Garamond" w:hAnsi="Garamond" w:cstheme="minorHAnsi"/>
          <w:sz w:val="24"/>
          <w:szCs w:val="24"/>
        </w:rPr>
        <w:t>the state relies on the market and its institutions to procure its material needs</w:t>
      </w:r>
      <w:r w:rsidR="006D48F7" w:rsidRPr="00461D74">
        <w:rPr>
          <w:rFonts w:ascii="Garamond" w:hAnsi="Garamond" w:cstheme="minorHAnsi"/>
          <w:sz w:val="24"/>
          <w:szCs w:val="24"/>
        </w:rPr>
        <w:t>,</w:t>
      </w:r>
      <w:r w:rsidRPr="00461D74">
        <w:rPr>
          <w:rFonts w:ascii="Garamond" w:hAnsi="Garamond" w:cstheme="minorHAnsi"/>
          <w:sz w:val="24"/>
          <w:szCs w:val="24"/>
        </w:rPr>
        <w:t xml:space="preserve"> it often fails to limit the encroachment of powerful forces that are generated by the market.</w:t>
      </w:r>
      <w:r w:rsidR="00F600EB">
        <w:rPr>
          <w:rFonts w:ascii="Garamond" w:hAnsi="Garamond" w:cstheme="minorHAnsi"/>
          <w:sz w:val="24"/>
          <w:szCs w:val="24"/>
        </w:rPr>
        <w:t xml:space="preserve"> Recall that l</w:t>
      </w:r>
      <w:r w:rsidRPr="00461D74">
        <w:rPr>
          <w:rFonts w:ascii="Garamond" w:hAnsi="Garamond" w:cstheme="minorHAnsi"/>
          <w:sz w:val="24"/>
          <w:szCs w:val="24"/>
        </w:rPr>
        <w:t>iberal principles that emphasize choice and autonomy of the individual are grounded in a thin materialistic conception of choice. Individual choice and autonomy are the choices we have between different goods in the market place. In fact, the liberal state has to limit</w:t>
      </w:r>
      <w:r w:rsidR="00DC5412">
        <w:rPr>
          <w:rFonts w:ascii="Garamond" w:hAnsi="Garamond" w:cstheme="minorHAnsi"/>
          <w:sz w:val="24"/>
          <w:szCs w:val="24"/>
        </w:rPr>
        <w:t>,</w:t>
      </w:r>
      <w:r w:rsidRPr="00461D74">
        <w:rPr>
          <w:rFonts w:ascii="Garamond" w:hAnsi="Garamond" w:cstheme="minorHAnsi"/>
          <w:sz w:val="24"/>
          <w:szCs w:val="24"/>
        </w:rPr>
        <w:t xml:space="preserve"> if not restrict</w:t>
      </w:r>
      <w:r w:rsidR="00DC5412">
        <w:rPr>
          <w:rFonts w:ascii="Garamond" w:hAnsi="Garamond" w:cstheme="minorHAnsi"/>
          <w:sz w:val="24"/>
          <w:szCs w:val="24"/>
        </w:rPr>
        <w:t>,</w:t>
      </w:r>
      <w:r w:rsidRPr="00461D74">
        <w:rPr>
          <w:rFonts w:ascii="Garamond" w:hAnsi="Garamond" w:cstheme="minorHAnsi"/>
          <w:sz w:val="24"/>
          <w:szCs w:val="24"/>
        </w:rPr>
        <w:t xml:space="preserve"> conceptions of the good that are not allied with, or cannot be made </w:t>
      </w:r>
      <w:r w:rsidR="00C364D2" w:rsidRPr="00461D74">
        <w:rPr>
          <w:rFonts w:ascii="Garamond" w:hAnsi="Garamond" w:cstheme="minorHAnsi"/>
          <w:sz w:val="24"/>
          <w:szCs w:val="24"/>
        </w:rPr>
        <w:t xml:space="preserve">subordinate </w:t>
      </w:r>
      <w:r w:rsidRPr="00461D74">
        <w:rPr>
          <w:rFonts w:ascii="Garamond" w:hAnsi="Garamond" w:cstheme="minorHAnsi"/>
          <w:sz w:val="24"/>
          <w:szCs w:val="24"/>
        </w:rPr>
        <w:t xml:space="preserve">to, a </w:t>
      </w:r>
      <w:r w:rsidR="00C364D2" w:rsidRPr="00461D74">
        <w:rPr>
          <w:rFonts w:ascii="Garamond" w:hAnsi="Garamond" w:cstheme="minorHAnsi"/>
          <w:sz w:val="24"/>
          <w:szCs w:val="24"/>
        </w:rPr>
        <w:t xml:space="preserve">highly individualist </w:t>
      </w:r>
      <w:r w:rsidRPr="00461D74">
        <w:rPr>
          <w:rFonts w:ascii="Garamond" w:hAnsi="Garamond" w:cstheme="minorHAnsi"/>
          <w:sz w:val="24"/>
          <w:szCs w:val="24"/>
        </w:rPr>
        <w:t>materialist conception of the good.</w:t>
      </w:r>
      <w:r w:rsidR="00F600EB" w:rsidRPr="00461D74">
        <w:rPr>
          <w:rStyle w:val="FootnoteReference"/>
          <w:rFonts w:ascii="Garamond" w:hAnsi="Garamond" w:cstheme="minorHAnsi"/>
          <w:sz w:val="24"/>
          <w:szCs w:val="24"/>
        </w:rPr>
        <w:footnoteReference w:id="367"/>
      </w:r>
      <w:r w:rsidRPr="00461D74">
        <w:rPr>
          <w:rFonts w:ascii="Garamond" w:hAnsi="Garamond" w:cstheme="minorHAnsi"/>
          <w:sz w:val="24"/>
          <w:szCs w:val="24"/>
        </w:rPr>
        <w:t xml:space="preserve"> Thus the liberal state, while ostensibly neutral, smuggles in an indiv</w:t>
      </w:r>
      <w:r w:rsidR="001C748E" w:rsidRPr="00461D74">
        <w:rPr>
          <w:rFonts w:ascii="Garamond" w:hAnsi="Garamond" w:cstheme="minorHAnsi"/>
          <w:sz w:val="24"/>
          <w:szCs w:val="24"/>
        </w:rPr>
        <w:t>idualist conception of the good</w:t>
      </w:r>
      <w:r w:rsidR="006D48F7" w:rsidRPr="00461D74">
        <w:rPr>
          <w:rFonts w:ascii="Garamond" w:hAnsi="Garamond" w:cstheme="minorHAnsi"/>
          <w:sz w:val="24"/>
          <w:szCs w:val="24"/>
        </w:rPr>
        <w:t xml:space="preserve"> </w:t>
      </w:r>
      <w:r w:rsidR="001C748E" w:rsidRPr="00461D74">
        <w:rPr>
          <w:rFonts w:ascii="Garamond" w:hAnsi="Garamond" w:cstheme="minorHAnsi"/>
          <w:sz w:val="24"/>
          <w:szCs w:val="24"/>
        </w:rPr>
        <w:t>–</w:t>
      </w:r>
      <w:r w:rsidR="006D48F7" w:rsidRPr="00461D74">
        <w:rPr>
          <w:rFonts w:ascii="Garamond" w:hAnsi="Garamond" w:cstheme="minorHAnsi"/>
          <w:sz w:val="24"/>
          <w:szCs w:val="24"/>
        </w:rPr>
        <w:t xml:space="preserve"> </w:t>
      </w:r>
      <w:r w:rsidR="00C364D2" w:rsidRPr="00461D74">
        <w:rPr>
          <w:rFonts w:ascii="Garamond" w:hAnsi="Garamond" w:cstheme="minorHAnsi"/>
          <w:sz w:val="24"/>
          <w:szCs w:val="24"/>
        </w:rPr>
        <w:t xml:space="preserve">one </w:t>
      </w:r>
      <w:r w:rsidRPr="00461D74">
        <w:rPr>
          <w:rFonts w:ascii="Garamond" w:hAnsi="Garamond" w:cstheme="minorHAnsi"/>
          <w:sz w:val="24"/>
          <w:szCs w:val="24"/>
        </w:rPr>
        <w:t xml:space="preserve">that </w:t>
      </w:r>
      <w:r w:rsidR="00C364D2" w:rsidRPr="00461D74">
        <w:rPr>
          <w:rFonts w:ascii="Garamond" w:hAnsi="Garamond" w:cstheme="minorHAnsi"/>
          <w:sz w:val="24"/>
          <w:szCs w:val="24"/>
        </w:rPr>
        <w:t>privileges</w:t>
      </w:r>
      <w:r w:rsidRPr="00461D74">
        <w:rPr>
          <w:rFonts w:ascii="Garamond" w:hAnsi="Garamond" w:cstheme="minorHAnsi"/>
          <w:sz w:val="24"/>
          <w:szCs w:val="24"/>
        </w:rPr>
        <w:t xml:space="preserve"> acquisiti</w:t>
      </w:r>
      <w:r w:rsidR="00C364D2" w:rsidRPr="00461D74">
        <w:rPr>
          <w:rFonts w:ascii="Garamond" w:hAnsi="Garamond" w:cstheme="minorHAnsi"/>
          <w:sz w:val="24"/>
          <w:szCs w:val="24"/>
        </w:rPr>
        <w:t>veness and material consumption over other human activities.</w:t>
      </w:r>
      <w:r w:rsidRPr="00461D74">
        <w:rPr>
          <w:rFonts w:ascii="Garamond" w:hAnsi="Garamond" w:cstheme="minorHAnsi"/>
          <w:sz w:val="24"/>
          <w:szCs w:val="24"/>
        </w:rPr>
        <w:t xml:space="preserve"> Here we should note </w:t>
      </w:r>
      <w:r w:rsidR="00F600EB">
        <w:rPr>
          <w:rFonts w:ascii="Garamond" w:hAnsi="Garamond" w:cstheme="minorHAnsi"/>
          <w:sz w:val="24"/>
          <w:szCs w:val="24"/>
        </w:rPr>
        <w:t xml:space="preserve">the stark contrast with </w:t>
      </w:r>
      <w:r w:rsidRPr="00461D74">
        <w:rPr>
          <w:rFonts w:ascii="Garamond" w:hAnsi="Garamond" w:cstheme="minorHAnsi"/>
          <w:sz w:val="24"/>
          <w:szCs w:val="24"/>
        </w:rPr>
        <w:t>the Aristotelian view</w:t>
      </w:r>
      <w:r w:rsidR="00F600EB">
        <w:rPr>
          <w:rFonts w:ascii="Garamond" w:hAnsi="Garamond" w:cstheme="minorHAnsi"/>
          <w:sz w:val="24"/>
          <w:szCs w:val="24"/>
        </w:rPr>
        <w:t xml:space="preserve"> where</w:t>
      </w:r>
      <w:r w:rsidRPr="00461D74">
        <w:rPr>
          <w:rFonts w:ascii="Garamond" w:hAnsi="Garamond" w:cstheme="minorHAnsi"/>
          <w:sz w:val="24"/>
          <w:szCs w:val="24"/>
        </w:rPr>
        <w:t xml:space="preserve"> </w:t>
      </w:r>
      <w:proofErr w:type="spellStart"/>
      <w:r w:rsidRPr="00461D74">
        <w:rPr>
          <w:rFonts w:ascii="Garamond" w:hAnsi="Garamond" w:cstheme="minorHAnsi"/>
          <w:i/>
          <w:sz w:val="24"/>
          <w:szCs w:val="24"/>
        </w:rPr>
        <w:t>pleonexia</w:t>
      </w:r>
      <w:proofErr w:type="spellEnd"/>
      <w:r w:rsidRPr="00461D74">
        <w:rPr>
          <w:rFonts w:ascii="Garamond" w:hAnsi="Garamond" w:cstheme="minorHAnsi"/>
          <w:sz w:val="24"/>
          <w:szCs w:val="24"/>
        </w:rPr>
        <w:t xml:space="preserve"> or acquisitiveness</w:t>
      </w:r>
      <w:r w:rsidR="001C748E" w:rsidRPr="00461D74">
        <w:rPr>
          <w:rFonts w:ascii="Garamond" w:hAnsi="Garamond" w:cstheme="minorHAnsi"/>
          <w:sz w:val="24"/>
          <w:szCs w:val="24"/>
        </w:rPr>
        <w:t>,</w:t>
      </w:r>
      <w:r w:rsidRPr="00461D74">
        <w:rPr>
          <w:rFonts w:ascii="Garamond" w:hAnsi="Garamond" w:cstheme="minorHAnsi"/>
          <w:sz w:val="24"/>
          <w:szCs w:val="24"/>
        </w:rPr>
        <w:t xml:space="preserve"> which is implicitly part of the contemporary liberal conception of the good</w:t>
      </w:r>
      <w:r w:rsidR="001C748E" w:rsidRPr="00461D74">
        <w:rPr>
          <w:rFonts w:ascii="Garamond" w:hAnsi="Garamond" w:cstheme="minorHAnsi"/>
          <w:sz w:val="24"/>
          <w:szCs w:val="24"/>
        </w:rPr>
        <w:t>,</w:t>
      </w:r>
      <w:r w:rsidRPr="00461D74">
        <w:rPr>
          <w:rFonts w:ascii="Garamond" w:hAnsi="Garamond" w:cstheme="minorHAnsi"/>
          <w:sz w:val="24"/>
          <w:szCs w:val="24"/>
        </w:rPr>
        <w:t xml:space="preserve"> is in fact a vice.</w:t>
      </w:r>
    </w:p>
    <w:p w:rsidR="00E95964"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lastRenderedPageBreak/>
        <w:tab/>
        <w:t xml:space="preserve">MacIntyre could </w:t>
      </w:r>
      <w:r w:rsidR="007D30EC" w:rsidRPr="00461D74">
        <w:rPr>
          <w:rFonts w:ascii="Garamond" w:hAnsi="Garamond" w:cstheme="minorHAnsi"/>
          <w:sz w:val="24"/>
          <w:szCs w:val="24"/>
        </w:rPr>
        <w:t xml:space="preserve">perhaps </w:t>
      </w:r>
      <w:r w:rsidRPr="00461D74">
        <w:rPr>
          <w:rFonts w:ascii="Garamond" w:hAnsi="Garamond" w:cstheme="minorHAnsi"/>
          <w:sz w:val="24"/>
          <w:szCs w:val="24"/>
        </w:rPr>
        <w:t xml:space="preserve">then highlight this feature of his account – one that emphasizes his Aristotelian normative </w:t>
      </w:r>
      <w:r w:rsidR="007D30EC" w:rsidRPr="00461D74">
        <w:rPr>
          <w:rFonts w:ascii="Garamond" w:hAnsi="Garamond" w:cstheme="minorHAnsi"/>
          <w:sz w:val="24"/>
          <w:szCs w:val="24"/>
        </w:rPr>
        <w:t>leanings</w:t>
      </w:r>
      <w:r w:rsidRPr="00461D74">
        <w:rPr>
          <w:rFonts w:ascii="Garamond" w:hAnsi="Garamond" w:cstheme="minorHAnsi"/>
          <w:sz w:val="24"/>
          <w:szCs w:val="24"/>
        </w:rPr>
        <w:t>. He could</w:t>
      </w:r>
      <w:r w:rsidR="006D48F7" w:rsidRPr="00461D74">
        <w:rPr>
          <w:rFonts w:ascii="Garamond" w:hAnsi="Garamond" w:cstheme="minorHAnsi"/>
          <w:sz w:val="24"/>
          <w:szCs w:val="24"/>
        </w:rPr>
        <w:t>,</w:t>
      </w:r>
      <w:r w:rsidRPr="00461D74">
        <w:rPr>
          <w:rFonts w:ascii="Garamond" w:hAnsi="Garamond" w:cstheme="minorHAnsi"/>
          <w:sz w:val="24"/>
          <w:szCs w:val="24"/>
        </w:rPr>
        <w:t xml:space="preserve"> as an Aristotelian ideal or normative political theorist, maintain that a properly </w:t>
      </w:r>
      <w:proofErr w:type="spellStart"/>
      <w:r w:rsidRPr="00461D74">
        <w:rPr>
          <w:rFonts w:ascii="Garamond" w:hAnsi="Garamond" w:cstheme="minorHAnsi"/>
          <w:sz w:val="24"/>
          <w:szCs w:val="24"/>
        </w:rPr>
        <w:t>MacIntyrean</w:t>
      </w:r>
      <w:proofErr w:type="spellEnd"/>
      <w:r w:rsidRPr="00461D74">
        <w:rPr>
          <w:rFonts w:ascii="Garamond" w:hAnsi="Garamond" w:cstheme="minorHAnsi"/>
          <w:sz w:val="24"/>
          <w:szCs w:val="24"/>
        </w:rPr>
        <w:t xml:space="preserve"> account of politics at the level of the state is not possible nor is it properly political. On MacIntyre’s view representative democracy in the modern state limits genuine political participation by individual agents to a </w:t>
      </w:r>
      <w:r w:rsidR="00E0413F">
        <w:rPr>
          <w:rFonts w:ascii="Garamond" w:hAnsi="Garamond" w:cstheme="minorHAnsi"/>
          <w:sz w:val="24"/>
          <w:szCs w:val="24"/>
        </w:rPr>
        <w:t xml:space="preserve">form of </w:t>
      </w:r>
      <w:r w:rsidRPr="00461D74">
        <w:rPr>
          <w:rFonts w:ascii="Garamond" w:hAnsi="Garamond" w:cstheme="minorHAnsi"/>
          <w:sz w:val="24"/>
          <w:szCs w:val="24"/>
        </w:rPr>
        <w:t xml:space="preserve">ritual activity </w:t>
      </w:r>
      <w:r w:rsidR="00E0413F">
        <w:rPr>
          <w:rFonts w:ascii="Garamond" w:hAnsi="Garamond" w:cstheme="minorHAnsi"/>
          <w:sz w:val="24"/>
          <w:szCs w:val="24"/>
        </w:rPr>
        <w:t xml:space="preserve">where </w:t>
      </w:r>
      <w:r w:rsidRPr="00461D74">
        <w:rPr>
          <w:rFonts w:ascii="Garamond" w:hAnsi="Garamond" w:cstheme="minorHAnsi"/>
          <w:sz w:val="24"/>
          <w:szCs w:val="24"/>
        </w:rPr>
        <w:t>every several years</w:t>
      </w:r>
      <w:r w:rsidR="002C7144" w:rsidRPr="00461D74">
        <w:rPr>
          <w:rFonts w:ascii="Garamond" w:hAnsi="Garamond" w:cstheme="minorHAnsi"/>
          <w:sz w:val="24"/>
          <w:szCs w:val="24"/>
        </w:rPr>
        <w:t xml:space="preserve"> </w:t>
      </w:r>
      <w:r w:rsidR="00E0413F">
        <w:rPr>
          <w:rFonts w:ascii="Garamond" w:hAnsi="Garamond" w:cstheme="minorHAnsi"/>
          <w:sz w:val="24"/>
          <w:szCs w:val="24"/>
        </w:rPr>
        <w:t>– depending on the particulars of the election cycle – the citizenry takes part in a more or less symbolic act of choice; yet,</w:t>
      </w:r>
      <w:r w:rsidR="002C7144" w:rsidRPr="00461D74">
        <w:rPr>
          <w:rFonts w:ascii="Garamond" w:hAnsi="Garamond" w:cstheme="minorHAnsi"/>
          <w:sz w:val="24"/>
          <w:szCs w:val="24"/>
        </w:rPr>
        <w:t xml:space="preserve"> this kind of politics is not</w:t>
      </w:r>
      <w:r w:rsidRPr="00461D74">
        <w:rPr>
          <w:rFonts w:ascii="Garamond" w:hAnsi="Garamond" w:cstheme="minorHAnsi"/>
          <w:sz w:val="24"/>
          <w:szCs w:val="24"/>
        </w:rPr>
        <w:t xml:space="preserve"> a genuinely </w:t>
      </w:r>
      <w:r w:rsidR="002C7144" w:rsidRPr="00461D74">
        <w:rPr>
          <w:rFonts w:ascii="Garamond" w:hAnsi="Garamond" w:cstheme="minorHAnsi"/>
          <w:sz w:val="24"/>
          <w:szCs w:val="24"/>
        </w:rPr>
        <w:t xml:space="preserve">participatory </w:t>
      </w:r>
      <w:r w:rsidR="00E95964">
        <w:rPr>
          <w:rFonts w:ascii="Garamond" w:hAnsi="Garamond" w:cstheme="minorHAnsi"/>
          <w:sz w:val="24"/>
          <w:szCs w:val="24"/>
        </w:rPr>
        <w:t>nor a</w:t>
      </w:r>
      <w:r w:rsidR="00E95964" w:rsidRPr="00461D74">
        <w:rPr>
          <w:rFonts w:ascii="Garamond" w:hAnsi="Garamond" w:cstheme="minorHAnsi"/>
          <w:sz w:val="24"/>
          <w:szCs w:val="24"/>
        </w:rPr>
        <w:t xml:space="preserve"> </w:t>
      </w:r>
      <w:r w:rsidRPr="00461D74">
        <w:rPr>
          <w:rFonts w:ascii="Garamond" w:hAnsi="Garamond" w:cstheme="minorHAnsi"/>
          <w:sz w:val="24"/>
          <w:szCs w:val="24"/>
        </w:rPr>
        <w:t xml:space="preserve">deliberative </w:t>
      </w:r>
      <w:r w:rsidR="00E0413F">
        <w:rPr>
          <w:rFonts w:ascii="Garamond" w:hAnsi="Garamond" w:cstheme="minorHAnsi"/>
          <w:sz w:val="24"/>
          <w:szCs w:val="24"/>
        </w:rPr>
        <w:t xml:space="preserve">form of </w:t>
      </w:r>
      <w:r w:rsidRPr="00461D74">
        <w:rPr>
          <w:rFonts w:ascii="Garamond" w:hAnsi="Garamond" w:cstheme="minorHAnsi"/>
          <w:sz w:val="24"/>
          <w:szCs w:val="24"/>
        </w:rPr>
        <w:t>activity. In such a context, rational deliberation by individual agents is often limited. It is also possible that under such conditions</w:t>
      </w:r>
      <w:r w:rsidR="00DC5412">
        <w:rPr>
          <w:rFonts w:ascii="Garamond" w:hAnsi="Garamond" w:cstheme="minorHAnsi"/>
          <w:sz w:val="24"/>
          <w:szCs w:val="24"/>
        </w:rPr>
        <w:t>,</w:t>
      </w:r>
      <w:r w:rsidRPr="00461D74">
        <w:rPr>
          <w:rFonts w:ascii="Garamond" w:hAnsi="Garamond" w:cstheme="minorHAnsi"/>
          <w:sz w:val="24"/>
          <w:szCs w:val="24"/>
        </w:rPr>
        <w:t xml:space="preserve"> information is either manipulated or excluded by actors who </w:t>
      </w:r>
      <w:r w:rsidR="00D41EFA" w:rsidRPr="00461D74">
        <w:rPr>
          <w:rFonts w:ascii="Garamond" w:hAnsi="Garamond" w:cstheme="minorHAnsi"/>
          <w:sz w:val="24"/>
          <w:szCs w:val="24"/>
        </w:rPr>
        <w:t xml:space="preserve">possess </w:t>
      </w:r>
      <w:r w:rsidRPr="00461D74">
        <w:rPr>
          <w:rFonts w:ascii="Garamond" w:hAnsi="Garamond" w:cstheme="minorHAnsi"/>
          <w:sz w:val="24"/>
          <w:szCs w:val="24"/>
        </w:rPr>
        <w:t xml:space="preserve">institutional powers. </w:t>
      </w:r>
    </w:p>
    <w:p w:rsidR="00665157" w:rsidRDefault="00E95964" w:rsidP="00E95964">
      <w:pPr>
        <w:spacing w:line="360" w:lineRule="auto"/>
        <w:ind w:firstLine="720"/>
        <w:jc w:val="both"/>
        <w:rPr>
          <w:rFonts w:ascii="Garamond" w:hAnsi="Garamond" w:cstheme="minorHAnsi"/>
          <w:sz w:val="24"/>
          <w:szCs w:val="24"/>
        </w:rPr>
      </w:pPr>
      <w:r>
        <w:rPr>
          <w:rFonts w:ascii="Garamond" w:hAnsi="Garamond" w:cstheme="minorHAnsi"/>
          <w:sz w:val="24"/>
          <w:szCs w:val="24"/>
        </w:rPr>
        <w:t>Now, t</w:t>
      </w:r>
      <w:r w:rsidR="00016049" w:rsidRPr="00461D74">
        <w:rPr>
          <w:rFonts w:ascii="Garamond" w:hAnsi="Garamond" w:cstheme="minorHAnsi"/>
          <w:sz w:val="24"/>
          <w:szCs w:val="24"/>
        </w:rPr>
        <w:t>his set of circumstances together with an overtly materialist conception of the good engendered by economic institutions and market forces, ensure</w:t>
      </w:r>
      <w:r w:rsidR="00D41EFA" w:rsidRPr="00461D74">
        <w:rPr>
          <w:rFonts w:ascii="Garamond" w:hAnsi="Garamond" w:cstheme="minorHAnsi"/>
          <w:sz w:val="24"/>
          <w:szCs w:val="24"/>
        </w:rPr>
        <w:t>s</w:t>
      </w:r>
      <w:r w:rsidR="00016049" w:rsidRPr="00461D74">
        <w:rPr>
          <w:rFonts w:ascii="Garamond" w:hAnsi="Garamond" w:cstheme="minorHAnsi"/>
          <w:sz w:val="24"/>
          <w:szCs w:val="24"/>
        </w:rPr>
        <w:t xml:space="preserve"> that powerful economic actors are able to exert a much greater influence than their actual vote as </w:t>
      </w:r>
      <w:r w:rsidR="00D41EFA"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citizen </w:t>
      </w:r>
      <w:r w:rsidR="00D41EFA" w:rsidRPr="00461D74">
        <w:rPr>
          <w:rFonts w:ascii="Garamond" w:hAnsi="Garamond" w:cstheme="minorHAnsi"/>
          <w:sz w:val="24"/>
          <w:szCs w:val="24"/>
        </w:rPr>
        <w:t xml:space="preserve">would </w:t>
      </w:r>
      <w:r w:rsidR="00016049" w:rsidRPr="00461D74">
        <w:rPr>
          <w:rFonts w:ascii="Garamond" w:hAnsi="Garamond" w:cstheme="minorHAnsi"/>
          <w:sz w:val="24"/>
          <w:szCs w:val="24"/>
        </w:rPr>
        <w:t xml:space="preserve">suggest. Hence large-scale politics in the form of representative democracy in the liberal state fails to </w:t>
      </w:r>
      <w:r w:rsidR="00032351">
        <w:rPr>
          <w:rFonts w:ascii="Garamond" w:hAnsi="Garamond" w:cstheme="minorHAnsi"/>
          <w:sz w:val="24"/>
          <w:szCs w:val="24"/>
        </w:rPr>
        <w:t>encourage</w:t>
      </w:r>
      <w:r w:rsidR="00032351" w:rsidRPr="00461D74">
        <w:rPr>
          <w:rFonts w:ascii="Garamond" w:hAnsi="Garamond" w:cstheme="minorHAnsi"/>
          <w:sz w:val="24"/>
          <w:szCs w:val="24"/>
        </w:rPr>
        <w:t xml:space="preserve"> </w:t>
      </w:r>
      <w:r w:rsidR="00032351">
        <w:rPr>
          <w:rFonts w:ascii="Garamond" w:hAnsi="Garamond" w:cstheme="minorHAnsi"/>
          <w:sz w:val="24"/>
          <w:szCs w:val="24"/>
        </w:rPr>
        <w:t>genuine participation or authentic democracy</w:t>
      </w:r>
      <w:r w:rsidR="00016049" w:rsidRPr="00461D74">
        <w:rPr>
          <w:rFonts w:ascii="Garamond" w:hAnsi="Garamond" w:cstheme="minorHAnsi"/>
          <w:sz w:val="24"/>
          <w:szCs w:val="24"/>
        </w:rPr>
        <w:t xml:space="preserve">. MacIntyre could then conclude that state level politics fails to be properly political. Hence his focus on politics at the level of local communities </w:t>
      </w:r>
      <w:r w:rsidR="00EF4A42">
        <w:rPr>
          <w:rFonts w:ascii="Garamond" w:hAnsi="Garamond" w:cstheme="minorHAnsi"/>
          <w:sz w:val="24"/>
          <w:szCs w:val="24"/>
        </w:rPr>
        <w:t>ought to</w:t>
      </w:r>
      <w:r w:rsidR="00EF4A42" w:rsidRPr="00461D74">
        <w:rPr>
          <w:rFonts w:ascii="Garamond" w:hAnsi="Garamond" w:cstheme="minorHAnsi"/>
          <w:sz w:val="24"/>
          <w:szCs w:val="24"/>
        </w:rPr>
        <w:t xml:space="preserve"> </w:t>
      </w:r>
      <w:r w:rsidR="00016049" w:rsidRPr="00461D74">
        <w:rPr>
          <w:rFonts w:ascii="Garamond" w:hAnsi="Garamond" w:cstheme="minorHAnsi"/>
          <w:sz w:val="24"/>
          <w:szCs w:val="24"/>
        </w:rPr>
        <w:t>satisfy any would-be detractors of his account</w:t>
      </w:r>
      <w:r w:rsidR="00DC5412">
        <w:rPr>
          <w:rFonts w:ascii="Garamond" w:hAnsi="Garamond" w:cstheme="minorHAnsi"/>
          <w:sz w:val="24"/>
          <w:szCs w:val="24"/>
        </w:rPr>
        <w:t>,</w:t>
      </w:r>
      <w:r w:rsidR="00016049" w:rsidRPr="00461D74">
        <w:rPr>
          <w:rFonts w:ascii="Garamond" w:hAnsi="Garamond" w:cstheme="minorHAnsi"/>
          <w:sz w:val="24"/>
          <w:szCs w:val="24"/>
        </w:rPr>
        <w:t xml:space="preserve"> until macro socio-political structures are transformed in a way that are more amenable to the type of politics he envisions. Therefore, if we read him as an ideal Aristotelian-Thomist political theorist, MacIntyre’s appears to </w:t>
      </w:r>
      <w:r w:rsidR="00392572" w:rsidRPr="00461D74">
        <w:rPr>
          <w:rFonts w:ascii="Garamond" w:hAnsi="Garamond" w:cstheme="minorHAnsi"/>
          <w:sz w:val="24"/>
          <w:szCs w:val="24"/>
        </w:rPr>
        <w:t>suggest</w:t>
      </w:r>
      <w:r w:rsidR="00016049" w:rsidRPr="00461D74">
        <w:rPr>
          <w:rFonts w:ascii="Garamond" w:hAnsi="Garamond" w:cstheme="minorHAnsi"/>
          <w:sz w:val="24"/>
          <w:szCs w:val="24"/>
        </w:rPr>
        <w:t xml:space="preserve"> that we should hunker down and defend local communities as best as we can, until such time that the transformation of social conditions occasions the possibility of a </w:t>
      </w:r>
      <w:r w:rsidR="004B53D9">
        <w:rPr>
          <w:rFonts w:ascii="Garamond" w:hAnsi="Garamond" w:cstheme="minorHAnsi"/>
          <w:sz w:val="24"/>
          <w:szCs w:val="24"/>
        </w:rPr>
        <w:t xml:space="preserve">better </w:t>
      </w:r>
      <w:r w:rsidR="00EF4A42">
        <w:rPr>
          <w:rFonts w:ascii="Garamond" w:hAnsi="Garamond" w:cstheme="minorHAnsi"/>
          <w:sz w:val="24"/>
          <w:szCs w:val="24"/>
        </w:rPr>
        <w:t>kind</w:t>
      </w:r>
      <w:r w:rsidR="00016049" w:rsidRPr="00461D74">
        <w:rPr>
          <w:rFonts w:ascii="Garamond" w:hAnsi="Garamond" w:cstheme="minorHAnsi"/>
          <w:sz w:val="24"/>
          <w:szCs w:val="24"/>
        </w:rPr>
        <w:t xml:space="preserve"> of politics. This reading is amenable to MacIntyre’s </w:t>
      </w:r>
      <w:r w:rsidR="00392572" w:rsidRPr="00461D74">
        <w:rPr>
          <w:rFonts w:ascii="Garamond" w:hAnsi="Garamond" w:cstheme="minorHAnsi"/>
          <w:sz w:val="24"/>
          <w:szCs w:val="24"/>
        </w:rPr>
        <w:t xml:space="preserve">rather ominous conclusion, </w:t>
      </w:r>
      <w:r w:rsidR="00016049" w:rsidRPr="00461D74">
        <w:rPr>
          <w:rFonts w:ascii="Garamond" w:hAnsi="Garamond" w:cstheme="minorHAnsi"/>
          <w:sz w:val="24"/>
          <w:szCs w:val="24"/>
        </w:rPr>
        <w:t xml:space="preserve">at the end of </w:t>
      </w:r>
      <w:r w:rsidR="00016049" w:rsidRPr="00461D74">
        <w:rPr>
          <w:rFonts w:ascii="Garamond" w:hAnsi="Garamond" w:cstheme="minorHAnsi"/>
          <w:i/>
          <w:iCs/>
          <w:sz w:val="24"/>
          <w:szCs w:val="24"/>
        </w:rPr>
        <w:t>After Virtue</w:t>
      </w:r>
      <w:r w:rsidR="00DC5412">
        <w:rPr>
          <w:rFonts w:ascii="Garamond" w:hAnsi="Garamond" w:cstheme="minorHAnsi"/>
          <w:iCs/>
          <w:sz w:val="24"/>
          <w:szCs w:val="24"/>
        </w:rPr>
        <w:t>,</w:t>
      </w:r>
      <w:r w:rsidR="00016049" w:rsidRPr="00461D74">
        <w:rPr>
          <w:rFonts w:ascii="Garamond" w:hAnsi="Garamond" w:cstheme="minorHAnsi"/>
          <w:sz w:val="24"/>
          <w:szCs w:val="24"/>
        </w:rPr>
        <w:t xml:space="preserve"> MacIntyre where he states that</w:t>
      </w:r>
    </w:p>
    <w:p w:rsidR="00665157" w:rsidRDefault="00016049">
      <w:pPr>
        <w:widowControl w:val="0"/>
        <w:autoSpaceDE w:val="0"/>
        <w:autoSpaceDN w:val="0"/>
        <w:adjustRightInd w:val="0"/>
        <w:spacing w:after="0" w:line="360" w:lineRule="auto"/>
        <w:ind w:left="1440"/>
        <w:jc w:val="both"/>
        <w:rPr>
          <w:rFonts w:ascii="Garamond" w:hAnsi="Garamond" w:cstheme="minorHAnsi"/>
        </w:rPr>
      </w:pPr>
      <w:r w:rsidRPr="00461D74">
        <w:rPr>
          <w:rFonts w:ascii="Garamond" w:hAnsi="Garamond" w:cstheme="minorHAnsi"/>
        </w:rPr>
        <w:t xml:space="preserve">“What matters at this stage is the construction of local forms of </w:t>
      </w:r>
      <w:r w:rsidRPr="00461D74">
        <w:rPr>
          <w:rFonts w:ascii="Garamond" w:hAnsi="Garamond" w:cstheme="minorHAnsi"/>
        </w:rPr>
        <w:lastRenderedPageBreak/>
        <w:t>community within which civility and the intellectual and moral life can be sustained through the new dark ages which are already upon us. And if the tradition of the virtues was able to survive the horrors of the last dark ages, we are not entirely without grounds for hope. This time however the barbarians are not waiting beyond the frontiers; they have already been governing us for quite some time. And it is our lack of consciousness of this that constitutes part of our predicament.”</w:t>
      </w:r>
      <w:r w:rsidRPr="00461D74">
        <w:rPr>
          <w:rStyle w:val="FootnoteReference"/>
          <w:rFonts w:ascii="Garamond" w:hAnsi="Garamond" w:cstheme="minorHAnsi"/>
        </w:rPr>
        <w:footnoteReference w:id="368"/>
      </w:r>
    </w:p>
    <w:p w:rsidR="00665157" w:rsidRDefault="00665157">
      <w:pPr>
        <w:widowControl w:val="0"/>
        <w:autoSpaceDE w:val="0"/>
        <w:autoSpaceDN w:val="0"/>
        <w:adjustRightInd w:val="0"/>
        <w:spacing w:after="0" w:line="360" w:lineRule="auto"/>
        <w:ind w:left="1440"/>
        <w:jc w:val="both"/>
        <w:rPr>
          <w:rFonts w:ascii="Garamond" w:hAnsi="Garamond" w:cstheme="minorHAnsi"/>
          <w:sz w:val="24"/>
          <w:szCs w:val="24"/>
        </w:rPr>
      </w:pP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Therefore, read as an ideal theorist of the Aristotelian variety, a </w:t>
      </w:r>
      <w:proofErr w:type="spellStart"/>
      <w:r w:rsidRPr="00461D74">
        <w:rPr>
          <w:rFonts w:ascii="Garamond" w:hAnsi="Garamond" w:cstheme="minorHAnsi"/>
          <w:sz w:val="24"/>
          <w:szCs w:val="24"/>
        </w:rPr>
        <w:t>MacIntyrean</w:t>
      </w:r>
      <w:proofErr w:type="spellEnd"/>
      <w:r w:rsidRPr="00461D74">
        <w:rPr>
          <w:rFonts w:ascii="Garamond" w:hAnsi="Garamond" w:cstheme="minorHAnsi"/>
          <w:sz w:val="24"/>
          <w:szCs w:val="24"/>
        </w:rPr>
        <w:t xml:space="preserve"> philosopher may have no choice but to defend small communities, communities in which intellectual and moral life can be sustained until more ideal socio-political conditions offer us a more ambitious political project.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Next, I will turn to exploring the consequences that follow from reading MacIntyre as an ideal theorist.</w:t>
      </w:r>
    </w:p>
    <w:p w:rsidR="00665157" w:rsidRDefault="00665157">
      <w:pPr>
        <w:spacing w:line="360" w:lineRule="auto"/>
        <w:ind w:firstLine="720"/>
        <w:jc w:val="both"/>
        <w:rPr>
          <w:rFonts w:ascii="Garamond" w:hAnsi="Garamond" w:cstheme="minorHAnsi"/>
          <w:sz w:val="24"/>
          <w:szCs w:val="24"/>
        </w:rPr>
      </w:pPr>
    </w:p>
    <w:p w:rsidR="00665157" w:rsidRDefault="007B7FD8">
      <w:pPr>
        <w:pStyle w:val="Heading3"/>
        <w:spacing w:line="360" w:lineRule="auto"/>
        <w:jc w:val="both"/>
        <w:rPr>
          <w:rFonts w:cstheme="majorHAnsi"/>
        </w:rPr>
      </w:pPr>
      <w:bookmarkStart w:id="51" w:name="_Toc528077828"/>
      <w:r w:rsidRPr="00F03436">
        <w:rPr>
          <w:rFonts w:cstheme="majorHAnsi"/>
        </w:rPr>
        <w:t>2.4 Ideal T</w:t>
      </w:r>
      <w:r w:rsidR="00016049" w:rsidRPr="00F03436">
        <w:rPr>
          <w:rFonts w:cstheme="majorHAnsi"/>
        </w:rPr>
        <w:t>heory and Historicism</w:t>
      </w:r>
      <w:bookmarkEnd w:id="51"/>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the above </w:t>
      </w:r>
      <w:r w:rsidR="00392572" w:rsidRPr="00461D74">
        <w:rPr>
          <w:rFonts w:ascii="Garamond" w:hAnsi="Garamond" w:cstheme="minorHAnsi"/>
          <w:sz w:val="24"/>
          <w:szCs w:val="24"/>
        </w:rPr>
        <w:t>I tried to</w:t>
      </w:r>
      <w:r w:rsidRPr="00461D74">
        <w:rPr>
          <w:rFonts w:ascii="Garamond" w:hAnsi="Garamond" w:cstheme="minorHAnsi"/>
          <w:sz w:val="24"/>
          <w:szCs w:val="24"/>
        </w:rPr>
        <w:t xml:space="preserve"> read MacIntyre as an ideal theorist. However, when we discussed the very high level outline of the debate between realism and ideal theory, we observed that MacIntyre’s views cannot be neatly classified under either of these two views. In the following I will suggest that reading </w:t>
      </w:r>
      <w:r w:rsidR="00773B45">
        <w:rPr>
          <w:rFonts w:ascii="Garamond" w:hAnsi="Garamond" w:cstheme="minorHAnsi"/>
          <w:sz w:val="24"/>
          <w:szCs w:val="24"/>
        </w:rPr>
        <w:t xml:space="preserve">MacIntyre as an ideal theorist </w:t>
      </w:r>
      <w:r w:rsidRPr="00461D74">
        <w:rPr>
          <w:rFonts w:ascii="Garamond" w:hAnsi="Garamond" w:cstheme="minorHAnsi"/>
          <w:sz w:val="24"/>
          <w:szCs w:val="24"/>
        </w:rPr>
        <w:t xml:space="preserve">does not sit well with the </w:t>
      </w:r>
      <w:r w:rsidR="001B4273" w:rsidRPr="00461D74">
        <w:rPr>
          <w:rFonts w:ascii="Garamond" w:hAnsi="Garamond" w:cstheme="minorHAnsi"/>
          <w:sz w:val="24"/>
          <w:szCs w:val="24"/>
        </w:rPr>
        <w:t xml:space="preserve">kind of </w:t>
      </w:r>
      <w:r w:rsidRPr="00461D74">
        <w:rPr>
          <w:rFonts w:ascii="Garamond" w:hAnsi="Garamond" w:cstheme="minorHAnsi"/>
          <w:sz w:val="24"/>
          <w:szCs w:val="24"/>
        </w:rPr>
        <w:t xml:space="preserve">historicism made explicit in much of his writings, </w:t>
      </w:r>
      <w:r w:rsidR="001B4273" w:rsidRPr="00461D74">
        <w:rPr>
          <w:rFonts w:ascii="Garamond" w:hAnsi="Garamond" w:cstheme="minorHAnsi"/>
          <w:sz w:val="24"/>
          <w:szCs w:val="24"/>
        </w:rPr>
        <w:t xml:space="preserve">and that </w:t>
      </w:r>
      <w:r w:rsidRPr="00461D74">
        <w:rPr>
          <w:rFonts w:ascii="Garamond" w:hAnsi="Garamond" w:cstheme="minorHAnsi"/>
          <w:sz w:val="24"/>
          <w:szCs w:val="24"/>
        </w:rPr>
        <w:t xml:space="preserve">read in an ideal way, </w:t>
      </w:r>
      <w:r w:rsidR="001B4273" w:rsidRPr="00461D74">
        <w:rPr>
          <w:rFonts w:ascii="Garamond" w:hAnsi="Garamond" w:cstheme="minorHAnsi"/>
          <w:sz w:val="24"/>
          <w:szCs w:val="24"/>
        </w:rPr>
        <w:t xml:space="preserve">MacIntyre’s </w:t>
      </w:r>
      <w:r w:rsidR="007F6238" w:rsidRPr="00461D74">
        <w:rPr>
          <w:rFonts w:ascii="Garamond" w:hAnsi="Garamond" w:cstheme="minorHAnsi"/>
          <w:sz w:val="24"/>
          <w:szCs w:val="24"/>
        </w:rPr>
        <w:t>account would lose too much of what makes his Neo-</w:t>
      </w:r>
      <w:r w:rsidRPr="00461D74">
        <w:rPr>
          <w:rFonts w:ascii="Garamond" w:hAnsi="Garamond" w:cstheme="minorHAnsi"/>
          <w:sz w:val="24"/>
          <w:szCs w:val="24"/>
        </w:rPr>
        <w:t>Aristotelian</w:t>
      </w:r>
      <w:r w:rsidR="007F6238" w:rsidRPr="00461D74">
        <w:rPr>
          <w:rFonts w:ascii="Garamond" w:hAnsi="Garamond" w:cstheme="minorHAnsi"/>
          <w:sz w:val="24"/>
          <w:szCs w:val="24"/>
        </w:rPr>
        <w:t xml:space="preserve"> account so interesting</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First, </w:t>
      </w:r>
      <w:r w:rsidR="00F7130F">
        <w:rPr>
          <w:rFonts w:ascii="Garamond" w:hAnsi="Garamond" w:cstheme="minorHAnsi"/>
          <w:sz w:val="24"/>
          <w:szCs w:val="24"/>
        </w:rPr>
        <w:t xml:space="preserve">if we </w:t>
      </w:r>
      <w:r w:rsidRPr="00461D74">
        <w:rPr>
          <w:rFonts w:ascii="Garamond" w:hAnsi="Garamond" w:cstheme="minorHAnsi"/>
          <w:sz w:val="24"/>
          <w:szCs w:val="24"/>
        </w:rPr>
        <w:t>read</w:t>
      </w:r>
      <w:r w:rsidR="00F7130F">
        <w:rPr>
          <w:rFonts w:ascii="Garamond" w:hAnsi="Garamond" w:cstheme="minorHAnsi"/>
          <w:sz w:val="24"/>
          <w:szCs w:val="24"/>
        </w:rPr>
        <w:t xml:space="preserve"> MacIntyre as an ideal theorist, it becomes painfully </w:t>
      </w:r>
      <w:r w:rsidRPr="00461D74">
        <w:rPr>
          <w:rFonts w:ascii="Garamond" w:hAnsi="Garamond" w:cstheme="minorHAnsi"/>
          <w:sz w:val="24"/>
          <w:szCs w:val="24"/>
        </w:rPr>
        <w:t xml:space="preserve">obvious that </w:t>
      </w:r>
      <w:r w:rsidR="00F7130F">
        <w:rPr>
          <w:rFonts w:ascii="Garamond" w:hAnsi="Garamond" w:cstheme="minorHAnsi"/>
          <w:sz w:val="24"/>
          <w:szCs w:val="24"/>
        </w:rPr>
        <w:t xml:space="preserve">a consequence of this reading is an abandonment of </w:t>
      </w:r>
      <w:r w:rsidRPr="00461D74">
        <w:rPr>
          <w:rFonts w:ascii="Garamond" w:hAnsi="Garamond" w:cstheme="minorHAnsi"/>
          <w:sz w:val="24"/>
          <w:szCs w:val="24"/>
        </w:rPr>
        <w:t xml:space="preserve">quite a lot, if not all of the historicist thesis </w:t>
      </w:r>
      <w:r w:rsidR="00F7130F">
        <w:rPr>
          <w:rFonts w:ascii="Garamond" w:hAnsi="Garamond" w:cstheme="minorHAnsi"/>
          <w:sz w:val="24"/>
          <w:szCs w:val="24"/>
        </w:rPr>
        <w:t xml:space="preserve">made explicit </w:t>
      </w:r>
      <w:r w:rsidRPr="00461D74">
        <w:rPr>
          <w:rFonts w:ascii="Garamond" w:hAnsi="Garamond" w:cstheme="minorHAnsi"/>
          <w:sz w:val="24"/>
          <w:szCs w:val="24"/>
        </w:rPr>
        <w:t xml:space="preserve">in his account – and so concomitantly, </w:t>
      </w:r>
      <w:r w:rsidR="00F7130F">
        <w:rPr>
          <w:rFonts w:ascii="Garamond" w:hAnsi="Garamond" w:cstheme="minorHAnsi"/>
          <w:sz w:val="24"/>
          <w:szCs w:val="24"/>
        </w:rPr>
        <w:lastRenderedPageBreak/>
        <w:t>we’d have to relinquish</w:t>
      </w:r>
      <w:r w:rsidRPr="00461D74">
        <w:rPr>
          <w:rFonts w:ascii="Garamond" w:hAnsi="Garamond" w:cstheme="minorHAnsi"/>
          <w:sz w:val="24"/>
          <w:szCs w:val="24"/>
        </w:rPr>
        <w:t xml:space="preserve"> the various internal commitments his historicism seems to imply. Recall that MacIntyre himself argued that Aristotle’s philosophical formulation in ethics and politics was not the formulation of an ethics or politics as such, rather it was the formulation of ethics belonging to a particular social context – that of the Aristotelian polis. </w:t>
      </w:r>
      <w:r w:rsidR="00005C20">
        <w:rPr>
          <w:rFonts w:ascii="Garamond" w:hAnsi="Garamond" w:cstheme="minorHAnsi"/>
          <w:sz w:val="24"/>
          <w:szCs w:val="24"/>
        </w:rPr>
        <w:t>Just as important i</w:t>
      </w:r>
      <w:r w:rsidR="00DC5412">
        <w:rPr>
          <w:rFonts w:ascii="Garamond" w:hAnsi="Garamond" w:cstheme="minorHAnsi"/>
          <w:sz w:val="24"/>
          <w:szCs w:val="24"/>
        </w:rPr>
        <w:t>s</w:t>
      </w:r>
      <w:r w:rsidR="00005C20">
        <w:rPr>
          <w:rFonts w:ascii="Garamond" w:hAnsi="Garamond" w:cstheme="minorHAnsi"/>
          <w:sz w:val="24"/>
          <w:szCs w:val="24"/>
        </w:rPr>
        <w:t xml:space="preserve"> that </w:t>
      </w:r>
      <w:r w:rsidRPr="00461D74">
        <w:rPr>
          <w:rFonts w:ascii="Garamond" w:hAnsi="Garamond" w:cstheme="minorHAnsi"/>
          <w:sz w:val="24"/>
          <w:szCs w:val="24"/>
        </w:rPr>
        <w:t xml:space="preserve">MacIntyre’s moral </w:t>
      </w:r>
      <w:r w:rsidR="00005C20">
        <w:rPr>
          <w:rFonts w:ascii="Garamond" w:hAnsi="Garamond" w:cstheme="minorHAnsi"/>
          <w:sz w:val="24"/>
          <w:szCs w:val="24"/>
        </w:rPr>
        <w:t>contextualism</w:t>
      </w:r>
      <w:r w:rsidR="00005C20" w:rsidRPr="00461D74">
        <w:rPr>
          <w:rFonts w:ascii="Garamond" w:hAnsi="Garamond" w:cstheme="minorHAnsi"/>
          <w:sz w:val="24"/>
          <w:szCs w:val="24"/>
        </w:rPr>
        <w:t xml:space="preserve"> </w:t>
      </w:r>
      <w:r w:rsidRPr="00461D74">
        <w:rPr>
          <w:rFonts w:ascii="Garamond" w:hAnsi="Garamond" w:cstheme="minorHAnsi"/>
          <w:sz w:val="24"/>
          <w:szCs w:val="24"/>
        </w:rPr>
        <w:t>and historical approach in philosophy views various philosophical arguments and theories as intellectual arguments embedded in specific historical periods and particular communities</w:t>
      </w:r>
      <w:r w:rsidR="000B271A">
        <w:rPr>
          <w:rFonts w:ascii="Garamond" w:hAnsi="Garamond" w:cstheme="minorHAnsi"/>
          <w:sz w:val="24"/>
          <w:szCs w:val="24"/>
        </w:rPr>
        <w:t xml:space="preserve"> (or contexts)</w:t>
      </w:r>
      <w:r w:rsidRPr="00461D74">
        <w:rPr>
          <w:rFonts w:ascii="Garamond" w:hAnsi="Garamond" w:cstheme="minorHAnsi"/>
          <w:sz w:val="24"/>
          <w:szCs w:val="24"/>
        </w:rPr>
        <w:t xml:space="preserve">. We also noted in </w:t>
      </w:r>
      <w:r w:rsidR="006D48F7" w:rsidRPr="00461D74">
        <w:rPr>
          <w:rFonts w:ascii="Garamond" w:hAnsi="Garamond" w:cstheme="minorHAnsi"/>
          <w:sz w:val="24"/>
          <w:szCs w:val="24"/>
        </w:rPr>
        <w:t>C</w:t>
      </w:r>
      <w:r w:rsidRPr="00461D74">
        <w:rPr>
          <w:rFonts w:ascii="Garamond" w:hAnsi="Garamond" w:cstheme="minorHAnsi"/>
          <w:sz w:val="24"/>
          <w:szCs w:val="24"/>
        </w:rPr>
        <w:t xml:space="preserve">hapter </w:t>
      </w:r>
      <w:r w:rsidR="006D48F7" w:rsidRPr="00461D74">
        <w:rPr>
          <w:rFonts w:ascii="Garamond" w:hAnsi="Garamond" w:cstheme="minorHAnsi"/>
          <w:sz w:val="24"/>
          <w:szCs w:val="24"/>
        </w:rPr>
        <w:t>T</w:t>
      </w:r>
      <w:r w:rsidRPr="00461D74">
        <w:rPr>
          <w:rFonts w:ascii="Garamond" w:hAnsi="Garamond" w:cstheme="minorHAnsi"/>
          <w:sz w:val="24"/>
          <w:szCs w:val="24"/>
        </w:rPr>
        <w:t xml:space="preserve">hree that inquiry in ethics for MacIntyre is a particular </w:t>
      </w:r>
      <w:r w:rsidR="000B271A">
        <w:rPr>
          <w:rFonts w:ascii="Garamond" w:hAnsi="Garamond" w:cstheme="minorHAnsi"/>
          <w:sz w:val="24"/>
          <w:szCs w:val="24"/>
        </w:rPr>
        <w:t>(</w:t>
      </w:r>
      <w:r w:rsidRPr="00461D74">
        <w:rPr>
          <w:rFonts w:ascii="Garamond" w:hAnsi="Garamond" w:cstheme="minorHAnsi"/>
          <w:sz w:val="24"/>
          <w:szCs w:val="24"/>
        </w:rPr>
        <w:t>historical</w:t>
      </w:r>
      <w:r w:rsidR="000B271A">
        <w:rPr>
          <w:rFonts w:ascii="Garamond" w:hAnsi="Garamond" w:cstheme="minorHAnsi"/>
          <w:sz w:val="24"/>
          <w:szCs w:val="24"/>
        </w:rPr>
        <w:t>)</w:t>
      </w:r>
      <w:r w:rsidRPr="00461D74">
        <w:rPr>
          <w:rFonts w:ascii="Garamond" w:hAnsi="Garamond" w:cstheme="minorHAnsi"/>
          <w:sz w:val="24"/>
          <w:szCs w:val="24"/>
        </w:rPr>
        <w:t xml:space="preserve"> articulation of social norms, shared language</w:t>
      </w:r>
      <w:r w:rsidR="006D48F7" w:rsidRPr="00461D74">
        <w:rPr>
          <w:rFonts w:ascii="Garamond" w:hAnsi="Garamond" w:cstheme="minorHAnsi"/>
          <w:sz w:val="24"/>
          <w:szCs w:val="24"/>
        </w:rPr>
        <w:t>,</w:t>
      </w:r>
      <w:r w:rsidRPr="00461D74">
        <w:rPr>
          <w:rFonts w:ascii="Garamond" w:hAnsi="Garamond" w:cstheme="minorHAnsi"/>
          <w:sz w:val="24"/>
          <w:szCs w:val="24"/>
        </w:rPr>
        <w:t xml:space="preserve"> and culture</w:t>
      </w:r>
      <w:r w:rsidR="000B271A">
        <w:rPr>
          <w:rFonts w:ascii="Garamond" w:hAnsi="Garamond" w:cstheme="minorHAnsi"/>
          <w:sz w:val="24"/>
          <w:szCs w:val="24"/>
        </w:rPr>
        <w:t>,</w:t>
      </w:r>
      <w:r w:rsidRPr="00461D74">
        <w:rPr>
          <w:rFonts w:ascii="Garamond" w:hAnsi="Garamond" w:cstheme="minorHAnsi"/>
          <w:sz w:val="24"/>
          <w:szCs w:val="24"/>
        </w:rPr>
        <w:t xml:space="preserve"> belonging to specific communities and their histories. Accepting MacIntyre as an ideal Aristotelian theorist in the above mould renders inert much of the interesting historical-cum-philosophical approach that </w:t>
      </w:r>
      <w:r w:rsidR="00DC5412">
        <w:rPr>
          <w:rFonts w:ascii="Garamond" w:hAnsi="Garamond" w:cstheme="minorHAnsi"/>
          <w:sz w:val="24"/>
          <w:szCs w:val="24"/>
        </w:rPr>
        <w:t xml:space="preserve">has been achieved by </w:t>
      </w:r>
      <w:r w:rsidRPr="00461D74">
        <w:rPr>
          <w:rFonts w:ascii="Garamond" w:hAnsi="Garamond" w:cstheme="minorHAnsi"/>
          <w:sz w:val="24"/>
          <w:szCs w:val="24"/>
        </w:rPr>
        <w:t>MacIntyre’s synthesis of Aristotle, Marx and more broadly</w:t>
      </w:r>
      <w:r w:rsidR="000B271A">
        <w:rPr>
          <w:rFonts w:ascii="Garamond" w:hAnsi="Garamond" w:cstheme="minorHAnsi"/>
          <w:sz w:val="24"/>
          <w:szCs w:val="24"/>
        </w:rPr>
        <w:t>,</w:t>
      </w:r>
      <w:r w:rsidRPr="00461D74">
        <w:rPr>
          <w:rFonts w:ascii="Garamond" w:hAnsi="Garamond" w:cstheme="minorHAnsi"/>
          <w:sz w:val="24"/>
          <w:szCs w:val="24"/>
        </w:rPr>
        <w:t xml:space="preserve"> his </w:t>
      </w:r>
      <w:r w:rsidR="000B271A">
        <w:rPr>
          <w:rFonts w:ascii="Garamond" w:hAnsi="Garamond" w:cstheme="minorHAnsi"/>
          <w:sz w:val="24"/>
          <w:szCs w:val="24"/>
        </w:rPr>
        <w:t xml:space="preserve">unique </w:t>
      </w:r>
      <w:r w:rsidRPr="00461D74">
        <w:rPr>
          <w:rFonts w:ascii="Garamond" w:hAnsi="Garamond" w:cstheme="minorHAnsi"/>
          <w:sz w:val="24"/>
          <w:szCs w:val="24"/>
        </w:rPr>
        <w:t>historically informed analysis.</w:t>
      </w:r>
    </w:p>
    <w:p w:rsidR="00665157" w:rsidRDefault="00016049" w:rsidP="00DC5412">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Second, we should note that MacIntyre’s work in social science in the 1960s and 1970s is grounded in </w:t>
      </w:r>
      <w:r w:rsidR="000C2E2E">
        <w:rPr>
          <w:rFonts w:ascii="Garamond" w:hAnsi="Garamond" w:cstheme="minorHAnsi"/>
          <w:sz w:val="24"/>
          <w:szCs w:val="24"/>
        </w:rPr>
        <w:t xml:space="preserve">a similar sort of </w:t>
      </w:r>
      <w:r w:rsidRPr="00461D74">
        <w:rPr>
          <w:rFonts w:ascii="Garamond" w:hAnsi="Garamond" w:cstheme="minorHAnsi"/>
          <w:sz w:val="24"/>
          <w:szCs w:val="24"/>
        </w:rPr>
        <w:t>historical thesis. The idea of tradition-guided inquiry</w:t>
      </w:r>
      <w:r w:rsidR="00DC5412">
        <w:rPr>
          <w:rFonts w:ascii="Garamond" w:hAnsi="Garamond" w:cstheme="minorHAnsi"/>
          <w:sz w:val="24"/>
          <w:szCs w:val="24"/>
        </w:rPr>
        <w:t xml:space="preserve">, which is </w:t>
      </w:r>
      <w:r w:rsidRPr="00461D74">
        <w:rPr>
          <w:rFonts w:ascii="Garamond" w:hAnsi="Garamond" w:cstheme="minorHAnsi"/>
          <w:sz w:val="24"/>
          <w:szCs w:val="24"/>
        </w:rPr>
        <w:t>perhaps the most unique and fundamental element of MacIntyre’s philosophical account</w:t>
      </w:r>
      <w:r w:rsidR="00DC5412">
        <w:rPr>
          <w:rFonts w:ascii="Garamond" w:hAnsi="Garamond" w:cstheme="minorHAnsi"/>
          <w:sz w:val="24"/>
          <w:szCs w:val="24"/>
        </w:rPr>
        <w:t xml:space="preserve">, </w:t>
      </w:r>
      <w:r w:rsidRPr="00461D74">
        <w:rPr>
          <w:rFonts w:ascii="Garamond" w:hAnsi="Garamond" w:cstheme="minorHAnsi"/>
          <w:sz w:val="24"/>
          <w:szCs w:val="24"/>
        </w:rPr>
        <w:t xml:space="preserve">is itself derived from MacIntyre’s fusion of his historical approach to doing philosophy, </w:t>
      </w:r>
      <w:r w:rsidR="000C2E2E">
        <w:rPr>
          <w:rFonts w:ascii="Garamond" w:hAnsi="Garamond" w:cstheme="minorHAnsi"/>
          <w:sz w:val="24"/>
          <w:szCs w:val="24"/>
        </w:rPr>
        <w:t xml:space="preserve">partly </w:t>
      </w:r>
      <w:r w:rsidRPr="00461D74">
        <w:rPr>
          <w:rFonts w:ascii="Garamond" w:hAnsi="Garamond" w:cstheme="minorHAnsi"/>
          <w:sz w:val="24"/>
          <w:szCs w:val="24"/>
        </w:rPr>
        <w:t xml:space="preserve">influenced by his early engagement with Marx, his later writings in the philosophy of science which </w:t>
      </w:r>
      <w:r w:rsidR="000C2E2E">
        <w:rPr>
          <w:rFonts w:ascii="Garamond" w:hAnsi="Garamond" w:cstheme="minorHAnsi"/>
          <w:sz w:val="24"/>
          <w:szCs w:val="24"/>
        </w:rPr>
        <w:t>bears the</w:t>
      </w:r>
      <w:r w:rsidR="001B4273" w:rsidRPr="00461D74">
        <w:rPr>
          <w:rFonts w:ascii="Garamond" w:hAnsi="Garamond" w:cstheme="minorHAnsi"/>
          <w:sz w:val="24"/>
          <w:szCs w:val="24"/>
        </w:rPr>
        <w:t xml:space="preserve"> influence</w:t>
      </w:r>
      <w:r w:rsidR="000C2E2E">
        <w:rPr>
          <w:rFonts w:ascii="Garamond" w:hAnsi="Garamond" w:cstheme="minorHAnsi"/>
          <w:sz w:val="24"/>
          <w:szCs w:val="24"/>
        </w:rPr>
        <w:t xml:space="preserve"> of</w:t>
      </w:r>
      <w:r w:rsidR="001B4273" w:rsidRPr="00461D74">
        <w:rPr>
          <w:rFonts w:ascii="Garamond" w:hAnsi="Garamond" w:cstheme="minorHAnsi"/>
          <w:sz w:val="24"/>
          <w:szCs w:val="24"/>
        </w:rPr>
        <w:t xml:space="preserve"> </w:t>
      </w:r>
      <w:r w:rsidR="000C2E2E">
        <w:rPr>
          <w:rFonts w:ascii="Garamond" w:hAnsi="Garamond" w:cstheme="minorHAnsi"/>
          <w:sz w:val="24"/>
          <w:szCs w:val="24"/>
        </w:rPr>
        <w:t xml:space="preserve">Thomas </w:t>
      </w:r>
      <w:r w:rsidRPr="00461D74">
        <w:rPr>
          <w:rFonts w:ascii="Garamond" w:hAnsi="Garamond" w:cstheme="minorHAnsi"/>
          <w:sz w:val="24"/>
          <w:szCs w:val="24"/>
        </w:rPr>
        <w:t>Kuhn</w:t>
      </w:r>
      <w:r w:rsidR="000C2E2E">
        <w:rPr>
          <w:rFonts w:ascii="Garamond" w:hAnsi="Garamond" w:cstheme="minorHAnsi"/>
          <w:sz w:val="24"/>
          <w:szCs w:val="24"/>
        </w:rPr>
        <w:t xml:space="preserve"> and </w:t>
      </w:r>
      <w:proofErr w:type="spellStart"/>
      <w:r w:rsidR="000C2E2E">
        <w:rPr>
          <w:rFonts w:ascii="Garamond" w:hAnsi="Garamond" w:cstheme="minorHAnsi"/>
          <w:sz w:val="24"/>
          <w:szCs w:val="24"/>
        </w:rPr>
        <w:t>Imre</w:t>
      </w:r>
      <w:proofErr w:type="spellEnd"/>
      <w:r w:rsidR="000C2E2E">
        <w:rPr>
          <w:rFonts w:ascii="Garamond" w:hAnsi="Garamond" w:cstheme="minorHAnsi"/>
          <w:sz w:val="24"/>
          <w:szCs w:val="24"/>
        </w:rPr>
        <w:t xml:space="preserve"> </w:t>
      </w:r>
      <w:proofErr w:type="spellStart"/>
      <w:r w:rsidR="000C2E2E">
        <w:rPr>
          <w:rFonts w:ascii="Garamond" w:hAnsi="Garamond" w:cstheme="minorHAnsi"/>
          <w:sz w:val="24"/>
          <w:szCs w:val="24"/>
        </w:rPr>
        <w:t>Lakatos</w:t>
      </w:r>
      <w:proofErr w:type="spellEnd"/>
      <w:r w:rsidR="000C2E2E">
        <w:rPr>
          <w:rFonts w:ascii="Garamond" w:hAnsi="Garamond" w:cstheme="minorHAnsi"/>
          <w:sz w:val="24"/>
          <w:szCs w:val="24"/>
        </w:rPr>
        <w:t>, as well as the influence of social philosophers such as Karl Polanyi</w:t>
      </w:r>
      <w:r w:rsidR="006D48F7" w:rsidRPr="00461D74">
        <w:rPr>
          <w:rFonts w:ascii="Garamond" w:hAnsi="Garamond" w:cstheme="minorHAnsi"/>
          <w:sz w:val="24"/>
          <w:szCs w:val="24"/>
        </w:rPr>
        <w:t>.</w:t>
      </w:r>
      <w:r w:rsidRPr="00461D74">
        <w:rPr>
          <w:rFonts w:ascii="Garamond" w:hAnsi="Garamond" w:cstheme="minorHAnsi"/>
          <w:sz w:val="24"/>
          <w:szCs w:val="24"/>
        </w:rPr>
        <w:t xml:space="preserve"> By dispensing with much of his historicist thesis, MacIntyre </w:t>
      </w:r>
      <w:r w:rsidR="00A4592F">
        <w:rPr>
          <w:rFonts w:ascii="Garamond" w:hAnsi="Garamond" w:cstheme="minorHAnsi"/>
          <w:sz w:val="24"/>
          <w:szCs w:val="24"/>
        </w:rPr>
        <w:t xml:space="preserve">read </w:t>
      </w:r>
      <w:r w:rsidRPr="00461D74">
        <w:rPr>
          <w:rFonts w:ascii="Garamond" w:hAnsi="Garamond" w:cstheme="minorHAnsi"/>
          <w:sz w:val="24"/>
          <w:szCs w:val="24"/>
        </w:rPr>
        <w:t xml:space="preserve">as </w:t>
      </w:r>
      <w:r w:rsidR="00A4592F">
        <w:rPr>
          <w:rFonts w:ascii="Garamond" w:hAnsi="Garamond" w:cstheme="minorHAnsi"/>
          <w:sz w:val="24"/>
          <w:szCs w:val="24"/>
        </w:rPr>
        <w:t>an ideal</w:t>
      </w:r>
      <w:r w:rsidRPr="00461D74">
        <w:rPr>
          <w:rFonts w:ascii="Garamond" w:hAnsi="Garamond" w:cstheme="minorHAnsi"/>
          <w:sz w:val="24"/>
          <w:szCs w:val="24"/>
        </w:rPr>
        <w:t xml:space="preserve"> theorist</w:t>
      </w:r>
      <w:r w:rsidR="00A4592F">
        <w:rPr>
          <w:rFonts w:ascii="Garamond" w:hAnsi="Garamond" w:cstheme="minorHAnsi"/>
          <w:sz w:val="24"/>
          <w:szCs w:val="24"/>
        </w:rPr>
        <w:t xml:space="preserve"> of an Aristotelian bent,</w:t>
      </w:r>
      <w:r w:rsidRPr="00461D74">
        <w:rPr>
          <w:rFonts w:ascii="Garamond" w:hAnsi="Garamond" w:cstheme="minorHAnsi"/>
          <w:sz w:val="24"/>
          <w:szCs w:val="24"/>
        </w:rPr>
        <w:t xml:space="preserve"> would </w:t>
      </w:r>
      <w:r w:rsidR="00A4592F">
        <w:rPr>
          <w:rFonts w:ascii="Garamond" w:hAnsi="Garamond" w:cstheme="minorHAnsi"/>
          <w:sz w:val="24"/>
          <w:szCs w:val="24"/>
        </w:rPr>
        <w:t>also end up abandoning to some extent</w:t>
      </w:r>
      <w:r w:rsidRPr="00461D74">
        <w:rPr>
          <w:rFonts w:ascii="Garamond" w:hAnsi="Garamond" w:cstheme="minorHAnsi"/>
          <w:sz w:val="24"/>
          <w:szCs w:val="24"/>
        </w:rPr>
        <w:t xml:space="preserve"> the idea of traditions of moral inquiry superseding one another in history. </w:t>
      </w:r>
      <w:r w:rsidR="00A4592F">
        <w:rPr>
          <w:rFonts w:ascii="Garamond" w:hAnsi="Garamond" w:cstheme="minorHAnsi"/>
          <w:sz w:val="24"/>
          <w:szCs w:val="24"/>
        </w:rPr>
        <w:t>A</w:t>
      </w:r>
      <w:r w:rsidRPr="00461D74">
        <w:rPr>
          <w:rFonts w:ascii="Garamond" w:hAnsi="Garamond" w:cstheme="minorHAnsi"/>
          <w:sz w:val="24"/>
          <w:szCs w:val="24"/>
        </w:rPr>
        <w:t xml:space="preserve">n important feature of MacIntyre’s account of tradition-guided inquiry is </w:t>
      </w:r>
      <w:r w:rsidR="00A4592F">
        <w:rPr>
          <w:rFonts w:ascii="Garamond" w:hAnsi="Garamond" w:cstheme="minorHAnsi"/>
          <w:sz w:val="24"/>
          <w:szCs w:val="24"/>
        </w:rPr>
        <w:t xml:space="preserve">however </w:t>
      </w:r>
      <w:r w:rsidRPr="00461D74">
        <w:rPr>
          <w:rFonts w:ascii="Garamond" w:hAnsi="Garamond" w:cstheme="minorHAnsi"/>
          <w:sz w:val="24"/>
          <w:szCs w:val="24"/>
        </w:rPr>
        <w:t>its utilisation of the historical thesis</w:t>
      </w:r>
      <w:r w:rsidR="00A4592F">
        <w:rPr>
          <w:rFonts w:ascii="Garamond" w:hAnsi="Garamond" w:cstheme="minorHAnsi"/>
          <w:sz w:val="24"/>
          <w:szCs w:val="24"/>
        </w:rPr>
        <w:t>,</w:t>
      </w:r>
      <w:r w:rsidRPr="00461D74">
        <w:rPr>
          <w:rFonts w:ascii="Garamond" w:hAnsi="Garamond" w:cstheme="minorHAnsi"/>
          <w:sz w:val="24"/>
          <w:szCs w:val="24"/>
        </w:rPr>
        <w:t xml:space="preserve"> explicit in </w:t>
      </w:r>
      <w:r w:rsidR="00A4592F">
        <w:rPr>
          <w:rFonts w:ascii="Garamond" w:hAnsi="Garamond" w:cstheme="minorHAnsi"/>
          <w:sz w:val="24"/>
          <w:szCs w:val="24"/>
        </w:rPr>
        <w:t>many of these influential thinkers</w:t>
      </w:r>
      <w:r w:rsidRPr="00461D74">
        <w:rPr>
          <w:rFonts w:ascii="Garamond" w:hAnsi="Garamond" w:cstheme="minorHAnsi"/>
          <w:sz w:val="24"/>
          <w:szCs w:val="24"/>
        </w:rPr>
        <w:t xml:space="preserve">. By giving up the historicist thesis, the idea of historical traditions answering questions that were particular to specific context and social </w:t>
      </w:r>
      <w:r w:rsidRPr="00461D74">
        <w:rPr>
          <w:rFonts w:ascii="Garamond" w:hAnsi="Garamond" w:cstheme="minorHAnsi"/>
          <w:sz w:val="24"/>
          <w:szCs w:val="24"/>
        </w:rPr>
        <w:lastRenderedPageBreak/>
        <w:t xml:space="preserve">background makes much less sense. </w:t>
      </w:r>
      <w:r w:rsidR="00A4592F">
        <w:rPr>
          <w:rFonts w:ascii="Garamond" w:hAnsi="Garamond" w:cstheme="minorHAnsi"/>
          <w:sz w:val="24"/>
          <w:szCs w:val="24"/>
        </w:rPr>
        <w:t>Therefore</w:t>
      </w:r>
      <w:r w:rsidRPr="00461D74">
        <w:rPr>
          <w:rFonts w:ascii="Garamond" w:hAnsi="Garamond" w:cstheme="minorHAnsi"/>
          <w:sz w:val="24"/>
          <w:szCs w:val="24"/>
        </w:rPr>
        <w:t>, the idea of tradition-guided moral-cum-political inquiry would itself lose its philosophical rigour.</w:t>
      </w:r>
    </w:p>
    <w:p w:rsidR="00665157" w:rsidRDefault="00016049" w:rsidP="00AC478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Third, MacIntyre has spent much of his work criticising idealized abstract form</w:t>
      </w:r>
      <w:r w:rsidR="006D48F7" w:rsidRPr="00461D74">
        <w:rPr>
          <w:rFonts w:ascii="Garamond" w:hAnsi="Garamond" w:cstheme="minorHAnsi"/>
          <w:sz w:val="24"/>
          <w:szCs w:val="24"/>
        </w:rPr>
        <w:t>s</w:t>
      </w:r>
      <w:r w:rsidRPr="00461D74">
        <w:rPr>
          <w:rFonts w:ascii="Garamond" w:hAnsi="Garamond" w:cstheme="minorHAnsi"/>
          <w:sz w:val="24"/>
          <w:szCs w:val="24"/>
        </w:rPr>
        <w:t xml:space="preserve"> of theoretical inquiry in philosophy. </w:t>
      </w:r>
      <w:r w:rsidR="00A05864">
        <w:rPr>
          <w:rFonts w:ascii="Garamond" w:hAnsi="Garamond" w:cstheme="minorHAnsi"/>
          <w:sz w:val="24"/>
          <w:szCs w:val="24"/>
        </w:rPr>
        <w:t xml:space="preserve">Earlier, we saw </w:t>
      </w:r>
      <w:r w:rsidRPr="00461D74">
        <w:rPr>
          <w:rFonts w:ascii="Garamond" w:hAnsi="Garamond" w:cstheme="minorHAnsi"/>
          <w:sz w:val="24"/>
          <w:szCs w:val="24"/>
        </w:rPr>
        <w:t xml:space="preserve">that quite a lot of MacIntyre’s criticism against deontology, utilitarianism, and modern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liberal theory takes </w:t>
      </w:r>
      <w:r w:rsidR="00A05864">
        <w:rPr>
          <w:rFonts w:ascii="Garamond" w:hAnsi="Garamond" w:cstheme="minorHAnsi"/>
          <w:sz w:val="24"/>
          <w:szCs w:val="24"/>
        </w:rPr>
        <w:t xml:space="preserve">just </w:t>
      </w:r>
      <w:r w:rsidRPr="00461D74">
        <w:rPr>
          <w:rFonts w:ascii="Garamond" w:hAnsi="Garamond" w:cstheme="minorHAnsi"/>
          <w:sz w:val="24"/>
          <w:szCs w:val="24"/>
        </w:rPr>
        <w:t xml:space="preserve">this form. He has time and again reminded us that ideal theory confines itself to </w:t>
      </w:r>
      <w:proofErr w:type="spellStart"/>
      <w:r w:rsidRPr="00461D74">
        <w:rPr>
          <w:rFonts w:ascii="Garamond" w:hAnsi="Garamond" w:cstheme="minorHAnsi"/>
          <w:sz w:val="24"/>
          <w:szCs w:val="24"/>
        </w:rPr>
        <w:t>generalizable</w:t>
      </w:r>
      <w:proofErr w:type="spellEnd"/>
      <w:r w:rsidRPr="00461D74">
        <w:rPr>
          <w:rFonts w:ascii="Garamond" w:hAnsi="Garamond" w:cstheme="minorHAnsi"/>
          <w:sz w:val="24"/>
          <w:szCs w:val="24"/>
        </w:rPr>
        <w:t xml:space="preserve"> principles, because it abstracts from the very real normative problems that </w:t>
      </w:r>
      <w:r w:rsidR="008177C6">
        <w:rPr>
          <w:rFonts w:ascii="Garamond" w:hAnsi="Garamond" w:cstheme="minorHAnsi"/>
          <w:sz w:val="24"/>
          <w:szCs w:val="24"/>
        </w:rPr>
        <w:t>are raised</w:t>
      </w:r>
      <w:r w:rsidRPr="00461D74">
        <w:rPr>
          <w:rFonts w:ascii="Garamond" w:hAnsi="Garamond" w:cstheme="minorHAnsi"/>
          <w:sz w:val="24"/>
          <w:szCs w:val="24"/>
        </w:rPr>
        <w:t xml:space="preserve"> under </w:t>
      </w:r>
      <w:r w:rsidR="008177C6">
        <w:rPr>
          <w:rFonts w:ascii="Garamond" w:hAnsi="Garamond" w:cstheme="minorHAnsi"/>
          <w:sz w:val="24"/>
          <w:szCs w:val="24"/>
        </w:rPr>
        <w:t xml:space="preserve">particular </w:t>
      </w:r>
      <w:r w:rsidRPr="00461D74">
        <w:rPr>
          <w:rFonts w:ascii="Garamond" w:hAnsi="Garamond" w:cstheme="minorHAnsi"/>
          <w:sz w:val="24"/>
          <w:szCs w:val="24"/>
        </w:rPr>
        <w:t>non-ideal (real) circumstance</w:t>
      </w:r>
      <w:r w:rsidR="008177C6">
        <w:rPr>
          <w:rFonts w:ascii="Garamond" w:hAnsi="Garamond" w:cstheme="minorHAnsi"/>
          <w:sz w:val="24"/>
          <w:szCs w:val="24"/>
        </w:rPr>
        <w:t>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69"/>
      </w:r>
      <w:r w:rsidRPr="00461D74">
        <w:rPr>
          <w:rFonts w:ascii="Garamond" w:hAnsi="Garamond" w:cstheme="minorHAnsi"/>
          <w:sz w:val="24"/>
          <w:szCs w:val="24"/>
        </w:rPr>
        <w:t xml:space="preserve"> </w:t>
      </w:r>
      <w:r w:rsidR="00A05864">
        <w:rPr>
          <w:rFonts w:ascii="Garamond" w:hAnsi="Garamond" w:cstheme="minorHAnsi"/>
          <w:sz w:val="24"/>
          <w:szCs w:val="24"/>
        </w:rPr>
        <w:t xml:space="preserve">For example, ideal theory </w:t>
      </w:r>
      <w:r w:rsidRPr="00461D74">
        <w:rPr>
          <w:rFonts w:ascii="Garamond" w:hAnsi="Garamond" w:cstheme="minorHAnsi"/>
          <w:sz w:val="24"/>
          <w:szCs w:val="24"/>
        </w:rPr>
        <w:t xml:space="preserve">fails to </w:t>
      </w:r>
      <w:r w:rsidR="00A05864">
        <w:rPr>
          <w:rFonts w:ascii="Garamond" w:hAnsi="Garamond" w:cstheme="minorHAnsi"/>
          <w:sz w:val="24"/>
          <w:szCs w:val="24"/>
        </w:rPr>
        <w:t>appreciate</w:t>
      </w:r>
      <w:r w:rsidR="00A05864" w:rsidRPr="00461D74">
        <w:rPr>
          <w:rFonts w:ascii="Garamond" w:hAnsi="Garamond" w:cstheme="minorHAnsi"/>
          <w:sz w:val="24"/>
          <w:szCs w:val="24"/>
        </w:rPr>
        <w:t xml:space="preserve"> </w:t>
      </w:r>
      <w:r w:rsidRPr="00461D74">
        <w:rPr>
          <w:rFonts w:ascii="Garamond" w:hAnsi="Garamond" w:cstheme="minorHAnsi"/>
          <w:sz w:val="24"/>
          <w:szCs w:val="24"/>
        </w:rPr>
        <w:t xml:space="preserve">that ethics as a form of inquiry is best understood as an articulation of ethical norms </w:t>
      </w:r>
      <w:r w:rsidR="00A05864">
        <w:rPr>
          <w:rFonts w:ascii="Garamond" w:hAnsi="Garamond" w:cstheme="minorHAnsi"/>
          <w:sz w:val="24"/>
          <w:szCs w:val="24"/>
        </w:rPr>
        <w:t>emerging out of</w:t>
      </w:r>
      <w:r w:rsidRPr="00461D74">
        <w:rPr>
          <w:rFonts w:ascii="Garamond" w:hAnsi="Garamond" w:cstheme="minorHAnsi"/>
          <w:sz w:val="24"/>
          <w:szCs w:val="24"/>
        </w:rPr>
        <w:t xml:space="preserve"> particular social</w:t>
      </w:r>
      <w:r w:rsidR="00A05864">
        <w:rPr>
          <w:rFonts w:ascii="Garamond" w:hAnsi="Garamond" w:cstheme="minorHAnsi"/>
          <w:sz w:val="24"/>
          <w:szCs w:val="24"/>
        </w:rPr>
        <w:t>-historical</w:t>
      </w:r>
      <w:r w:rsidRPr="00461D74">
        <w:rPr>
          <w:rFonts w:ascii="Garamond" w:hAnsi="Garamond" w:cstheme="minorHAnsi"/>
          <w:sz w:val="24"/>
          <w:szCs w:val="24"/>
        </w:rPr>
        <w:t xml:space="preserve"> context. Making sense of MacIntyre as an ideal theorist, even an Aristotelian one, </w:t>
      </w:r>
      <w:r w:rsidR="00A05864">
        <w:rPr>
          <w:rFonts w:ascii="Garamond" w:hAnsi="Garamond" w:cstheme="minorHAnsi"/>
          <w:sz w:val="24"/>
          <w:szCs w:val="24"/>
        </w:rPr>
        <w:t xml:space="preserve">nevertheless </w:t>
      </w:r>
      <w:r w:rsidRPr="00461D74">
        <w:rPr>
          <w:rFonts w:ascii="Garamond" w:hAnsi="Garamond" w:cstheme="minorHAnsi"/>
          <w:sz w:val="24"/>
          <w:szCs w:val="24"/>
        </w:rPr>
        <w:t>renders MacIntyre’s criticism of fragmentation and interminability of contemporary moral discourse in resolving ethical issues highly problematic</w:t>
      </w:r>
      <w:r w:rsidR="00AC478A">
        <w:rPr>
          <w:rFonts w:ascii="Garamond" w:hAnsi="Garamond" w:cstheme="minorHAnsi"/>
          <w:sz w:val="24"/>
          <w:szCs w:val="24"/>
        </w:rPr>
        <w:t>;</w:t>
      </w:r>
      <w:r w:rsidR="00A05864">
        <w:rPr>
          <w:rFonts w:ascii="Garamond" w:hAnsi="Garamond" w:cstheme="minorHAnsi"/>
          <w:sz w:val="24"/>
          <w:szCs w:val="24"/>
        </w:rPr>
        <w:t xml:space="preserve"> if only because MacIntyre’s thesis on the fragmentation of moral discourse rests on the </w:t>
      </w:r>
      <w:r w:rsidR="003000A9">
        <w:rPr>
          <w:rFonts w:ascii="Garamond" w:hAnsi="Garamond" w:cstheme="minorHAnsi"/>
          <w:sz w:val="24"/>
          <w:szCs w:val="24"/>
        </w:rPr>
        <w:t>failure</w:t>
      </w:r>
      <w:r w:rsidR="00A05864">
        <w:rPr>
          <w:rFonts w:ascii="Garamond" w:hAnsi="Garamond" w:cstheme="minorHAnsi"/>
          <w:sz w:val="24"/>
          <w:szCs w:val="24"/>
        </w:rPr>
        <w:t xml:space="preserve"> of </w:t>
      </w:r>
      <w:r w:rsidR="00A05864" w:rsidRPr="00461D74">
        <w:rPr>
          <w:rFonts w:ascii="Garamond" w:hAnsi="Garamond" w:cstheme="minorHAnsi"/>
          <w:sz w:val="24"/>
          <w:szCs w:val="24"/>
        </w:rPr>
        <w:t xml:space="preserve">the Enlightenment </w:t>
      </w:r>
      <w:r w:rsidR="003000A9">
        <w:rPr>
          <w:rFonts w:ascii="Garamond" w:hAnsi="Garamond" w:cstheme="minorHAnsi"/>
          <w:sz w:val="24"/>
          <w:szCs w:val="24"/>
        </w:rPr>
        <w:t>thinkers</w:t>
      </w:r>
      <w:r w:rsidR="00A05864" w:rsidRPr="00461D74">
        <w:rPr>
          <w:rFonts w:ascii="Garamond" w:hAnsi="Garamond" w:cstheme="minorHAnsi"/>
          <w:sz w:val="24"/>
          <w:szCs w:val="24"/>
        </w:rPr>
        <w:t xml:space="preserve"> to </w:t>
      </w:r>
      <w:r w:rsidR="003000A9">
        <w:rPr>
          <w:rFonts w:ascii="Garamond" w:hAnsi="Garamond" w:cstheme="minorHAnsi"/>
          <w:sz w:val="24"/>
          <w:szCs w:val="24"/>
        </w:rPr>
        <w:t>appreciate</w:t>
      </w:r>
      <w:r w:rsidR="00A05864" w:rsidRPr="00461D74">
        <w:rPr>
          <w:rFonts w:ascii="Garamond" w:hAnsi="Garamond" w:cstheme="minorHAnsi"/>
          <w:sz w:val="24"/>
          <w:szCs w:val="24"/>
        </w:rPr>
        <w:t xml:space="preserve"> </w:t>
      </w:r>
      <w:r w:rsidR="003000A9">
        <w:rPr>
          <w:rFonts w:ascii="Garamond" w:hAnsi="Garamond" w:cstheme="minorHAnsi"/>
          <w:sz w:val="24"/>
          <w:szCs w:val="24"/>
        </w:rPr>
        <w:t xml:space="preserve">that their attempt at </w:t>
      </w:r>
      <w:r w:rsidR="00AC478A">
        <w:rPr>
          <w:rFonts w:ascii="Garamond" w:hAnsi="Garamond" w:cstheme="minorHAnsi"/>
          <w:sz w:val="24"/>
          <w:szCs w:val="24"/>
        </w:rPr>
        <w:t>articulating</w:t>
      </w:r>
      <w:r w:rsidR="003000A9">
        <w:rPr>
          <w:rFonts w:ascii="Garamond" w:hAnsi="Garamond" w:cstheme="minorHAnsi"/>
          <w:sz w:val="24"/>
          <w:szCs w:val="24"/>
        </w:rPr>
        <w:t xml:space="preserve"> </w:t>
      </w:r>
      <w:r w:rsidR="00A05864">
        <w:rPr>
          <w:rFonts w:ascii="Garamond" w:hAnsi="Garamond" w:cstheme="minorHAnsi"/>
          <w:sz w:val="24"/>
          <w:szCs w:val="24"/>
        </w:rPr>
        <w:t xml:space="preserve">independent </w:t>
      </w:r>
      <w:proofErr w:type="spellStart"/>
      <w:r w:rsidR="00A05864" w:rsidRPr="00461D74">
        <w:rPr>
          <w:rFonts w:ascii="Garamond" w:hAnsi="Garamond" w:cstheme="minorHAnsi"/>
          <w:sz w:val="24"/>
          <w:szCs w:val="24"/>
        </w:rPr>
        <w:t>general</w:t>
      </w:r>
      <w:r w:rsidR="00A05864">
        <w:rPr>
          <w:rFonts w:ascii="Garamond" w:hAnsi="Garamond" w:cstheme="minorHAnsi"/>
          <w:sz w:val="24"/>
          <w:szCs w:val="24"/>
        </w:rPr>
        <w:t>izable</w:t>
      </w:r>
      <w:proofErr w:type="spellEnd"/>
      <w:r w:rsidR="00A05864" w:rsidRPr="00461D74">
        <w:rPr>
          <w:rFonts w:ascii="Garamond" w:hAnsi="Garamond" w:cstheme="minorHAnsi"/>
          <w:sz w:val="24"/>
          <w:szCs w:val="24"/>
        </w:rPr>
        <w:t xml:space="preserve"> moral principles</w:t>
      </w:r>
      <w:r w:rsidR="003000A9">
        <w:rPr>
          <w:rFonts w:ascii="Garamond" w:hAnsi="Garamond" w:cstheme="minorHAnsi"/>
          <w:sz w:val="24"/>
          <w:szCs w:val="24"/>
        </w:rPr>
        <w:t xml:space="preserve"> were bound to fall short</w:t>
      </w:r>
      <w:r w:rsidR="00A05864" w:rsidRPr="00461D74">
        <w:rPr>
          <w:rFonts w:ascii="Garamond" w:hAnsi="Garamond" w:cstheme="minorHAnsi"/>
          <w:sz w:val="24"/>
          <w:szCs w:val="24"/>
        </w:rPr>
        <w:t>.</w:t>
      </w:r>
      <w:r w:rsidR="00AC478A">
        <w:rPr>
          <w:rFonts w:ascii="Garamond" w:hAnsi="Garamond" w:cstheme="minorHAnsi"/>
          <w:sz w:val="24"/>
          <w:szCs w:val="24"/>
        </w:rPr>
        <w:t xml:space="preserve"> Now, </w:t>
      </w:r>
      <w:r w:rsidRPr="00461D74">
        <w:rPr>
          <w:rFonts w:ascii="Garamond" w:hAnsi="Garamond" w:cstheme="minorHAnsi"/>
          <w:sz w:val="24"/>
          <w:szCs w:val="24"/>
        </w:rPr>
        <w:t xml:space="preserve">MacIntyre read as an ideal theorist could be subjected to a similar line of criticism. A MacIntyre who is an ideal theorist – one </w:t>
      </w:r>
      <w:r w:rsidR="00DC5412">
        <w:rPr>
          <w:rFonts w:ascii="Garamond" w:hAnsi="Garamond" w:cstheme="minorHAnsi"/>
          <w:sz w:val="24"/>
          <w:szCs w:val="24"/>
        </w:rPr>
        <w:t>who</w:t>
      </w:r>
      <w:r w:rsidRPr="00461D74">
        <w:rPr>
          <w:rFonts w:ascii="Garamond" w:hAnsi="Garamond" w:cstheme="minorHAnsi"/>
          <w:sz w:val="24"/>
          <w:szCs w:val="24"/>
        </w:rPr>
        <w:t xml:space="preserve"> ignores historical contingency and particularity – may be liable to the type of criticism MacIntyre has </w:t>
      </w:r>
      <w:r w:rsidR="001B4273" w:rsidRPr="00461D74">
        <w:rPr>
          <w:rFonts w:ascii="Garamond" w:hAnsi="Garamond" w:cstheme="minorHAnsi"/>
          <w:sz w:val="24"/>
          <w:szCs w:val="24"/>
        </w:rPr>
        <w:t xml:space="preserve">himself </w:t>
      </w:r>
      <w:r w:rsidRPr="00461D74">
        <w:rPr>
          <w:rFonts w:ascii="Garamond" w:hAnsi="Garamond" w:cstheme="minorHAnsi"/>
          <w:sz w:val="24"/>
          <w:szCs w:val="24"/>
        </w:rPr>
        <w:t xml:space="preserve">directed against </w:t>
      </w:r>
      <w:r w:rsidR="002E6688">
        <w:rPr>
          <w:rFonts w:ascii="Garamond" w:hAnsi="Garamond" w:cstheme="minorHAnsi"/>
          <w:sz w:val="24"/>
          <w:szCs w:val="24"/>
        </w:rPr>
        <w:t>e</w:t>
      </w:r>
      <w:r w:rsidRPr="00461D74">
        <w:rPr>
          <w:rFonts w:ascii="Garamond" w:hAnsi="Garamond" w:cstheme="minorHAnsi"/>
          <w:sz w:val="24"/>
          <w:szCs w:val="24"/>
        </w:rPr>
        <w:t>nlightenment and post-</w:t>
      </w:r>
      <w:r w:rsidR="002E6688">
        <w:rPr>
          <w:rFonts w:ascii="Garamond" w:hAnsi="Garamond" w:cstheme="minorHAnsi"/>
          <w:sz w:val="24"/>
          <w:szCs w:val="24"/>
        </w:rPr>
        <w:t>e</w:t>
      </w:r>
      <w:r w:rsidRPr="00461D74">
        <w:rPr>
          <w:rFonts w:ascii="Garamond" w:hAnsi="Garamond" w:cstheme="minorHAnsi"/>
          <w:sz w:val="24"/>
          <w:szCs w:val="24"/>
        </w:rPr>
        <w:t>nlightenment figures like Kant and Rawls.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Still, in order to strengthen the argument that MacIntyre has no other choice but to </w:t>
      </w:r>
      <w:r w:rsidR="001B4273" w:rsidRPr="00461D74">
        <w:rPr>
          <w:rFonts w:ascii="Garamond" w:hAnsi="Garamond" w:cstheme="minorHAnsi"/>
          <w:sz w:val="24"/>
          <w:szCs w:val="24"/>
        </w:rPr>
        <w:t xml:space="preserve">critically </w:t>
      </w:r>
      <w:r w:rsidR="008332AC" w:rsidRPr="00461D74">
        <w:rPr>
          <w:rFonts w:ascii="Garamond" w:hAnsi="Garamond" w:cstheme="minorHAnsi"/>
          <w:sz w:val="24"/>
          <w:szCs w:val="24"/>
        </w:rPr>
        <w:t>(</w:t>
      </w:r>
      <w:r w:rsidR="001B4273" w:rsidRPr="00461D74">
        <w:rPr>
          <w:rFonts w:ascii="Garamond" w:hAnsi="Garamond" w:cstheme="minorHAnsi"/>
          <w:sz w:val="24"/>
          <w:szCs w:val="24"/>
        </w:rPr>
        <w:t xml:space="preserve">and </w:t>
      </w:r>
      <w:r w:rsidR="00AC478A">
        <w:rPr>
          <w:rFonts w:ascii="Garamond" w:hAnsi="Garamond" w:cstheme="minorHAnsi"/>
          <w:sz w:val="24"/>
          <w:szCs w:val="24"/>
        </w:rPr>
        <w:t>constructively</w:t>
      </w:r>
      <w:r w:rsidR="008332AC" w:rsidRPr="00461D74">
        <w:rPr>
          <w:rFonts w:ascii="Garamond" w:hAnsi="Garamond" w:cstheme="minorHAnsi"/>
          <w:sz w:val="24"/>
          <w:szCs w:val="24"/>
        </w:rPr>
        <w:t>)</w:t>
      </w:r>
      <w:r w:rsidR="001B4273" w:rsidRPr="00461D74">
        <w:rPr>
          <w:rFonts w:ascii="Garamond" w:hAnsi="Garamond" w:cstheme="minorHAnsi"/>
          <w:sz w:val="24"/>
          <w:szCs w:val="24"/>
        </w:rPr>
        <w:t xml:space="preserve"> </w:t>
      </w:r>
      <w:r w:rsidRPr="00461D74">
        <w:rPr>
          <w:rFonts w:ascii="Garamond" w:hAnsi="Garamond" w:cstheme="minorHAnsi"/>
          <w:sz w:val="24"/>
          <w:szCs w:val="24"/>
        </w:rPr>
        <w:t xml:space="preserve">engage </w:t>
      </w:r>
      <w:r w:rsidR="001B4273" w:rsidRPr="00461D74">
        <w:rPr>
          <w:rFonts w:ascii="Garamond" w:hAnsi="Garamond" w:cstheme="minorHAnsi"/>
          <w:sz w:val="24"/>
          <w:szCs w:val="24"/>
        </w:rPr>
        <w:t xml:space="preserve">with </w:t>
      </w:r>
      <w:r w:rsidRPr="00461D74">
        <w:rPr>
          <w:rFonts w:ascii="Garamond" w:hAnsi="Garamond" w:cstheme="minorHAnsi"/>
          <w:sz w:val="24"/>
          <w:szCs w:val="24"/>
        </w:rPr>
        <w:t xml:space="preserve">the type of politics he has been loath to consider, I will explore whether there </w:t>
      </w:r>
      <w:r w:rsidR="00AC478A">
        <w:rPr>
          <w:rFonts w:ascii="Garamond" w:hAnsi="Garamond" w:cstheme="minorHAnsi"/>
          <w:sz w:val="24"/>
          <w:szCs w:val="24"/>
        </w:rPr>
        <w:t>are other</w:t>
      </w:r>
      <w:r w:rsidRPr="00461D74">
        <w:rPr>
          <w:rFonts w:ascii="Garamond" w:hAnsi="Garamond" w:cstheme="minorHAnsi"/>
          <w:sz w:val="24"/>
          <w:szCs w:val="24"/>
        </w:rPr>
        <w:t xml:space="preserve"> possible strateg</w:t>
      </w:r>
      <w:r w:rsidR="00AC478A">
        <w:rPr>
          <w:rFonts w:ascii="Garamond" w:hAnsi="Garamond" w:cstheme="minorHAnsi"/>
          <w:sz w:val="24"/>
          <w:szCs w:val="24"/>
        </w:rPr>
        <w:t>ies</w:t>
      </w:r>
      <w:r w:rsidRPr="00461D74">
        <w:rPr>
          <w:rFonts w:ascii="Garamond" w:hAnsi="Garamond" w:cstheme="minorHAnsi"/>
          <w:sz w:val="24"/>
          <w:szCs w:val="24"/>
        </w:rPr>
        <w:t xml:space="preserve"> available to </w:t>
      </w:r>
      <w:r w:rsidR="00AC478A">
        <w:rPr>
          <w:rFonts w:ascii="Garamond" w:hAnsi="Garamond" w:cstheme="minorHAnsi"/>
          <w:sz w:val="24"/>
          <w:szCs w:val="24"/>
        </w:rPr>
        <w:t>him</w:t>
      </w:r>
      <w:r w:rsidRPr="00461D74">
        <w:rPr>
          <w:rFonts w:ascii="Garamond" w:hAnsi="Garamond" w:cstheme="minorHAnsi"/>
          <w:sz w:val="24"/>
          <w:szCs w:val="24"/>
        </w:rPr>
        <w:t xml:space="preserve">. In my view, there are only two more </w:t>
      </w:r>
      <w:r w:rsidR="00AC478A">
        <w:rPr>
          <w:rFonts w:ascii="Garamond" w:hAnsi="Garamond" w:cstheme="minorHAnsi"/>
          <w:sz w:val="24"/>
          <w:szCs w:val="24"/>
        </w:rPr>
        <w:t xml:space="preserve">potential </w:t>
      </w:r>
      <w:r w:rsidRPr="00461D74">
        <w:rPr>
          <w:rFonts w:ascii="Garamond" w:hAnsi="Garamond" w:cstheme="minorHAnsi"/>
          <w:sz w:val="24"/>
          <w:szCs w:val="24"/>
        </w:rPr>
        <w:t xml:space="preserve">strategies that </w:t>
      </w:r>
      <w:r w:rsidR="00AC478A">
        <w:rPr>
          <w:rFonts w:ascii="Garamond" w:hAnsi="Garamond" w:cstheme="minorHAnsi"/>
          <w:sz w:val="24"/>
          <w:szCs w:val="24"/>
        </w:rPr>
        <w:t xml:space="preserve">he </w:t>
      </w:r>
      <w:r w:rsidR="00AC478A">
        <w:rPr>
          <w:rFonts w:ascii="Garamond" w:hAnsi="Garamond" w:cstheme="minorHAnsi"/>
          <w:sz w:val="24"/>
          <w:szCs w:val="24"/>
        </w:rPr>
        <w:lastRenderedPageBreak/>
        <w:t>could use to address the difficulty in his account</w:t>
      </w:r>
      <w:r w:rsidRPr="00461D74">
        <w:rPr>
          <w:rFonts w:ascii="Garamond" w:hAnsi="Garamond" w:cstheme="minorHAnsi"/>
          <w:sz w:val="24"/>
          <w:szCs w:val="24"/>
        </w:rPr>
        <w:t>. First, MacIntyre could continue his ethical project</w:t>
      </w:r>
      <w:r w:rsidR="00AC478A">
        <w:rPr>
          <w:rFonts w:ascii="Garamond" w:hAnsi="Garamond" w:cstheme="minorHAnsi"/>
          <w:sz w:val="24"/>
          <w:szCs w:val="24"/>
        </w:rPr>
        <w:t>, but</w:t>
      </w:r>
      <w:r w:rsidRPr="00461D74">
        <w:rPr>
          <w:rFonts w:ascii="Garamond" w:hAnsi="Garamond" w:cstheme="minorHAnsi"/>
          <w:sz w:val="24"/>
          <w:szCs w:val="24"/>
        </w:rPr>
        <w:t xml:space="preserve"> dispense with politics altogether. But from the outset MacIntyre’s project has always been Aristotelian in a strong sense; and unless he is willing to discard the Aristotelian view of the good life – the sort of human flourishing which is inextricably social and political – this strategy </w:t>
      </w:r>
      <w:r w:rsidR="00972098">
        <w:rPr>
          <w:rFonts w:ascii="Garamond" w:hAnsi="Garamond" w:cstheme="minorHAnsi"/>
          <w:sz w:val="24"/>
          <w:szCs w:val="24"/>
        </w:rPr>
        <w:t>represents a radical move</w:t>
      </w:r>
      <w:r w:rsidRPr="00461D74">
        <w:rPr>
          <w:rFonts w:ascii="Garamond" w:hAnsi="Garamond" w:cstheme="minorHAnsi"/>
          <w:sz w:val="24"/>
          <w:szCs w:val="24"/>
        </w:rPr>
        <w:t xml:space="preserve"> </w:t>
      </w:r>
      <w:r w:rsidR="00972098">
        <w:rPr>
          <w:rFonts w:ascii="Garamond" w:hAnsi="Garamond" w:cstheme="minorHAnsi"/>
          <w:sz w:val="24"/>
          <w:szCs w:val="24"/>
        </w:rPr>
        <w:t>on</w:t>
      </w:r>
      <w:r w:rsidR="00972098" w:rsidRPr="00461D74">
        <w:rPr>
          <w:rFonts w:ascii="Garamond" w:hAnsi="Garamond" w:cstheme="minorHAnsi"/>
          <w:sz w:val="24"/>
          <w:szCs w:val="24"/>
        </w:rPr>
        <w:t xml:space="preserve"> </w:t>
      </w:r>
      <w:r w:rsidRPr="00461D74">
        <w:rPr>
          <w:rFonts w:ascii="Garamond" w:hAnsi="Garamond" w:cstheme="minorHAnsi"/>
          <w:sz w:val="24"/>
          <w:szCs w:val="24"/>
        </w:rPr>
        <w:t>MacIntyre</w:t>
      </w:r>
      <w:r w:rsidR="00972098">
        <w:rPr>
          <w:rFonts w:ascii="Garamond" w:hAnsi="Garamond" w:cstheme="minorHAnsi"/>
          <w:sz w:val="24"/>
          <w:szCs w:val="24"/>
        </w:rPr>
        <w:t>’s part</w:t>
      </w:r>
      <w:r w:rsidRPr="00461D74">
        <w:rPr>
          <w:rFonts w:ascii="Garamond" w:hAnsi="Garamond" w:cstheme="minorHAnsi"/>
          <w:sz w:val="24"/>
          <w:szCs w:val="24"/>
        </w:rPr>
        <w:t xml:space="preserve">. </w:t>
      </w:r>
      <w:r w:rsidR="002938EE" w:rsidRPr="00461D74">
        <w:rPr>
          <w:rFonts w:ascii="Garamond" w:hAnsi="Garamond" w:cstheme="minorHAnsi"/>
          <w:sz w:val="24"/>
          <w:szCs w:val="24"/>
        </w:rPr>
        <w:t xml:space="preserve">Nonetheless, there may be a </w:t>
      </w:r>
      <w:r w:rsidRPr="00461D74">
        <w:rPr>
          <w:rFonts w:ascii="Garamond" w:hAnsi="Garamond" w:cstheme="minorHAnsi"/>
          <w:sz w:val="24"/>
          <w:szCs w:val="24"/>
        </w:rPr>
        <w:t xml:space="preserve">second strategy </w:t>
      </w:r>
      <w:r w:rsidR="002938EE" w:rsidRPr="00461D74">
        <w:rPr>
          <w:rFonts w:ascii="Garamond" w:hAnsi="Garamond" w:cstheme="minorHAnsi"/>
          <w:sz w:val="24"/>
          <w:szCs w:val="24"/>
        </w:rPr>
        <w:t xml:space="preserve">that is open to </w:t>
      </w:r>
      <w:r w:rsidR="00DC5412">
        <w:rPr>
          <w:rFonts w:ascii="Garamond" w:hAnsi="Garamond" w:cstheme="minorHAnsi"/>
          <w:sz w:val="24"/>
          <w:szCs w:val="24"/>
        </w:rPr>
        <w:t>him</w:t>
      </w:r>
      <w:r w:rsidRPr="00461D74">
        <w:rPr>
          <w:rFonts w:ascii="Garamond" w:hAnsi="Garamond" w:cstheme="minorHAnsi"/>
          <w:sz w:val="24"/>
          <w:szCs w:val="24"/>
        </w:rPr>
        <w:t>. By utilizing this strategy</w:t>
      </w:r>
      <w:r w:rsidR="00DC5412">
        <w:rPr>
          <w:rFonts w:ascii="Garamond" w:hAnsi="Garamond" w:cstheme="minorHAnsi"/>
          <w:sz w:val="24"/>
          <w:szCs w:val="24"/>
        </w:rPr>
        <w:t>,</w:t>
      </w:r>
      <w:r w:rsidRPr="00461D74">
        <w:rPr>
          <w:rFonts w:ascii="Garamond" w:hAnsi="Garamond" w:cstheme="minorHAnsi"/>
          <w:sz w:val="24"/>
          <w:szCs w:val="24"/>
        </w:rPr>
        <w:t xml:space="preserve"> MacIntyre </w:t>
      </w:r>
      <w:r w:rsidR="000B5E59" w:rsidRPr="00461D74">
        <w:rPr>
          <w:rFonts w:ascii="Garamond" w:hAnsi="Garamond" w:cstheme="minorHAnsi"/>
          <w:sz w:val="24"/>
          <w:szCs w:val="24"/>
        </w:rPr>
        <w:t xml:space="preserve">would </w:t>
      </w:r>
      <w:r w:rsidR="00F5462D">
        <w:rPr>
          <w:rFonts w:ascii="Garamond" w:hAnsi="Garamond" w:cstheme="minorHAnsi"/>
          <w:sz w:val="24"/>
          <w:szCs w:val="24"/>
        </w:rPr>
        <w:t>go against</w:t>
      </w:r>
      <w:r w:rsidR="005A29E4">
        <w:rPr>
          <w:rFonts w:ascii="Garamond" w:hAnsi="Garamond" w:cstheme="minorHAnsi"/>
          <w:sz w:val="24"/>
          <w:szCs w:val="24"/>
        </w:rPr>
        <w:t xml:space="preserve"> a number of</w:t>
      </w:r>
      <w:r w:rsidR="005A29E4" w:rsidRPr="00461D74">
        <w:rPr>
          <w:rFonts w:ascii="Garamond" w:hAnsi="Garamond" w:cstheme="minorHAnsi"/>
          <w:sz w:val="24"/>
          <w:szCs w:val="24"/>
        </w:rPr>
        <w:t xml:space="preserve"> </w:t>
      </w:r>
      <w:r w:rsidR="000B5E59" w:rsidRPr="00461D74">
        <w:rPr>
          <w:rFonts w:ascii="Garamond" w:hAnsi="Garamond" w:cstheme="minorHAnsi"/>
          <w:sz w:val="24"/>
          <w:szCs w:val="24"/>
        </w:rPr>
        <w:t>t</w:t>
      </w:r>
      <w:r w:rsidRPr="00461D74">
        <w:rPr>
          <w:rFonts w:ascii="Garamond" w:hAnsi="Garamond" w:cstheme="minorHAnsi"/>
          <w:sz w:val="24"/>
          <w:szCs w:val="24"/>
        </w:rPr>
        <w:t xml:space="preserve">he </w:t>
      </w:r>
      <w:r w:rsidR="000B5E59" w:rsidRPr="00461D74">
        <w:rPr>
          <w:rFonts w:ascii="Garamond" w:hAnsi="Garamond" w:cstheme="minorHAnsi"/>
          <w:sz w:val="24"/>
          <w:szCs w:val="24"/>
        </w:rPr>
        <w:t>core commitments that follow from his historicist</w:t>
      </w:r>
      <w:r w:rsidRPr="00461D74">
        <w:rPr>
          <w:rFonts w:ascii="Garamond" w:hAnsi="Garamond" w:cstheme="minorHAnsi"/>
          <w:sz w:val="24"/>
          <w:szCs w:val="24"/>
        </w:rPr>
        <w:t xml:space="preserve"> and contextualist </w:t>
      </w:r>
      <w:r w:rsidR="000B5E59" w:rsidRPr="00461D74">
        <w:rPr>
          <w:rFonts w:ascii="Garamond" w:hAnsi="Garamond" w:cstheme="minorHAnsi"/>
          <w:sz w:val="24"/>
          <w:szCs w:val="24"/>
        </w:rPr>
        <w:t>positions</w:t>
      </w:r>
      <w:r w:rsidR="00196C9F">
        <w:rPr>
          <w:rFonts w:ascii="Garamond" w:hAnsi="Garamond" w:cstheme="minorHAnsi"/>
          <w:sz w:val="24"/>
          <w:szCs w:val="24"/>
        </w:rPr>
        <w:t>.</w:t>
      </w:r>
      <w:r w:rsidR="005A29E4">
        <w:rPr>
          <w:rStyle w:val="FootnoteReference"/>
          <w:rFonts w:ascii="Garamond" w:hAnsi="Garamond" w:cstheme="minorHAnsi"/>
          <w:sz w:val="24"/>
          <w:szCs w:val="24"/>
        </w:rPr>
        <w:footnoteReference w:id="370"/>
      </w:r>
      <w:r w:rsidRPr="00461D74">
        <w:rPr>
          <w:rFonts w:ascii="Garamond" w:hAnsi="Garamond" w:cstheme="minorHAnsi"/>
          <w:sz w:val="24"/>
          <w:szCs w:val="24"/>
        </w:rPr>
        <w:t xml:space="preserve"> </w:t>
      </w:r>
      <w:r w:rsidR="00196C9F">
        <w:rPr>
          <w:rFonts w:ascii="Garamond" w:hAnsi="Garamond" w:cstheme="minorHAnsi"/>
          <w:sz w:val="24"/>
          <w:szCs w:val="24"/>
        </w:rPr>
        <w:t xml:space="preserve">Here, </w:t>
      </w:r>
      <w:r w:rsidR="000B5E59" w:rsidRPr="00461D74">
        <w:rPr>
          <w:rFonts w:ascii="Garamond" w:hAnsi="Garamond" w:cstheme="minorHAnsi"/>
          <w:sz w:val="24"/>
          <w:szCs w:val="24"/>
        </w:rPr>
        <w:t xml:space="preserve">he would </w:t>
      </w:r>
      <w:r w:rsidR="005A29E4">
        <w:rPr>
          <w:rFonts w:ascii="Garamond" w:hAnsi="Garamond" w:cstheme="minorHAnsi"/>
          <w:sz w:val="24"/>
          <w:szCs w:val="24"/>
        </w:rPr>
        <w:t>have to move away from some of those core commitments in favor of</w:t>
      </w:r>
      <w:r w:rsidR="005A29E4" w:rsidRPr="00461D74">
        <w:rPr>
          <w:rFonts w:ascii="Garamond" w:hAnsi="Garamond" w:cstheme="minorHAnsi"/>
          <w:sz w:val="24"/>
          <w:szCs w:val="24"/>
        </w:rPr>
        <w:t xml:space="preserve"> </w:t>
      </w:r>
      <w:r w:rsidR="005A29E4">
        <w:rPr>
          <w:rFonts w:ascii="Garamond" w:hAnsi="Garamond" w:cstheme="minorHAnsi"/>
          <w:sz w:val="24"/>
          <w:szCs w:val="24"/>
        </w:rPr>
        <w:t>embracing</w:t>
      </w:r>
      <w:r w:rsidRPr="00461D74">
        <w:rPr>
          <w:rFonts w:ascii="Garamond" w:hAnsi="Garamond" w:cstheme="minorHAnsi"/>
          <w:sz w:val="24"/>
          <w:szCs w:val="24"/>
        </w:rPr>
        <w:t xml:space="preserve"> </w:t>
      </w:r>
      <w:r w:rsidR="000B5E59" w:rsidRPr="00461D74">
        <w:rPr>
          <w:rFonts w:ascii="Garamond" w:hAnsi="Garamond" w:cstheme="minorHAnsi"/>
          <w:sz w:val="24"/>
          <w:szCs w:val="24"/>
        </w:rPr>
        <w:t xml:space="preserve">a </w:t>
      </w:r>
      <w:r w:rsidRPr="00461D74">
        <w:rPr>
          <w:rFonts w:ascii="Garamond" w:hAnsi="Garamond" w:cstheme="minorHAnsi"/>
          <w:sz w:val="24"/>
          <w:szCs w:val="24"/>
        </w:rPr>
        <w:t xml:space="preserve">more or less orthodox </w:t>
      </w:r>
      <w:r w:rsidR="000B5E59" w:rsidRPr="00461D74">
        <w:rPr>
          <w:rFonts w:ascii="Garamond" w:hAnsi="Garamond" w:cstheme="minorHAnsi"/>
          <w:sz w:val="24"/>
          <w:szCs w:val="24"/>
        </w:rPr>
        <w:t xml:space="preserve">version of </w:t>
      </w:r>
      <w:r w:rsidRPr="00461D74">
        <w:rPr>
          <w:rFonts w:ascii="Garamond" w:hAnsi="Garamond" w:cstheme="minorHAnsi"/>
          <w:sz w:val="24"/>
          <w:szCs w:val="24"/>
        </w:rPr>
        <w:t xml:space="preserve">Aristotelian-Thomist political philosophy. For it may turn out that Aristotelian-Thomism </w:t>
      </w:r>
      <w:r w:rsidR="006C597F" w:rsidRPr="00461D74">
        <w:rPr>
          <w:rFonts w:ascii="Garamond" w:hAnsi="Garamond" w:cstheme="minorHAnsi"/>
          <w:sz w:val="24"/>
          <w:szCs w:val="24"/>
        </w:rPr>
        <w:t xml:space="preserve">itself </w:t>
      </w:r>
      <w:r w:rsidRPr="00461D74">
        <w:rPr>
          <w:rFonts w:ascii="Garamond" w:hAnsi="Garamond" w:cstheme="minorHAnsi"/>
          <w:sz w:val="24"/>
          <w:szCs w:val="24"/>
        </w:rPr>
        <w:t>has the kind</w:t>
      </w:r>
      <w:r w:rsidR="002938EE" w:rsidRPr="00461D74">
        <w:rPr>
          <w:rFonts w:ascii="Garamond" w:hAnsi="Garamond" w:cstheme="minorHAnsi"/>
          <w:sz w:val="24"/>
          <w:szCs w:val="24"/>
        </w:rPr>
        <w:t>s</w:t>
      </w:r>
      <w:r w:rsidRPr="00461D74">
        <w:rPr>
          <w:rFonts w:ascii="Garamond" w:hAnsi="Garamond" w:cstheme="minorHAnsi"/>
          <w:sz w:val="24"/>
          <w:szCs w:val="24"/>
        </w:rPr>
        <w:t xml:space="preserve"> of resources that allow</w:t>
      </w:r>
      <w:r w:rsidR="002938EE" w:rsidRPr="00461D74">
        <w:rPr>
          <w:rFonts w:ascii="Garamond" w:hAnsi="Garamond" w:cstheme="minorHAnsi"/>
          <w:sz w:val="24"/>
          <w:szCs w:val="24"/>
        </w:rPr>
        <w:t>s</w:t>
      </w:r>
      <w:r w:rsidRPr="00461D74">
        <w:rPr>
          <w:rFonts w:ascii="Garamond" w:hAnsi="Garamond" w:cstheme="minorHAnsi"/>
          <w:sz w:val="24"/>
          <w:szCs w:val="24"/>
        </w:rPr>
        <w:t xml:space="preserve"> MacIntyre to </w:t>
      </w:r>
      <w:r w:rsidR="002938EE" w:rsidRPr="00461D74">
        <w:rPr>
          <w:rFonts w:ascii="Garamond" w:hAnsi="Garamond" w:cstheme="minorHAnsi"/>
          <w:sz w:val="24"/>
          <w:szCs w:val="24"/>
        </w:rPr>
        <w:t>develop a</w:t>
      </w:r>
      <w:r w:rsidRPr="00461D74">
        <w:rPr>
          <w:rFonts w:ascii="Garamond" w:hAnsi="Garamond" w:cstheme="minorHAnsi"/>
          <w:sz w:val="24"/>
          <w:szCs w:val="24"/>
        </w:rPr>
        <w:t xml:space="preserve"> politic</w:t>
      </w:r>
      <w:r w:rsidR="002938EE" w:rsidRPr="00461D74">
        <w:rPr>
          <w:rFonts w:ascii="Garamond" w:hAnsi="Garamond" w:cstheme="minorHAnsi"/>
          <w:sz w:val="24"/>
          <w:szCs w:val="24"/>
        </w:rPr>
        <w:t>al account</w:t>
      </w:r>
      <w:r w:rsidRPr="00461D74">
        <w:rPr>
          <w:rFonts w:ascii="Garamond" w:hAnsi="Garamond" w:cstheme="minorHAnsi"/>
          <w:sz w:val="24"/>
          <w:szCs w:val="24"/>
        </w:rPr>
        <w:t xml:space="preserve"> that can defend local communities, and </w:t>
      </w:r>
      <w:r w:rsidR="002938EE" w:rsidRPr="00461D74">
        <w:rPr>
          <w:rFonts w:ascii="Garamond" w:hAnsi="Garamond" w:cstheme="minorHAnsi"/>
          <w:sz w:val="24"/>
          <w:szCs w:val="24"/>
        </w:rPr>
        <w:t xml:space="preserve">thereby </w:t>
      </w:r>
      <w:r w:rsidRPr="00461D74">
        <w:rPr>
          <w:rFonts w:ascii="Garamond" w:hAnsi="Garamond" w:cstheme="minorHAnsi"/>
          <w:sz w:val="24"/>
          <w:szCs w:val="24"/>
        </w:rPr>
        <w:t xml:space="preserve">deflect the criticism that I have advanced against his account. Of course </w:t>
      </w:r>
      <w:r w:rsidR="00BF3B88" w:rsidRPr="00461D74">
        <w:rPr>
          <w:rFonts w:ascii="Garamond" w:hAnsi="Garamond" w:cstheme="minorHAnsi"/>
          <w:sz w:val="24"/>
          <w:szCs w:val="24"/>
        </w:rPr>
        <w:t>this</w:t>
      </w:r>
      <w:r w:rsidRPr="00461D74">
        <w:rPr>
          <w:rFonts w:ascii="Garamond" w:hAnsi="Garamond" w:cstheme="minorHAnsi"/>
          <w:sz w:val="24"/>
          <w:szCs w:val="24"/>
        </w:rPr>
        <w:t xml:space="preserve"> strategy </w:t>
      </w:r>
      <w:r w:rsidR="00BF3B88" w:rsidRPr="00461D74">
        <w:rPr>
          <w:rFonts w:ascii="Garamond" w:hAnsi="Garamond" w:cstheme="minorHAnsi"/>
          <w:sz w:val="24"/>
          <w:szCs w:val="24"/>
        </w:rPr>
        <w:t>will</w:t>
      </w:r>
      <w:r w:rsidRPr="00461D74">
        <w:rPr>
          <w:rFonts w:ascii="Garamond" w:hAnsi="Garamond" w:cstheme="minorHAnsi"/>
          <w:sz w:val="24"/>
          <w:szCs w:val="24"/>
        </w:rPr>
        <w:t xml:space="preserve"> deprive MacIntyre’s account of </w:t>
      </w:r>
      <w:r w:rsidR="00BF3B88" w:rsidRPr="00461D74">
        <w:rPr>
          <w:rFonts w:ascii="Garamond" w:hAnsi="Garamond" w:cstheme="minorHAnsi"/>
          <w:sz w:val="24"/>
          <w:szCs w:val="24"/>
        </w:rPr>
        <w:t>its most interesting features;</w:t>
      </w:r>
      <w:r w:rsidRPr="00461D74">
        <w:rPr>
          <w:rFonts w:ascii="Garamond" w:hAnsi="Garamond" w:cstheme="minorHAnsi"/>
          <w:sz w:val="24"/>
          <w:szCs w:val="24"/>
        </w:rPr>
        <w:t xml:space="preserve"> </w:t>
      </w:r>
      <w:r w:rsidR="00BF3B88" w:rsidRPr="00461D74">
        <w:rPr>
          <w:rFonts w:ascii="Garamond" w:hAnsi="Garamond" w:cstheme="minorHAnsi"/>
          <w:sz w:val="24"/>
          <w:szCs w:val="24"/>
        </w:rPr>
        <w:t>yet,</w:t>
      </w:r>
      <w:r w:rsidRPr="00461D74">
        <w:rPr>
          <w:rFonts w:ascii="Garamond" w:hAnsi="Garamond" w:cstheme="minorHAnsi"/>
          <w:sz w:val="24"/>
          <w:szCs w:val="24"/>
        </w:rPr>
        <w:t xml:space="preserve"> </w:t>
      </w:r>
      <w:r w:rsidR="00BF3B88" w:rsidRPr="00461D74">
        <w:rPr>
          <w:rFonts w:ascii="Garamond" w:hAnsi="Garamond" w:cstheme="minorHAnsi"/>
          <w:sz w:val="24"/>
          <w:szCs w:val="24"/>
        </w:rPr>
        <w:t xml:space="preserve">it could </w:t>
      </w:r>
      <w:r w:rsidR="00F5462D">
        <w:rPr>
          <w:rFonts w:ascii="Garamond" w:hAnsi="Garamond" w:cstheme="minorHAnsi"/>
          <w:sz w:val="24"/>
          <w:szCs w:val="24"/>
        </w:rPr>
        <w:t xml:space="preserve">perhaps </w:t>
      </w:r>
      <w:r w:rsidR="00BF3B88" w:rsidRPr="00461D74">
        <w:rPr>
          <w:rFonts w:ascii="Garamond" w:hAnsi="Garamond" w:cstheme="minorHAnsi"/>
          <w:sz w:val="24"/>
          <w:szCs w:val="24"/>
        </w:rPr>
        <w:t>be a plausible, albeit a costly, way of replying to</w:t>
      </w:r>
      <w:r w:rsidRPr="00461D74">
        <w:rPr>
          <w:rFonts w:ascii="Garamond" w:hAnsi="Garamond" w:cstheme="minorHAnsi"/>
          <w:sz w:val="24"/>
          <w:szCs w:val="24"/>
        </w:rPr>
        <w:t xml:space="preserve"> the charge that his politic</w:t>
      </w:r>
      <w:r w:rsidR="0029474E">
        <w:rPr>
          <w:rFonts w:ascii="Garamond" w:hAnsi="Garamond" w:cstheme="minorHAnsi"/>
          <w:sz w:val="24"/>
          <w:szCs w:val="24"/>
        </w:rPr>
        <w:t>al account</w:t>
      </w:r>
      <w:r w:rsidR="0029474E" w:rsidRPr="00461D74">
        <w:rPr>
          <w:rFonts w:ascii="Garamond" w:hAnsi="Garamond" w:cstheme="minorHAnsi"/>
          <w:sz w:val="24"/>
          <w:szCs w:val="24"/>
        </w:rPr>
        <w:t xml:space="preserve"> </w:t>
      </w:r>
      <w:r w:rsidRPr="00461D74">
        <w:rPr>
          <w:rFonts w:ascii="Garamond" w:hAnsi="Garamond" w:cstheme="minorHAnsi"/>
          <w:sz w:val="24"/>
          <w:szCs w:val="24"/>
        </w:rPr>
        <w:t>isn’t able to defend the sort of local politics he so cherishes.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  Thus, I will consider whether MacIntyre could relinquish much of the historicist critique present in his account, and instead use the resources available in the Aristotelian-Thomist tradition to develop the sort of politics that is able to defend his local politics of the common good. I will </w:t>
      </w:r>
      <w:r w:rsidR="00CB1E7B" w:rsidRPr="00461D74">
        <w:rPr>
          <w:rFonts w:ascii="Garamond" w:hAnsi="Garamond" w:cstheme="minorHAnsi"/>
          <w:sz w:val="24"/>
          <w:szCs w:val="24"/>
        </w:rPr>
        <w:t xml:space="preserve">go on to </w:t>
      </w:r>
      <w:r w:rsidRPr="00461D74">
        <w:rPr>
          <w:rFonts w:ascii="Garamond" w:hAnsi="Garamond" w:cstheme="minorHAnsi"/>
          <w:sz w:val="24"/>
          <w:szCs w:val="24"/>
        </w:rPr>
        <w:t>suggest that at least initially</w:t>
      </w:r>
      <w:r w:rsidR="00CB1E7B" w:rsidRPr="00461D74">
        <w:rPr>
          <w:rFonts w:ascii="Garamond" w:hAnsi="Garamond" w:cstheme="minorHAnsi"/>
          <w:sz w:val="24"/>
          <w:szCs w:val="24"/>
        </w:rPr>
        <w:t>,</w:t>
      </w:r>
      <w:r w:rsidRPr="00461D74">
        <w:rPr>
          <w:rFonts w:ascii="Garamond" w:hAnsi="Garamond" w:cstheme="minorHAnsi"/>
          <w:sz w:val="24"/>
          <w:szCs w:val="24"/>
        </w:rPr>
        <w:t xml:space="preserve"> it </w:t>
      </w:r>
      <w:r w:rsidR="00CB1E7B" w:rsidRPr="00461D74">
        <w:rPr>
          <w:rFonts w:ascii="Garamond" w:hAnsi="Garamond" w:cstheme="minorHAnsi"/>
          <w:sz w:val="24"/>
          <w:szCs w:val="24"/>
        </w:rPr>
        <w:t xml:space="preserve">will </w:t>
      </w:r>
      <w:r w:rsidRPr="00461D74">
        <w:rPr>
          <w:rFonts w:ascii="Garamond" w:hAnsi="Garamond" w:cstheme="minorHAnsi"/>
          <w:sz w:val="24"/>
          <w:szCs w:val="24"/>
        </w:rPr>
        <w:t>appear</w:t>
      </w:r>
      <w:r w:rsidR="00CB1E7B" w:rsidRPr="00461D74">
        <w:rPr>
          <w:rFonts w:ascii="Garamond" w:hAnsi="Garamond" w:cstheme="minorHAnsi"/>
          <w:sz w:val="24"/>
          <w:szCs w:val="24"/>
        </w:rPr>
        <w:t xml:space="preserve"> a</w:t>
      </w:r>
      <w:r w:rsidRPr="00461D74">
        <w:rPr>
          <w:rFonts w:ascii="Garamond" w:hAnsi="Garamond" w:cstheme="minorHAnsi"/>
          <w:sz w:val="24"/>
          <w:szCs w:val="24"/>
        </w:rPr>
        <w:t xml:space="preserve">s </w:t>
      </w:r>
      <w:r w:rsidR="00CB1E7B" w:rsidRPr="00461D74">
        <w:rPr>
          <w:rFonts w:ascii="Garamond" w:hAnsi="Garamond" w:cstheme="minorHAnsi"/>
          <w:sz w:val="24"/>
          <w:szCs w:val="24"/>
        </w:rPr>
        <w:t xml:space="preserve">though </w:t>
      </w:r>
      <w:r w:rsidRPr="00461D74">
        <w:rPr>
          <w:rFonts w:ascii="Garamond" w:hAnsi="Garamond" w:cstheme="minorHAnsi"/>
          <w:sz w:val="24"/>
          <w:szCs w:val="24"/>
        </w:rPr>
        <w:t xml:space="preserve">MacIntyre can indeed utilise resources in Aristotelian-Thomism to formulate a positive politics which can then defend local communities within the </w:t>
      </w:r>
      <w:r w:rsidR="00CB1E7B" w:rsidRPr="00461D74">
        <w:rPr>
          <w:rFonts w:ascii="Garamond" w:hAnsi="Garamond" w:cstheme="minorHAnsi"/>
          <w:sz w:val="24"/>
          <w:szCs w:val="24"/>
        </w:rPr>
        <w:t xml:space="preserve">framework of the </w:t>
      </w:r>
      <w:r w:rsidRPr="00461D74">
        <w:rPr>
          <w:rFonts w:ascii="Garamond" w:hAnsi="Garamond" w:cstheme="minorHAnsi"/>
          <w:sz w:val="24"/>
          <w:szCs w:val="24"/>
        </w:rPr>
        <w:t>modern state. However, it will turn out that this strategy isn’t as productive as it initially appears to be</w:t>
      </w:r>
      <w:r w:rsidR="006C597F" w:rsidRPr="00461D74">
        <w:rPr>
          <w:rFonts w:ascii="Garamond" w:hAnsi="Garamond" w:cstheme="minorHAnsi"/>
          <w:sz w:val="24"/>
          <w:szCs w:val="24"/>
        </w:rPr>
        <w:t>,</w:t>
      </w:r>
      <w:r w:rsidRPr="00461D74">
        <w:rPr>
          <w:rFonts w:ascii="Garamond" w:hAnsi="Garamond" w:cstheme="minorHAnsi"/>
          <w:sz w:val="24"/>
          <w:szCs w:val="24"/>
        </w:rPr>
        <w:t xml:space="preserve"> since MacIntyre’s maintains that the type of common good envisaged in the Thomistic account is </w:t>
      </w:r>
      <w:r w:rsidRPr="00461D74">
        <w:rPr>
          <w:rFonts w:ascii="Garamond" w:hAnsi="Garamond" w:cstheme="minorHAnsi"/>
          <w:sz w:val="24"/>
          <w:szCs w:val="24"/>
        </w:rPr>
        <w:lastRenderedPageBreak/>
        <w:t xml:space="preserve">not available in the modern state. </w:t>
      </w:r>
      <w:r w:rsidR="00CB1E7B" w:rsidRPr="00461D74">
        <w:rPr>
          <w:rFonts w:ascii="Garamond" w:hAnsi="Garamond" w:cstheme="minorHAnsi"/>
          <w:sz w:val="24"/>
          <w:szCs w:val="24"/>
        </w:rPr>
        <w:t>And t</w:t>
      </w:r>
      <w:r w:rsidRPr="00461D74">
        <w:rPr>
          <w:rFonts w:ascii="Garamond" w:hAnsi="Garamond" w:cstheme="minorHAnsi"/>
          <w:sz w:val="24"/>
          <w:szCs w:val="24"/>
        </w:rPr>
        <w:t xml:space="preserve">he reason for this is that the relationship between </w:t>
      </w:r>
      <w:r w:rsidR="00CB1E7B" w:rsidRPr="00461D74">
        <w:rPr>
          <w:rFonts w:ascii="Garamond" w:hAnsi="Garamond" w:cstheme="minorHAnsi"/>
          <w:sz w:val="24"/>
          <w:szCs w:val="24"/>
        </w:rPr>
        <w:t xml:space="preserve">public interest </w:t>
      </w:r>
      <w:r w:rsidRPr="00461D74">
        <w:rPr>
          <w:rFonts w:ascii="Garamond" w:hAnsi="Garamond" w:cstheme="minorHAnsi"/>
          <w:sz w:val="24"/>
          <w:szCs w:val="24"/>
        </w:rPr>
        <w:t>and the individual</w:t>
      </w:r>
      <w:r w:rsidR="00CB1E7B" w:rsidRPr="00461D74">
        <w:rPr>
          <w:rFonts w:ascii="Garamond" w:hAnsi="Garamond" w:cstheme="minorHAnsi"/>
          <w:sz w:val="24"/>
          <w:szCs w:val="24"/>
        </w:rPr>
        <w:t xml:space="preserve">’s good in the liberal state, is fundamentally different from the relationship between </w:t>
      </w:r>
      <w:r w:rsidRPr="00461D74">
        <w:rPr>
          <w:rFonts w:ascii="Garamond" w:hAnsi="Garamond" w:cstheme="minorHAnsi"/>
          <w:sz w:val="24"/>
          <w:szCs w:val="24"/>
        </w:rPr>
        <w:t>common good</w:t>
      </w:r>
      <w:r w:rsidR="00CB1E7B" w:rsidRPr="00461D74">
        <w:rPr>
          <w:rFonts w:ascii="Garamond" w:hAnsi="Garamond" w:cstheme="minorHAnsi"/>
          <w:sz w:val="24"/>
          <w:szCs w:val="24"/>
        </w:rPr>
        <w:t xml:space="preserve"> and</w:t>
      </w:r>
      <w:r w:rsidRPr="00461D74">
        <w:rPr>
          <w:rFonts w:ascii="Garamond" w:hAnsi="Garamond" w:cstheme="minorHAnsi"/>
          <w:sz w:val="24"/>
          <w:szCs w:val="24"/>
        </w:rPr>
        <w:t xml:space="preserve"> </w:t>
      </w:r>
      <w:r w:rsidR="00CB1E7B" w:rsidRPr="00461D74">
        <w:rPr>
          <w:rFonts w:ascii="Garamond" w:hAnsi="Garamond" w:cstheme="minorHAnsi"/>
          <w:sz w:val="24"/>
          <w:szCs w:val="24"/>
        </w:rPr>
        <w:t xml:space="preserve">the </w:t>
      </w:r>
      <w:r w:rsidRPr="00461D74">
        <w:rPr>
          <w:rFonts w:ascii="Garamond" w:hAnsi="Garamond" w:cstheme="minorHAnsi"/>
          <w:sz w:val="24"/>
          <w:szCs w:val="24"/>
        </w:rPr>
        <w:t>individual good</w:t>
      </w:r>
      <w:r w:rsidR="00CB1E7B" w:rsidRPr="00461D74">
        <w:rPr>
          <w:rFonts w:ascii="Garamond" w:hAnsi="Garamond" w:cstheme="minorHAnsi"/>
          <w:sz w:val="24"/>
          <w:szCs w:val="24"/>
        </w:rPr>
        <w:t xml:space="preserve">, </w:t>
      </w:r>
      <w:r w:rsidR="00AB68E2">
        <w:rPr>
          <w:rFonts w:ascii="Garamond" w:hAnsi="Garamond" w:cstheme="minorHAnsi"/>
          <w:sz w:val="24"/>
          <w:szCs w:val="24"/>
        </w:rPr>
        <w:t xml:space="preserve">in the sort of small-scale communities </w:t>
      </w:r>
      <w:r w:rsidR="008B3CBC">
        <w:rPr>
          <w:rFonts w:ascii="Garamond" w:hAnsi="Garamond" w:cstheme="minorHAnsi"/>
          <w:sz w:val="24"/>
          <w:szCs w:val="24"/>
        </w:rPr>
        <w:t>favoured under</w:t>
      </w:r>
      <w:r w:rsidR="00AB68E2" w:rsidRPr="00461D74">
        <w:rPr>
          <w:rFonts w:ascii="Garamond" w:hAnsi="Garamond" w:cstheme="minorHAnsi"/>
          <w:sz w:val="24"/>
          <w:szCs w:val="24"/>
        </w:rPr>
        <w:t xml:space="preserve"> </w:t>
      </w:r>
      <w:r w:rsidR="00CB1E7B" w:rsidRPr="00461D74">
        <w:rPr>
          <w:rFonts w:ascii="Garamond" w:hAnsi="Garamond" w:cstheme="minorHAnsi"/>
          <w:sz w:val="24"/>
          <w:szCs w:val="24"/>
        </w:rPr>
        <w:t xml:space="preserve">MacIntyre’s </w:t>
      </w:r>
      <w:r w:rsidR="00AB68E2">
        <w:rPr>
          <w:rFonts w:ascii="Garamond" w:hAnsi="Garamond" w:cstheme="minorHAnsi"/>
          <w:sz w:val="24"/>
          <w:szCs w:val="24"/>
        </w:rPr>
        <w:t>account</w:t>
      </w:r>
      <w:r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C66538">
      <w:pPr>
        <w:pStyle w:val="Heading2"/>
        <w:spacing w:line="360" w:lineRule="auto"/>
        <w:jc w:val="both"/>
        <w:rPr>
          <w:rFonts w:cstheme="majorHAnsi"/>
        </w:rPr>
      </w:pPr>
      <w:bookmarkStart w:id="52" w:name="_Toc528077829"/>
      <w:r>
        <w:rPr>
          <w:rFonts w:cstheme="majorHAnsi"/>
        </w:rPr>
        <w:t xml:space="preserve">3. </w:t>
      </w:r>
      <w:r w:rsidR="00016049" w:rsidRPr="00F03436">
        <w:rPr>
          <w:rFonts w:cstheme="majorHAnsi"/>
        </w:rPr>
        <w:t>Aristotle, Aquinas and MacIntyre’s local politics</w:t>
      </w:r>
      <w:bookmarkEnd w:id="52"/>
      <w:r w:rsidR="00016049" w:rsidRPr="00F03436">
        <w:rPr>
          <w:rFonts w:cstheme="majorHAnsi"/>
        </w:rPr>
        <w:t xml:space="preserve"> </w:t>
      </w:r>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At this point we need to answer an important question: does Aristotelian-Thomism have the type of resources to develop a positive political account – one that is able to defend </w:t>
      </w:r>
      <w:r w:rsidR="00EF7CB7">
        <w:rPr>
          <w:rFonts w:ascii="Garamond" w:hAnsi="Garamond" w:cstheme="minorHAnsi"/>
          <w:sz w:val="24"/>
          <w:szCs w:val="24"/>
        </w:rPr>
        <w:t xml:space="preserve">MacIntyre’s </w:t>
      </w:r>
      <w:r w:rsidRPr="00461D74">
        <w:rPr>
          <w:rFonts w:ascii="Garamond" w:hAnsi="Garamond" w:cstheme="minorHAnsi"/>
          <w:sz w:val="24"/>
          <w:szCs w:val="24"/>
        </w:rPr>
        <w:t xml:space="preserve">local politics of the common good? Before we can answer this question we need to examine some of the political resources available </w:t>
      </w:r>
      <w:r w:rsidR="00EF7CB7">
        <w:rPr>
          <w:rFonts w:ascii="Garamond" w:hAnsi="Garamond" w:cstheme="minorHAnsi"/>
          <w:sz w:val="24"/>
          <w:szCs w:val="24"/>
        </w:rPr>
        <w:t>to</w:t>
      </w:r>
      <w:r w:rsidR="00EF7CB7" w:rsidRPr="00461D74">
        <w:rPr>
          <w:rFonts w:ascii="Garamond" w:hAnsi="Garamond" w:cstheme="minorHAnsi"/>
          <w:sz w:val="24"/>
          <w:szCs w:val="24"/>
        </w:rPr>
        <w:t xml:space="preserve"> </w:t>
      </w:r>
      <w:r w:rsidRPr="00461D74">
        <w:rPr>
          <w:rFonts w:ascii="Garamond" w:hAnsi="Garamond" w:cstheme="minorHAnsi"/>
          <w:sz w:val="24"/>
          <w:szCs w:val="24"/>
        </w:rPr>
        <w:t>Aristotle and Aquinas</w:t>
      </w:r>
      <w:r w:rsidR="004F6B0A" w:rsidRPr="00461D74">
        <w:rPr>
          <w:rFonts w:ascii="Garamond" w:hAnsi="Garamond" w:cstheme="minorHAnsi"/>
          <w:sz w:val="24"/>
          <w:szCs w:val="24"/>
        </w:rPr>
        <w:t>. Therefore,</w:t>
      </w:r>
      <w:r w:rsidRPr="00461D74">
        <w:rPr>
          <w:rFonts w:ascii="Garamond" w:hAnsi="Garamond" w:cstheme="minorHAnsi"/>
          <w:sz w:val="24"/>
          <w:szCs w:val="24"/>
        </w:rPr>
        <w:t xml:space="preserve"> I will briefly </w:t>
      </w:r>
      <w:r w:rsidR="004F6B0A" w:rsidRPr="00461D74">
        <w:rPr>
          <w:rFonts w:ascii="Garamond" w:hAnsi="Garamond" w:cstheme="minorHAnsi"/>
          <w:sz w:val="24"/>
          <w:szCs w:val="24"/>
        </w:rPr>
        <w:t xml:space="preserve">identify a few </w:t>
      </w:r>
      <w:r w:rsidRPr="00461D74">
        <w:rPr>
          <w:rFonts w:ascii="Garamond" w:hAnsi="Garamond" w:cstheme="minorHAnsi"/>
          <w:sz w:val="24"/>
          <w:szCs w:val="24"/>
        </w:rPr>
        <w:t xml:space="preserve">important elements </w:t>
      </w:r>
      <w:r w:rsidR="004F6B0A" w:rsidRPr="00461D74">
        <w:rPr>
          <w:rFonts w:ascii="Garamond" w:hAnsi="Garamond" w:cstheme="minorHAnsi"/>
          <w:sz w:val="24"/>
          <w:szCs w:val="24"/>
        </w:rPr>
        <w:t>that are constitutive of</w:t>
      </w:r>
      <w:r w:rsidRPr="00461D74">
        <w:rPr>
          <w:rFonts w:ascii="Garamond" w:hAnsi="Garamond" w:cstheme="minorHAnsi"/>
          <w:sz w:val="24"/>
          <w:szCs w:val="24"/>
        </w:rPr>
        <w:t xml:space="preserve"> the political philosophy of Aristotle and Aquinas.</w:t>
      </w:r>
    </w:p>
    <w:p w:rsidR="00665157" w:rsidRDefault="00665157">
      <w:pPr>
        <w:spacing w:line="360" w:lineRule="auto"/>
        <w:jc w:val="both"/>
        <w:rPr>
          <w:rFonts w:ascii="Garamond" w:hAnsi="Garamond" w:cstheme="minorHAnsi"/>
          <w:sz w:val="24"/>
          <w:szCs w:val="24"/>
        </w:rPr>
      </w:pPr>
    </w:p>
    <w:p w:rsidR="00665157" w:rsidRDefault="00C66538">
      <w:pPr>
        <w:pStyle w:val="Heading3"/>
        <w:spacing w:line="360" w:lineRule="auto"/>
        <w:jc w:val="both"/>
        <w:rPr>
          <w:rFonts w:cstheme="majorHAnsi"/>
        </w:rPr>
      </w:pPr>
      <w:bookmarkStart w:id="53" w:name="_Toc528077830"/>
      <w:r>
        <w:rPr>
          <w:rFonts w:cstheme="majorHAnsi"/>
        </w:rPr>
        <w:t xml:space="preserve">3.1 </w:t>
      </w:r>
      <w:r w:rsidR="00016049" w:rsidRPr="00F03436">
        <w:rPr>
          <w:rFonts w:cstheme="majorHAnsi"/>
        </w:rPr>
        <w:t>Aristotle and Aquinas</w:t>
      </w:r>
      <w:bookmarkEnd w:id="53"/>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Aristotle’s criticism of Hellenic politics is first, that they aim too low, and second, that they aim only for a part of justice, understood as a portion of the </w:t>
      </w:r>
      <w:r w:rsidRPr="00461D74">
        <w:rPr>
          <w:rFonts w:ascii="Garamond" w:hAnsi="Garamond" w:cstheme="minorHAnsi"/>
          <w:iCs/>
          <w:sz w:val="24"/>
          <w:szCs w:val="24"/>
        </w:rPr>
        <w:t>common good</w:t>
      </w:r>
      <w:r w:rsidRPr="00461D74">
        <w:rPr>
          <w:rFonts w:ascii="Garamond" w:hAnsi="Garamond" w:cstheme="minorHAnsi"/>
          <w:sz w:val="24"/>
          <w:szCs w:val="24"/>
        </w:rPr>
        <w:t xml:space="preserve">. On Aristotle’s account, a type of political order that only </w:t>
      </w:r>
      <w:r w:rsidR="00E22406">
        <w:rPr>
          <w:rFonts w:ascii="Garamond" w:hAnsi="Garamond" w:cstheme="minorHAnsi"/>
          <w:sz w:val="24"/>
          <w:szCs w:val="24"/>
        </w:rPr>
        <w:t>affords</w:t>
      </w:r>
      <w:r w:rsidR="00E22406" w:rsidRPr="00461D74">
        <w:rPr>
          <w:rFonts w:ascii="Garamond" w:hAnsi="Garamond" w:cstheme="minorHAnsi"/>
          <w:sz w:val="24"/>
          <w:szCs w:val="24"/>
        </w:rPr>
        <w:t xml:space="preserve"> </w:t>
      </w:r>
      <w:r w:rsidR="00E22406">
        <w:rPr>
          <w:rFonts w:ascii="Garamond" w:hAnsi="Garamond" w:cstheme="minorHAnsi"/>
          <w:sz w:val="24"/>
          <w:szCs w:val="24"/>
        </w:rPr>
        <w:t xml:space="preserve">a degree of </w:t>
      </w:r>
      <w:r w:rsidRPr="00461D74">
        <w:rPr>
          <w:rFonts w:ascii="Garamond" w:hAnsi="Garamond" w:cstheme="minorHAnsi"/>
          <w:sz w:val="24"/>
          <w:szCs w:val="24"/>
        </w:rPr>
        <w:t xml:space="preserve">security from </w:t>
      </w:r>
      <w:r w:rsidR="00E22406">
        <w:rPr>
          <w:rFonts w:ascii="Garamond" w:hAnsi="Garamond" w:cstheme="minorHAnsi"/>
          <w:sz w:val="24"/>
          <w:szCs w:val="24"/>
        </w:rPr>
        <w:t xml:space="preserve">tyranny and </w:t>
      </w:r>
      <w:r w:rsidRPr="00461D74">
        <w:rPr>
          <w:rFonts w:ascii="Garamond" w:hAnsi="Garamond" w:cstheme="minorHAnsi"/>
          <w:sz w:val="24"/>
          <w:szCs w:val="24"/>
        </w:rPr>
        <w:t>injustice</w:t>
      </w:r>
      <w:r w:rsidR="00E22406">
        <w:rPr>
          <w:rFonts w:ascii="Garamond" w:hAnsi="Garamond" w:cstheme="minorHAnsi"/>
          <w:sz w:val="24"/>
          <w:szCs w:val="24"/>
        </w:rPr>
        <w:t>,</w:t>
      </w:r>
      <w:r w:rsidRPr="00461D74">
        <w:rPr>
          <w:rFonts w:ascii="Garamond" w:hAnsi="Garamond" w:cstheme="minorHAnsi"/>
          <w:sz w:val="24"/>
          <w:szCs w:val="24"/>
        </w:rPr>
        <w:t xml:space="preserve"> and a framework for mutual </w:t>
      </w:r>
      <w:r w:rsidR="004F6B0A" w:rsidRPr="00461D74">
        <w:rPr>
          <w:rFonts w:ascii="Garamond" w:hAnsi="Garamond" w:cstheme="minorHAnsi"/>
          <w:sz w:val="24"/>
          <w:szCs w:val="24"/>
        </w:rPr>
        <w:t xml:space="preserve">social </w:t>
      </w:r>
      <w:r w:rsidRPr="00461D74">
        <w:rPr>
          <w:rFonts w:ascii="Garamond" w:hAnsi="Garamond" w:cstheme="minorHAnsi"/>
          <w:sz w:val="24"/>
          <w:szCs w:val="24"/>
        </w:rPr>
        <w:t xml:space="preserve">intercourse can only aim at part of the common good. But the true goal of a political order is to live together in friendship, part of a </w:t>
      </w:r>
      <w:r w:rsidR="00E22406">
        <w:rPr>
          <w:rFonts w:ascii="Garamond" w:hAnsi="Garamond" w:cstheme="minorHAnsi"/>
          <w:sz w:val="24"/>
          <w:szCs w:val="24"/>
        </w:rPr>
        <w:t xml:space="preserve">more </w:t>
      </w:r>
      <w:r w:rsidRPr="00461D74">
        <w:rPr>
          <w:rFonts w:ascii="Garamond" w:hAnsi="Garamond" w:cstheme="minorHAnsi"/>
          <w:sz w:val="24"/>
          <w:szCs w:val="24"/>
        </w:rPr>
        <w:t xml:space="preserve">perfect </w:t>
      </w:r>
      <w:r w:rsidR="00E22406">
        <w:rPr>
          <w:rFonts w:ascii="Garamond" w:hAnsi="Garamond" w:cstheme="minorHAnsi"/>
          <w:sz w:val="24"/>
          <w:szCs w:val="24"/>
        </w:rPr>
        <w:t>fulfilling</w:t>
      </w:r>
      <w:r w:rsidR="00E22406" w:rsidRPr="00461D74">
        <w:rPr>
          <w:rFonts w:ascii="Garamond" w:hAnsi="Garamond" w:cstheme="minorHAnsi"/>
          <w:sz w:val="24"/>
          <w:szCs w:val="24"/>
        </w:rPr>
        <w:t xml:space="preserve"> </w:t>
      </w:r>
      <w:r w:rsidRPr="00461D74">
        <w:rPr>
          <w:rFonts w:ascii="Garamond" w:hAnsi="Garamond" w:cstheme="minorHAnsi"/>
          <w:sz w:val="24"/>
          <w:szCs w:val="24"/>
        </w:rPr>
        <w:t>life whose central theme is noble actions beyond mere companionship.</w:t>
      </w:r>
      <w:r w:rsidRPr="00461D74">
        <w:rPr>
          <w:rStyle w:val="FootnoteReference"/>
          <w:rFonts w:ascii="Garamond" w:hAnsi="Garamond" w:cstheme="minorHAnsi"/>
          <w:sz w:val="24"/>
          <w:szCs w:val="24"/>
        </w:rPr>
        <w:footnoteReference w:id="371"/>
      </w:r>
      <w:r w:rsidRPr="00461D74">
        <w:rPr>
          <w:rFonts w:ascii="Garamond" w:hAnsi="Garamond" w:cstheme="minorHAnsi"/>
          <w:sz w:val="24"/>
          <w:szCs w:val="24"/>
        </w:rPr>
        <w:t xml:space="preserve"> Aristotle </w:t>
      </w:r>
      <w:r w:rsidR="004F6B0A" w:rsidRPr="00461D74">
        <w:rPr>
          <w:rFonts w:ascii="Garamond" w:hAnsi="Garamond" w:cstheme="minorHAnsi"/>
          <w:sz w:val="24"/>
          <w:szCs w:val="24"/>
        </w:rPr>
        <w:t xml:space="preserve">also </w:t>
      </w:r>
      <w:r w:rsidRPr="00461D74">
        <w:rPr>
          <w:rFonts w:ascii="Garamond" w:hAnsi="Garamond" w:cstheme="minorHAnsi"/>
          <w:sz w:val="24"/>
          <w:szCs w:val="24"/>
        </w:rPr>
        <w:t xml:space="preserve">makes a quantitative division between </w:t>
      </w:r>
      <w:r w:rsidR="004F6B0A" w:rsidRPr="00461D74">
        <w:rPr>
          <w:rFonts w:ascii="Garamond" w:hAnsi="Garamond" w:cstheme="minorHAnsi"/>
          <w:sz w:val="24"/>
          <w:szCs w:val="24"/>
        </w:rPr>
        <w:t xml:space="preserve">political </w:t>
      </w:r>
      <w:r w:rsidRPr="00461D74">
        <w:rPr>
          <w:rFonts w:ascii="Garamond" w:hAnsi="Garamond" w:cstheme="minorHAnsi"/>
          <w:sz w:val="24"/>
          <w:szCs w:val="24"/>
        </w:rPr>
        <w:t xml:space="preserve">regimes. The quantitative division is between whether one, or a few, or </w:t>
      </w:r>
      <w:r w:rsidR="004F6B0A" w:rsidRPr="00461D74">
        <w:rPr>
          <w:rFonts w:ascii="Garamond" w:hAnsi="Garamond" w:cstheme="minorHAnsi"/>
          <w:sz w:val="24"/>
          <w:szCs w:val="24"/>
        </w:rPr>
        <w:t xml:space="preserve">the </w:t>
      </w:r>
      <w:r w:rsidRPr="00461D74">
        <w:rPr>
          <w:rFonts w:ascii="Garamond" w:hAnsi="Garamond" w:cstheme="minorHAnsi"/>
          <w:sz w:val="24"/>
          <w:szCs w:val="24"/>
        </w:rPr>
        <w:t>many</w:t>
      </w:r>
      <w:r w:rsidR="004F6B0A" w:rsidRPr="00461D74">
        <w:rPr>
          <w:rFonts w:ascii="Garamond" w:hAnsi="Garamond" w:cstheme="minorHAnsi"/>
          <w:sz w:val="24"/>
          <w:szCs w:val="24"/>
        </w:rPr>
        <w:t>,</w:t>
      </w:r>
      <w:r w:rsidRPr="00461D74">
        <w:rPr>
          <w:rFonts w:ascii="Garamond" w:hAnsi="Garamond" w:cstheme="minorHAnsi"/>
          <w:sz w:val="24"/>
          <w:szCs w:val="24"/>
        </w:rPr>
        <w:t xml:space="preserve"> are able to exercise power. A second </w:t>
      </w:r>
      <w:r w:rsidRPr="00461D74">
        <w:rPr>
          <w:rFonts w:ascii="Garamond" w:hAnsi="Garamond" w:cstheme="minorHAnsi"/>
          <w:sz w:val="24"/>
          <w:szCs w:val="24"/>
        </w:rPr>
        <w:lastRenderedPageBreak/>
        <w:t xml:space="preserve">distinction that he makes is whether those who rule govern on behalf of private or common interest. Aristotle’s politics then </w:t>
      </w:r>
      <w:r w:rsidR="0076004C" w:rsidRPr="00461D74">
        <w:rPr>
          <w:rFonts w:ascii="Garamond" w:hAnsi="Garamond" w:cstheme="minorHAnsi"/>
          <w:sz w:val="24"/>
          <w:szCs w:val="24"/>
        </w:rPr>
        <w:t xml:space="preserve">identifies </w:t>
      </w:r>
      <w:r w:rsidRPr="00461D74">
        <w:rPr>
          <w:rFonts w:ascii="Garamond" w:hAnsi="Garamond" w:cstheme="minorHAnsi"/>
          <w:sz w:val="24"/>
          <w:szCs w:val="24"/>
        </w:rPr>
        <w:t xml:space="preserve">six </w:t>
      </w:r>
      <w:r w:rsidR="0076004C" w:rsidRPr="00461D74">
        <w:rPr>
          <w:rFonts w:ascii="Garamond" w:hAnsi="Garamond" w:cstheme="minorHAnsi"/>
          <w:sz w:val="24"/>
          <w:szCs w:val="24"/>
        </w:rPr>
        <w:t xml:space="preserve">political </w:t>
      </w:r>
      <w:r w:rsidRPr="00461D74">
        <w:rPr>
          <w:rFonts w:ascii="Garamond" w:hAnsi="Garamond" w:cstheme="minorHAnsi"/>
          <w:sz w:val="24"/>
          <w:szCs w:val="24"/>
        </w:rPr>
        <w:t>regimes: kingship, aristocracy, and constitutional government which aim at the common interest, and, despotism, oligarchy, and democracy, which aim at private interest.</w:t>
      </w:r>
      <w:r w:rsidRPr="00461D74">
        <w:rPr>
          <w:rStyle w:val="FootnoteReference"/>
          <w:rFonts w:ascii="Garamond" w:hAnsi="Garamond" w:cstheme="minorHAnsi"/>
          <w:sz w:val="24"/>
          <w:szCs w:val="24"/>
        </w:rPr>
        <w:footnoteReference w:id="372"/>
      </w:r>
      <w:r w:rsidRPr="00461D74">
        <w:rPr>
          <w:rFonts w:ascii="Garamond" w:hAnsi="Garamond" w:cstheme="minorHAnsi"/>
          <w:sz w:val="24"/>
          <w:szCs w:val="24"/>
        </w:rPr>
        <w:t xml:space="preserve"> On Aristotle’s account</w:t>
      </w:r>
      <w:r w:rsidR="008D2FB0">
        <w:rPr>
          <w:rFonts w:ascii="Garamond" w:hAnsi="Garamond" w:cstheme="minorHAnsi"/>
          <w:sz w:val="24"/>
          <w:szCs w:val="24"/>
        </w:rPr>
        <w:t>,</w:t>
      </w:r>
      <w:r w:rsidRPr="00461D74">
        <w:rPr>
          <w:rFonts w:ascii="Garamond" w:hAnsi="Garamond" w:cstheme="minorHAnsi"/>
          <w:sz w:val="24"/>
          <w:szCs w:val="24"/>
        </w:rPr>
        <w:t xml:space="preserve"> </w:t>
      </w:r>
      <w:r w:rsidR="008D2FB0">
        <w:rPr>
          <w:rFonts w:ascii="Garamond" w:hAnsi="Garamond" w:cstheme="minorHAnsi"/>
          <w:sz w:val="24"/>
          <w:szCs w:val="24"/>
        </w:rPr>
        <w:t>the six</w:t>
      </w:r>
      <w:r w:rsidR="00F104F6" w:rsidRPr="00461D74">
        <w:rPr>
          <w:rFonts w:ascii="Garamond" w:hAnsi="Garamond" w:cstheme="minorHAnsi"/>
          <w:sz w:val="24"/>
          <w:szCs w:val="24"/>
        </w:rPr>
        <w:t xml:space="preserve"> </w:t>
      </w:r>
      <w:r w:rsidRPr="00461D74">
        <w:rPr>
          <w:rFonts w:ascii="Garamond" w:hAnsi="Garamond" w:cstheme="minorHAnsi"/>
          <w:sz w:val="24"/>
          <w:szCs w:val="24"/>
        </w:rPr>
        <w:t>regimes</w:t>
      </w:r>
      <w:r w:rsidR="00783802">
        <w:rPr>
          <w:rFonts w:ascii="Garamond" w:hAnsi="Garamond" w:cstheme="minorHAnsi"/>
          <w:sz w:val="24"/>
          <w:szCs w:val="24"/>
        </w:rPr>
        <w:t xml:space="preserve"> </w:t>
      </w:r>
      <w:r w:rsidR="008D2FB0">
        <w:rPr>
          <w:rFonts w:ascii="Garamond" w:hAnsi="Garamond" w:cstheme="minorHAnsi"/>
          <w:sz w:val="24"/>
          <w:szCs w:val="24"/>
        </w:rPr>
        <w:t>variously</w:t>
      </w:r>
      <w:r w:rsidR="00783802">
        <w:rPr>
          <w:rFonts w:ascii="Garamond" w:hAnsi="Garamond" w:cstheme="minorHAnsi"/>
          <w:sz w:val="24"/>
          <w:szCs w:val="24"/>
        </w:rPr>
        <w:t xml:space="preserve"> emerging out of distinctive view</w:t>
      </w:r>
      <w:r w:rsidR="008D2FB0">
        <w:rPr>
          <w:rFonts w:ascii="Garamond" w:hAnsi="Garamond" w:cstheme="minorHAnsi"/>
          <w:sz w:val="24"/>
          <w:szCs w:val="24"/>
        </w:rPr>
        <w:t>s</w:t>
      </w:r>
      <w:r w:rsidR="00783802">
        <w:rPr>
          <w:rFonts w:ascii="Garamond" w:hAnsi="Garamond" w:cstheme="minorHAnsi"/>
          <w:sz w:val="24"/>
          <w:szCs w:val="24"/>
        </w:rPr>
        <w:t xml:space="preserve"> o</w:t>
      </w:r>
      <w:r w:rsidR="008D2FB0">
        <w:rPr>
          <w:rFonts w:ascii="Garamond" w:hAnsi="Garamond" w:cstheme="minorHAnsi"/>
          <w:sz w:val="24"/>
          <w:szCs w:val="24"/>
        </w:rPr>
        <w:t>n</w:t>
      </w:r>
      <w:r w:rsidR="00783802">
        <w:rPr>
          <w:rFonts w:ascii="Garamond" w:hAnsi="Garamond" w:cstheme="minorHAnsi"/>
          <w:sz w:val="24"/>
          <w:szCs w:val="24"/>
        </w:rPr>
        <w:t xml:space="preserve"> social-cum-political life</w:t>
      </w:r>
      <w:r w:rsidR="008D2FB0">
        <w:rPr>
          <w:rFonts w:ascii="Garamond" w:hAnsi="Garamond" w:cstheme="minorHAnsi"/>
          <w:sz w:val="24"/>
          <w:szCs w:val="24"/>
        </w:rPr>
        <w:t xml:space="preserve"> bearing different political conceptions</w:t>
      </w:r>
      <w:r w:rsidR="00783802">
        <w:rPr>
          <w:rFonts w:ascii="Garamond" w:hAnsi="Garamond" w:cstheme="minorHAnsi"/>
          <w:sz w:val="24"/>
          <w:szCs w:val="24"/>
        </w:rPr>
        <w:t>,</w:t>
      </w:r>
      <w:r w:rsidR="00F104F6">
        <w:rPr>
          <w:rFonts w:ascii="Garamond" w:hAnsi="Garamond" w:cstheme="minorHAnsi"/>
          <w:sz w:val="24"/>
          <w:szCs w:val="24"/>
        </w:rPr>
        <w:t xml:space="preserve"> </w:t>
      </w:r>
      <w:r w:rsidR="008D2FB0">
        <w:rPr>
          <w:rFonts w:ascii="Garamond" w:hAnsi="Garamond" w:cstheme="minorHAnsi"/>
          <w:sz w:val="24"/>
          <w:szCs w:val="24"/>
        </w:rPr>
        <w:t>each respectively</w:t>
      </w:r>
      <w:r w:rsidR="00783802">
        <w:rPr>
          <w:rFonts w:ascii="Garamond" w:hAnsi="Garamond" w:cstheme="minorHAnsi"/>
          <w:sz w:val="24"/>
          <w:szCs w:val="24"/>
        </w:rPr>
        <w:t xml:space="preserve"> aim</w:t>
      </w:r>
      <w:r w:rsidR="008D2FB0">
        <w:rPr>
          <w:rFonts w:ascii="Garamond" w:hAnsi="Garamond" w:cstheme="minorHAnsi"/>
          <w:sz w:val="24"/>
          <w:szCs w:val="24"/>
        </w:rPr>
        <w:t>s</w:t>
      </w:r>
      <w:r w:rsidR="00783802">
        <w:rPr>
          <w:rFonts w:ascii="Garamond" w:hAnsi="Garamond" w:cstheme="minorHAnsi"/>
          <w:sz w:val="24"/>
          <w:szCs w:val="24"/>
        </w:rPr>
        <w:t xml:space="preserve"> at a portion of justice. </w:t>
      </w:r>
      <w:r w:rsidRPr="00461D74">
        <w:rPr>
          <w:rFonts w:ascii="Garamond" w:hAnsi="Garamond" w:cstheme="minorHAnsi"/>
          <w:sz w:val="24"/>
          <w:szCs w:val="24"/>
        </w:rPr>
        <w:t>So for example democracy takes in only a part of justice under its consideration</w:t>
      </w:r>
      <w:r w:rsidR="00C52B7C">
        <w:rPr>
          <w:rFonts w:ascii="Garamond" w:hAnsi="Garamond" w:cstheme="minorHAnsi"/>
          <w:sz w:val="24"/>
          <w:szCs w:val="24"/>
        </w:rPr>
        <w:t>;</w:t>
      </w:r>
      <w:r w:rsidRPr="00461D74">
        <w:rPr>
          <w:rFonts w:ascii="Garamond" w:hAnsi="Garamond" w:cstheme="minorHAnsi"/>
          <w:sz w:val="24"/>
          <w:szCs w:val="24"/>
        </w:rPr>
        <w:t xml:space="preserve"> hence, it does not take part in all of justice conceived as a whole. Thus in this way different forms of government </w:t>
      </w:r>
      <w:r w:rsidR="00C52B7C">
        <w:rPr>
          <w:rFonts w:ascii="Garamond" w:hAnsi="Garamond" w:cstheme="minorHAnsi"/>
          <w:sz w:val="24"/>
          <w:szCs w:val="24"/>
        </w:rPr>
        <w:t>are manifestations of</w:t>
      </w:r>
      <w:r w:rsidRPr="00461D74">
        <w:rPr>
          <w:rFonts w:ascii="Garamond" w:hAnsi="Garamond" w:cstheme="minorHAnsi"/>
          <w:sz w:val="24"/>
          <w:szCs w:val="24"/>
        </w:rPr>
        <w:t xml:space="preserve"> different parts of justice, some more or less than others. Aristotle ultimately thinks that the </w:t>
      </w:r>
      <w:r w:rsidR="00ED45DF">
        <w:rPr>
          <w:rFonts w:ascii="Garamond" w:hAnsi="Garamond" w:cstheme="minorHAnsi"/>
          <w:sz w:val="24"/>
          <w:szCs w:val="24"/>
        </w:rPr>
        <w:t xml:space="preserve">more </w:t>
      </w:r>
      <w:r w:rsidRPr="00461D74">
        <w:rPr>
          <w:rFonts w:ascii="Garamond" w:hAnsi="Garamond" w:cstheme="minorHAnsi"/>
          <w:sz w:val="24"/>
          <w:szCs w:val="24"/>
        </w:rPr>
        <w:t>ideal regime is a mixed government that includes elements of both democracy, which aims at equality</w:t>
      </w:r>
      <w:r w:rsidR="0076004C" w:rsidRPr="00461D74">
        <w:rPr>
          <w:rFonts w:ascii="Garamond" w:hAnsi="Garamond" w:cstheme="minorHAnsi"/>
          <w:sz w:val="24"/>
          <w:szCs w:val="24"/>
        </w:rPr>
        <w:t xml:space="preserve"> and gives power to the many</w:t>
      </w:r>
      <w:r w:rsidRPr="00461D74">
        <w:rPr>
          <w:rFonts w:ascii="Garamond" w:hAnsi="Garamond" w:cstheme="minorHAnsi"/>
          <w:sz w:val="24"/>
          <w:szCs w:val="24"/>
        </w:rPr>
        <w:t>, and oligarchy, which aims at wealth.</w:t>
      </w:r>
      <w:r w:rsidRPr="00461D74">
        <w:rPr>
          <w:rStyle w:val="FootnoteReference"/>
          <w:rFonts w:ascii="Garamond" w:hAnsi="Garamond" w:cstheme="minorHAnsi"/>
          <w:sz w:val="24"/>
          <w:szCs w:val="24"/>
        </w:rPr>
        <w:footnoteReference w:id="373"/>
      </w:r>
      <w:r w:rsidRPr="00461D74">
        <w:rPr>
          <w:rFonts w:ascii="Garamond" w:hAnsi="Garamond" w:cstheme="minorHAnsi"/>
          <w:sz w:val="24"/>
          <w:szCs w:val="24"/>
        </w:rPr>
        <w:t xml:space="preserve"> What is relevant for us is that on Aristotle’s view</w:t>
      </w:r>
      <w:r w:rsidR="002E273B" w:rsidRPr="00461D74">
        <w:rPr>
          <w:rFonts w:ascii="Garamond" w:hAnsi="Garamond" w:cstheme="minorHAnsi"/>
          <w:sz w:val="24"/>
          <w:szCs w:val="24"/>
        </w:rPr>
        <w:t>,</w:t>
      </w:r>
      <w:r w:rsidRPr="00461D74">
        <w:rPr>
          <w:rFonts w:ascii="Garamond" w:hAnsi="Garamond" w:cstheme="minorHAnsi"/>
          <w:sz w:val="24"/>
          <w:szCs w:val="24"/>
        </w:rPr>
        <w:t xml:space="preserve"> th</w:t>
      </w:r>
      <w:r w:rsidR="00ED45DF">
        <w:rPr>
          <w:rFonts w:ascii="Garamond" w:hAnsi="Garamond" w:cstheme="minorHAnsi"/>
          <w:sz w:val="24"/>
          <w:szCs w:val="24"/>
        </w:rPr>
        <w:t>is mor</w:t>
      </w:r>
      <w:r w:rsidRPr="00461D74">
        <w:rPr>
          <w:rFonts w:ascii="Garamond" w:hAnsi="Garamond" w:cstheme="minorHAnsi"/>
          <w:sz w:val="24"/>
          <w:szCs w:val="24"/>
        </w:rPr>
        <w:t xml:space="preserve">e ideal </w:t>
      </w:r>
      <w:r w:rsidR="00ED45DF">
        <w:rPr>
          <w:rFonts w:ascii="Garamond" w:hAnsi="Garamond" w:cstheme="minorHAnsi"/>
          <w:sz w:val="24"/>
          <w:szCs w:val="24"/>
        </w:rPr>
        <w:t xml:space="preserve">form of </w:t>
      </w:r>
      <w:r w:rsidRPr="00461D74">
        <w:rPr>
          <w:rFonts w:ascii="Garamond" w:hAnsi="Garamond" w:cstheme="minorHAnsi"/>
          <w:sz w:val="24"/>
          <w:szCs w:val="24"/>
        </w:rPr>
        <w:t xml:space="preserve">government </w:t>
      </w:r>
      <w:r w:rsidR="0076004C" w:rsidRPr="00461D74">
        <w:rPr>
          <w:rFonts w:ascii="Garamond" w:hAnsi="Garamond" w:cstheme="minorHAnsi"/>
          <w:sz w:val="24"/>
          <w:szCs w:val="24"/>
        </w:rPr>
        <w:t>aims at more complete</w:t>
      </w:r>
      <w:r w:rsidR="00ED45DF">
        <w:rPr>
          <w:rFonts w:ascii="Garamond" w:hAnsi="Garamond" w:cstheme="minorHAnsi"/>
          <w:sz w:val="24"/>
          <w:szCs w:val="24"/>
        </w:rPr>
        <w:t xml:space="preserve"> account of</w:t>
      </w:r>
      <w:r w:rsidR="0076004C" w:rsidRPr="00461D74">
        <w:rPr>
          <w:rFonts w:ascii="Garamond" w:hAnsi="Garamond" w:cstheme="minorHAnsi"/>
          <w:sz w:val="24"/>
          <w:szCs w:val="24"/>
        </w:rPr>
        <w:t xml:space="preserve"> </w:t>
      </w:r>
      <w:r w:rsidRPr="00461D74">
        <w:rPr>
          <w:rFonts w:ascii="Garamond" w:hAnsi="Garamond" w:cstheme="minorHAnsi"/>
          <w:sz w:val="24"/>
          <w:szCs w:val="24"/>
        </w:rPr>
        <w:t>justice</w:t>
      </w:r>
      <w:r w:rsidR="0076004C" w:rsidRPr="00461D74">
        <w:rPr>
          <w:rFonts w:ascii="Garamond" w:hAnsi="Garamond" w:cstheme="minorHAnsi"/>
          <w:sz w:val="24"/>
          <w:szCs w:val="24"/>
        </w:rPr>
        <w:t xml:space="preserve">, and this account of justice </w:t>
      </w:r>
      <w:r w:rsidRPr="00461D74">
        <w:rPr>
          <w:rFonts w:ascii="Garamond" w:hAnsi="Garamond" w:cstheme="minorHAnsi"/>
          <w:sz w:val="24"/>
          <w:szCs w:val="24"/>
        </w:rPr>
        <w:t>is inclusive of the common good properly conceived.</w:t>
      </w:r>
    </w:p>
    <w:p w:rsidR="00665157" w:rsidRDefault="00ED45DF">
      <w:pPr>
        <w:spacing w:line="360" w:lineRule="auto"/>
        <w:ind w:firstLine="720"/>
        <w:jc w:val="both"/>
        <w:rPr>
          <w:rFonts w:ascii="Garamond" w:hAnsi="Garamond" w:cstheme="minorHAnsi"/>
          <w:sz w:val="24"/>
          <w:szCs w:val="24"/>
        </w:rPr>
      </w:pPr>
      <w:r>
        <w:rPr>
          <w:rFonts w:ascii="Garamond" w:hAnsi="Garamond" w:cstheme="minorHAnsi"/>
          <w:sz w:val="24"/>
          <w:szCs w:val="24"/>
        </w:rPr>
        <w:t xml:space="preserve">I now turn </w:t>
      </w:r>
      <w:r w:rsidR="001151EC">
        <w:rPr>
          <w:rFonts w:ascii="Garamond" w:hAnsi="Garamond" w:cstheme="minorHAnsi"/>
          <w:sz w:val="24"/>
          <w:szCs w:val="24"/>
        </w:rPr>
        <w:t xml:space="preserve">my attention </w:t>
      </w:r>
      <w:r>
        <w:rPr>
          <w:rFonts w:ascii="Garamond" w:hAnsi="Garamond" w:cstheme="minorHAnsi"/>
          <w:sz w:val="24"/>
          <w:szCs w:val="24"/>
        </w:rPr>
        <w:t xml:space="preserve">to </w:t>
      </w:r>
      <w:r w:rsidR="001151EC">
        <w:rPr>
          <w:rFonts w:ascii="Garamond" w:hAnsi="Garamond" w:cstheme="minorHAnsi"/>
          <w:sz w:val="24"/>
          <w:szCs w:val="24"/>
        </w:rPr>
        <w:t xml:space="preserve">a brief </w:t>
      </w:r>
      <w:r>
        <w:rPr>
          <w:rFonts w:ascii="Garamond" w:hAnsi="Garamond" w:cstheme="minorHAnsi"/>
          <w:sz w:val="24"/>
          <w:szCs w:val="24"/>
        </w:rPr>
        <w:t xml:space="preserve">review </w:t>
      </w:r>
      <w:r w:rsidR="001151EC">
        <w:rPr>
          <w:rFonts w:ascii="Garamond" w:hAnsi="Garamond" w:cstheme="minorHAnsi"/>
          <w:sz w:val="24"/>
          <w:szCs w:val="24"/>
        </w:rPr>
        <w:t xml:space="preserve">of </w:t>
      </w:r>
      <w:r>
        <w:rPr>
          <w:rFonts w:ascii="Garamond" w:hAnsi="Garamond" w:cstheme="minorHAnsi"/>
          <w:sz w:val="24"/>
          <w:szCs w:val="24"/>
        </w:rPr>
        <w:t>some elements of Aquinas’ politic</w:t>
      </w:r>
      <w:r w:rsidR="001151EC">
        <w:rPr>
          <w:rFonts w:ascii="Garamond" w:hAnsi="Garamond" w:cstheme="minorHAnsi"/>
          <w:sz w:val="24"/>
          <w:szCs w:val="24"/>
        </w:rPr>
        <w:t>al account</w:t>
      </w:r>
      <w:r>
        <w:rPr>
          <w:rFonts w:ascii="Garamond" w:hAnsi="Garamond" w:cstheme="minorHAnsi"/>
          <w:sz w:val="24"/>
          <w:szCs w:val="24"/>
        </w:rPr>
        <w:t>.</w:t>
      </w:r>
      <w:r>
        <w:rPr>
          <w:rStyle w:val="FootnoteReference"/>
          <w:rFonts w:ascii="Garamond" w:hAnsi="Garamond" w:cstheme="minorHAnsi"/>
          <w:sz w:val="24"/>
          <w:szCs w:val="24"/>
        </w:rPr>
        <w:footnoteReference w:id="374"/>
      </w:r>
      <w:r>
        <w:rPr>
          <w:rFonts w:ascii="Garamond" w:hAnsi="Garamond" w:cstheme="minorHAnsi"/>
          <w:sz w:val="24"/>
          <w:szCs w:val="24"/>
        </w:rPr>
        <w:t xml:space="preserve"> </w:t>
      </w:r>
      <w:r w:rsidR="00016049" w:rsidRPr="00461D74">
        <w:rPr>
          <w:rFonts w:ascii="Garamond" w:hAnsi="Garamond" w:cstheme="minorHAnsi"/>
          <w:sz w:val="24"/>
          <w:szCs w:val="24"/>
        </w:rPr>
        <w:t xml:space="preserve">When we turn our attention to Aquinas, we find </w:t>
      </w:r>
      <w:r w:rsidR="001151EC">
        <w:rPr>
          <w:rFonts w:ascii="Garamond" w:hAnsi="Garamond" w:cstheme="minorHAnsi"/>
          <w:sz w:val="24"/>
          <w:szCs w:val="24"/>
        </w:rPr>
        <w:t>that his political account is in part concerned with the issues raised by</w:t>
      </w:r>
      <w:r w:rsidR="001151EC" w:rsidRPr="00461D74">
        <w:rPr>
          <w:rFonts w:ascii="Garamond" w:hAnsi="Garamond" w:cstheme="minorHAnsi"/>
          <w:sz w:val="24"/>
          <w:szCs w:val="24"/>
        </w:rPr>
        <w:t xml:space="preserve"> </w:t>
      </w:r>
      <w:r w:rsidR="001151EC">
        <w:rPr>
          <w:rFonts w:ascii="Garamond" w:hAnsi="Garamond" w:cstheme="minorHAnsi"/>
          <w:sz w:val="24"/>
          <w:szCs w:val="24"/>
        </w:rPr>
        <w:t xml:space="preserve">political governance, and matters concerning laws and </w:t>
      </w:r>
      <w:r w:rsidR="00016049" w:rsidRPr="00461D74">
        <w:rPr>
          <w:rFonts w:ascii="Garamond" w:hAnsi="Garamond" w:cstheme="minorHAnsi"/>
          <w:sz w:val="24"/>
          <w:szCs w:val="24"/>
        </w:rPr>
        <w:t>legislation</w:t>
      </w:r>
      <w:r w:rsidR="001151EC">
        <w:rPr>
          <w:rFonts w:ascii="Garamond" w:hAnsi="Garamond" w:cstheme="minorHAnsi"/>
          <w:sz w:val="24"/>
          <w:szCs w:val="24"/>
        </w:rPr>
        <w:t>s</w:t>
      </w:r>
      <w:r w:rsidR="00016049" w:rsidRPr="00461D74">
        <w:rPr>
          <w:rFonts w:ascii="Garamond" w:hAnsi="Garamond" w:cstheme="minorHAnsi"/>
          <w:sz w:val="24"/>
          <w:szCs w:val="24"/>
        </w:rPr>
        <w:t>. When discussing politics, Aquinas’s primary focus is on the topic of human law: that is</w:t>
      </w:r>
      <w:r w:rsidR="002E273B" w:rsidRPr="00461D74">
        <w:rPr>
          <w:rFonts w:ascii="Garamond" w:hAnsi="Garamond" w:cstheme="minorHAnsi"/>
          <w:sz w:val="24"/>
          <w:szCs w:val="24"/>
        </w:rPr>
        <w:t>,</w:t>
      </w:r>
      <w:r w:rsidR="00016049" w:rsidRPr="00461D74">
        <w:rPr>
          <w:rFonts w:ascii="Garamond" w:hAnsi="Garamond" w:cstheme="minorHAnsi"/>
          <w:sz w:val="24"/>
          <w:szCs w:val="24"/>
        </w:rPr>
        <w:t xml:space="preserve"> natural law becomes political “by becoming human law</w:t>
      </w:r>
      <w:r w:rsidR="001151EC">
        <w:rPr>
          <w:rFonts w:ascii="Garamond" w:hAnsi="Garamond" w:cstheme="minorHAnsi"/>
          <w:sz w:val="24"/>
          <w:szCs w:val="24"/>
        </w:rPr>
        <w:t>.</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375"/>
      </w:r>
      <w:r w:rsidR="00016049" w:rsidRPr="00461D74">
        <w:rPr>
          <w:rFonts w:ascii="Garamond" w:hAnsi="Garamond" w:cstheme="minorHAnsi"/>
          <w:sz w:val="24"/>
          <w:szCs w:val="24"/>
        </w:rPr>
        <w:t xml:space="preserve"> For Aquinas</w:t>
      </w:r>
      <w:r w:rsidR="008D51B0" w:rsidRPr="00461D74">
        <w:rPr>
          <w:rFonts w:ascii="Garamond" w:hAnsi="Garamond" w:cstheme="minorHAnsi"/>
          <w:sz w:val="24"/>
          <w:szCs w:val="24"/>
        </w:rPr>
        <w:t>,</w:t>
      </w:r>
      <w:r w:rsidR="00016049" w:rsidRPr="00461D74">
        <w:rPr>
          <w:rFonts w:ascii="Garamond" w:hAnsi="Garamond" w:cstheme="minorHAnsi"/>
          <w:sz w:val="24"/>
          <w:szCs w:val="24"/>
        </w:rPr>
        <w:t xml:space="preserve"> law and legislation in the framework of natural law </w:t>
      </w:r>
      <w:r w:rsidR="008D51B0" w:rsidRPr="00461D74">
        <w:rPr>
          <w:rFonts w:ascii="Garamond" w:hAnsi="Garamond" w:cstheme="minorHAnsi"/>
          <w:sz w:val="24"/>
          <w:szCs w:val="24"/>
        </w:rPr>
        <w:t xml:space="preserve">is </w:t>
      </w:r>
      <w:r w:rsidR="00016049" w:rsidRPr="00461D74">
        <w:rPr>
          <w:rFonts w:ascii="Garamond" w:hAnsi="Garamond" w:cstheme="minorHAnsi"/>
          <w:sz w:val="24"/>
          <w:szCs w:val="24"/>
        </w:rPr>
        <w:t xml:space="preserve">a principal mechanism for central authority to generate the type of </w:t>
      </w:r>
      <w:r w:rsidR="001151EC">
        <w:rPr>
          <w:rFonts w:ascii="Garamond" w:hAnsi="Garamond" w:cstheme="minorHAnsi"/>
          <w:sz w:val="24"/>
          <w:szCs w:val="24"/>
        </w:rPr>
        <w:lastRenderedPageBreak/>
        <w:t xml:space="preserve">political </w:t>
      </w:r>
      <w:r w:rsidR="00016049" w:rsidRPr="00461D74">
        <w:rPr>
          <w:rFonts w:ascii="Garamond" w:hAnsi="Garamond" w:cstheme="minorHAnsi"/>
          <w:sz w:val="24"/>
          <w:szCs w:val="24"/>
        </w:rPr>
        <w:t>organization and condition</w:t>
      </w:r>
      <w:r w:rsidR="002E273B" w:rsidRPr="00461D74">
        <w:rPr>
          <w:rFonts w:ascii="Garamond" w:hAnsi="Garamond" w:cstheme="minorHAnsi"/>
          <w:sz w:val="24"/>
          <w:szCs w:val="24"/>
        </w:rPr>
        <w:t>s</w:t>
      </w:r>
      <w:r w:rsidR="00016049" w:rsidRPr="00461D74">
        <w:rPr>
          <w:rFonts w:ascii="Garamond" w:hAnsi="Garamond" w:cstheme="minorHAnsi"/>
          <w:sz w:val="24"/>
          <w:szCs w:val="24"/>
        </w:rPr>
        <w:t xml:space="preserve"> that promote the good of the community.</w:t>
      </w:r>
      <w:r w:rsidR="00016049" w:rsidRPr="00461D74">
        <w:rPr>
          <w:rStyle w:val="FootnoteReference"/>
          <w:rFonts w:ascii="Garamond" w:hAnsi="Garamond" w:cstheme="minorHAnsi"/>
          <w:sz w:val="24"/>
          <w:szCs w:val="24"/>
        </w:rPr>
        <w:footnoteReference w:id="376"/>
      </w:r>
      <w:r w:rsidR="00016049" w:rsidRPr="00461D74">
        <w:rPr>
          <w:rFonts w:ascii="Garamond" w:hAnsi="Garamond" w:cstheme="minorHAnsi"/>
          <w:sz w:val="24"/>
          <w:szCs w:val="24"/>
        </w:rPr>
        <w:t xml:space="preserve"> </w:t>
      </w:r>
      <w:r w:rsidR="00DC23C2">
        <w:rPr>
          <w:rFonts w:ascii="Garamond" w:hAnsi="Garamond" w:cstheme="minorHAnsi"/>
          <w:sz w:val="24"/>
          <w:szCs w:val="24"/>
        </w:rPr>
        <w:t xml:space="preserve">Thomas </w:t>
      </w:r>
      <w:proofErr w:type="spellStart"/>
      <w:r w:rsidR="008D51B0" w:rsidRPr="00461D74">
        <w:rPr>
          <w:rFonts w:ascii="Garamond" w:hAnsi="Garamond" w:cstheme="minorHAnsi"/>
          <w:sz w:val="24"/>
          <w:szCs w:val="24"/>
        </w:rPr>
        <w:t>Hibbs</w:t>
      </w:r>
      <w:proofErr w:type="spellEnd"/>
      <w:r w:rsidR="008D51B0" w:rsidRPr="00461D74">
        <w:rPr>
          <w:rFonts w:ascii="Garamond" w:hAnsi="Garamond" w:cstheme="minorHAnsi"/>
          <w:sz w:val="24"/>
          <w:szCs w:val="24"/>
        </w:rPr>
        <w:t xml:space="preserve"> argues that</w:t>
      </w:r>
      <w:r w:rsidR="00016049" w:rsidRPr="00461D74">
        <w:rPr>
          <w:rFonts w:ascii="Garamond" w:hAnsi="Garamond" w:cstheme="minorHAnsi"/>
          <w:sz w:val="24"/>
          <w:szCs w:val="24"/>
        </w:rPr>
        <w:t xml:space="preserve"> Aquinas’ natural law offers </w:t>
      </w:r>
      <w:r w:rsidR="001151EC">
        <w:rPr>
          <w:rFonts w:ascii="Garamond" w:hAnsi="Garamond" w:cstheme="minorHAnsi"/>
          <w:sz w:val="24"/>
          <w:szCs w:val="24"/>
        </w:rPr>
        <w:t>a set of</w:t>
      </w:r>
      <w:r w:rsidR="001151EC" w:rsidRPr="00461D74">
        <w:rPr>
          <w:rFonts w:ascii="Garamond" w:hAnsi="Garamond" w:cstheme="minorHAnsi"/>
          <w:sz w:val="24"/>
          <w:szCs w:val="24"/>
        </w:rPr>
        <w:t xml:space="preserve"> </w:t>
      </w:r>
      <w:r w:rsidR="00016049" w:rsidRPr="00461D74">
        <w:rPr>
          <w:rFonts w:ascii="Garamond" w:hAnsi="Garamond" w:cstheme="minorHAnsi"/>
          <w:sz w:val="24"/>
          <w:szCs w:val="24"/>
        </w:rPr>
        <w:t>precept</w:t>
      </w:r>
      <w:r w:rsidR="001151EC">
        <w:rPr>
          <w:rFonts w:ascii="Garamond" w:hAnsi="Garamond" w:cstheme="minorHAnsi"/>
          <w:sz w:val="24"/>
          <w:szCs w:val="24"/>
        </w:rPr>
        <w:t>s</w:t>
      </w:r>
      <w:r w:rsidR="00016049" w:rsidRPr="00461D74">
        <w:rPr>
          <w:rFonts w:ascii="Garamond" w:hAnsi="Garamond" w:cstheme="minorHAnsi"/>
          <w:sz w:val="24"/>
          <w:szCs w:val="24"/>
        </w:rPr>
        <w:t xml:space="preserve"> that allows us to frame the structure of political life without the need to refer back to Aristotle’s politics.</w:t>
      </w:r>
      <w:r w:rsidR="00016049" w:rsidRPr="00461D74">
        <w:rPr>
          <w:rStyle w:val="FootnoteReference"/>
          <w:rFonts w:ascii="Garamond" w:hAnsi="Garamond" w:cstheme="minorHAnsi"/>
          <w:sz w:val="24"/>
          <w:szCs w:val="24"/>
        </w:rPr>
        <w:footnoteReference w:id="377"/>
      </w:r>
      <w:r w:rsidR="00016049" w:rsidRPr="00461D74">
        <w:rPr>
          <w:rFonts w:ascii="Garamond" w:hAnsi="Garamond" w:cstheme="minorHAnsi"/>
          <w:sz w:val="24"/>
          <w:szCs w:val="24"/>
        </w:rPr>
        <w:t xml:space="preserve"> So for example, </w:t>
      </w:r>
      <w:r w:rsidR="00B22330">
        <w:rPr>
          <w:rFonts w:ascii="Garamond" w:hAnsi="Garamond" w:cstheme="minorHAnsi"/>
          <w:sz w:val="24"/>
          <w:szCs w:val="24"/>
        </w:rPr>
        <w:t xml:space="preserve">under Aquinas </w:t>
      </w:r>
      <w:r w:rsidR="00016049" w:rsidRPr="00461D74">
        <w:rPr>
          <w:rFonts w:ascii="Garamond" w:hAnsi="Garamond" w:cstheme="minorHAnsi"/>
          <w:sz w:val="24"/>
          <w:szCs w:val="24"/>
        </w:rPr>
        <w:t xml:space="preserve">matters involving private property </w:t>
      </w:r>
      <w:r w:rsidR="008D51B0" w:rsidRPr="00461D74">
        <w:rPr>
          <w:rFonts w:ascii="Garamond" w:hAnsi="Garamond" w:cstheme="minorHAnsi"/>
          <w:sz w:val="24"/>
          <w:szCs w:val="24"/>
        </w:rPr>
        <w:t xml:space="preserve">claims </w:t>
      </w:r>
      <w:r w:rsidR="00B22330">
        <w:rPr>
          <w:rFonts w:ascii="Garamond" w:hAnsi="Garamond" w:cstheme="minorHAnsi"/>
          <w:sz w:val="24"/>
          <w:szCs w:val="24"/>
        </w:rPr>
        <w:t xml:space="preserve">found their justification in reference to </w:t>
      </w:r>
      <w:r w:rsidR="00016049" w:rsidRPr="00461D74">
        <w:rPr>
          <w:rFonts w:ascii="Garamond" w:hAnsi="Garamond" w:cstheme="minorHAnsi"/>
          <w:sz w:val="24"/>
          <w:szCs w:val="24"/>
        </w:rPr>
        <w:t>the common good</w:t>
      </w:r>
      <w:r w:rsidR="001151EC">
        <w:rPr>
          <w:rFonts w:ascii="Garamond" w:hAnsi="Garamond" w:cstheme="minorHAnsi"/>
          <w:sz w:val="24"/>
          <w:szCs w:val="24"/>
        </w:rPr>
        <w:t>,</w:t>
      </w:r>
      <w:r w:rsidR="00016049" w:rsidRPr="00461D74">
        <w:rPr>
          <w:rFonts w:ascii="Garamond" w:hAnsi="Garamond" w:cstheme="minorHAnsi"/>
          <w:sz w:val="24"/>
          <w:szCs w:val="24"/>
        </w:rPr>
        <w:t xml:space="preserve"> and not some antecedent individual right </w:t>
      </w:r>
      <w:r w:rsidR="001151EC">
        <w:rPr>
          <w:rFonts w:ascii="Garamond" w:hAnsi="Garamond" w:cstheme="minorHAnsi"/>
          <w:sz w:val="24"/>
          <w:szCs w:val="24"/>
        </w:rPr>
        <w:t xml:space="preserve">that </w:t>
      </w:r>
      <w:r w:rsidR="00B22330">
        <w:rPr>
          <w:rFonts w:ascii="Garamond" w:hAnsi="Garamond" w:cstheme="minorHAnsi"/>
          <w:sz w:val="24"/>
          <w:szCs w:val="24"/>
        </w:rPr>
        <w:t>is conceptually prior to</w:t>
      </w:r>
      <w:r w:rsidR="001151EC">
        <w:rPr>
          <w:rFonts w:ascii="Garamond" w:hAnsi="Garamond" w:cstheme="minorHAnsi"/>
          <w:sz w:val="24"/>
          <w:szCs w:val="24"/>
        </w:rPr>
        <w:t xml:space="preserve"> </w:t>
      </w:r>
      <w:r w:rsidR="00016049" w:rsidRPr="00461D74">
        <w:rPr>
          <w:rFonts w:ascii="Garamond" w:hAnsi="Garamond" w:cstheme="minorHAnsi"/>
          <w:sz w:val="24"/>
          <w:szCs w:val="24"/>
        </w:rPr>
        <w:t xml:space="preserve">civic </w:t>
      </w:r>
      <w:r w:rsidR="00B22330">
        <w:rPr>
          <w:rFonts w:ascii="Garamond" w:hAnsi="Garamond" w:cstheme="minorHAnsi"/>
          <w:sz w:val="24"/>
          <w:szCs w:val="24"/>
        </w:rPr>
        <w:t xml:space="preserve">or common good </w:t>
      </w:r>
      <w:r w:rsidR="00016049" w:rsidRPr="00461D74">
        <w:rPr>
          <w:rFonts w:ascii="Garamond" w:hAnsi="Garamond" w:cstheme="minorHAnsi"/>
          <w:sz w:val="24"/>
          <w:szCs w:val="24"/>
        </w:rPr>
        <w:t>principles.</w:t>
      </w:r>
      <w:r w:rsidR="00016049" w:rsidRPr="00461D74">
        <w:rPr>
          <w:rStyle w:val="FootnoteReference"/>
          <w:rFonts w:ascii="Garamond" w:hAnsi="Garamond" w:cstheme="minorHAnsi"/>
          <w:sz w:val="24"/>
          <w:szCs w:val="24"/>
        </w:rPr>
        <w:footnoteReference w:id="378"/>
      </w:r>
      <w:r w:rsidR="00016049" w:rsidRPr="00461D74">
        <w:rPr>
          <w:rFonts w:ascii="Garamond" w:hAnsi="Garamond" w:cstheme="minorHAnsi"/>
          <w:sz w:val="24"/>
          <w:szCs w:val="24"/>
        </w:rPr>
        <w:t xml:space="preserve"> Moreover, in the framework of natural law, legislation enacted by the state enjoy</w:t>
      </w:r>
      <w:r w:rsidR="00B22330">
        <w:rPr>
          <w:rFonts w:ascii="Garamond" w:hAnsi="Garamond" w:cstheme="minorHAnsi"/>
          <w:sz w:val="24"/>
          <w:szCs w:val="24"/>
        </w:rPr>
        <w:t xml:space="preserve">s moral sanction </w:t>
      </w:r>
      <w:r w:rsidR="00016049" w:rsidRPr="00461D74">
        <w:rPr>
          <w:rFonts w:ascii="Garamond" w:hAnsi="Garamond" w:cstheme="minorHAnsi"/>
          <w:sz w:val="24"/>
          <w:szCs w:val="24"/>
        </w:rPr>
        <w:t xml:space="preserve">insofar as it </w:t>
      </w:r>
      <w:r w:rsidR="00B22330">
        <w:rPr>
          <w:rFonts w:ascii="Garamond" w:hAnsi="Garamond" w:cstheme="minorHAnsi"/>
          <w:sz w:val="24"/>
          <w:szCs w:val="24"/>
        </w:rPr>
        <w:t>remained</w:t>
      </w:r>
      <w:r w:rsidR="00B22330" w:rsidRPr="00461D74">
        <w:rPr>
          <w:rFonts w:ascii="Garamond" w:hAnsi="Garamond" w:cstheme="minorHAnsi"/>
          <w:sz w:val="24"/>
          <w:szCs w:val="24"/>
        </w:rPr>
        <w:t xml:space="preserve"> </w:t>
      </w:r>
      <w:r w:rsidR="00016049" w:rsidRPr="00461D74">
        <w:rPr>
          <w:rFonts w:ascii="Garamond" w:hAnsi="Garamond" w:cstheme="minorHAnsi"/>
          <w:sz w:val="24"/>
          <w:szCs w:val="24"/>
        </w:rPr>
        <w:t>compatible with natural law</w:t>
      </w:r>
      <w:r w:rsidR="00B22330">
        <w:rPr>
          <w:rFonts w:ascii="Garamond" w:hAnsi="Garamond" w:cstheme="minorHAnsi"/>
          <w:sz w:val="24"/>
          <w:szCs w:val="24"/>
        </w:rPr>
        <w:t>,</w:t>
      </w:r>
      <w:r w:rsidR="00016049" w:rsidRPr="00461D74">
        <w:rPr>
          <w:rFonts w:ascii="Garamond" w:hAnsi="Garamond" w:cstheme="minorHAnsi"/>
          <w:sz w:val="24"/>
          <w:szCs w:val="24"/>
        </w:rPr>
        <w:t xml:space="preserve"> properly conceived. Laws were viewed as just only and insofar as they were at home in the confines of natural law; </w:t>
      </w:r>
      <w:r w:rsidR="008D51B0" w:rsidRPr="00461D74">
        <w:rPr>
          <w:rFonts w:ascii="Garamond" w:hAnsi="Garamond" w:cstheme="minorHAnsi"/>
          <w:sz w:val="24"/>
          <w:szCs w:val="24"/>
        </w:rPr>
        <w:t xml:space="preserve">consequently, </w:t>
      </w:r>
      <w:r w:rsidR="00016049" w:rsidRPr="00461D74">
        <w:rPr>
          <w:rFonts w:ascii="Garamond" w:hAnsi="Garamond" w:cstheme="minorHAnsi"/>
          <w:sz w:val="24"/>
          <w:szCs w:val="24"/>
        </w:rPr>
        <w:t xml:space="preserve">laws that transgressed those boundaries failed to be laws at all. </w:t>
      </w:r>
    </w:p>
    <w:p w:rsidR="00665157" w:rsidRDefault="00016049" w:rsidP="00A25A35">
      <w:pPr>
        <w:spacing w:line="360" w:lineRule="auto"/>
        <w:ind w:firstLine="720"/>
        <w:jc w:val="both"/>
        <w:rPr>
          <w:rFonts w:ascii="Garamond" w:hAnsi="Garamond" w:cstheme="minorHAnsi"/>
          <w:sz w:val="24"/>
          <w:szCs w:val="24"/>
        </w:rPr>
      </w:pPr>
      <w:r w:rsidRPr="00461D74">
        <w:rPr>
          <w:rFonts w:ascii="Garamond" w:hAnsi="Garamond" w:cstheme="minorHAnsi"/>
          <w:sz w:val="24"/>
          <w:szCs w:val="24"/>
        </w:rPr>
        <w:t>Aquinas also clarifies the boundaries between the type</w:t>
      </w:r>
      <w:r w:rsidR="00EB401A" w:rsidRPr="00461D74">
        <w:rPr>
          <w:rFonts w:ascii="Garamond" w:hAnsi="Garamond" w:cstheme="minorHAnsi"/>
          <w:sz w:val="24"/>
          <w:szCs w:val="24"/>
        </w:rPr>
        <w:t>s</w:t>
      </w:r>
      <w:r w:rsidRPr="00461D74">
        <w:rPr>
          <w:rFonts w:ascii="Garamond" w:hAnsi="Garamond" w:cstheme="minorHAnsi"/>
          <w:sz w:val="24"/>
          <w:szCs w:val="24"/>
        </w:rPr>
        <w:t xml:space="preserve"> of legislation that are legitimate</w:t>
      </w:r>
      <w:r w:rsidR="00896489" w:rsidRPr="00461D74">
        <w:rPr>
          <w:rFonts w:ascii="Garamond" w:hAnsi="Garamond" w:cstheme="minorHAnsi"/>
          <w:sz w:val="24"/>
          <w:szCs w:val="24"/>
        </w:rPr>
        <w:t>,</w:t>
      </w:r>
      <w:r w:rsidRPr="00461D74">
        <w:rPr>
          <w:rFonts w:ascii="Garamond" w:hAnsi="Garamond" w:cstheme="minorHAnsi"/>
          <w:sz w:val="24"/>
          <w:szCs w:val="24"/>
        </w:rPr>
        <w:t xml:space="preserve"> and those that fail the test of legitimacy. On his view, </w:t>
      </w:r>
      <w:r w:rsidR="007D6A63">
        <w:rPr>
          <w:rFonts w:ascii="Garamond" w:hAnsi="Garamond" w:cstheme="minorHAnsi"/>
          <w:sz w:val="24"/>
          <w:szCs w:val="24"/>
        </w:rPr>
        <w:t xml:space="preserve">the legitimacy of </w:t>
      </w:r>
      <w:r w:rsidR="00A25A35">
        <w:rPr>
          <w:rFonts w:ascii="Garamond" w:hAnsi="Garamond" w:cstheme="minorHAnsi"/>
          <w:sz w:val="24"/>
          <w:szCs w:val="24"/>
        </w:rPr>
        <w:t xml:space="preserve">legislations enacted by </w:t>
      </w:r>
      <w:r w:rsidR="007D6A63">
        <w:rPr>
          <w:rFonts w:ascii="Garamond" w:hAnsi="Garamond" w:cstheme="minorHAnsi"/>
          <w:sz w:val="24"/>
          <w:szCs w:val="24"/>
        </w:rPr>
        <w:t xml:space="preserve">a central authority </w:t>
      </w:r>
      <w:r w:rsidR="00A25A35">
        <w:rPr>
          <w:rFonts w:ascii="Garamond" w:hAnsi="Garamond" w:cstheme="minorHAnsi"/>
          <w:sz w:val="24"/>
          <w:szCs w:val="24"/>
        </w:rPr>
        <w:t xml:space="preserve">rested on the degree to which legislation conformed with natural law. </w:t>
      </w:r>
      <w:r w:rsidRPr="00461D74">
        <w:rPr>
          <w:rFonts w:ascii="Garamond" w:hAnsi="Garamond" w:cstheme="minorHAnsi"/>
          <w:sz w:val="24"/>
          <w:szCs w:val="24"/>
        </w:rPr>
        <w:t xml:space="preserve">And in regards to the types of legislation that could </w:t>
      </w:r>
      <w:r w:rsidR="00896489" w:rsidRPr="00461D74">
        <w:rPr>
          <w:rFonts w:ascii="Garamond" w:hAnsi="Garamond" w:cstheme="minorHAnsi"/>
          <w:sz w:val="24"/>
          <w:szCs w:val="24"/>
        </w:rPr>
        <w:t xml:space="preserve">subordinate </w:t>
      </w:r>
      <w:r w:rsidRPr="00461D74">
        <w:rPr>
          <w:rFonts w:ascii="Garamond" w:hAnsi="Garamond" w:cstheme="minorHAnsi"/>
          <w:sz w:val="24"/>
          <w:szCs w:val="24"/>
        </w:rPr>
        <w:t>customs and conventions practiced at the level of local communities, the bar for legitimacy was even higher. This is because custom itself has “</w:t>
      </w:r>
      <w:r w:rsidRPr="00461D74">
        <w:rPr>
          <w:rFonts w:ascii="Garamond" w:hAnsi="Garamond" w:cstheme="minorHAnsi"/>
          <w:color w:val="000000"/>
          <w:sz w:val="24"/>
          <w:szCs w:val="24"/>
        </w:rPr>
        <w:t>the force of law, abolishes law, and is the interpreter of law</w:t>
      </w:r>
      <w:r w:rsidR="00A25A35">
        <w:rPr>
          <w:rFonts w:ascii="Garamond" w:hAnsi="Garamond" w:cstheme="minorHAnsi"/>
          <w:color w:val="000000"/>
          <w:sz w:val="24"/>
          <w:szCs w:val="24"/>
        </w:rPr>
        <w:t>.</w:t>
      </w:r>
      <w:r w:rsidRPr="00461D74">
        <w:rPr>
          <w:rFonts w:ascii="Garamond" w:hAnsi="Garamond" w:cstheme="minorHAnsi"/>
          <w:color w:val="000000"/>
          <w:sz w:val="24"/>
          <w:szCs w:val="24"/>
        </w:rPr>
        <w:t>”</w:t>
      </w:r>
      <w:r w:rsidRPr="00461D74">
        <w:rPr>
          <w:rStyle w:val="FootnoteReference"/>
          <w:rFonts w:ascii="Garamond" w:hAnsi="Garamond" w:cstheme="minorHAnsi"/>
          <w:sz w:val="24"/>
          <w:szCs w:val="24"/>
        </w:rPr>
        <w:footnoteReference w:id="379"/>
      </w:r>
      <w:r w:rsidRPr="00461D74">
        <w:rPr>
          <w:rFonts w:ascii="Garamond" w:hAnsi="Garamond" w:cstheme="minorHAnsi"/>
          <w:sz w:val="24"/>
          <w:szCs w:val="24"/>
        </w:rPr>
        <w:t xml:space="preserve"> Only in narrow and exceptional cases could </w:t>
      </w:r>
      <w:r w:rsidR="00896489" w:rsidRPr="00461D74">
        <w:rPr>
          <w:rFonts w:ascii="Garamond" w:hAnsi="Garamond" w:cstheme="minorHAnsi"/>
          <w:sz w:val="24"/>
          <w:szCs w:val="24"/>
        </w:rPr>
        <w:t xml:space="preserve">the exercise of power </w:t>
      </w:r>
      <w:r w:rsidRPr="00461D74">
        <w:rPr>
          <w:rFonts w:ascii="Garamond" w:hAnsi="Garamond" w:cstheme="minorHAnsi"/>
          <w:sz w:val="24"/>
          <w:szCs w:val="24"/>
        </w:rPr>
        <w:t>by the central authority subordinate local customs and practices. On MacIntyre’s view, Aquinas</w:t>
      </w:r>
      <w:r w:rsidR="00EB401A" w:rsidRPr="00461D74">
        <w:rPr>
          <w:rFonts w:ascii="Garamond" w:hAnsi="Garamond" w:cstheme="minorHAnsi"/>
          <w:sz w:val="24"/>
          <w:szCs w:val="24"/>
        </w:rPr>
        <w:t>’</w:t>
      </w:r>
      <w:r w:rsidRPr="00461D74">
        <w:rPr>
          <w:rFonts w:ascii="Garamond" w:hAnsi="Garamond" w:cstheme="minorHAnsi"/>
          <w:sz w:val="24"/>
          <w:szCs w:val="24"/>
        </w:rPr>
        <w:t xml:space="preserve"> defence of local customs and practices sees them as serving an important function in </w:t>
      </w:r>
      <w:r w:rsidR="000C0407">
        <w:rPr>
          <w:rFonts w:ascii="Garamond" w:hAnsi="Garamond" w:cstheme="minorHAnsi"/>
          <w:sz w:val="24"/>
          <w:szCs w:val="24"/>
        </w:rPr>
        <w:t>engendering</w:t>
      </w:r>
      <w:r w:rsidRPr="00461D74">
        <w:rPr>
          <w:rFonts w:ascii="Garamond" w:hAnsi="Garamond" w:cstheme="minorHAnsi"/>
          <w:sz w:val="24"/>
          <w:szCs w:val="24"/>
        </w:rPr>
        <w:t xml:space="preserve"> a shared life of practices in those communities.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Thus, if we are to defend practices in local communities in ways that enable those communities to sustain the internal goods of their practices and hence achieve the virtues, we would </w:t>
      </w:r>
      <w:r w:rsidR="00514098">
        <w:rPr>
          <w:rFonts w:ascii="Garamond" w:hAnsi="Garamond" w:cstheme="minorHAnsi"/>
          <w:sz w:val="24"/>
          <w:szCs w:val="24"/>
        </w:rPr>
        <w:t>have</w:t>
      </w:r>
      <w:r w:rsidR="00514098" w:rsidRPr="00461D74">
        <w:rPr>
          <w:rFonts w:ascii="Garamond" w:hAnsi="Garamond" w:cstheme="minorHAnsi"/>
          <w:sz w:val="24"/>
          <w:szCs w:val="24"/>
        </w:rPr>
        <w:t xml:space="preserve"> </w:t>
      </w:r>
      <w:r w:rsidRPr="00461D74">
        <w:rPr>
          <w:rFonts w:ascii="Garamond" w:hAnsi="Garamond" w:cstheme="minorHAnsi"/>
          <w:sz w:val="24"/>
          <w:szCs w:val="24"/>
        </w:rPr>
        <w:t xml:space="preserve">to demarcate the boundaries between </w:t>
      </w:r>
      <w:r w:rsidR="00514098">
        <w:rPr>
          <w:rFonts w:ascii="Garamond" w:hAnsi="Garamond" w:cstheme="minorHAnsi"/>
          <w:sz w:val="24"/>
          <w:szCs w:val="24"/>
        </w:rPr>
        <w:lastRenderedPageBreak/>
        <w:t>local</w:t>
      </w:r>
      <w:r w:rsidR="00514098" w:rsidRPr="00461D74">
        <w:rPr>
          <w:rFonts w:ascii="Garamond" w:hAnsi="Garamond" w:cstheme="minorHAnsi"/>
          <w:sz w:val="24"/>
          <w:szCs w:val="24"/>
        </w:rPr>
        <w:t xml:space="preserve"> </w:t>
      </w:r>
      <w:r w:rsidRPr="00461D74">
        <w:rPr>
          <w:rFonts w:ascii="Garamond" w:hAnsi="Garamond" w:cstheme="minorHAnsi"/>
          <w:sz w:val="24"/>
          <w:szCs w:val="24"/>
        </w:rPr>
        <w:t xml:space="preserve">communities and the liberal state. So at this point it appears that we can answer an important question: does Thomistic </w:t>
      </w:r>
      <w:proofErr w:type="spellStart"/>
      <w:r w:rsidRPr="00461D74">
        <w:rPr>
          <w:rFonts w:ascii="Garamond" w:hAnsi="Garamond" w:cstheme="minorHAnsi"/>
          <w:sz w:val="24"/>
          <w:szCs w:val="24"/>
        </w:rPr>
        <w:t>Aristotelianism</w:t>
      </w:r>
      <w:proofErr w:type="spellEnd"/>
      <w:r w:rsidRPr="00461D74">
        <w:rPr>
          <w:rFonts w:ascii="Garamond" w:hAnsi="Garamond" w:cstheme="minorHAnsi"/>
          <w:sz w:val="24"/>
          <w:szCs w:val="24"/>
        </w:rPr>
        <w:t xml:space="preserve"> have the political resources to defend MacIntyre’s local politics of the common good against the liberal state? Having briefly reviewed some elements of the sort of politics available to that tradition, it appears that we might have a tentative positive answer to </w:t>
      </w:r>
      <w:r w:rsidR="00934E69">
        <w:rPr>
          <w:rFonts w:ascii="Garamond" w:hAnsi="Garamond" w:cstheme="minorHAnsi"/>
          <w:sz w:val="24"/>
          <w:szCs w:val="24"/>
        </w:rPr>
        <w:t>this</w:t>
      </w:r>
      <w:r w:rsidR="00934E69" w:rsidRPr="00461D74">
        <w:rPr>
          <w:rFonts w:ascii="Garamond" w:hAnsi="Garamond" w:cstheme="minorHAnsi"/>
          <w:sz w:val="24"/>
          <w:szCs w:val="24"/>
        </w:rPr>
        <w:t xml:space="preserve"> </w:t>
      </w:r>
      <w:r w:rsidRPr="00461D74">
        <w:rPr>
          <w:rFonts w:ascii="Garamond" w:hAnsi="Garamond" w:cstheme="minorHAnsi"/>
          <w:sz w:val="24"/>
          <w:szCs w:val="24"/>
        </w:rPr>
        <w:t xml:space="preserve">question. I will now turn to see how the different elements in Thomistic-Aristotelian political philosophy </w:t>
      </w:r>
      <w:r w:rsidR="00EB401A" w:rsidRPr="00461D74">
        <w:rPr>
          <w:rFonts w:ascii="Garamond" w:hAnsi="Garamond" w:cstheme="minorHAnsi"/>
          <w:sz w:val="24"/>
          <w:szCs w:val="24"/>
        </w:rPr>
        <w:t>are</w:t>
      </w:r>
      <w:r w:rsidRPr="00461D74">
        <w:rPr>
          <w:rFonts w:ascii="Garamond" w:hAnsi="Garamond" w:cstheme="minorHAnsi"/>
          <w:sz w:val="24"/>
          <w:szCs w:val="24"/>
        </w:rPr>
        <w:t xml:space="preserve"> relevant in framing a kind of politics that can </w:t>
      </w:r>
      <w:r w:rsidR="00882786" w:rsidRPr="00461D74">
        <w:rPr>
          <w:rFonts w:ascii="Garamond" w:hAnsi="Garamond" w:cstheme="minorHAnsi"/>
          <w:sz w:val="24"/>
          <w:szCs w:val="24"/>
        </w:rPr>
        <w:t xml:space="preserve">potentially </w:t>
      </w:r>
      <w:r w:rsidRPr="00461D74">
        <w:rPr>
          <w:rFonts w:ascii="Garamond" w:hAnsi="Garamond" w:cstheme="minorHAnsi"/>
          <w:sz w:val="24"/>
          <w:szCs w:val="24"/>
        </w:rPr>
        <w:t>defend MacIntyre’s local politics of the common good.</w:t>
      </w:r>
    </w:p>
    <w:p w:rsidR="00665157" w:rsidRDefault="00665157">
      <w:pPr>
        <w:spacing w:line="360" w:lineRule="auto"/>
        <w:ind w:firstLine="720"/>
        <w:jc w:val="both"/>
        <w:rPr>
          <w:rFonts w:asciiTheme="majorHAnsi" w:hAnsiTheme="majorHAnsi" w:cstheme="majorHAnsi"/>
          <w:sz w:val="24"/>
          <w:szCs w:val="24"/>
        </w:rPr>
      </w:pPr>
    </w:p>
    <w:p w:rsidR="00665157" w:rsidRDefault="007B7FD8">
      <w:pPr>
        <w:pStyle w:val="Heading3"/>
        <w:spacing w:line="360" w:lineRule="auto"/>
        <w:jc w:val="both"/>
        <w:rPr>
          <w:rFonts w:cstheme="majorHAnsi"/>
        </w:rPr>
      </w:pPr>
      <w:bookmarkStart w:id="54" w:name="_Toc528077831"/>
      <w:r w:rsidRPr="00F03436">
        <w:rPr>
          <w:rFonts w:cstheme="majorHAnsi"/>
        </w:rPr>
        <w:t>3.2 Legislation and S</w:t>
      </w:r>
      <w:r w:rsidR="00016049" w:rsidRPr="00F03436">
        <w:rPr>
          <w:rFonts w:cstheme="majorHAnsi"/>
        </w:rPr>
        <w:t>overeignty</w:t>
      </w:r>
      <w:bookmarkEnd w:id="54"/>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At first glance, it appears that Aquinas’ natural law precepts </w:t>
      </w:r>
      <w:r w:rsidR="00381512">
        <w:rPr>
          <w:rFonts w:ascii="Garamond" w:hAnsi="Garamond" w:cstheme="minorHAnsi"/>
          <w:sz w:val="24"/>
          <w:szCs w:val="24"/>
        </w:rPr>
        <w:t>afford</w:t>
      </w:r>
      <w:r w:rsidR="00381512" w:rsidRPr="00461D74">
        <w:rPr>
          <w:rFonts w:ascii="Garamond" w:hAnsi="Garamond" w:cstheme="minorHAnsi"/>
          <w:sz w:val="24"/>
          <w:szCs w:val="24"/>
        </w:rPr>
        <w:t xml:space="preserve"> </w:t>
      </w:r>
      <w:r w:rsidRPr="00461D74">
        <w:rPr>
          <w:rFonts w:ascii="Garamond" w:hAnsi="Garamond" w:cstheme="minorHAnsi"/>
          <w:sz w:val="24"/>
          <w:szCs w:val="24"/>
        </w:rPr>
        <w:t xml:space="preserve">us the resources to develop a framework to discuss issues surrounding legislation, self-determination, and legal boundaries between different layers of authority. Recall that on MacIntyre’s account, local communities are political because they are involved in </w:t>
      </w:r>
      <w:r w:rsidR="00EB401A" w:rsidRPr="00461D74">
        <w:rPr>
          <w:rFonts w:ascii="Garamond" w:hAnsi="Garamond" w:cstheme="minorHAnsi"/>
          <w:sz w:val="24"/>
          <w:szCs w:val="24"/>
        </w:rPr>
        <w:t xml:space="preserve">the </w:t>
      </w:r>
      <w:r w:rsidRPr="00461D74">
        <w:rPr>
          <w:rFonts w:ascii="Garamond" w:hAnsi="Garamond" w:cstheme="minorHAnsi"/>
          <w:sz w:val="24"/>
          <w:szCs w:val="24"/>
        </w:rPr>
        <w:t xml:space="preserve">ranking of various practices and communal pursuit of goods internal to the practices. Thus it </w:t>
      </w:r>
      <w:r w:rsidR="00381512">
        <w:rPr>
          <w:rFonts w:ascii="Garamond" w:hAnsi="Garamond" w:cstheme="minorHAnsi"/>
          <w:sz w:val="24"/>
          <w:szCs w:val="24"/>
        </w:rPr>
        <w:t>seems</w:t>
      </w:r>
      <w:r w:rsidR="00381512" w:rsidRPr="00461D74">
        <w:rPr>
          <w:rFonts w:ascii="Garamond" w:hAnsi="Garamond" w:cstheme="minorHAnsi"/>
          <w:sz w:val="24"/>
          <w:szCs w:val="24"/>
        </w:rPr>
        <w:t xml:space="preserve"> </w:t>
      </w:r>
      <w:r w:rsidRPr="00461D74">
        <w:rPr>
          <w:rFonts w:ascii="Garamond" w:hAnsi="Garamond" w:cstheme="minorHAnsi"/>
          <w:sz w:val="24"/>
          <w:szCs w:val="24"/>
        </w:rPr>
        <w:t xml:space="preserve">plausible that in order for communities to protect their way of life and order the various goods </w:t>
      </w:r>
      <w:r w:rsidR="00381512">
        <w:rPr>
          <w:rFonts w:ascii="Garamond" w:hAnsi="Garamond" w:cstheme="minorHAnsi"/>
          <w:sz w:val="24"/>
          <w:szCs w:val="24"/>
        </w:rPr>
        <w:t>derived from social</w:t>
      </w:r>
      <w:r w:rsidR="00381512" w:rsidRPr="00461D74">
        <w:rPr>
          <w:rFonts w:ascii="Garamond" w:hAnsi="Garamond" w:cstheme="minorHAnsi"/>
          <w:sz w:val="24"/>
          <w:szCs w:val="24"/>
        </w:rPr>
        <w:t xml:space="preserve"> </w:t>
      </w:r>
      <w:r w:rsidRPr="00461D74">
        <w:rPr>
          <w:rFonts w:ascii="Garamond" w:hAnsi="Garamond" w:cstheme="minorHAnsi"/>
          <w:sz w:val="24"/>
          <w:szCs w:val="24"/>
        </w:rPr>
        <w:t xml:space="preserve">practices in </w:t>
      </w:r>
      <w:r w:rsidR="00E32AEA">
        <w:rPr>
          <w:rFonts w:ascii="Garamond" w:hAnsi="Garamond" w:cstheme="minorHAnsi"/>
          <w:sz w:val="24"/>
          <w:szCs w:val="24"/>
        </w:rPr>
        <w:t xml:space="preserve">appropriate </w:t>
      </w:r>
      <w:r w:rsidRPr="00461D74">
        <w:rPr>
          <w:rFonts w:ascii="Garamond" w:hAnsi="Garamond" w:cstheme="minorHAnsi"/>
          <w:sz w:val="24"/>
          <w:szCs w:val="24"/>
        </w:rPr>
        <w:t xml:space="preserve">ways, political resources </w:t>
      </w:r>
      <w:r w:rsidR="00E32AEA">
        <w:rPr>
          <w:rFonts w:ascii="Garamond" w:hAnsi="Garamond" w:cstheme="minorHAnsi"/>
          <w:sz w:val="24"/>
          <w:szCs w:val="24"/>
        </w:rPr>
        <w:t>afforded in the Thomistic account</w:t>
      </w:r>
      <w:r w:rsidR="00B341D6">
        <w:rPr>
          <w:rFonts w:ascii="Garamond" w:hAnsi="Garamond" w:cstheme="minorHAnsi"/>
          <w:sz w:val="24"/>
          <w:szCs w:val="24"/>
        </w:rPr>
        <w:t xml:space="preserve"> are</w:t>
      </w:r>
      <w:r w:rsidR="00B341D6" w:rsidRPr="00461D74">
        <w:rPr>
          <w:rFonts w:ascii="Garamond" w:hAnsi="Garamond" w:cstheme="minorHAnsi"/>
          <w:sz w:val="24"/>
          <w:szCs w:val="24"/>
        </w:rPr>
        <w:t xml:space="preserve"> </w:t>
      </w:r>
      <w:r w:rsidR="00B341D6">
        <w:rPr>
          <w:rFonts w:ascii="Garamond" w:hAnsi="Garamond" w:cstheme="minorHAnsi"/>
          <w:sz w:val="24"/>
          <w:szCs w:val="24"/>
        </w:rPr>
        <w:t>especially pertinent to our discussion</w:t>
      </w:r>
      <w:r w:rsidR="00E32AEA">
        <w:rPr>
          <w:rFonts w:ascii="Garamond" w:hAnsi="Garamond" w:cstheme="minorHAnsi"/>
          <w:sz w:val="24"/>
          <w:szCs w:val="24"/>
        </w:rPr>
        <w:t xml:space="preserve">, </w:t>
      </w:r>
      <w:r w:rsidR="00B341D6">
        <w:rPr>
          <w:rFonts w:ascii="Garamond" w:hAnsi="Garamond" w:cstheme="minorHAnsi"/>
          <w:sz w:val="24"/>
          <w:szCs w:val="24"/>
        </w:rPr>
        <w:t>as they</w:t>
      </w:r>
      <w:r w:rsidRPr="00461D74">
        <w:rPr>
          <w:rFonts w:ascii="Garamond" w:hAnsi="Garamond" w:cstheme="minorHAnsi"/>
          <w:sz w:val="24"/>
          <w:szCs w:val="24"/>
        </w:rPr>
        <w:t xml:space="preserve"> deal with the problem of the boundary between local communities and the state</w:t>
      </w:r>
      <w:r w:rsidR="00F80CED">
        <w:rPr>
          <w:rFonts w:ascii="Garamond" w:hAnsi="Garamond" w:cstheme="minorHAnsi"/>
          <w:sz w:val="24"/>
          <w:szCs w:val="24"/>
        </w:rPr>
        <w:t>.</w:t>
      </w:r>
      <w:r w:rsidRPr="00461D74">
        <w:rPr>
          <w:rFonts w:ascii="Garamond" w:hAnsi="Garamond" w:cstheme="minorHAnsi"/>
          <w:sz w:val="24"/>
          <w:szCs w:val="24"/>
        </w:rPr>
        <w:t xml:space="preserve"> It then appears that in their efforts to develop a shared conception of the good, a community must be committed to the issues raised by self-determination. This means that sovereignty and self-determination are central </w:t>
      </w:r>
      <w:r w:rsidR="0048589D" w:rsidRPr="00461D74">
        <w:rPr>
          <w:rFonts w:ascii="Garamond" w:hAnsi="Garamond" w:cstheme="minorHAnsi"/>
          <w:sz w:val="24"/>
          <w:szCs w:val="24"/>
        </w:rPr>
        <w:t xml:space="preserve">questions that ought to be carefully considered in a Thomistic </w:t>
      </w:r>
      <w:r w:rsidR="00E32AEA">
        <w:rPr>
          <w:rFonts w:ascii="Garamond" w:hAnsi="Garamond" w:cstheme="minorHAnsi"/>
          <w:sz w:val="24"/>
          <w:szCs w:val="24"/>
        </w:rPr>
        <w:t xml:space="preserve">account of </w:t>
      </w:r>
      <w:r w:rsidR="0048589D" w:rsidRPr="00461D74">
        <w:rPr>
          <w:rFonts w:ascii="Garamond" w:hAnsi="Garamond" w:cstheme="minorHAnsi"/>
          <w:sz w:val="24"/>
          <w:szCs w:val="24"/>
        </w:rPr>
        <w:t xml:space="preserve">politics; </w:t>
      </w:r>
      <w:r w:rsidR="00EC7AD2">
        <w:rPr>
          <w:rFonts w:ascii="Garamond" w:hAnsi="Garamond" w:cstheme="minorHAnsi"/>
          <w:sz w:val="24"/>
          <w:szCs w:val="24"/>
        </w:rPr>
        <w:t xml:space="preserve">and </w:t>
      </w:r>
      <w:r w:rsidR="0048589D" w:rsidRPr="00461D74">
        <w:rPr>
          <w:rFonts w:ascii="Garamond" w:hAnsi="Garamond" w:cstheme="minorHAnsi"/>
          <w:sz w:val="24"/>
          <w:szCs w:val="24"/>
        </w:rPr>
        <w:t>this in turn</w:t>
      </w:r>
      <w:r w:rsidR="00EC7AD2">
        <w:rPr>
          <w:rFonts w:ascii="Garamond" w:hAnsi="Garamond" w:cstheme="minorHAnsi"/>
          <w:sz w:val="24"/>
          <w:szCs w:val="24"/>
        </w:rPr>
        <w:t>,</w:t>
      </w:r>
      <w:r w:rsidR="0048589D" w:rsidRPr="00461D74">
        <w:rPr>
          <w:rFonts w:ascii="Garamond" w:hAnsi="Garamond" w:cstheme="minorHAnsi"/>
          <w:sz w:val="24"/>
          <w:szCs w:val="24"/>
        </w:rPr>
        <w:t xml:space="preserve"> would help</w:t>
      </w:r>
      <w:r w:rsidRPr="00461D74">
        <w:rPr>
          <w:rFonts w:ascii="Garamond" w:hAnsi="Garamond" w:cstheme="minorHAnsi"/>
          <w:sz w:val="24"/>
          <w:szCs w:val="24"/>
        </w:rPr>
        <w:t xml:space="preserve"> local communities </w:t>
      </w:r>
      <w:r w:rsidR="0068161B" w:rsidRPr="00461D74">
        <w:rPr>
          <w:rFonts w:ascii="Garamond" w:hAnsi="Garamond" w:cstheme="minorHAnsi"/>
          <w:sz w:val="24"/>
          <w:szCs w:val="24"/>
        </w:rPr>
        <w:t>engender</w:t>
      </w:r>
      <w:r w:rsidR="0048589D" w:rsidRPr="00461D74">
        <w:rPr>
          <w:rFonts w:ascii="Garamond" w:hAnsi="Garamond" w:cstheme="minorHAnsi"/>
          <w:sz w:val="24"/>
          <w:szCs w:val="24"/>
        </w:rPr>
        <w:t xml:space="preserve"> </w:t>
      </w:r>
      <w:r w:rsidR="0068161B" w:rsidRPr="00461D74">
        <w:rPr>
          <w:rFonts w:ascii="Garamond" w:hAnsi="Garamond" w:cstheme="minorHAnsi"/>
          <w:sz w:val="24"/>
          <w:szCs w:val="24"/>
        </w:rPr>
        <w:t>and sustain</w:t>
      </w:r>
      <w:r w:rsidRPr="00461D74">
        <w:rPr>
          <w:rFonts w:ascii="Garamond" w:hAnsi="Garamond" w:cstheme="minorHAnsi"/>
          <w:sz w:val="24"/>
          <w:szCs w:val="24"/>
        </w:rPr>
        <w:t xml:space="preserve"> </w:t>
      </w:r>
      <w:r w:rsidR="0068161B" w:rsidRPr="00461D74">
        <w:rPr>
          <w:rFonts w:ascii="Garamond" w:hAnsi="Garamond" w:cstheme="minorHAnsi"/>
          <w:sz w:val="24"/>
          <w:szCs w:val="24"/>
        </w:rPr>
        <w:t xml:space="preserve">a </w:t>
      </w:r>
      <w:r w:rsidRPr="00461D74">
        <w:rPr>
          <w:rFonts w:ascii="Garamond" w:hAnsi="Garamond" w:cstheme="minorHAnsi"/>
          <w:sz w:val="24"/>
          <w:szCs w:val="24"/>
        </w:rPr>
        <w:t>politics of the common good</w:t>
      </w:r>
      <w:r w:rsidR="0048589D" w:rsidRPr="00461D74">
        <w:rPr>
          <w:rFonts w:ascii="Garamond" w:hAnsi="Garamond" w:cstheme="minorHAnsi"/>
          <w:sz w:val="24"/>
          <w:szCs w:val="24"/>
        </w:rPr>
        <w:t>, free from the sort of malign interference that MacIntyre has identified</w:t>
      </w:r>
      <w:r w:rsidRPr="00461D74">
        <w:rPr>
          <w:rFonts w:ascii="Garamond" w:hAnsi="Garamond" w:cstheme="minorHAnsi"/>
          <w:sz w:val="24"/>
          <w:szCs w:val="24"/>
        </w:rPr>
        <w:t>.</w:t>
      </w:r>
    </w:p>
    <w:p w:rsidR="00665157" w:rsidRDefault="00016049" w:rsidP="00DE51A8">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The important question with respect to sovereignty is: how are we to settle the relationship between local communities and the national government, and how </w:t>
      </w:r>
      <w:r w:rsidR="00EB401A" w:rsidRPr="00461D74">
        <w:rPr>
          <w:rFonts w:ascii="Garamond" w:hAnsi="Garamond" w:cstheme="minorHAnsi"/>
          <w:sz w:val="24"/>
          <w:szCs w:val="24"/>
        </w:rPr>
        <w:t xml:space="preserve">should </w:t>
      </w:r>
      <w:r w:rsidR="0048589D" w:rsidRPr="00461D74">
        <w:rPr>
          <w:rFonts w:ascii="Garamond" w:hAnsi="Garamond" w:cstheme="minorHAnsi"/>
          <w:sz w:val="24"/>
          <w:szCs w:val="24"/>
        </w:rPr>
        <w:t xml:space="preserve">the exercise of </w:t>
      </w:r>
      <w:r w:rsidRPr="00461D74">
        <w:rPr>
          <w:rFonts w:ascii="Garamond" w:hAnsi="Garamond" w:cstheme="minorHAnsi"/>
          <w:sz w:val="24"/>
          <w:szCs w:val="24"/>
        </w:rPr>
        <w:t>various prerogatives</w:t>
      </w:r>
      <w:r w:rsidR="00EB401A" w:rsidRPr="00461D74">
        <w:rPr>
          <w:rFonts w:ascii="Garamond" w:hAnsi="Garamond" w:cstheme="minorHAnsi"/>
          <w:sz w:val="24"/>
          <w:szCs w:val="24"/>
        </w:rPr>
        <w:t xml:space="preserve"> </w:t>
      </w:r>
      <w:r w:rsidR="0048589D" w:rsidRPr="00461D74">
        <w:rPr>
          <w:rFonts w:ascii="Garamond" w:hAnsi="Garamond" w:cstheme="minorHAnsi"/>
          <w:sz w:val="24"/>
          <w:szCs w:val="24"/>
        </w:rPr>
        <w:t xml:space="preserve">best </w:t>
      </w:r>
      <w:r w:rsidR="00EB401A" w:rsidRPr="00461D74">
        <w:rPr>
          <w:rFonts w:ascii="Garamond" w:hAnsi="Garamond" w:cstheme="minorHAnsi"/>
          <w:sz w:val="24"/>
          <w:szCs w:val="24"/>
        </w:rPr>
        <w:t xml:space="preserve">be </w:t>
      </w:r>
      <w:r w:rsidRPr="00461D74">
        <w:rPr>
          <w:rFonts w:ascii="Garamond" w:hAnsi="Garamond" w:cstheme="minorHAnsi"/>
          <w:sz w:val="24"/>
          <w:szCs w:val="24"/>
        </w:rPr>
        <w:t xml:space="preserve">delineated between different levels of government? If local communities are to practice MacIntyre’s politics of the common good, they </w:t>
      </w:r>
      <w:r w:rsidR="000635F0">
        <w:rPr>
          <w:rFonts w:ascii="Garamond" w:hAnsi="Garamond" w:cstheme="minorHAnsi"/>
          <w:sz w:val="24"/>
          <w:szCs w:val="24"/>
        </w:rPr>
        <w:t>ought</w:t>
      </w:r>
      <w:r w:rsidR="000635F0" w:rsidRPr="00461D74">
        <w:rPr>
          <w:rFonts w:ascii="Garamond" w:hAnsi="Garamond" w:cstheme="minorHAnsi"/>
          <w:sz w:val="24"/>
          <w:szCs w:val="24"/>
        </w:rPr>
        <w:t xml:space="preserve"> </w:t>
      </w:r>
      <w:r w:rsidRPr="00461D74">
        <w:rPr>
          <w:rFonts w:ascii="Garamond" w:hAnsi="Garamond" w:cstheme="minorHAnsi"/>
          <w:sz w:val="24"/>
          <w:szCs w:val="24"/>
        </w:rPr>
        <w:t xml:space="preserve">to be capable of developing legislative </w:t>
      </w:r>
      <w:r w:rsidR="00654E4E" w:rsidRPr="00461D74">
        <w:rPr>
          <w:rFonts w:ascii="Garamond" w:hAnsi="Garamond" w:cstheme="minorHAnsi"/>
          <w:sz w:val="24"/>
          <w:szCs w:val="24"/>
        </w:rPr>
        <w:t xml:space="preserve">processes and </w:t>
      </w:r>
      <w:r w:rsidRPr="00461D74">
        <w:rPr>
          <w:rFonts w:ascii="Garamond" w:hAnsi="Garamond" w:cstheme="minorHAnsi"/>
          <w:sz w:val="24"/>
          <w:szCs w:val="24"/>
        </w:rPr>
        <w:t>procedures</w:t>
      </w:r>
      <w:r w:rsidR="000635F0">
        <w:rPr>
          <w:rFonts w:ascii="Garamond" w:hAnsi="Garamond" w:cstheme="minorHAnsi"/>
          <w:sz w:val="24"/>
          <w:szCs w:val="24"/>
        </w:rPr>
        <w:t xml:space="preserve"> to protect their interests</w:t>
      </w:r>
      <w:r w:rsidRPr="00461D74">
        <w:rPr>
          <w:rFonts w:ascii="Garamond" w:hAnsi="Garamond" w:cstheme="minorHAnsi"/>
          <w:sz w:val="24"/>
          <w:szCs w:val="24"/>
        </w:rPr>
        <w:t xml:space="preserve">. </w:t>
      </w:r>
      <w:r w:rsidR="00654E4E" w:rsidRPr="00461D74">
        <w:rPr>
          <w:rFonts w:ascii="Garamond" w:hAnsi="Garamond" w:cstheme="minorHAnsi"/>
          <w:sz w:val="24"/>
          <w:szCs w:val="24"/>
        </w:rPr>
        <w:t xml:space="preserve">Therefore, </w:t>
      </w:r>
      <w:r w:rsidRPr="00461D74">
        <w:rPr>
          <w:rFonts w:ascii="Garamond" w:hAnsi="Garamond" w:cstheme="minorHAnsi"/>
          <w:sz w:val="24"/>
          <w:szCs w:val="24"/>
        </w:rPr>
        <w:t xml:space="preserve">constitutional issues </w:t>
      </w:r>
      <w:r w:rsidR="00654E4E" w:rsidRPr="00461D74">
        <w:rPr>
          <w:rFonts w:ascii="Garamond" w:hAnsi="Garamond" w:cstheme="minorHAnsi"/>
          <w:sz w:val="24"/>
          <w:szCs w:val="24"/>
        </w:rPr>
        <w:t xml:space="preserve">dealing with </w:t>
      </w:r>
      <w:r w:rsidRPr="00461D74">
        <w:rPr>
          <w:rFonts w:ascii="Garamond" w:hAnsi="Garamond" w:cstheme="minorHAnsi"/>
          <w:sz w:val="24"/>
          <w:szCs w:val="24"/>
        </w:rPr>
        <w:t xml:space="preserve">the nature of the relationship between local communities and the state have to be settled. Without resolving these important difficulties, it is hard to see how a political community understood in Aristotelian-Thomist terms can be conceived, let alone constituted in practical terms. </w:t>
      </w:r>
      <w:r w:rsidR="000635F0" w:rsidRPr="00461D74">
        <w:rPr>
          <w:rFonts w:ascii="Garamond" w:hAnsi="Garamond" w:cstheme="minorHAnsi"/>
          <w:sz w:val="24"/>
          <w:szCs w:val="24"/>
        </w:rPr>
        <w:t xml:space="preserve">Recall that MacIntyre’s </w:t>
      </w:r>
      <w:r w:rsidR="00DE51A8">
        <w:rPr>
          <w:rFonts w:ascii="Garamond" w:hAnsi="Garamond" w:cstheme="minorHAnsi"/>
          <w:sz w:val="24"/>
          <w:szCs w:val="24"/>
        </w:rPr>
        <w:t xml:space="preserve">local communities, </w:t>
      </w:r>
      <w:r w:rsidR="000635F0">
        <w:rPr>
          <w:rFonts w:ascii="Garamond" w:hAnsi="Garamond" w:cstheme="minorHAnsi"/>
          <w:sz w:val="24"/>
          <w:szCs w:val="24"/>
        </w:rPr>
        <w:t xml:space="preserve">centered </w:t>
      </w:r>
      <w:r w:rsidR="00DE51A8">
        <w:rPr>
          <w:rFonts w:ascii="Garamond" w:hAnsi="Garamond" w:cstheme="minorHAnsi"/>
          <w:sz w:val="24"/>
          <w:szCs w:val="24"/>
        </w:rPr>
        <w:t>about</w:t>
      </w:r>
      <w:r w:rsidR="000635F0">
        <w:rPr>
          <w:rFonts w:ascii="Garamond" w:hAnsi="Garamond" w:cstheme="minorHAnsi"/>
          <w:sz w:val="24"/>
          <w:szCs w:val="24"/>
        </w:rPr>
        <w:t xml:space="preserve"> small-scale </w:t>
      </w:r>
      <w:r w:rsidR="00DE51A8">
        <w:rPr>
          <w:rFonts w:ascii="Garamond" w:hAnsi="Garamond" w:cstheme="minorHAnsi"/>
          <w:sz w:val="24"/>
          <w:szCs w:val="24"/>
        </w:rPr>
        <w:t>social and political life</w:t>
      </w:r>
      <w:r w:rsidR="000635F0">
        <w:rPr>
          <w:rFonts w:ascii="Garamond" w:hAnsi="Garamond" w:cstheme="minorHAnsi"/>
          <w:sz w:val="24"/>
          <w:szCs w:val="24"/>
        </w:rPr>
        <w:t xml:space="preserve"> </w:t>
      </w:r>
      <w:r w:rsidR="00DE51A8">
        <w:rPr>
          <w:rFonts w:ascii="Garamond" w:hAnsi="Garamond" w:cstheme="minorHAnsi"/>
          <w:sz w:val="24"/>
          <w:szCs w:val="24"/>
        </w:rPr>
        <w:t xml:space="preserve">because </w:t>
      </w:r>
      <w:r w:rsidR="00467A00">
        <w:rPr>
          <w:rFonts w:ascii="Garamond" w:hAnsi="Garamond" w:cstheme="minorHAnsi"/>
          <w:sz w:val="24"/>
          <w:szCs w:val="24"/>
        </w:rPr>
        <w:t xml:space="preserve">they rely </w:t>
      </w:r>
      <w:r w:rsidR="00DE51A8">
        <w:rPr>
          <w:rFonts w:ascii="Garamond" w:hAnsi="Garamond" w:cstheme="minorHAnsi"/>
          <w:sz w:val="24"/>
          <w:szCs w:val="24"/>
        </w:rPr>
        <w:t xml:space="preserve">on certain important goods acquired from large-scale political structures, </w:t>
      </w:r>
      <w:r w:rsidR="00B341D6">
        <w:rPr>
          <w:rFonts w:ascii="Garamond" w:hAnsi="Garamond" w:cstheme="minorHAnsi"/>
          <w:sz w:val="24"/>
          <w:szCs w:val="24"/>
        </w:rPr>
        <w:t>are</w:t>
      </w:r>
      <w:r w:rsidR="00DE51A8">
        <w:rPr>
          <w:rFonts w:ascii="Garamond" w:hAnsi="Garamond" w:cstheme="minorHAnsi"/>
          <w:sz w:val="24"/>
          <w:szCs w:val="24"/>
        </w:rPr>
        <w:t xml:space="preserve"> vulnerable to their influence; therefore, as far as it is possible, local communities ought to maintain a degree of independence from such influence</w:t>
      </w:r>
      <w:r w:rsidR="006D577C">
        <w:rPr>
          <w:rFonts w:ascii="Garamond" w:hAnsi="Garamond" w:cstheme="minorHAnsi"/>
          <w:sz w:val="24"/>
          <w:szCs w:val="24"/>
        </w:rPr>
        <w:t>, and as</w:t>
      </w:r>
      <w:r w:rsidRPr="00461D74">
        <w:rPr>
          <w:rFonts w:ascii="Garamond" w:hAnsi="Garamond" w:cstheme="minorHAnsi"/>
          <w:sz w:val="24"/>
          <w:szCs w:val="24"/>
        </w:rPr>
        <w:t xml:space="preserve"> a result, we are compelled to consider </w:t>
      </w:r>
      <w:r w:rsidR="006D577C">
        <w:rPr>
          <w:rFonts w:ascii="Garamond" w:hAnsi="Garamond" w:cstheme="minorHAnsi"/>
          <w:sz w:val="24"/>
          <w:szCs w:val="24"/>
        </w:rPr>
        <w:t>such</w:t>
      </w:r>
      <w:r w:rsidR="006D577C" w:rsidRPr="00461D74">
        <w:rPr>
          <w:rFonts w:ascii="Garamond" w:hAnsi="Garamond" w:cstheme="minorHAnsi"/>
          <w:sz w:val="24"/>
          <w:szCs w:val="24"/>
        </w:rPr>
        <w:t xml:space="preserve"> </w:t>
      </w:r>
      <w:r w:rsidRPr="00461D74">
        <w:rPr>
          <w:rFonts w:ascii="Garamond" w:hAnsi="Garamond" w:cstheme="minorHAnsi"/>
          <w:sz w:val="24"/>
          <w:szCs w:val="24"/>
        </w:rPr>
        <w:t xml:space="preserve">issues as exceedingly important. It is here that we find that Thomist natural law appears to </w:t>
      </w:r>
      <w:r w:rsidR="006D577C">
        <w:rPr>
          <w:rFonts w:ascii="Garamond" w:hAnsi="Garamond" w:cstheme="minorHAnsi"/>
          <w:sz w:val="24"/>
          <w:szCs w:val="24"/>
        </w:rPr>
        <w:t>possess</w:t>
      </w:r>
      <w:r w:rsidR="006D577C" w:rsidRPr="00461D74">
        <w:rPr>
          <w:rFonts w:ascii="Garamond" w:hAnsi="Garamond" w:cstheme="minorHAnsi"/>
          <w:sz w:val="24"/>
          <w:szCs w:val="24"/>
        </w:rPr>
        <w:t xml:space="preserve"> </w:t>
      </w:r>
      <w:r w:rsidRPr="00461D74">
        <w:rPr>
          <w:rFonts w:ascii="Garamond" w:hAnsi="Garamond" w:cstheme="minorHAnsi"/>
          <w:sz w:val="24"/>
          <w:szCs w:val="24"/>
        </w:rPr>
        <w:t xml:space="preserve">resources that permit us to solve this </w:t>
      </w:r>
      <w:r w:rsidR="007D135C" w:rsidRPr="00461D74">
        <w:rPr>
          <w:rFonts w:ascii="Garamond" w:hAnsi="Garamond" w:cstheme="minorHAnsi"/>
          <w:sz w:val="24"/>
          <w:szCs w:val="24"/>
        </w:rPr>
        <w:t xml:space="preserve">form </w:t>
      </w:r>
      <w:r w:rsidRPr="00461D74">
        <w:rPr>
          <w:rFonts w:ascii="Garamond" w:hAnsi="Garamond" w:cstheme="minorHAnsi"/>
          <w:sz w:val="24"/>
          <w:szCs w:val="24"/>
        </w:rPr>
        <w:t>of problem.</w:t>
      </w:r>
    </w:p>
    <w:p w:rsidR="00665157" w:rsidRDefault="007D135C">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Nevertheless, </w:t>
      </w:r>
      <w:r w:rsidR="00016049" w:rsidRPr="00461D74">
        <w:rPr>
          <w:rFonts w:ascii="Garamond" w:hAnsi="Garamond" w:cstheme="minorHAnsi"/>
          <w:sz w:val="24"/>
          <w:szCs w:val="24"/>
        </w:rPr>
        <w:t xml:space="preserve">we </w:t>
      </w:r>
      <w:r w:rsidRPr="00461D74">
        <w:rPr>
          <w:rFonts w:ascii="Garamond" w:hAnsi="Garamond" w:cstheme="minorHAnsi"/>
          <w:sz w:val="24"/>
          <w:szCs w:val="24"/>
        </w:rPr>
        <w:t xml:space="preserve">ought to </w:t>
      </w:r>
      <w:r w:rsidR="00016049" w:rsidRPr="00461D74">
        <w:rPr>
          <w:rFonts w:ascii="Garamond" w:hAnsi="Garamond" w:cstheme="minorHAnsi"/>
          <w:sz w:val="24"/>
          <w:szCs w:val="24"/>
        </w:rPr>
        <w:t xml:space="preserve">consider whether there are any significant obstacles for MacIntyre </w:t>
      </w:r>
      <w:r w:rsidR="00EB401A" w:rsidRPr="00461D74">
        <w:rPr>
          <w:rFonts w:ascii="Garamond" w:hAnsi="Garamond" w:cstheme="minorHAnsi"/>
          <w:sz w:val="24"/>
          <w:szCs w:val="24"/>
        </w:rPr>
        <w:t xml:space="preserve">in employing </w:t>
      </w:r>
      <w:r w:rsidR="00016049" w:rsidRPr="00461D74">
        <w:rPr>
          <w:rFonts w:ascii="Garamond" w:hAnsi="Garamond" w:cstheme="minorHAnsi"/>
          <w:sz w:val="24"/>
          <w:szCs w:val="24"/>
        </w:rPr>
        <w:t xml:space="preserve">Thomist politics to formulate a political account that can demarcate the relationship between the state and local communities, and </w:t>
      </w:r>
      <w:r w:rsidRPr="00461D74">
        <w:rPr>
          <w:rFonts w:ascii="Garamond" w:hAnsi="Garamond" w:cstheme="minorHAnsi"/>
          <w:sz w:val="24"/>
          <w:szCs w:val="24"/>
        </w:rPr>
        <w:t xml:space="preserve">thereby </w:t>
      </w:r>
      <w:r w:rsidR="00016049" w:rsidRPr="00461D74">
        <w:rPr>
          <w:rFonts w:ascii="Garamond" w:hAnsi="Garamond" w:cstheme="minorHAnsi"/>
          <w:sz w:val="24"/>
          <w:szCs w:val="24"/>
        </w:rPr>
        <w:t xml:space="preserve">defend those communities and </w:t>
      </w:r>
      <w:r w:rsidR="006559B5">
        <w:rPr>
          <w:rFonts w:ascii="Garamond" w:hAnsi="Garamond" w:cstheme="minorHAnsi"/>
          <w:sz w:val="24"/>
          <w:szCs w:val="24"/>
        </w:rPr>
        <w:t xml:space="preserve">ultimately </w:t>
      </w:r>
      <w:r w:rsidR="002E68EF">
        <w:rPr>
          <w:rFonts w:ascii="Garamond" w:hAnsi="Garamond" w:cstheme="minorHAnsi"/>
          <w:sz w:val="24"/>
          <w:szCs w:val="24"/>
        </w:rPr>
        <w:t>advance</w:t>
      </w:r>
      <w:r w:rsidR="002E68EF" w:rsidRPr="00461D74">
        <w:rPr>
          <w:rFonts w:ascii="Garamond" w:hAnsi="Garamond" w:cstheme="minorHAnsi"/>
          <w:sz w:val="24"/>
          <w:szCs w:val="24"/>
        </w:rPr>
        <w:t xml:space="preserve"> </w:t>
      </w:r>
      <w:r w:rsidR="00016049" w:rsidRPr="00461D74">
        <w:rPr>
          <w:rFonts w:ascii="Garamond" w:hAnsi="Garamond" w:cstheme="minorHAnsi"/>
          <w:sz w:val="24"/>
          <w:szCs w:val="24"/>
        </w:rPr>
        <w:t>a politic</w:t>
      </w:r>
      <w:r w:rsidR="002E68EF">
        <w:rPr>
          <w:rFonts w:ascii="Garamond" w:hAnsi="Garamond" w:cstheme="minorHAnsi"/>
          <w:sz w:val="24"/>
          <w:szCs w:val="24"/>
        </w:rPr>
        <w:t xml:space="preserve">al account </w:t>
      </w:r>
      <w:r w:rsidR="000A4668">
        <w:rPr>
          <w:rFonts w:ascii="Garamond" w:hAnsi="Garamond" w:cstheme="minorHAnsi"/>
          <w:sz w:val="24"/>
          <w:szCs w:val="24"/>
        </w:rPr>
        <w:t>defined in terms of</w:t>
      </w:r>
      <w:r w:rsidR="002E68EF">
        <w:rPr>
          <w:rFonts w:ascii="Garamond" w:hAnsi="Garamond" w:cstheme="minorHAnsi"/>
          <w:sz w:val="24"/>
          <w:szCs w:val="24"/>
        </w:rPr>
        <w:t xml:space="preserve"> the common good</w:t>
      </w:r>
      <w:r w:rsidR="00016049" w:rsidRPr="00461D74">
        <w:rPr>
          <w:rFonts w:ascii="Garamond" w:hAnsi="Garamond" w:cstheme="minorHAnsi"/>
          <w:sz w:val="24"/>
          <w:szCs w:val="24"/>
        </w:rPr>
        <w:t xml:space="preserve">. </w:t>
      </w:r>
      <w:r w:rsidR="002E68EF">
        <w:rPr>
          <w:rFonts w:ascii="Garamond" w:hAnsi="Garamond" w:cstheme="minorHAnsi"/>
          <w:sz w:val="24"/>
          <w:szCs w:val="24"/>
        </w:rPr>
        <w:t>One</w:t>
      </w:r>
      <w:r w:rsidR="002E68EF"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problem </w:t>
      </w:r>
      <w:r w:rsidR="002E68EF">
        <w:rPr>
          <w:rFonts w:ascii="Garamond" w:hAnsi="Garamond" w:cstheme="minorHAnsi"/>
          <w:sz w:val="24"/>
          <w:szCs w:val="24"/>
        </w:rPr>
        <w:t>which</w:t>
      </w:r>
      <w:r w:rsidR="002E68EF" w:rsidRPr="00461D74">
        <w:rPr>
          <w:rFonts w:ascii="Garamond" w:hAnsi="Garamond" w:cstheme="minorHAnsi"/>
          <w:sz w:val="24"/>
          <w:szCs w:val="24"/>
        </w:rPr>
        <w:t xml:space="preserve"> </w:t>
      </w:r>
      <w:r w:rsidR="002E68EF">
        <w:rPr>
          <w:rFonts w:ascii="Garamond" w:hAnsi="Garamond" w:cstheme="minorHAnsi"/>
          <w:sz w:val="24"/>
          <w:szCs w:val="24"/>
        </w:rPr>
        <w:t>we ought</w:t>
      </w:r>
      <w:r w:rsidR="002E68EF"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to </w:t>
      </w:r>
      <w:r w:rsidR="002E68EF">
        <w:rPr>
          <w:rFonts w:ascii="Garamond" w:hAnsi="Garamond" w:cstheme="minorHAnsi"/>
          <w:sz w:val="24"/>
          <w:szCs w:val="24"/>
        </w:rPr>
        <w:t xml:space="preserve">take note of </w:t>
      </w:r>
      <w:r w:rsidR="00016049" w:rsidRPr="00461D74">
        <w:rPr>
          <w:rFonts w:ascii="Garamond" w:hAnsi="Garamond" w:cstheme="minorHAnsi"/>
          <w:sz w:val="24"/>
          <w:szCs w:val="24"/>
        </w:rPr>
        <w:t xml:space="preserve">is that </w:t>
      </w:r>
      <w:r w:rsidR="002E68EF">
        <w:rPr>
          <w:rFonts w:ascii="Garamond" w:hAnsi="Garamond" w:cstheme="minorHAnsi"/>
          <w:sz w:val="24"/>
          <w:szCs w:val="24"/>
        </w:rPr>
        <w:t>Aquinas</w:t>
      </w:r>
      <w:r w:rsidR="00016049" w:rsidRPr="00461D74">
        <w:rPr>
          <w:rFonts w:ascii="Garamond" w:hAnsi="Garamond" w:cstheme="minorHAnsi"/>
          <w:sz w:val="24"/>
          <w:szCs w:val="24"/>
        </w:rPr>
        <w:t xml:space="preserve"> maintain</w:t>
      </w:r>
      <w:r w:rsidR="002E68EF">
        <w:rPr>
          <w:rFonts w:ascii="Garamond" w:hAnsi="Garamond" w:cstheme="minorHAnsi"/>
          <w:sz w:val="24"/>
          <w:szCs w:val="24"/>
        </w:rPr>
        <w:t>ed</w:t>
      </w:r>
      <w:r w:rsidR="00016049" w:rsidRPr="00461D74">
        <w:rPr>
          <w:rFonts w:ascii="Garamond" w:hAnsi="Garamond" w:cstheme="minorHAnsi"/>
          <w:sz w:val="24"/>
          <w:szCs w:val="24"/>
        </w:rPr>
        <w:t xml:space="preserve"> that common good properly conceived can only be achieved by </w:t>
      </w:r>
      <w:r w:rsidR="00C10A2C" w:rsidRPr="00C10A2C">
        <w:rPr>
          <w:rFonts w:ascii="Garamond" w:hAnsi="Garamond" w:cstheme="minorHAnsi"/>
          <w:i/>
          <w:sz w:val="24"/>
          <w:szCs w:val="24"/>
        </w:rPr>
        <w:t>complete communities</w:t>
      </w:r>
      <w:r w:rsidR="00016049" w:rsidRPr="00461D74">
        <w:rPr>
          <w:rFonts w:ascii="Garamond" w:hAnsi="Garamond" w:cstheme="minorHAnsi"/>
          <w:sz w:val="24"/>
          <w:szCs w:val="24"/>
        </w:rPr>
        <w:t xml:space="preserve"> – communities that are self-sufficient and </w:t>
      </w:r>
      <w:r w:rsidRPr="00461D74">
        <w:rPr>
          <w:rFonts w:ascii="Garamond" w:hAnsi="Garamond" w:cstheme="minorHAnsi"/>
          <w:sz w:val="24"/>
          <w:szCs w:val="24"/>
        </w:rPr>
        <w:t xml:space="preserve">possess the ability to </w:t>
      </w:r>
      <w:r w:rsidR="00016049" w:rsidRPr="00461D74">
        <w:rPr>
          <w:rFonts w:ascii="Garamond" w:hAnsi="Garamond" w:cstheme="minorHAnsi"/>
          <w:sz w:val="24"/>
          <w:szCs w:val="24"/>
        </w:rPr>
        <w:t>exercise coercive power.</w:t>
      </w:r>
      <w:r w:rsidR="00016049" w:rsidRPr="00461D74">
        <w:rPr>
          <w:rStyle w:val="FootnoteReference"/>
          <w:rFonts w:ascii="Garamond" w:hAnsi="Garamond" w:cstheme="minorHAnsi"/>
          <w:sz w:val="24"/>
          <w:szCs w:val="24"/>
        </w:rPr>
        <w:footnoteReference w:id="380"/>
      </w:r>
      <w:r w:rsidR="00016049" w:rsidRPr="00461D74">
        <w:rPr>
          <w:rFonts w:ascii="Garamond" w:hAnsi="Garamond" w:cstheme="minorHAnsi"/>
          <w:sz w:val="24"/>
          <w:szCs w:val="24"/>
        </w:rPr>
        <w:t xml:space="preserve"> But we </w:t>
      </w:r>
      <w:r w:rsidRPr="00461D74">
        <w:rPr>
          <w:rFonts w:ascii="Garamond" w:hAnsi="Garamond" w:cstheme="minorHAnsi"/>
          <w:sz w:val="24"/>
          <w:szCs w:val="24"/>
        </w:rPr>
        <w:t xml:space="preserve">also </w:t>
      </w:r>
      <w:r w:rsidR="00016049" w:rsidRPr="00461D74">
        <w:rPr>
          <w:rFonts w:ascii="Garamond" w:hAnsi="Garamond" w:cstheme="minorHAnsi"/>
          <w:sz w:val="24"/>
          <w:szCs w:val="24"/>
        </w:rPr>
        <w:t>observed</w:t>
      </w:r>
      <w:r w:rsidRPr="00461D74">
        <w:rPr>
          <w:rFonts w:ascii="Garamond" w:hAnsi="Garamond" w:cstheme="minorHAnsi"/>
          <w:sz w:val="24"/>
          <w:szCs w:val="24"/>
        </w:rPr>
        <w:t>,</w:t>
      </w:r>
      <w:r w:rsidR="00016049" w:rsidRPr="00461D74">
        <w:rPr>
          <w:rFonts w:ascii="Garamond" w:hAnsi="Garamond" w:cstheme="minorHAnsi"/>
          <w:sz w:val="24"/>
          <w:szCs w:val="24"/>
        </w:rPr>
        <w:t xml:space="preserve"> in the </w:t>
      </w:r>
      <w:r w:rsidRPr="00461D74">
        <w:rPr>
          <w:rFonts w:ascii="Garamond" w:hAnsi="Garamond" w:cstheme="minorHAnsi"/>
          <w:sz w:val="24"/>
          <w:szCs w:val="24"/>
        </w:rPr>
        <w:t xml:space="preserve">previous </w:t>
      </w:r>
      <w:r w:rsidR="00016049" w:rsidRPr="00461D74">
        <w:rPr>
          <w:rFonts w:ascii="Garamond" w:hAnsi="Garamond" w:cstheme="minorHAnsi"/>
          <w:sz w:val="24"/>
          <w:szCs w:val="24"/>
        </w:rPr>
        <w:t>chapter</w:t>
      </w:r>
      <w:r w:rsidRPr="00461D74">
        <w:rPr>
          <w:rFonts w:ascii="Garamond" w:hAnsi="Garamond" w:cstheme="minorHAnsi"/>
          <w:sz w:val="24"/>
          <w:szCs w:val="24"/>
        </w:rPr>
        <w:t>,</w:t>
      </w:r>
      <w:r w:rsidR="00016049" w:rsidRPr="00461D74">
        <w:rPr>
          <w:rFonts w:ascii="Garamond" w:hAnsi="Garamond" w:cstheme="minorHAnsi"/>
          <w:sz w:val="24"/>
          <w:szCs w:val="24"/>
        </w:rPr>
        <w:t xml:space="preserve"> that MacIntyre’s local communities are not </w:t>
      </w:r>
      <w:r w:rsidRPr="00461D74">
        <w:rPr>
          <w:rFonts w:ascii="Garamond" w:hAnsi="Garamond" w:cstheme="minorHAnsi"/>
          <w:sz w:val="24"/>
          <w:szCs w:val="24"/>
        </w:rPr>
        <w:t xml:space="preserve">the </w:t>
      </w:r>
      <w:r w:rsidRPr="00461D74">
        <w:rPr>
          <w:rFonts w:ascii="Garamond" w:hAnsi="Garamond" w:cstheme="minorHAnsi"/>
          <w:sz w:val="24"/>
          <w:szCs w:val="24"/>
        </w:rPr>
        <w:lastRenderedPageBreak/>
        <w:t xml:space="preserve">kinds of </w:t>
      </w:r>
      <w:r w:rsidR="00016049" w:rsidRPr="00461D74">
        <w:rPr>
          <w:rFonts w:ascii="Garamond" w:hAnsi="Garamond" w:cstheme="minorHAnsi"/>
          <w:sz w:val="24"/>
          <w:szCs w:val="24"/>
        </w:rPr>
        <w:t xml:space="preserve">communities </w:t>
      </w:r>
      <w:r w:rsidRPr="00461D74">
        <w:rPr>
          <w:rFonts w:ascii="Garamond" w:hAnsi="Garamond" w:cstheme="minorHAnsi"/>
          <w:sz w:val="24"/>
          <w:szCs w:val="24"/>
        </w:rPr>
        <w:t>that are</w:t>
      </w:r>
      <w:r w:rsidR="00016049" w:rsidRPr="00461D74">
        <w:rPr>
          <w:rFonts w:ascii="Garamond" w:hAnsi="Garamond" w:cstheme="minorHAnsi"/>
          <w:sz w:val="24"/>
          <w:szCs w:val="24"/>
        </w:rPr>
        <w:t xml:space="preserve"> self-sufficient</w:t>
      </w:r>
      <w:r w:rsidR="00EB401A" w:rsidRPr="00461D74">
        <w:rPr>
          <w:rFonts w:ascii="Garamond" w:hAnsi="Garamond" w:cstheme="minorHAnsi"/>
          <w:sz w:val="24"/>
          <w:szCs w:val="24"/>
        </w:rPr>
        <w:t xml:space="preserve"> in this way</w:t>
      </w:r>
      <w:r w:rsidRPr="00461D74">
        <w:rPr>
          <w:rFonts w:ascii="Garamond" w:hAnsi="Garamond" w:cstheme="minorHAnsi"/>
          <w:sz w:val="24"/>
          <w:szCs w:val="24"/>
        </w:rPr>
        <w:t xml:space="preserve">. MacIntyre’s local communities </w:t>
      </w:r>
      <w:r w:rsidR="00016049" w:rsidRPr="00461D74">
        <w:rPr>
          <w:rFonts w:ascii="Garamond" w:hAnsi="Garamond" w:cstheme="minorHAnsi"/>
          <w:sz w:val="24"/>
          <w:szCs w:val="24"/>
        </w:rPr>
        <w:t>remain</w:t>
      </w:r>
      <w:r w:rsidR="00EB401A" w:rsidRPr="00461D74">
        <w:rPr>
          <w:rFonts w:ascii="Garamond" w:hAnsi="Garamond" w:cstheme="minorHAnsi"/>
          <w:sz w:val="24"/>
          <w:szCs w:val="24"/>
        </w:rPr>
        <w:t>,</w:t>
      </w:r>
      <w:r w:rsidR="00016049" w:rsidRPr="00461D74">
        <w:rPr>
          <w:rFonts w:ascii="Garamond" w:hAnsi="Garamond" w:cstheme="minorHAnsi"/>
          <w:sz w:val="24"/>
          <w:szCs w:val="24"/>
        </w:rPr>
        <w:t xml:space="preserve"> for the most part</w:t>
      </w:r>
      <w:r w:rsidRPr="00461D74">
        <w:rPr>
          <w:rFonts w:ascii="Garamond" w:hAnsi="Garamond" w:cstheme="minorHAnsi"/>
          <w:sz w:val="24"/>
          <w:szCs w:val="24"/>
        </w:rPr>
        <w:t>,</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dependent </w:t>
      </w:r>
      <w:r w:rsidR="00016049" w:rsidRPr="00461D74">
        <w:rPr>
          <w:rFonts w:ascii="Garamond" w:hAnsi="Garamond" w:cstheme="minorHAnsi"/>
          <w:sz w:val="24"/>
          <w:szCs w:val="24"/>
        </w:rPr>
        <w:t xml:space="preserve">on the largesse of the state. What follows from this is that in order to achieve a </w:t>
      </w:r>
      <w:r w:rsidR="005C0444">
        <w:rPr>
          <w:rFonts w:ascii="Garamond" w:hAnsi="Garamond" w:cstheme="minorHAnsi"/>
          <w:sz w:val="24"/>
          <w:szCs w:val="24"/>
        </w:rPr>
        <w:t xml:space="preserve">genuinely </w:t>
      </w:r>
      <w:r w:rsidR="00016049" w:rsidRPr="00461D74">
        <w:rPr>
          <w:rFonts w:ascii="Garamond" w:hAnsi="Garamond" w:cstheme="minorHAnsi"/>
          <w:sz w:val="24"/>
          <w:szCs w:val="24"/>
        </w:rPr>
        <w:t>Thomist</w:t>
      </w:r>
      <w:r w:rsidR="005C0444">
        <w:rPr>
          <w:rFonts w:ascii="Garamond" w:hAnsi="Garamond" w:cstheme="minorHAnsi"/>
          <w:sz w:val="24"/>
          <w:szCs w:val="24"/>
        </w:rPr>
        <w:t>ic form of</w:t>
      </w:r>
      <w:r w:rsidR="00016049" w:rsidRPr="00461D74">
        <w:rPr>
          <w:rFonts w:ascii="Garamond" w:hAnsi="Garamond" w:cstheme="minorHAnsi"/>
          <w:sz w:val="24"/>
          <w:szCs w:val="24"/>
        </w:rPr>
        <w:t xml:space="preserve"> politics</w:t>
      </w:r>
      <w:r w:rsidR="00CF168C">
        <w:rPr>
          <w:rFonts w:ascii="Garamond" w:hAnsi="Garamond" w:cstheme="minorHAnsi"/>
          <w:sz w:val="24"/>
          <w:szCs w:val="24"/>
        </w:rPr>
        <w:t>,</w:t>
      </w:r>
      <w:r w:rsidR="00016049" w:rsidRPr="00461D74">
        <w:rPr>
          <w:rFonts w:ascii="Garamond" w:hAnsi="Garamond" w:cstheme="minorHAnsi"/>
          <w:sz w:val="24"/>
          <w:szCs w:val="24"/>
        </w:rPr>
        <w:t xml:space="preserve"> we </w:t>
      </w:r>
      <w:r w:rsidR="00CF168C">
        <w:rPr>
          <w:rFonts w:ascii="Garamond" w:hAnsi="Garamond" w:cstheme="minorHAnsi"/>
          <w:sz w:val="24"/>
          <w:szCs w:val="24"/>
        </w:rPr>
        <w:t>are in need of a more</w:t>
      </w:r>
      <w:r w:rsidR="00016049" w:rsidRPr="00461D74">
        <w:rPr>
          <w:rFonts w:ascii="Garamond" w:hAnsi="Garamond" w:cstheme="minorHAnsi"/>
          <w:sz w:val="24"/>
          <w:szCs w:val="24"/>
        </w:rPr>
        <w:t xml:space="preserve"> </w:t>
      </w:r>
      <w:r w:rsidR="00CF168C">
        <w:rPr>
          <w:rFonts w:ascii="Garamond" w:hAnsi="Garamond" w:cstheme="minorHAnsi"/>
          <w:sz w:val="24"/>
          <w:szCs w:val="24"/>
        </w:rPr>
        <w:t xml:space="preserve">complete </w:t>
      </w:r>
      <w:r w:rsidR="00016049" w:rsidRPr="00461D74">
        <w:rPr>
          <w:rFonts w:ascii="Garamond" w:hAnsi="Garamond" w:cstheme="minorHAnsi"/>
          <w:sz w:val="24"/>
          <w:szCs w:val="24"/>
        </w:rPr>
        <w:t xml:space="preserve">common good generated by </w:t>
      </w:r>
      <w:r w:rsidRPr="00461D74">
        <w:rPr>
          <w:rFonts w:ascii="Garamond" w:hAnsi="Garamond" w:cstheme="minorHAnsi"/>
          <w:sz w:val="24"/>
          <w:szCs w:val="24"/>
        </w:rPr>
        <w:t xml:space="preserve">a </w:t>
      </w:r>
      <w:r w:rsidR="00CF168C">
        <w:rPr>
          <w:rFonts w:ascii="Garamond" w:hAnsi="Garamond" w:cstheme="minorHAnsi"/>
          <w:sz w:val="24"/>
          <w:szCs w:val="24"/>
        </w:rPr>
        <w:t xml:space="preserve">self-sustaining </w:t>
      </w:r>
      <w:r w:rsidR="00016049" w:rsidRPr="00461D74">
        <w:rPr>
          <w:rFonts w:ascii="Garamond" w:hAnsi="Garamond" w:cstheme="minorHAnsi"/>
          <w:sz w:val="24"/>
          <w:szCs w:val="24"/>
        </w:rPr>
        <w:t>central political authority</w:t>
      </w:r>
      <w:r w:rsidR="005C0444">
        <w:rPr>
          <w:rFonts w:ascii="Garamond" w:hAnsi="Garamond" w:cstheme="minorHAnsi"/>
          <w:sz w:val="24"/>
          <w:szCs w:val="24"/>
        </w:rPr>
        <w:t>, and in</w:t>
      </w:r>
      <w:r w:rsidR="00016049" w:rsidRPr="00461D74">
        <w:rPr>
          <w:rFonts w:ascii="Garamond" w:hAnsi="Garamond" w:cstheme="minorHAnsi"/>
          <w:sz w:val="24"/>
          <w:szCs w:val="24"/>
        </w:rPr>
        <w:t xml:space="preserve"> the modern context this would be </w:t>
      </w:r>
      <w:r w:rsidR="00CF168C">
        <w:rPr>
          <w:rFonts w:ascii="Garamond" w:hAnsi="Garamond" w:cstheme="minorHAnsi"/>
          <w:sz w:val="24"/>
          <w:szCs w:val="24"/>
        </w:rPr>
        <w:t>(</w:t>
      </w:r>
      <w:r w:rsidR="005C0444">
        <w:rPr>
          <w:rFonts w:ascii="Garamond" w:hAnsi="Garamond" w:cstheme="minorHAnsi"/>
          <w:sz w:val="24"/>
          <w:szCs w:val="24"/>
        </w:rPr>
        <w:t>a more or less</w:t>
      </w:r>
      <w:r w:rsidR="00CF168C">
        <w:rPr>
          <w:rFonts w:ascii="Garamond" w:hAnsi="Garamond" w:cstheme="minorHAnsi"/>
          <w:sz w:val="24"/>
          <w:szCs w:val="24"/>
        </w:rPr>
        <w:t>)</w:t>
      </w:r>
      <w:r w:rsidR="005C0444">
        <w:rPr>
          <w:rFonts w:ascii="Garamond" w:hAnsi="Garamond" w:cstheme="minorHAnsi"/>
          <w:sz w:val="24"/>
          <w:szCs w:val="24"/>
        </w:rPr>
        <w:t xml:space="preserve"> self-supporting</w:t>
      </w:r>
      <w:r w:rsidR="005C0444"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state </w:t>
      </w:r>
      <w:r w:rsidR="005C0444">
        <w:rPr>
          <w:rFonts w:ascii="Garamond" w:hAnsi="Garamond" w:cstheme="minorHAnsi"/>
          <w:sz w:val="24"/>
          <w:szCs w:val="24"/>
        </w:rPr>
        <w:t xml:space="preserve">capable of </w:t>
      </w:r>
      <w:r w:rsidR="00016049" w:rsidRPr="00461D74">
        <w:rPr>
          <w:rFonts w:ascii="Garamond" w:hAnsi="Garamond" w:cstheme="minorHAnsi"/>
          <w:sz w:val="24"/>
          <w:szCs w:val="24"/>
        </w:rPr>
        <w:t>exercis</w:t>
      </w:r>
      <w:r w:rsidR="005C0444">
        <w:rPr>
          <w:rFonts w:ascii="Garamond" w:hAnsi="Garamond" w:cstheme="minorHAnsi"/>
          <w:sz w:val="24"/>
          <w:szCs w:val="24"/>
        </w:rPr>
        <w:t>ing</w:t>
      </w:r>
      <w:r w:rsidR="00016049" w:rsidRPr="00461D74">
        <w:rPr>
          <w:rFonts w:ascii="Garamond" w:hAnsi="Garamond" w:cstheme="minorHAnsi"/>
          <w:sz w:val="24"/>
          <w:szCs w:val="24"/>
        </w:rPr>
        <w:t xml:space="preserve"> coercive power. Yet, </w:t>
      </w:r>
      <w:r w:rsidR="0077272B" w:rsidRPr="00461D74">
        <w:rPr>
          <w:rFonts w:ascii="Garamond" w:hAnsi="Garamond" w:cstheme="minorHAnsi"/>
          <w:sz w:val="24"/>
          <w:szCs w:val="24"/>
        </w:rPr>
        <w:t xml:space="preserve">MacIntyre also concluded that </w:t>
      </w:r>
      <w:r w:rsidR="00016049" w:rsidRPr="00461D74">
        <w:rPr>
          <w:rFonts w:ascii="Garamond" w:hAnsi="Garamond" w:cstheme="minorHAnsi"/>
          <w:sz w:val="24"/>
          <w:szCs w:val="24"/>
        </w:rPr>
        <w:t xml:space="preserve">the modern state isn’t able to generate </w:t>
      </w:r>
      <w:r w:rsidR="0077272B" w:rsidRPr="00461D74">
        <w:rPr>
          <w:rFonts w:ascii="Garamond" w:hAnsi="Garamond" w:cstheme="minorHAnsi"/>
          <w:sz w:val="24"/>
          <w:szCs w:val="24"/>
        </w:rPr>
        <w:t>a bona</w:t>
      </w:r>
      <w:r w:rsidR="00E7783D">
        <w:rPr>
          <w:rFonts w:ascii="Garamond" w:hAnsi="Garamond" w:cstheme="minorHAnsi"/>
          <w:sz w:val="24"/>
          <w:szCs w:val="24"/>
        </w:rPr>
        <w:t xml:space="preserve"> </w:t>
      </w:r>
      <w:r w:rsidR="0077272B" w:rsidRPr="00461D74">
        <w:rPr>
          <w:rFonts w:ascii="Garamond" w:hAnsi="Garamond" w:cstheme="minorHAnsi"/>
          <w:sz w:val="24"/>
          <w:szCs w:val="24"/>
        </w:rPr>
        <w:t xml:space="preserve">fide </w:t>
      </w:r>
      <w:r w:rsidR="00016049" w:rsidRPr="00461D74">
        <w:rPr>
          <w:rFonts w:ascii="Garamond" w:hAnsi="Garamond" w:cstheme="minorHAnsi"/>
          <w:sz w:val="24"/>
          <w:szCs w:val="24"/>
        </w:rPr>
        <w:t xml:space="preserve">common good </w:t>
      </w:r>
      <w:r w:rsidR="0077272B" w:rsidRPr="00461D74">
        <w:rPr>
          <w:rFonts w:ascii="Garamond" w:hAnsi="Garamond" w:cstheme="minorHAnsi"/>
          <w:sz w:val="24"/>
          <w:szCs w:val="24"/>
        </w:rPr>
        <w:t xml:space="preserve">which </w:t>
      </w:r>
      <w:r w:rsidR="00016049" w:rsidRPr="00461D74">
        <w:rPr>
          <w:rFonts w:ascii="Garamond" w:hAnsi="Garamond" w:cstheme="minorHAnsi"/>
          <w:sz w:val="24"/>
          <w:szCs w:val="24"/>
        </w:rPr>
        <w:t xml:space="preserve">could be properly characterised as Thomist. I will </w:t>
      </w:r>
      <w:r w:rsidR="0077272B" w:rsidRPr="00461D74">
        <w:rPr>
          <w:rFonts w:ascii="Garamond" w:hAnsi="Garamond" w:cstheme="minorHAnsi"/>
          <w:sz w:val="24"/>
          <w:szCs w:val="24"/>
        </w:rPr>
        <w:t xml:space="preserve">turn to </w:t>
      </w:r>
      <w:r w:rsidR="00016049" w:rsidRPr="00461D74">
        <w:rPr>
          <w:rFonts w:ascii="Garamond" w:hAnsi="Garamond" w:cstheme="minorHAnsi"/>
          <w:sz w:val="24"/>
          <w:szCs w:val="24"/>
        </w:rPr>
        <w:t>consider</w:t>
      </w:r>
      <w:r w:rsidR="0077272B" w:rsidRPr="00461D74">
        <w:rPr>
          <w:rFonts w:ascii="Garamond" w:hAnsi="Garamond" w:cstheme="minorHAnsi"/>
          <w:sz w:val="24"/>
          <w:szCs w:val="24"/>
        </w:rPr>
        <w:t>ing</w:t>
      </w:r>
      <w:r w:rsidR="00016049" w:rsidRPr="00461D74">
        <w:rPr>
          <w:rFonts w:ascii="Garamond" w:hAnsi="Garamond" w:cstheme="minorHAnsi"/>
          <w:sz w:val="24"/>
          <w:szCs w:val="24"/>
        </w:rPr>
        <w:t xml:space="preserve"> this problem in some detail.</w:t>
      </w:r>
    </w:p>
    <w:p w:rsidR="00665157" w:rsidRDefault="00665157">
      <w:pPr>
        <w:spacing w:line="360" w:lineRule="auto"/>
        <w:ind w:firstLine="720"/>
        <w:jc w:val="both"/>
        <w:rPr>
          <w:rFonts w:ascii="Garamond" w:hAnsi="Garamond" w:cstheme="minorHAnsi"/>
          <w:sz w:val="24"/>
          <w:szCs w:val="24"/>
        </w:rPr>
      </w:pPr>
    </w:p>
    <w:p w:rsidR="00665157" w:rsidRDefault="007B7FD8">
      <w:pPr>
        <w:pStyle w:val="Heading3"/>
        <w:spacing w:line="360" w:lineRule="auto"/>
        <w:jc w:val="both"/>
        <w:rPr>
          <w:rFonts w:cstheme="majorHAnsi"/>
        </w:rPr>
      </w:pPr>
      <w:bookmarkStart w:id="55" w:name="_Toc528077832"/>
      <w:r w:rsidRPr="00F03436">
        <w:rPr>
          <w:rFonts w:cstheme="majorHAnsi"/>
        </w:rPr>
        <w:t>3.3 The Common G</w:t>
      </w:r>
      <w:r w:rsidR="00016049" w:rsidRPr="00F03436">
        <w:rPr>
          <w:rFonts w:cstheme="majorHAnsi"/>
        </w:rPr>
        <w:t xml:space="preserve">ood and the </w:t>
      </w:r>
      <w:r w:rsidRPr="00F03436">
        <w:rPr>
          <w:rFonts w:cstheme="majorHAnsi"/>
        </w:rPr>
        <w:t>S</w:t>
      </w:r>
      <w:r w:rsidR="00016049" w:rsidRPr="00F03436">
        <w:rPr>
          <w:rFonts w:cstheme="majorHAnsi"/>
        </w:rPr>
        <w:t>tate</w:t>
      </w:r>
      <w:bookmarkEnd w:id="55"/>
    </w:p>
    <w:p w:rsidR="00665157" w:rsidRDefault="00D27C8B">
      <w:pPr>
        <w:spacing w:line="360" w:lineRule="auto"/>
        <w:jc w:val="both"/>
        <w:rPr>
          <w:rFonts w:ascii="Garamond" w:hAnsi="Garamond" w:cstheme="minorHAnsi"/>
          <w:sz w:val="24"/>
          <w:szCs w:val="24"/>
        </w:rPr>
      </w:pPr>
      <w:r>
        <w:rPr>
          <w:rFonts w:ascii="Garamond" w:hAnsi="Garamond" w:cstheme="minorHAnsi"/>
          <w:sz w:val="24"/>
          <w:szCs w:val="24"/>
        </w:rPr>
        <w:t xml:space="preserve">Now, </w:t>
      </w:r>
      <w:r w:rsidR="00016049" w:rsidRPr="00461D74">
        <w:rPr>
          <w:rFonts w:ascii="Garamond" w:hAnsi="Garamond" w:cstheme="minorHAnsi"/>
          <w:sz w:val="24"/>
          <w:szCs w:val="24"/>
        </w:rPr>
        <w:t xml:space="preserve">MacIntyre’s formulation of the common good appears to draw from the Aristotelian-Thomist account. </w:t>
      </w:r>
      <w:r w:rsidR="00791A8C" w:rsidRPr="00461D74">
        <w:rPr>
          <w:rFonts w:ascii="Garamond" w:hAnsi="Garamond" w:cstheme="minorHAnsi"/>
          <w:sz w:val="24"/>
          <w:szCs w:val="24"/>
        </w:rPr>
        <w:t xml:space="preserve">I suggested </w:t>
      </w:r>
      <w:r w:rsidR="00016049" w:rsidRPr="00461D74">
        <w:rPr>
          <w:rFonts w:ascii="Garamond" w:hAnsi="Garamond" w:cstheme="minorHAnsi"/>
          <w:sz w:val="24"/>
          <w:szCs w:val="24"/>
        </w:rPr>
        <w:t xml:space="preserve">in the </w:t>
      </w:r>
      <w:r w:rsidR="00791A8C" w:rsidRPr="00461D74">
        <w:rPr>
          <w:rFonts w:ascii="Garamond" w:hAnsi="Garamond" w:cstheme="minorHAnsi"/>
          <w:sz w:val="24"/>
          <w:szCs w:val="24"/>
        </w:rPr>
        <w:t xml:space="preserve">previous </w:t>
      </w:r>
      <w:r w:rsidR="00016049" w:rsidRPr="00461D74">
        <w:rPr>
          <w:rFonts w:ascii="Garamond" w:hAnsi="Garamond" w:cstheme="minorHAnsi"/>
          <w:sz w:val="24"/>
          <w:szCs w:val="24"/>
        </w:rPr>
        <w:t>chapter</w:t>
      </w:r>
      <w:r w:rsidR="00791A8C"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that </w:t>
      </w:r>
      <w:r w:rsidR="00791A8C" w:rsidRPr="00461D74">
        <w:rPr>
          <w:rFonts w:ascii="Garamond" w:hAnsi="Garamond" w:cstheme="minorHAnsi"/>
          <w:sz w:val="24"/>
          <w:szCs w:val="24"/>
        </w:rPr>
        <w:t xml:space="preserve">MacIntyre </w:t>
      </w:r>
      <w:r w:rsidR="00016049" w:rsidRPr="00461D74">
        <w:rPr>
          <w:rFonts w:ascii="Garamond" w:hAnsi="Garamond" w:cstheme="minorHAnsi"/>
          <w:sz w:val="24"/>
          <w:szCs w:val="24"/>
        </w:rPr>
        <w:t xml:space="preserve">defines the common good, first as </w:t>
      </w:r>
      <w:r w:rsidR="00791A8C"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good that </w:t>
      </w:r>
      <w:r w:rsidR="00791A8C" w:rsidRPr="00461D74">
        <w:rPr>
          <w:rFonts w:ascii="Garamond" w:hAnsi="Garamond" w:cstheme="minorHAnsi"/>
          <w:sz w:val="24"/>
          <w:szCs w:val="24"/>
        </w:rPr>
        <w:t xml:space="preserve">is </w:t>
      </w:r>
      <w:r w:rsidR="00016049" w:rsidRPr="00461D74">
        <w:rPr>
          <w:rFonts w:ascii="Garamond" w:hAnsi="Garamond" w:cstheme="minorHAnsi"/>
          <w:sz w:val="24"/>
          <w:szCs w:val="24"/>
        </w:rPr>
        <w:t>partly constituted through participati</w:t>
      </w:r>
      <w:r w:rsidR="00791A8C" w:rsidRPr="00461D74">
        <w:rPr>
          <w:rFonts w:ascii="Garamond" w:hAnsi="Garamond" w:cstheme="minorHAnsi"/>
          <w:sz w:val="24"/>
          <w:szCs w:val="24"/>
        </w:rPr>
        <w:t>o</w:t>
      </w:r>
      <w:r w:rsidR="00016049" w:rsidRPr="00461D74">
        <w:rPr>
          <w:rFonts w:ascii="Garamond" w:hAnsi="Garamond" w:cstheme="minorHAnsi"/>
          <w:sz w:val="24"/>
          <w:szCs w:val="24"/>
        </w:rPr>
        <w:t>n in social practices and acquiring the</w:t>
      </w:r>
      <w:r w:rsidR="00791A8C" w:rsidRPr="00461D74">
        <w:rPr>
          <w:rFonts w:ascii="Garamond" w:hAnsi="Garamond" w:cstheme="minorHAnsi"/>
          <w:sz w:val="24"/>
          <w:szCs w:val="24"/>
        </w:rPr>
        <w:t>ir</w:t>
      </w:r>
      <w:r w:rsidR="00016049" w:rsidRPr="00461D74">
        <w:rPr>
          <w:rFonts w:ascii="Garamond" w:hAnsi="Garamond" w:cstheme="minorHAnsi"/>
          <w:sz w:val="24"/>
          <w:szCs w:val="24"/>
        </w:rPr>
        <w:t xml:space="preserve"> goods, and second, </w:t>
      </w:r>
      <w:r w:rsidR="00791A8C" w:rsidRPr="00461D74">
        <w:rPr>
          <w:rFonts w:ascii="Garamond" w:hAnsi="Garamond" w:cstheme="minorHAnsi"/>
          <w:sz w:val="24"/>
          <w:szCs w:val="24"/>
        </w:rPr>
        <w:t xml:space="preserve">that </w:t>
      </w:r>
      <w:r w:rsidR="00016049" w:rsidRPr="00461D74">
        <w:rPr>
          <w:rFonts w:ascii="Garamond" w:hAnsi="Garamond" w:cstheme="minorHAnsi"/>
          <w:sz w:val="24"/>
          <w:szCs w:val="24"/>
        </w:rPr>
        <w:t xml:space="preserve">the common good in politics </w:t>
      </w:r>
      <w:r w:rsidR="00791A8C" w:rsidRPr="00461D74">
        <w:rPr>
          <w:rFonts w:ascii="Garamond" w:hAnsi="Garamond" w:cstheme="minorHAnsi"/>
          <w:sz w:val="24"/>
          <w:szCs w:val="24"/>
        </w:rPr>
        <w:t>i</w:t>
      </w:r>
      <w:r w:rsidR="00016049" w:rsidRPr="00461D74">
        <w:rPr>
          <w:rFonts w:ascii="Garamond" w:hAnsi="Garamond" w:cstheme="minorHAnsi"/>
          <w:sz w:val="24"/>
          <w:szCs w:val="24"/>
        </w:rPr>
        <w:t xml:space="preserve">s the proper arrangement of the shared goods of </w:t>
      </w:r>
      <w:r w:rsidR="00791A8C"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diverse set of practices. However, MacIntyre still has to </w:t>
      </w:r>
      <w:r w:rsidR="00791A8C" w:rsidRPr="00461D74">
        <w:rPr>
          <w:rFonts w:ascii="Garamond" w:hAnsi="Garamond" w:cstheme="minorHAnsi"/>
          <w:sz w:val="24"/>
          <w:szCs w:val="24"/>
        </w:rPr>
        <w:t xml:space="preserve">reconcile </w:t>
      </w:r>
      <w:r w:rsidR="00B341D6">
        <w:rPr>
          <w:rFonts w:ascii="Garamond" w:hAnsi="Garamond" w:cstheme="minorHAnsi"/>
          <w:sz w:val="24"/>
          <w:szCs w:val="24"/>
        </w:rPr>
        <w:t xml:space="preserve">this with </w:t>
      </w:r>
      <w:r>
        <w:rPr>
          <w:rFonts w:ascii="Garamond" w:hAnsi="Garamond" w:cstheme="minorHAnsi"/>
          <w:sz w:val="24"/>
          <w:szCs w:val="24"/>
        </w:rPr>
        <w:t xml:space="preserve">the fact </w:t>
      </w:r>
      <w:r w:rsidR="00791A8C" w:rsidRPr="00461D74">
        <w:rPr>
          <w:rFonts w:ascii="Garamond" w:hAnsi="Garamond" w:cstheme="minorHAnsi"/>
          <w:sz w:val="24"/>
          <w:szCs w:val="24"/>
        </w:rPr>
        <w:t xml:space="preserve">that </w:t>
      </w:r>
      <w:r w:rsidR="00016049" w:rsidRPr="00461D74">
        <w:rPr>
          <w:rFonts w:ascii="Garamond" w:hAnsi="Garamond" w:cstheme="minorHAnsi"/>
          <w:sz w:val="24"/>
          <w:szCs w:val="24"/>
        </w:rPr>
        <w:t>the common good of local communities</w:t>
      </w:r>
      <w:r w:rsidR="00791A8C" w:rsidRPr="00461D74">
        <w:rPr>
          <w:rFonts w:ascii="Garamond" w:hAnsi="Garamond" w:cstheme="minorHAnsi"/>
          <w:sz w:val="24"/>
          <w:szCs w:val="24"/>
        </w:rPr>
        <w:t xml:space="preserve"> are ultimately dependent on those </w:t>
      </w:r>
      <w:r w:rsidR="00016049" w:rsidRPr="00461D74">
        <w:rPr>
          <w:rFonts w:ascii="Garamond" w:hAnsi="Garamond" w:cstheme="minorHAnsi"/>
          <w:sz w:val="24"/>
          <w:szCs w:val="24"/>
        </w:rPr>
        <w:t xml:space="preserve">common goods that are dispensed by the state, such as goods of peace, security and wealth. But MacIntyre </w:t>
      </w:r>
      <w:r w:rsidR="005F1E57" w:rsidRPr="00461D74">
        <w:rPr>
          <w:rFonts w:ascii="Garamond" w:hAnsi="Garamond" w:cstheme="minorHAnsi"/>
          <w:sz w:val="24"/>
          <w:szCs w:val="24"/>
        </w:rPr>
        <w:t xml:space="preserve">also appears to </w:t>
      </w:r>
      <w:r w:rsidR="00016049" w:rsidRPr="00461D74">
        <w:rPr>
          <w:rFonts w:ascii="Garamond" w:hAnsi="Garamond" w:cstheme="minorHAnsi"/>
          <w:sz w:val="24"/>
          <w:szCs w:val="24"/>
        </w:rPr>
        <w:t>reject the idea that the shared goods dispensed by the modern state are the right kind of common good defin</w:t>
      </w:r>
      <w:r>
        <w:rPr>
          <w:rFonts w:ascii="Garamond" w:hAnsi="Garamond" w:cstheme="minorHAnsi"/>
          <w:sz w:val="24"/>
          <w:szCs w:val="24"/>
        </w:rPr>
        <w:t xml:space="preserve">able </w:t>
      </w:r>
      <w:r w:rsidR="00016049" w:rsidRPr="00461D74">
        <w:rPr>
          <w:rFonts w:ascii="Garamond" w:hAnsi="Garamond" w:cstheme="minorHAnsi"/>
          <w:sz w:val="24"/>
          <w:szCs w:val="24"/>
        </w:rPr>
        <w:t xml:space="preserve">in </w:t>
      </w:r>
      <w:r>
        <w:rPr>
          <w:rFonts w:ascii="Garamond" w:hAnsi="Garamond" w:cstheme="minorHAnsi"/>
          <w:sz w:val="24"/>
          <w:szCs w:val="24"/>
        </w:rPr>
        <w:t>terms amenable to an</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Aristotelian-Thomist account of politics.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Recall that MacIntyre maintains that although the state at times provides local communities with important goods that are held in common, they are very different from the type of common good that is defined </w:t>
      </w:r>
      <w:r w:rsidR="00144A16">
        <w:rPr>
          <w:rFonts w:ascii="Garamond" w:hAnsi="Garamond" w:cstheme="minorHAnsi"/>
          <w:sz w:val="24"/>
          <w:szCs w:val="24"/>
        </w:rPr>
        <w:t>under</w:t>
      </w:r>
      <w:r w:rsidR="00144A16" w:rsidRPr="00461D74">
        <w:rPr>
          <w:rFonts w:ascii="Garamond" w:hAnsi="Garamond" w:cstheme="minorHAnsi"/>
          <w:sz w:val="24"/>
          <w:szCs w:val="24"/>
        </w:rPr>
        <w:t xml:space="preserve"> </w:t>
      </w:r>
      <w:r w:rsidRPr="00461D74">
        <w:rPr>
          <w:rFonts w:ascii="Garamond" w:hAnsi="Garamond" w:cstheme="minorHAnsi"/>
          <w:sz w:val="24"/>
          <w:szCs w:val="24"/>
        </w:rPr>
        <w:t>a Thomist</w:t>
      </w:r>
      <w:r w:rsidR="00144A16">
        <w:rPr>
          <w:rFonts w:ascii="Garamond" w:hAnsi="Garamond" w:cstheme="minorHAnsi"/>
          <w:sz w:val="24"/>
          <w:szCs w:val="24"/>
        </w:rPr>
        <w:t>ic</w:t>
      </w:r>
      <w:r w:rsidRPr="00461D74">
        <w:rPr>
          <w:rFonts w:ascii="Garamond" w:hAnsi="Garamond" w:cstheme="minorHAnsi"/>
          <w:sz w:val="24"/>
          <w:szCs w:val="24"/>
        </w:rPr>
        <w:t xml:space="preserve"> </w:t>
      </w:r>
      <w:r w:rsidR="00144A16">
        <w:rPr>
          <w:rFonts w:ascii="Garamond" w:hAnsi="Garamond" w:cstheme="minorHAnsi"/>
          <w:sz w:val="24"/>
          <w:szCs w:val="24"/>
        </w:rPr>
        <w:t xml:space="preserve">form of </w:t>
      </w:r>
      <w:r w:rsidRPr="00461D74">
        <w:rPr>
          <w:rFonts w:ascii="Garamond" w:hAnsi="Garamond" w:cstheme="minorHAnsi"/>
          <w:sz w:val="24"/>
          <w:szCs w:val="24"/>
        </w:rPr>
        <w:t>politics. Why? MacIntyre suggests that the Thomist</w:t>
      </w:r>
      <w:r w:rsidR="00144A16">
        <w:rPr>
          <w:rFonts w:ascii="Garamond" w:hAnsi="Garamond" w:cstheme="minorHAnsi"/>
          <w:sz w:val="24"/>
          <w:szCs w:val="24"/>
        </w:rPr>
        <w:t>ic</w:t>
      </w:r>
      <w:r w:rsidRPr="00461D74">
        <w:rPr>
          <w:rFonts w:ascii="Garamond" w:hAnsi="Garamond" w:cstheme="minorHAnsi"/>
          <w:sz w:val="24"/>
          <w:szCs w:val="24"/>
        </w:rPr>
        <w:t xml:space="preserve"> common good isn’t available </w:t>
      </w:r>
      <w:r w:rsidR="00D27C8B">
        <w:rPr>
          <w:rFonts w:ascii="Garamond" w:hAnsi="Garamond" w:cstheme="minorHAnsi"/>
          <w:sz w:val="24"/>
          <w:szCs w:val="24"/>
        </w:rPr>
        <w:t>in the liberal</w:t>
      </w:r>
      <w:r w:rsidRPr="00461D74">
        <w:rPr>
          <w:rFonts w:ascii="Garamond" w:hAnsi="Garamond" w:cstheme="minorHAnsi"/>
          <w:sz w:val="24"/>
          <w:szCs w:val="24"/>
        </w:rPr>
        <w:t xml:space="preserve"> state because the relationship between the individual good </w:t>
      </w:r>
      <w:r w:rsidRPr="00461D74">
        <w:rPr>
          <w:rFonts w:ascii="Garamond" w:hAnsi="Garamond" w:cstheme="minorHAnsi"/>
          <w:sz w:val="24"/>
          <w:szCs w:val="24"/>
        </w:rPr>
        <w:lastRenderedPageBreak/>
        <w:t>and the Thomist</w:t>
      </w:r>
      <w:r w:rsidR="008B0D58">
        <w:rPr>
          <w:rFonts w:ascii="Garamond" w:hAnsi="Garamond" w:cstheme="minorHAnsi"/>
          <w:sz w:val="24"/>
          <w:szCs w:val="24"/>
        </w:rPr>
        <w:t>ic</w:t>
      </w:r>
      <w:r w:rsidRPr="00461D74">
        <w:rPr>
          <w:rFonts w:ascii="Garamond" w:hAnsi="Garamond" w:cstheme="minorHAnsi"/>
          <w:sz w:val="24"/>
          <w:szCs w:val="24"/>
        </w:rPr>
        <w:t xml:space="preserve"> common good is one that is irreducibly social. </w:t>
      </w:r>
      <w:r w:rsidR="00D27C8B">
        <w:rPr>
          <w:rFonts w:ascii="Garamond" w:hAnsi="Garamond" w:cstheme="minorHAnsi"/>
          <w:sz w:val="24"/>
          <w:szCs w:val="24"/>
        </w:rPr>
        <w:t>Under</w:t>
      </w:r>
      <w:r w:rsidR="00D27C8B" w:rsidRPr="00461D74">
        <w:rPr>
          <w:rFonts w:ascii="Garamond" w:hAnsi="Garamond" w:cstheme="minorHAnsi"/>
          <w:sz w:val="24"/>
          <w:szCs w:val="24"/>
        </w:rPr>
        <w:t xml:space="preserve"> </w:t>
      </w:r>
      <w:r w:rsidRPr="00461D74">
        <w:rPr>
          <w:rFonts w:ascii="Garamond" w:hAnsi="Garamond" w:cstheme="minorHAnsi"/>
          <w:sz w:val="24"/>
          <w:szCs w:val="24"/>
        </w:rPr>
        <w:t>the Thomist account</w:t>
      </w:r>
      <w:r w:rsidR="00D27C8B">
        <w:rPr>
          <w:rFonts w:ascii="Garamond" w:hAnsi="Garamond" w:cstheme="minorHAnsi"/>
          <w:sz w:val="24"/>
          <w:szCs w:val="24"/>
        </w:rPr>
        <w:t>,</w:t>
      </w:r>
      <w:r w:rsidRPr="00461D74">
        <w:rPr>
          <w:rFonts w:ascii="Garamond" w:hAnsi="Garamond" w:cstheme="minorHAnsi"/>
          <w:sz w:val="24"/>
          <w:szCs w:val="24"/>
        </w:rPr>
        <w:t xml:space="preserve"> the concept of the individual good is not defined prior to the common good</w:t>
      </w:r>
      <w:r w:rsidR="009E78A4" w:rsidRPr="00461D74">
        <w:rPr>
          <w:rFonts w:ascii="Garamond" w:hAnsi="Garamond" w:cstheme="minorHAnsi"/>
          <w:sz w:val="24"/>
          <w:szCs w:val="24"/>
        </w:rPr>
        <w:t>;</w:t>
      </w:r>
      <w:r w:rsidRPr="00461D74">
        <w:rPr>
          <w:rFonts w:ascii="Garamond" w:hAnsi="Garamond" w:cstheme="minorHAnsi"/>
          <w:sz w:val="24"/>
          <w:szCs w:val="24"/>
        </w:rPr>
        <w:t xml:space="preserve"> </w:t>
      </w:r>
      <w:r w:rsidR="00D27C8B">
        <w:rPr>
          <w:rFonts w:ascii="Garamond" w:hAnsi="Garamond" w:cstheme="minorHAnsi"/>
          <w:sz w:val="24"/>
          <w:szCs w:val="24"/>
        </w:rPr>
        <w:t>instead,</w:t>
      </w:r>
      <w:r w:rsidR="00D27C8B" w:rsidRPr="00461D74">
        <w:rPr>
          <w:rFonts w:ascii="Garamond" w:hAnsi="Garamond" w:cstheme="minorHAnsi"/>
          <w:sz w:val="24"/>
          <w:szCs w:val="24"/>
        </w:rPr>
        <w:t xml:space="preserve"> </w:t>
      </w:r>
      <w:r w:rsidRPr="00461D74">
        <w:rPr>
          <w:rFonts w:ascii="Garamond" w:hAnsi="Garamond" w:cstheme="minorHAnsi"/>
          <w:sz w:val="24"/>
          <w:szCs w:val="24"/>
        </w:rPr>
        <w:t>the individual</w:t>
      </w:r>
      <w:r w:rsidR="00D27C8B">
        <w:rPr>
          <w:rFonts w:ascii="Garamond" w:hAnsi="Garamond" w:cstheme="minorHAnsi"/>
          <w:sz w:val="24"/>
          <w:szCs w:val="24"/>
        </w:rPr>
        <w:t>’s</w:t>
      </w:r>
      <w:r w:rsidRPr="00461D74">
        <w:rPr>
          <w:rFonts w:ascii="Garamond" w:hAnsi="Garamond" w:cstheme="minorHAnsi"/>
          <w:sz w:val="24"/>
          <w:szCs w:val="24"/>
        </w:rPr>
        <w:t xml:space="preserve"> good is realised in part by the individual’s participation in a variety of social practices. That is, the individual realises his or her individual good as partly constituted in goods that are realised in various forms of social activity.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However, MacIntyre rejects the idea that </w:t>
      </w:r>
      <w:r w:rsidR="00D352DD" w:rsidRPr="00461D74">
        <w:rPr>
          <w:rFonts w:ascii="Garamond" w:hAnsi="Garamond" w:cstheme="minorHAnsi"/>
          <w:sz w:val="24"/>
          <w:szCs w:val="24"/>
        </w:rPr>
        <w:t xml:space="preserve">public interest </w:t>
      </w:r>
      <w:r w:rsidR="00D27C8B">
        <w:rPr>
          <w:rFonts w:ascii="Garamond" w:hAnsi="Garamond" w:cstheme="minorHAnsi"/>
          <w:sz w:val="24"/>
          <w:szCs w:val="24"/>
        </w:rPr>
        <w:t xml:space="preserve">in the liberal state </w:t>
      </w:r>
      <w:r w:rsidR="00D352DD" w:rsidRPr="00461D74">
        <w:rPr>
          <w:rFonts w:ascii="Garamond" w:hAnsi="Garamond" w:cstheme="minorHAnsi"/>
          <w:sz w:val="24"/>
          <w:szCs w:val="24"/>
        </w:rPr>
        <w:t xml:space="preserve">can </w:t>
      </w:r>
      <w:r w:rsidR="00D27C8B">
        <w:rPr>
          <w:rFonts w:ascii="Garamond" w:hAnsi="Garamond" w:cstheme="minorHAnsi"/>
          <w:sz w:val="24"/>
          <w:szCs w:val="24"/>
        </w:rPr>
        <w:t xml:space="preserve">be understood </w:t>
      </w:r>
      <w:r w:rsidR="00D352DD" w:rsidRPr="00461D74">
        <w:rPr>
          <w:rFonts w:ascii="Garamond" w:hAnsi="Garamond" w:cstheme="minorHAnsi"/>
          <w:sz w:val="24"/>
          <w:szCs w:val="24"/>
        </w:rPr>
        <w:t xml:space="preserve">as </w:t>
      </w:r>
      <w:r w:rsidRPr="00461D74">
        <w:rPr>
          <w:rFonts w:ascii="Garamond" w:hAnsi="Garamond" w:cstheme="minorHAnsi"/>
          <w:sz w:val="24"/>
          <w:szCs w:val="24"/>
        </w:rPr>
        <w:t>a</w:t>
      </w:r>
      <w:r w:rsidR="00D352DD" w:rsidRPr="00461D74">
        <w:rPr>
          <w:rFonts w:ascii="Garamond" w:hAnsi="Garamond" w:cstheme="minorHAnsi"/>
          <w:sz w:val="24"/>
          <w:szCs w:val="24"/>
        </w:rPr>
        <w:t xml:space="preserve"> </w:t>
      </w:r>
      <w:r w:rsidR="00D27C8B">
        <w:rPr>
          <w:rFonts w:ascii="Garamond" w:hAnsi="Garamond" w:cstheme="minorHAnsi"/>
          <w:sz w:val="24"/>
          <w:szCs w:val="24"/>
        </w:rPr>
        <w:t>form</w:t>
      </w:r>
      <w:r w:rsidR="00D27C8B" w:rsidRPr="00461D74">
        <w:rPr>
          <w:rFonts w:ascii="Garamond" w:hAnsi="Garamond" w:cstheme="minorHAnsi"/>
          <w:sz w:val="24"/>
          <w:szCs w:val="24"/>
        </w:rPr>
        <w:t xml:space="preserve"> </w:t>
      </w:r>
      <w:r w:rsidR="00D352DD" w:rsidRPr="00461D74">
        <w:rPr>
          <w:rFonts w:ascii="Garamond" w:hAnsi="Garamond" w:cstheme="minorHAnsi"/>
          <w:sz w:val="24"/>
          <w:szCs w:val="24"/>
        </w:rPr>
        <w:t>of</w:t>
      </w:r>
      <w:r w:rsidRPr="00461D74">
        <w:rPr>
          <w:rFonts w:ascii="Garamond" w:hAnsi="Garamond" w:cstheme="minorHAnsi"/>
          <w:sz w:val="24"/>
          <w:szCs w:val="24"/>
        </w:rPr>
        <w:t xml:space="preserve"> common good</w:t>
      </w:r>
      <w:r w:rsidR="00D27C8B">
        <w:rPr>
          <w:rFonts w:ascii="Garamond" w:hAnsi="Garamond" w:cstheme="minorHAnsi"/>
          <w:sz w:val="24"/>
          <w:szCs w:val="24"/>
        </w:rPr>
        <w:t>,</w:t>
      </w:r>
      <w:r w:rsidR="00D352DD" w:rsidRPr="00461D74">
        <w:rPr>
          <w:rFonts w:ascii="Garamond" w:hAnsi="Garamond" w:cstheme="minorHAnsi"/>
          <w:sz w:val="24"/>
          <w:szCs w:val="24"/>
        </w:rPr>
        <w:t xml:space="preserve"> precisely </w:t>
      </w:r>
      <w:r w:rsidRPr="00461D74">
        <w:rPr>
          <w:rFonts w:ascii="Garamond" w:hAnsi="Garamond" w:cstheme="minorHAnsi"/>
          <w:sz w:val="24"/>
          <w:szCs w:val="24"/>
        </w:rPr>
        <w:t xml:space="preserve">because the relationship between the individual good and the goods held in common is one </w:t>
      </w:r>
      <w:r w:rsidR="00D352DD" w:rsidRPr="00461D74">
        <w:rPr>
          <w:rFonts w:ascii="Garamond" w:hAnsi="Garamond" w:cstheme="minorHAnsi"/>
          <w:sz w:val="24"/>
          <w:szCs w:val="24"/>
        </w:rPr>
        <w:t>in which</w:t>
      </w:r>
      <w:r w:rsidR="00D27C8B">
        <w:rPr>
          <w:rFonts w:ascii="Garamond" w:hAnsi="Garamond" w:cstheme="minorHAnsi"/>
          <w:sz w:val="24"/>
          <w:szCs w:val="24"/>
        </w:rPr>
        <w:t xml:space="preserve"> the</w:t>
      </w:r>
      <w:r w:rsidR="00D352DD" w:rsidRPr="00461D74">
        <w:rPr>
          <w:rFonts w:ascii="Garamond" w:hAnsi="Garamond" w:cstheme="minorHAnsi"/>
          <w:sz w:val="24"/>
          <w:szCs w:val="24"/>
        </w:rPr>
        <w:t xml:space="preserve"> </w:t>
      </w:r>
      <w:r w:rsidRPr="00461D74">
        <w:rPr>
          <w:rFonts w:ascii="Garamond" w:hAnsi="Garamond" w:cstheme="minorHAnsi"/>
          <w:sz w:val="24"/>
          <w:szCs w:val="24"/>
        </w:rPr>
        <w:t>individual</w:t>
      </w:r>
      <w:r w:rsidR="00D27C8B">
        <w:rPr>
          <w:rFonts w:ascii="Garamond" w:hAnsi="Garamond" w:cstheme="minorHAnsi"/>
          <w:sz w:val="24"/>
          <w:szCs w:val="24"/>
        </w:rPr>
        <w:t>’s</w:t>
      </w:r>
      <w:r w:rsidRPr="00461D74">
        <w:rPr>
          <w:rFonts w:ascii="Garamond" w:hAnsi="Garamond" w:cstheme="minorHAnsi"/>
          <w:sz w:val="24"/>
          <w:szCs w:val="24"/>
        </w:rPr>
        <w:t xml:space="preserve"> good is defined separately from, and </w:t>
      </w:r>
      <w:r w:rsidR="00827C4D">
        <w:rPr>
          <w:rFonts w:ascii="Garamond" w:hAnsi="Garamond" w:cstheme="minorHAnsi"/>
          <w:sz w:val="24"/>
          <w:szCs w:val="24"/>
        </w:rPr>
        <w:t xml:space="preserve">is logically </w:t>
      </w:r>
      <w:r w:rsidRPr="00461D74">
        <w:rPr>
          <w:rFonts w:ascii="Garamond" w:hAnsi="Garamond" w:cstheme="minorHAnsi"/>
          <w:sz w:val="24"/>
          <w:szCs w:val="24"/>
        </w:rPr>
        <w:t>prior to, the goods that are generated by the state. On his view, the type of thin goods generated by the state – defined under the concept of ‘public interest’ – are a set of conditions that best realise the individuals’ good. Here the concept of individual good is antecedent to that of ‘public interest</w:t>
      </w:r>
      <w:r w:rsidR="005D6458">
        <w:rPr>
          <w:rFonts w:ascii="Garamond" w:hAnsi="Garamond" w:cstheme="minorHAnsi"/>
          <w:sz w:val="24"/>
          <w:szCs w:val="24"/>
        </w:rPr>
        <w:t>,</w:t>
      </w:r>
      <w:r w:rsidRPr="00461D74">
        <w:rPr>
          <w:rFonts w:ascii="Garamond" w:hAnsi="Garamond" w:cstheme="minorHAnsi"/>
          <w:sz w:val="24"/>
          <w:szCs w:val="24"/>
        </w:rPr>
        <w:t xml:space="preserve">’ and is defined in terms of the individual’s subjective preferences. Thus the sort of goods generated by the state are defined in terms of the aggregate of individuals’ good in the state. </w:t>
      </w:r>
      <w:r w:rsidR="00A94075">
        <w:rPr>
          <w:rFonts w:ascii="Garamond" w:hAnsi="Garamond" w:cstheme="minorHAnsi"/>
          <w:sz w:val="24"/>
          <w:szCs w:val="24"/>
        </w:rPr>
        <w:t>Here</w:t>
      </w:r>
      <w:r w:rsidR="00A94075" w:rsidRPr="00461D74">
        <w:rPr>
          <w:rFonts w:ascii="Garamond" w:hAnsi="Garamond" w:cstheme="minorHAnsi"/>
          <w:sz w:val="24"/>
          <w:szCs w:val="24"/>
        </w:rPr>
        <w:t xml:space="preserve"> </w:t>
      </w:r>
      <w:r w:rsidRPr="00461D74">
        <w:rPr>
          <w:rFonts w:ascii="Garamond" w:hAnsi="Garamond" w:cstheme="minorHAnsi"/>
          <w:sz w:val="24"/>
          <w:szCs w:val="24"/>
        </w:rPr>
        <w:t xml:space="preserve">the concept of ‘public interest’ </w:t>
      </w:r>
      <w:r w:rsidR="00D352DD" w:rsidRPr="00461D74">
        <w:rPr>
          <w:rFonts w:ascii="Garamond" w:hAnsi="Garamond" w:cstheme="minorHAnsi"/>
          <w:sz w:val="24"/>
          <w:szCs w:val="24"/>
        </w:rPr>
        <w:t xml:space="preserve">is </w:t>
      </w:r>
      <w:r w:rsidRPr="00461D74">
        <w:rPr>
          <w:rFonts w:ascii="Garamond" w:hAnsi="Garamond" w:cstheme="minorHAnsi"/>
          <w:sz w:val="24"/>
          <w:szCs w:val="24"/>
        </w:rPr>
        <w:t>reducible to an antecedent notion of individual good</w:t>
      </w:r>
      <w:r w:rsidR="00D352DD" w:rsidRPr="00461D74">
        <w:rPr>
          <w:rFonts w:ascii="Garamond" w:hAnsi="Garamond" w:cstheme="minorHAnsi"/>
          <w:sz w:val="24"/>
          <w:szCs w:val="24"/>
        </w:rPr>
        <w:t xml:space="preserve"> </w:t>
      </w:r>
      <w:r w:rsidR="009D5673">
        <w:rPr>
          <w:rFonts w:ascii="Garamond" w:hAnsi="Garamond" w:cstheme="minorHAnsi"/>
          <w:sz w:val="24"/>
          <w:szCs w:val="24"/>
        </w:rPr>
        <w:t xml:space="preserve">that is </w:t>
      </w:r>
      <w:r w:rsidR="00D352DD" w:rsidRPr="00461D74">
        <w:rPr>
          <w:rFonts w:ascii="Garamond" w:hAnsi="Garamond" w:cstheme="minorHAnsi"/>
          <w:sz w:val="24"/>
          <w:szCs w:val="24"/>
        </w:rPr>
        <w:t xml:space="preserve">defined </w:t>
      </w:r>
      <w:r w:rsidR="009D5673">
        <w:rPr>
          <w:rFonts w:ascii="Garamond" w:hAnsi="Garamond" w:cstheme="minorHAnsi"/>
          <w:sz w:val="24"/>
          <w:szCs w:val="24"/>
        </w:rPr>
        <w:t xml:space="preserve">independently from, and </w:t>
      </w:r>
      <w:r w:rsidR="00451FF5" w:rsidRPr="00461D74">
        <w:rPr>
          <w:rFonts w:ascii="Garamond" w:hAnsi="Garamond" w:cstheme="minorHAnsi"/>
          <w:sz w:val="24"/>
          <w:szCs w:val="24"/>
        </w:rPr>
        <w:t>prior to</w:t>
      </w:r>
      <w:r w:rsidR="009D5673">
        <w:rPr>
          <w:rFonts w:ascii="Garamond" w:hAnsi="Garamond" w:cstheme="minorHAnsi"/>
          <w:sz w:val="24"/>
          <w:szCs w:val="24"/>
        </w:rPr>
        <w:t>, that of</w:t>
      </w:r>
      <w:r w:rsidR="00451FF5" w:rsidRPr="00461D74">
        <w:rPr>
          <w:rFonts w:ascii="Garamond" w:hAnsi="Garamond" w:cstheme="minorHAnsi"/>
          <w:sz w:val="24"/>
          <w:szCs w:val="24"/>
        </w:rPr>
        <w:t xml:space="preserve"> ‘public interest</w:t>
      </w:r>
      <w:r w:rsidR="00A94075">
        <w:rPr>
          <w:rFonts w:ascii="Garamond" w:hAnsi="Garamond" w:cstheme="minorHAnsi"/>
          <w:sz w:val="24"/>
          <w:szCs w:val="24"/>
        </w:rPr>
        <w:t>.</w:t>
      </w:r>
      <w:r w:rsidR="00451FF5" w:rsidRPr="00461D74">
        <w:rPr>
          <w:rFonts w:ascii="Garamond" w:hAnsi="Garamond" w:cstheme="minorHAnsi"/>
          <w:sz w:val="24"/>
          <w:szCs w:val="24"/>
        </w:rPr>
        <w:t>’</w:t>
      </w:r>
      <w:r w:rsidRPr="00461D74">
        <w:rPr>
          <w:rFonts w:ascii="Garamond" w:hAnsi="Garamond" w:cstheme="minorHAnsi"/>
          <w:sz w:val="24"/>
          <w:szCs w:val="24"/>
        </w:rPr>
        <w:t xml:space="preserve"> On the other hand, the individual good defined in Thomist</w:t>
      </w:r>
      <w:r w:rsidR="009D5673">
        <w:rPr>
          <w:rFonts w:ascii="Garamond" w:hAnsi="Garamond" w:cstheme="minorHAnsi"/>
          <w:sz w:val="24"/>
          <w:szCs w:val="24"/>
        </w:rPr>
        <w:t>ic</w:t>
      </w:r>
      <w:r w:rsidRPr="00461D74">
        <w:rPr>
          <w:rFonts w:ascii="Garamond" w:hAnsi="Garamond" w:cstheme="minorHAnsi"/>
          <w:sz w:val="24"/>
          <w:szCs w:val="24"/>
        </w:rPr>
        <w:t xml:space="preserve"> politics is not prior to the common good – namely, the common good of such a politics isn’t reducible to an antecedent concept of the individual good. The concept of ‘public interest’ </w:t>
      </w:r>
      <w:r w:rsidR="00A94075">
        <w:rPr>
          <w:rFonts w:ascii="Garamond" w:hAnsi="Garamond" w:cstheme="minorHAnsi"/>
          <w:sz w:val="24"/>
          <w:szCs w:val="24"/>
        </w:rPr>
        <w:t xml:space="preserve">consequently </w:t>
      </w:r>
      <w:r w:rsidRPr="00461D74">
        <w:rPr>
          <w:rFonts w:ascii="Garamond" w:hAnsi="Garamond" w:cstheme="minorHAnsi"/>
          <w:sz w:val="24"/>
          <w:szCs w:val="24"/>
        </w:rPr>
        <w:t xml:space="preserve">doesn’t </w:t>
      </w:r>
      <w:r w:rsidR="00A94075">
        <w:rPr>
          <w:rFonts w:ascii="Garamond" w:hAnsi="Garamond" w:cstheme="minorHAnsi"/>
          <w:sz w:val="24"/>
          <w:szCs w:val="24"/>
        </w:rPr>
        <w:t>hold</w:t>
      </w:r>
      <w:r w:rsidR="00A94075" w:rsidRPr="00461D74">
        <w:rPr>
          <w:rFonts w:ascii="Garamond" w:hAnsi="Garamond" w:cstheme="minorHAnsi"/>
          <w:sz w:val="24"/>
          <w:szCs w:val="24"/>
        </w:rPr>
        <w:t xml:space="preserve"> </w:t>
      </w:r>
      <w:r w:rsidRPr="00461D74">
        <w:rPr>
          <w:rFonts w:ascii="Garamond" w:hAnsi="Garamond" w:cstheme="minorHAnsi"/>
          <w:sz w:val="24"/>
          <w:szCs w:val="24"/>
        </w:rPr>
        <w:t xml:space="preserve">the right sort of relationship with </w:t>
      </w:r>
      <w:r w:rsidR="00A94075">
        <w:rPr>
          <w:rFonts w:ascii="Garamond" w:hAnsi="Garamond" w:cstheme="minorHAnsi"/>
          <w:sz w:val="24"/>
          <w:szCs w:val="24"/>
        </w:rPr>
        <w:t>the</w:t>
      </w:r>
      <w:r w:rsidR="00451FF5" w:rsidRPr="00461D74">
        <w:rPr>
          <w:rFonts w:ascii="Garamond" w:hAnsi="Garamond" w:cstheme="minorHAnsi"/>
          <w:sz w:val="24"/>
          <w:szCs w:val="24"/>
        </w:rPr>
        <w:t xml:space="preserve"> </w:t>
      </w:r>
      <w:r w:rsidRPr="00461D74">
        <w:rPr>
          <w:rFonts w:ascii="Garamond" w:hAnsi="Garamond" w:cstheme="minorHAnsi"/>
          <w:sz w:val="24"/>
          <w:szCs w:val="24"/>
        </w:rPr>
        <w:t>individual</w:t>
      </w:r>
      <w:r w:rsidR="00451FF5" w:rsidRPr="00461D74">
        <w:rPr>
          <w:rFonts w:ascii="Garamond" w:hAnsi="Garamond" w:cstheme="minorHAnsi"/>
          <w:sz w:val="24"/>
          <w:szCs w:val="24"/>
        </w:rPr>
        <w:t>’s</w:t>
      </w:r>
      <w:r w:rsidRPr="00461D74">
        <w:rPr>
          <w:rFonts w:ascii="Garamond" w:hAnsi="Garamond" w:cstheme="minorHAnsi"/>
          <w:sz w:val="24"/>
          <w:szCs w:val="24"/>
        </w:rPr>
        <w:t xml:space="preserve"> good, whilst the common good defined under Thomism </w:t>
      </w:r>
      <w:r w:rsidR="00A94075">
        <w:rPr>
          <w:rFonts w:ascii="Garamond" w:hAnsi="Garamond" w:cstheme="minorHAnsi"/>
          <w:sz w:val="24"/>
          <w:szCs w:val="24"/>
        </w:rPr>
        <w:t>maintains</w:t>
      </w:r>
      <w:r w:rsidR="00A94075" w:rsidRPr="00461D74">
        <w:rPr>
          <w:rFonts w:ascii="Garamond" w:hAnsi="Garamond" w:cstheme="minorHAnsi"/>
          <w:sz w:val="24"/>
          <w:szCs w:val="24"/>
        </w:rPr>
        <w:t xml:space="preserve"> </w:t>
      </w:r>
      <w:r w:rsidR="00A94075">
        <w:rPr>
          <w:rFonts w:ascii="Garamond" w:hAnsi="Garamond" w:cstheme="minorHAnsi"/>
          <w:sz w:val="24"/>
          <w:szCs w:val="24"/>
        </w:rPr>
        <w:t>an</w:t>
      </w:r>
      <w:r w:rsidR="00A94075" w:rsidRPr="00461D74">
        <w:rPr>
          <w:rFonts w:ascii="Garamond" w:hAnsi="Garamond" w:cstheme="minorHAnsi"/>
          <w:sz w:val="24"/>
          <w:szCs w:val="24"/>
        </w:rPr>
        <w:t xml:space="preserve"> </w:t>
      </w:r>
      <w:r w:rsidR="00A94075">
        <w:rPr>
          <w:rFonts w:ascii="Garamond" w:hAnsi="Garamond" w:cstheme="minorHAnsi"/>
          <w:sz w:val="24"/>
          <w:szCs w:val="24"/>
        </w:rPr>
        <w:t>appropriate</w:t>
      </w:r>
      <w:r w:rsidR="00A94075" w:rsidRPr="00461D74">
        <w:rPr>
          <w:rFonts w:ascii="Garamond" w:hAnsi="Garamond" w:cstheme="minorHAnsi"/>
          <w:sz w:val="24"/>
          <w:szCs w:val="24"/>
        </w:rPr>
        <w:t xml:space="preserve"> </w:t>
      </w:r>
      <w:r w:rsidR="00A94075">
        <w:rPr>
          <w:rFonts w:ascii="Garamond" w:hAnsi="Garamond" w:cstheme="minorHAnsi"/>
          <w:sz w:val="24"/>
          <w:szCs w:val="24"/>
        </w:rPr>
        <w:t>form</w:t>
      </w:r>
      <w:r w:rsidR="00A94075" w:rsidRPr="00461D74">
        <w:rPr>
          <w:rFonts w:ascii="Garamond" w:hAnsi="Garamond" w:cstheme="minorHAnsi"/>
          <w:sz w:val="24"/>
          <w:szCs w:val="24"/>
        </w:rPr>
        <w:t xml:space="preserve"> </w:t>
      </w:r>
      <w:r w:rsidRPr="00461D74">
        <w:rPr>
          <w:rFonts w:ascii="Garamond" w:hAnsi="Garamond" w:cstheme="minorHAnsi"/>
          <w:sz w:val="24"/>
          <w:szCs w:val="24"/>
        </w:rPr>
        <w:t xml:space="preserve">of relationship with </w:t>
      </w:r>
      <w:r w:rsidR="00451FF5" w:rsidRPr="00461D74">
        <w:rPr>
          <w:rFonts w:ascii="Garamond" w:hAnsi="Garamond" w:cstheme="minorHAnsi"/>
          <w:sz w:val="24"/>
          <w:szCs w:val="24"/>
        </w:rPr>
        <w:t xml:space="preserve">respect to </w:t>
      </w:r>
      <w:r w:rsidR="00BA5F43" w:rsidRPr="00461D74">
        <w:rPr>
          <w:rFonts w:ascii="Garamond" w:hAnsi="Garamond" w:cstheme="minorHAnsi"/>
          <w:i/>
          <w:sz w:val="24"/>
          <w:szCs w:val="24"/>
        </w:rPr>
        <w:t>that</w:t>
      </w:r>
      <w:r w:rsidRPr="00461D74">
        <w:rPr>
          <w:rFonts w:ascii="Garamond" w:hAnsi="Garamond" w:cstheme="minorHAnsi"/>
          <w:sz w:val="24"/>
          <w:szCs w:val="24"/>
        </w:rPr>
        <w:t xml:space="preserve"> good.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In order to further clarify the distinction between on the one hand, the right sort of relationship between the individual good and the common good, and on the other hand, the wrong sort of relationship between the individual good and the goods generated by the state such as ‘public interest</w:t>
      </w:r>
      <w:r w:rsidR="00A94075">
        <w:rPr>
          <w:rFonts w:ascii="Garamond" w:hAnsi="Garamond" w:cstheme="minorHAnsi"/>
          <w:sz w:val="24"/>
          <w:szCs w:val="24"/>
        </w:rPr>
        <w:t>,</w:t>
      </w:r>
      <w:r w:rsidRPr="00461D74">
        <w:rPr>
          <w:rFonts w:ascii="Garamond" w:hAnsi="Garamond" w:cstheme="minorHAnsi"/>
          <w:sz w:val="24"/>
          <w:szCs w:val="24"/>
        </w:rPr>
        <w:t xml:space="preserve">’ I will turn to an example. </w:t>
      </w:r>
      <w:r w:rsidRPr="00461D74">
        <w:rPr>
          <w:rFonts w:ascii="Garamond" w:hAnsi="Garamond" w:cstheme="minorHAnsi"/>
          <w:sz w:val="24"/>
          <w:szCs w:val="24"/>
        </w:rPr>
        <w:lastRenderedPageBreak/>
        <w:t xml:space="preserve">The type of example I </w:t>
      </w:r>
      <w:r w:rsidR="00803349" w:rsidRPr="00461D74">
        <w:rPr>
          <w:rFonts w:ascii="Garamond" w:hAnsi="Garamond" w:cstheme="minorHAnsi"/>
          <w:sz w:val="24"/>
          <w:szCs w:val="24"/>
        </w:rPr>
        <w:t>have in mind should</w:t>
      </w:r>
      <w:r w:rsidRPr="00461D74">
        <w:rPr>
          <w:rFonts w:ascii="Garamond" w:hAnsi="Garamond" w:cstheme="minorHAnsi"/>
          <w:sz w:val="24"/>
          <w:szCs w:val="24"/>
        </w:rPr>
        <w:t xml:space="preserve"> show how this distinction ultimately prevents us from utilising </w:t>
      </w:r>
      <w:r w:rsidR="00803349" w:rsidRPr="00461D74">
        <w:rPr>
          <w:rFonts w:ascii="Garamond" w:hAnsi="Garamond" w:cstheme="minorHAnsi"/>
          <w:sz w:val="24"/>
          <w:szCs w:val="24"/>
        </w:rPr>
        <w:t xml:space="preserve">Aquinas’ </w:t>
      </w:r>
      <w:r w:rsidRPr="00461D74">
        <w:rPr>
          <w:rFonts w:ascii="Garamond" w:hAnsi="Garamond" w:cstheme="minorHAnsi"/>
          <w:sz w:val="24"/>
          <w:szCs w:val="24"/>
        </w:rPr>
        <w:t xml:space="preserve">natural law resources </w:t>
      </w:r>
      <w:r w:rsidR="00803349" w:rsidRPr="00461D74">
        <w:rPr>
          <w:rFonts w:ascii="Garamond" w:hAnsi="Garamond" w:cstheme="minorHAnsi"/>
          <w:sz w:val="24"/>
          <w:szCs w:val="24"/>
        </w:rPr>
        <w:t>in defense of</w:t>
      </w:r>
      <w:r w:rsidRPr="00461D74">
        <w:rPr>
          <w:rFonts w:ascii="Garamond" w:hAnsi="Garamond" w:cstheme="minorHAnsi"/>
          <w:sz w:val="24"/>
          <w:szCs w:val="24"/>
        </w:rPr>
        <w:t xml:space="preserve"> local communities.</w:t>
      </w:r>
    </w:p>
    <w:p w:rsidR="00665157" w:rsidRDefault="00016049" w:rsidP="00DF67B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 Consider the issue of property rights: in the modern context individual property rights </w:t>
      </w:r>
      <w:r w:rsidR="00B331A6">
        <w:rPr>
          <w:rFonts w:ascii="Garamond" w:hAnsi="Garamond" w:cstheme="minorHAnsi"/>
          <w:sz w:val="24"/>
          <w:szCs w:val="24"/>
        </w:rPr>
        <w:t>–</w:t>
      </w:r>
      <w:r w:rsidR="00A94075">
        <w:rPr>
          <w:rFonts w:ascii="Garamond" w:hAnsi="Garamond" w:cstheme="minorHAnsi"/>
          <w:sz w:val="24"/>
          <w:szCs w:val="24"/>
        </w:rPr>
        <w:t xml:space="preserve"> an individual good</w:t>
      </w:r>
      <w:r w:rsidR="00915710">
        <w:rPr>
          <w:rFonts w:ascii="Garamond" w:hAnsi="Garamond" w:cstheme="minorHAnsi"/>
          <w:sz w:val="24"/>
          <w:szCs w:val="24"/>
        </w:rPr>
        <w:t xml:space="preserve"> on this modern view</w:t>
      </w:r>
      <w:r w:rsidR="00A94075">
        <w:rPr>
          <w:rFonts w:ascii="Garamond" w:hAnsi="Garamond" w:cstheme="minorHAnsi"/>
          <w:sz w:val="24"/>
          <w:szCs w:val="24"/>
        </w:rPr>
        <w:t xml:space="preserve"> </w:t>
      </w:r>
      <w:r w:rsidR="00B331A6">
        <w:rPr>
          <w:rFonts w:ascii="Garamond" w:hAnsi="Garamond" w:cstheme="minorHAnsi"/>
          <w:sz w:val="24"/>
          <w:szCs w:val="24"/>
        </w:rPr>
        <w:t>–</w:t>
      </w:r>
      <w:r w:rsidR="00915710">
        <w:rPr>
          <w:rFonts w:ascii="Garamond" w:hAnsi="Garamond" w:cstheme="minorHAnsi"/>
          <w:sz w:val="24"/>
          <w:szCs w:val="24"/>
        </w:rPr>
        <w:t xml:space="preserve"> </w:t>
      </w:r>
      <w:r w:rsidR="00B331A6">
        <w:rPr>
          <w:rFonts w:ascii="Garamond" w:hAnsi="Garamond" w:cstheme="minorHAnsi"/>
          <w:sz w:val="24"/>
          <w:szCs w:val="24"/>
        </w:rPr>
        <w:t>generally enjoy</w:t>
      </w:r>
      <w:r w:rsidR="00915710">
        <w:rPr>
          <w:rFonts w:ascii="Garamond" w:hAnsi="Garamond" w:cstheme="minorHAnsi"/>
          <w:sz w:val="24"/>
          <w:szCs w:val="24"/>
        </w:rPr>
        <w:t xml:space="preserve"> </w:t>
      </w:r>
      <w:r w:rsidR="00B331A6">
        <w:rPr>
          <w:rFonts w:ascii="Garamond" w:hAnsi="Garamond" w:cstheme="minorHAnsi"/>
          <w:sz w:val="24"/>
          <w:szCs w:val="24"/>
        </w:rPr>
        <w:t>conceptual priority over public interest concerns</w:t>
      </w:r>
      <w:r w:rsidR="00915710">
        <w:rPr>
          <w:rFonts w:ascii="Garamond" w:hAnsi="Garamond" w:cstheme="minorHAnsi"/>
          <w:sz w:val="24"/>
          <w:szCs w:val="24"/>
        </w:rPr>
        <w:t xml:space="preserve">. And this is in large part because the concept of an individual’s good, in this case the individual’s property rights, is defined in terms </w:t>
      </w:r>
      <w:r w:rsidR="00DF67BE">
        <w:rPr>
          <w:rFonts w:ascii="Garamond" w:hAnsi="Garamond" w:cstheme="minorHAnsi"/>
          <w:sz w:val="24"/>
          <w:szCs w:val="24"/>
        </w:rPr>
        <w:t>which</w:t>
      </w:r>
      <w:r w:rsidR="00915710">
        <w:rPr>
          <w:rFonts w:ascii="Garamond" w:hAnsi="Garamond" w:cstheme="minorHAnsi"/>
          <w:sz w:val="24"/>
          <w:szCs w:val="24"/>
        </w:rPr>
        <w:t xml:space="preserve"> to a </w:t>
      </w:r>
      <w:r w:rsidR="00DF67BE">
        <w:rPr>
          <w:rFonts w:ascii="Garamond" w:hAnsi="Garamond" w:cstheme="minorHAnsi"/>
          <w:sz w:val="24"/>
          <w:szCs w:val="24"/>
        </w:rPr>
        <w:t>significant</w:t>
      </w:r>
      <w:r w:rsidR="00915710">
        <w:rPr>
          <w:rFonts w:ascii="Garamond" w:hAnsi="Garamond" w:cstheme="minorHAnsi"/>
          <w:sz w:val="24"/>
          <w:szCs w:val="24"/>
        </w:rPr>
        <w:t xml:space="preserve"> degree eliminates social consideration</w:t>
      </w:r>
      <w:r w:rsidR="00DF67BE">
        <w:rPr>
          <w:rFonts w:ascii="Garamond" w:hAnsi="Garamond" w:cstheme="minorHAnsi"/>
          <w:sz w:val="24"/>
          <w:szCs w:val="24"/>
        </w:rPr>
        <w:t>s</w:t>
      </w:r>
      <w:r w:rsidR="00915710">
        <w:rPr>
          <w:rFonts w:ascii="Garamond" w:hAnsi="Garamond" w:cstheme="minorHAnsi"/>
          <w:sz w:val="24"/>
          <w:szCs w:val="24"/>
        </w:rPr>
        <w:t xml:space="preserve"> having to do with the </w:t>
      </w:r>
      <w:r w:rsidR="00DF67BE">
        <w:rPr>
          <w:rFonts w:ascii="Garamond" w:hAnsi="Garamond" w:cstheme="minorHAnsi"/>
          <w:sz w:val="24"/>
          <w:szCs w:val="24"/>
        </w:rPr>
        <w:t>production,</w:t>
      </w:r>
      <w:r w:rsidR="00915710">
        <w:rPr>
          <w:rFonts w:ascii="Garamond" w:hAnsi="Garamond" w:cstheme="minorHAnsi"/>
          <w:sz w:val="24"/>
          <w:szCs w:val="24"/>
        </w:rPr>
        <w:t xml:space="preserve"> and the use of</w:t>
      </w:r>
      <w:r w:rsidR="00DF67BE">
        <w:rPr>
          <w:rFonts w:ascii="Garamond" w:hAnsi="Garamond" w:cstheme="minorHAnsi"/>
          <w:sz w:val="24"/>
          <w:szCs w:val="24"/>
        </w:rPr>
        <w:t>,</w:t>
      </w:r>
      <w:r w:rsidR="00915710">
        <w:rPr>
          <w:rFonts w:ascii="Garamond" w:hAnsi="Garamond" w:cstheme="minorHAnsi"/>
          <w:sz w:val="24"/>
          <w:szCs w:val="24"/>
        </w:rPr>
        <w:t xml:space="preserve"> </w:t>
      </w:r>
      <w:r w:rsidR="00DF67BE">
        <w:rPr>
          <w:rFonts w:ascii="Garamond" w:hAnsi="Garamond" w:cstheme="minorHAnsi"/>
          <w:sz w:val="24"/>
          <w:szCs w:val="24"/>
        </w:rPr>
        <w:t>such</w:t>
      </w:r>
      <w:r w:rsidR="00915710">
        <w:rPr>
          <w:rFonts w:ascii="Garamond" w:hAnsi="Garamond" w:cstheme="minorHAnsi"/>
          <w:sz w:val="24"/>
          <w:szCs w:val="24"/>
        </w:rPr>
        <w:t xml:space="preserve"> good</w:t>
      </w:r>
      <w:r w:rsidR="00DF67BE">
        <w:rPr>
          <w:rFonts w:ascii="Garamond" w:hAnsi="Garamond" w:cstheme="minorHAnsi"/>
          <w:sz w:val="24"/>
          <w:szCs w:val="24"/>
        </w:rPr>
        <w:t xml:space="preserve">s. </w:t>
      </w:r>
      <w:r w:rsidRPr="00461D74">
        <w:rPr>
          <w:rFonts w:ascii="Garamond" w:hAnsi="Garamond" w:cstheme="minorHAnsi"/>
          <w:sz w:val="24"/>
          <w:szCs w:val="24"/>
        </w:rPr>
        <w:t>In fact, in many early modern interpretations of this problem in politics</w:t>
      </w:r>
      <w:r w:rsidR="009E78A4" w:rsidRPr="00461D74">
        <w:rPr>
          <w:rFonts w:ascii="Garamond" w:hAnsi="Garamond" w:cstheme="minorHAnsi"/>
          <w:sz w:val="24"/>
          <w:szCs w:val="24"/>
        </w:rPr>
        <w:t>,</w:t>
      </w:r>
      <w:r w:rsidRPr="00461D74">
        <w:rPr>
          <w:rFonts w:ascii="Garamond" w:hAnsi="Garamond" w:cstheme="minorHAnsi"/>
          <w:sz w:val="24"/>
          <w:szCs w:val="24"/>
        </w:rPr>
        <w:t xml:space="preserve"> it was maintained that the best way for individuals to protect their individual property right was to enter into civil society.</w:t>
      </w:r>
      <w:r w:rsidRPr="00461D74">
        <w:rPr>
          <w:rStyle w:val="FootnoteReference"/>
          <w:rFonts w:ascii="Garamond" w:hAnsi="Garamond" w:cstheme="minorHAnsi"/>
          <w:sz w:val="24"/>
          <w:szCs w:val="24"/>
        </w:rPr>
        <w:footnoteReference w:id="381"/>
      </w:r>
      <w:r w:rsidRPr="00461D74">
        <w:rPr>
          <w:rFonts w:ascii="Garamond" w:hAnsi="Garamond" w:cstheme="minorHAnsi"/>
          <w:sz w:val="24"/>
          <w:szCs w:val="24"/>
        </w:rPr>
        <w:t xml:space="preserve"> On this view, the concept of property rights is prior to the sort of goods, like that of ‘public interest</w:t>
      </w:r>
      <w:r w:rsidR="00DF67BE">
        <w:rPr>
          <w:rFonts w:ascii="Garamond" w:hAnsi="Garamond" w:cstheme="minorHAnsi"/>
          <w:sz w:val="24"/>
          <w:szCs w:val="24"/>
        </w:rPr>
        <w:t>,</w:t>
      </w:r>
      <w:r w:rsidRPr="00461D74">
        <w:rPr>
          <w:rFonts w:ascii="Garamond" w:hAnsi="Garamond" w:cstheme="minorHAnsi"/>
          <w:sz w:val="24"/>
          <w:szCs w:val="24"/>
        </w:rPr>
        <w:t>’ generated by the state. Here, at least with respect to the relationship between individual property rights and ‘public interest’ in the modern state, we could say that ‘public interest’ is a set of conditions that best protects the goods associated with individual private property rights. Thus those goods</w:t>
      </w:r>
      <w:r w:rsidR="00B5569E" w:rsidRPr="00461D74">
        <w:rPr>
          <w:rFonts w:ascii="Garamond" w:hAnsi="Garamond" w:cstheme="minorHAnsi"/>
          <w:sz w:val="24"/>
          <w:szCs w:val="24"/>
        </w:rPr>
        <w:t>, understood as rules or laws</w:t>
      </w:r>
      <w:r w:rsidRPr="00461D74">
        <w:rPr>
          <w:rFonts w:ascii="Garamond" w:hAnsi="Garamond" w:cstheme="minorHAnsi"/>
          <w:sz w:val="24"/>
          <w:szCs w:val="24"/>
        </w:rPr>
        <w:t xml:space="preserve"> </w:t>
      </w:r>
      <w:r w:rsidR="00B5569E" w:rsidRPr="00461D74">
        <w:rPr>
          <w:rFonts w:ascii="Garamond" w:hAnsi="Garamond" w:cstheme="minorHAnsi"/>
          <w:sz w:val="24"/>
          <w:szCs w:val="24"/>
        </w:rPr>
        <w:t xml:space="preserve">that </w:t>
      </w:r>
      <w:r w:rsidR="00803349" w:rsidRPr="00461D74">
        <w:rPr>
          <w:rFonts w:ascii="Garamond" w:hAnsi="Garamond" w:cstheme="minorHAnsi"/>
          <w:sz w:val="24"/>
          <w:szCs w:val="24"/>
        </w:rPr>
        <w:t>protect propert</w:t>
      </w:r>
      <w:r w:rsidR="00B5569E" w:rsidRPr="00461D74">
        <w:rPr>
          <w:rFonts w:ascii="Garamond" w:hAnsi="Garamond" w:cstheme="minorHAnsi"/>
          <w:sz w:val="24"/>
          <w:szCs w:val="24"/>
        </w:rPr>
        <w:t xml:space="preserve">y rights, </w:t>
      </w:r>
      <w:r w:rsidRPr="00461D74">
        <w:rPr>
          <w:rFonts w:ascii="Garamond" w:hAnsi="Garamond" w:cstheme="minorHAnsi"/>
          <w:sz w:val="24"/>
          <w:szCs w:val="24"/>
        </w:rPr>
        <w:t xml:space="preserve">are ultimately reducible to the antecedent good </w:t>
      </w:r>
      <w:r w:rsidR="00B5569E" w:rsidRPr="00461D74">
        <w:rPr>
          <w:rFonts w:ascii="Garamond" w:hAnsi="Garamond" w:cstheme="minorHAnsi"/>
          <w:sz w:val="24"/>
          <w:szCs w:val="24"/>
        </w:rPr>
        <w:t xml:space="preserve">derived from the </w:t>
      </w:r>
      <w:r w:rsidRPr="00461D74">
        <w:rPr>
          <w:rFonts w:ascii="Garamond" w:hAnsi="Garamond" w:cstheme="minorHAnsi"/>
          <w:sz w:val="24"/>
          <w:szCs w:val="24"/>
        </w:rPr>
        <w:t>individual</w:t>
      </w:r>
      <w:r w:rsidR="00B5569E" w:rsidRPr="00461D74">
        <w:rPr>
          <w:rFonts w:ascii="Garamond" w:hAnsi="Garamond" w:cstheme="minorHAnsi"/>
          <w:sz w:val="24"/>
          <w:szCs w:val="24"/>
        </w:rPr>
        <w:t xml:space="preserve"> enjoying the benefits of </w:t>
      </w:r>
      <w:r w:rsidR="00F01951" w:rsidRPr="00461D74">
        <w:rPr>
          <w:rFonts w:ascii="Garamond" w:hAnsi="Garamond" w:cstheme="minorHAnsi"/>
          <w:sz w:val="24"/>
          <w:szCs w:val="24"/>
        </w:rPr>
        <w:t xml:space="preserve">private </w:t>
      </w:r>
      <w:r w:rsidR="00B5569E" w:rsidRPr="00461D74">
        <w:rPr>
          <w:rFonts w:ascii="Garamond" w:hAnsi="Garamond" w:cstheme="minorHAnsi"/>
          <w:sz w:val="24"/>
          <w:szCs w:val="24"/>
        </w:rPr>
        <w:t>ownership</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Now consider the contrast between the modern view of private property rights and the Thomist account of possessing private property. On </w:t>
      </w:r>
      <w:r w:rsidR="00F01951" w:rsidRPr="00461D74">
        <w:rPr>
          <w:rFonts w:ascii="Garamond" w:hAnsi="Garamond" w:cstheme="minorHAnsi"/>
          <w:sz w:val="24"/>
          <w:szCs w:val="24"/>
        </w:rPr>
        <w:t xml:space="preserve">the </w:t>
      </w:r>
      <w:r w:rsidRPr="00461D74">
        <w:rPr>
          <w:rFonts w:ascii="Garamond" w:hAnsi="Garamond" w:cstheme="minorHAnsi"/>
          <w:sz w:val="24"/>
          <w:szCs w:val="24"/>
        </w:rPr>
        <w:t>Thomist account</w:t>
      </w:r>
      <w:r w:rsidR="00F01951" w:rsidRPr="00461D74">
        <w:rPr>
          <w:rFonts w:ascii="Garamond" w:hAnsi="Garamond" w:cstheme="minorHAnsi"/>
          <w:sz w:val="24"/>
          <w:szCs w:val="24"/>
        </w:rPr>
        <w:t>,</w:t>
      </w:r>
      <w:r w:rsidRPr="00461D74">
        <w:rPr>
          <w:rFonts w:ascii="Garamond" w:hAnsi="Garamond" w:cstheme="minorHAnsi"/>
          <w:sz w:val="24"/>
          <w:szCs w:val="24"/>
        </w:rPr>
        <w:t xml:space="preserve"> we only possess private property by constituting human laws that </w:t>
      </w:r>
      <w:r w:rsidR="00F01951" w:rsidRPr="00461D74">
        <w:rPr>
          <w:rFonts w:ascii="Garamond" w:hAnsi="Garamond" w:cstheme="minorHAnsi"/>
          <w:sz w:val="24"/>
          <w:szCs w:val="24"/>
        </w:rPr>
        <w:t xml:space="preserve">explain </w:t>
      </w:r>
      <w:r w:rsidRPr="00461D74">
        <w:rPr>
          <w:rFonts w:ascii="Garamond" w:hAnsi="Garamond" w:cstheme="minorHAnsi"/>
          <w:sz w:val="24"/>
          <w:szCs w:val="24"/>
        </w:rPr>
        <w:t>how the possession of property is to be understood</w:t>
      </w:r>
      <w:r w:rsidR="00F01951" w:rsidRPr="00461D74">
        <w:rPr>
          <w:rFonts w:ascii="Garamond" w:hAnsi="Garamond" w:cstheme="minorHAnsi"/>
          <w:sz w:val="24"/>
          <w:szCs w:val="24"/>
        </w:rPr>
        <w:t>, in a more universal or naturalistic sense</w:t>
      </w:r>
      <w:r w:rsidRPr="00461D74">
        <w:rPr>
          <w:rFonts w:ascii="Garamond" w:hAnsi="Garamond" w:cstheme="minorHAnsi"/>
          <w:sz w:val="24"/>
          <w:szCs w:val="24"/>
        </w:rPr>
        <w:t xml:space="preserve">. On </w:t>
      </w:r>
      <w:r w:rsidR="00F01951" w:rsidRPr="00461D74">
        <w:rPr>
          <w:rFonts w:ascii="Garamond" w:hAnsi="Garamond" w:cstheme="minorHAnsi"/>
          <w:sz w:val="24"/>
          <w:szCs w:val="24"/>
        </w:rPr>
        <w:t xml:space="preserve">the Thomist </w:t>
      </w:r>
      <w:r w:rsidRPr="00461D74">
        <w:rPr>
          <w:rFonts w:ascii="Garamond" w:hAnsi="Garamond" w:cstheme="minorHAnsi"/>
          <w:sz w:val="24"/>
          <w:szCs w:val="24"/>
        </w:rPr>
        <w:t>view</w:t>
      </w:r>
      <w:r w:rsidR="00F01951" w:rsidRPr="00461D74">
        <w:rPr>
          <w:rFonts w:ascii="Garamond" w:hAnsi="Garamond" w:cstheme="minorHAnsi"/>
          <w:sz w:val="24"/>
          <w:szCs w:val="24"/>
        </w:rPr>
        <w:t>,</w:t>
      </w:r>
      <w:r w:rsidRPr="00461D74">
        <w:rPr>
          <w:rFonts w:ascii="Garamond" w:hAnsi="Garamond" w:cstheme="minorHAnsi"/>
          <w:sz w:val="24"/>
          <w:szCs w:val="24"/>
        </w:rPr>
        <w:t xml:space="preserve"> the laws that outline the possession of property are human additions to natural law and </w:t>
      </w:r>
      <w:r w:rsidR="00F01951" w:rsidRPr="00461D74">
        <w:rPr>
          <w:rFonts w:ascii="Garamond" w:hAnsi="Garamond" w:cstheme="minorHAnsi"/>
          <w:sz w:val="24"/>
          <w:szCs w:val="24"/>
        </w:rPr>
        <w:t xml:space="preserve">thus must remain consistent with that </w:t>
      </w:r>
      <w:r w:rsidRPr="00461D74">
        <w:rPr>
          <w:rFonts w:ascii="Garamond" w:hAnsi="Garamond" w:cstheme="minorHAnsi"/>
          <w:sz w:val="24"/>
          <w:szCs w:val="24"/>
        </w:rPr>
        <w:t xml:space="preserve">law. </w:t>
      </w:r>
      <w:r w:rsidR="00F01951" w:rsidRPr="00461D74">
        <w:rPr>
          <w:rFonts w:ascii="Garamond" w:hAnsi="Garamond" w:cstheme="minorHAnsi"/>
          <w:sz w:val="24"/>
          <w:szCs w:val="24"/>
        </w:rPr>
        <w:t xml:space="preserve">For Aquinas this meant that </w:t>
      </w:r>
      <w:r w:rsidRPr="00461D74">
        <w:rPr>
          <w:rFonts w:ascii="Garamond" w:hAnsi="Garamond" w:cstheme="minorHAnsi"/>
          <w:sz w:val="24"/>
          <w:szCs w:val="24"/>
        </w:rPr>
        <w:t xml:space="preserve">no one should </w:t>
      </w:r>
      <w:r w:rsidR="00F01951" w:rsidRPr="00461D74">
        <w:rPr>
          <w:rFonts w:ascii="Garamond" w:hAnsi="Garamond" w:cstheme="minorHAnsi"/>
          <w:sz w:val="24"/>
          <w:szCs w:val="24"/>
        </w:rPr>
        <w:t>have the right to</w:t>
      </w:r>
      <w:r w:rsidRPr="00461D74">
        <w:rPr>
          <w:rFonts w:ascii="Garamond" w:hAnsi="Garamond" w:cstheme="minorHAnsi"/>
          <w:sz w:val="24"/>
          <w:szCs w:val="24"/>
        </w:rPr>
        <w:t xml:space="preserve"> possess </w:t>
      </w:r>
      <w:r w:rsidRPr="00461D74">
        <w:rPr>
          <w:rFonts w:ascii="Garamond" w:hAnsi="Garamond" w:cstheme="minorHAnsi"/>
          <w:sz w:val="24"/>
          <w:szCs w:val="24"/>
        </w:rPr>
        <w:lastRenderedPageBreak/>
        <w:t xml:space="preserve">more property than they </w:t>
      </w:r>
      <w:r w:rsidR="00F01951" w:rsidRPr="00461D74">
        <w:rPr>
          <w:rFonts w:ascii="Garamond" w:hAnsi="Garamond" w:cstheme="minorHAnsi"/>
          <w:sz w:val="24"/>
          <w:szCs w:val="24"/>
        </w:rPr>
        <w:t xml:space="preserve">could possibly </w:t>
      </w:r>
      <w:r w:rsidRPr="00461D74">
        <w:rPr>
          <w:rFonts w:ascii="Garamond" w:hAnsi="Garamond" w:cstheme="minorHAnsi"/>
          <w:sz w:val="24"/>
          <w:szCs w:val="24"/>
        </w:rPr>
        <w:t xml:space="preserve">utilise as </w:t>
      </w:r>
      <w:r w:rsidR="00F01951" w:rsidRPr="00461D74">
        <w:rPr>
          <w:rFonts w:ascii="Garamond" w:hAnsi="Garamond" w:cstheme="minorHAnsi"/>
          <w:sz w:val="24"/>
          <w:szCs w:val="24"/>
        </w:rPr>
        <w:t>a person</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82"/>
      </w:r>
      <w:r w:rsidRPr="00461D74">
        <w:rPr>
          <w:rFonts w:ascii="Garamond" w:hAnsi="Garamond" w:cstheme="minorHAnsi"/>
          <w:sz w:val="24"/>
          <w:szCs w:val="24"/>
        </w:rPr>
        <w:t xml:space="preserve"> Furthermore, the possession of private property can only be justified in light of a variety of practical considerations.</w:t>
      </w:r>
      <w:r w:rsidRPr="00461D74">
        <w:rPr>
          <w:rStyle w:val="FootnoteReference"/>
          <w:rFonts w:ascii="Garamond" w:hAnsi="Garamond" w:cstheme="minorHAnsi"/>
          <w:sz w:val="24"/>
          <w:szCs w:val="24"/>
        </w:rPr>
        <w:footnoteReference w:id="383"/>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Hibbs</w:t>
      </w:r>
      <w:proofErr w:type="spellEnd"/>
      <w:r w:rsidRPr="00461D74">
        <w:rPr>
          <w:rFonts w:ascii="Garamond" w:hAnsi="Garamond" w:cstheme="minorHAnsi"/>
          <w:sz w:val="24"/>
          <w:szCs w:val="24"/>
        </w:rPr>
        <w:t xml:space="preserve"> states </w:t>
      </w:r>
      <w:r w:rsidR="00F01951" w:rsidRPr="00461D74">
        <w:rPr>
          <w:rFonts w:ascii="Garamond" w:hAnsi="Garamond" w:cstheme="minorHAnsi"/>
          <w:sz w:val="24"/>
          <w:szCs w:val="24"/>
        </w:rPr>
        <w:t xml:space="preserve">here </w:t>
      </w:r>
      <w:r w:rsidRPr="00461D74">
        <w:rPr>
          <w:rFonts w:ascii="Garamond" w:hAnsi="Garamond" w:cstheme="minorHAnsi"/>
          <w:sz w:val="24"/>
          <w:szCs w:val="24"/>
        </w:rPr>
        <w:t>that “whenever Aquinas addresses the issue of private property, he justifies it not in terms of rights antecedent to civil government, but in light of the common good</w:t>
      </w:r>
      <w:r w:rsidR="00F01951" w:rsidRPr="00461D74">
        <w:rPr>
          <w:rFonts w:ascii="Garamond" w:hAnsi="Garamond" w:cstheme="minorHAnsi"/>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84"/>
      </w:r>
      <w:r w:rsidRPr="00461D74">
        <w:rPr>
          <w:rFonts w:ascii="Garamond" w:hAnsi="Garamond" w:cstheme="minorHAnsi"/>
          <w:sz w:val="24"/>
          <w:szCs w:val="24"/>
        </w:rPr>
        <w:t xml:space="preserve"> </w:t>
      </w:r>
      <w:r w:rsidR="00F01951" w:rsidRPr="00461D74">
        <w:rPr>
          <w:rFonts w:ascii="Garamond" w:hAnsi="Garamond" w:cstheme="minorHAnsi"/>
          <w:sz w:val="24"/>
          <w:szCs w:val="24"/>
        </w:rPr>
        <w:t xml:space="preserve">Similarly, </w:t>
      </w:r>
      <w:r w:rsidR="005F2A9B">
        <w:rPr>
          <w:rFonts w:ascii="Garamond" w:hAnsi="Garamond" w:cstheme="minorHAnsi"/>
          <w:sz w:val="24"/>
          <w:szCs w:val="24"/>
        </w:rPr>
        <w:t xml:space="preserve">Robert </w:t>
      </w:r>
      <w:r w:rsidRPr="00461D74">
        <w:rPr>
          <w:rFonts w:ascii="Garamond" w:hAnsi="Garamond" w:cstheme="minorHAnsi"/>
          <w:sz w:val="24"/>
          <w:szCs w:val="24"/>
        </w:rPr>
        <w:t xml:space="preserve">Dyson </w:t>
      </w:r>
      <w:r w:rsidR="00F01951" w:rsidRPr="00461D74">
        <w:rPr>
          <w:rFonts w:ascii="Garamond" w:hAnsi="Garamond" w:cstheme="minorHAnsi"/>
          <w:sz w:val="24"/>
          <w:szCs w:val="24"/>
        </w:rPr>
        <w:t xml:space="preserve">argues </w:t>
      </w:r>
      <w:r w:rsidRPr="00461D74">
        <w:rPr>
          <w:rFonts w:ascii="Garamond" w:hAnsi="Garamond" w:cstheme="minorHAnsi"/>
          <w:sz w:val="24"/>
          <w:szCs w:val="24"/>
        </w:rPr>
        <w:t>that one of the main differences between Aquinas’s account of private property and modern accounts of property rights is that for Aquinas human laws “do not confer an unlimited right of acquisition and use. This distinction between ownership and use is effectively absent from modern doctrines of property</w:t>
      </w:r>
      <w:r w:rsidR="005F2A9B">
        <w:rPr>
          <w:rFonts w:ascii="Garamond" w:hAnsi="Garamond" w:cstheme="minorHAnsi"/>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385"/>
      </w:r>
      <w:r w:rsidRPr="00461D74">
        <w:rPr>
          <w:rFonts w:ascii="Garamond" w:hAnsi="Garamond" w:cstheme="minorHAnsi"/>
          <w:sz w:val="24"/>
          <w:szCs w:val="24"/>
        </w:rPr>
        <w:t xml:space="preserve"> </w:t>
      </w:r>
      <w:r w:rsidR="00145F4E" w:rsidRPr="00461D74">
        <w:rPr>
          <w:rFonts w:ascii="Garamond" w:hAnsi="Garamond" w:cstheme="minorHAnsi"/>
          <w:sz w:val="24"/>
          <w:szCs w:val="24"/>
        </w:rPr>
        <w:t>On this view,</w:t>
      </w:r>
      <w:r w:rsidR="00F01951" w:rsidRPr="00461D74">
        <w:rPr>
          <w:rFonts w:ascii="Garamond" w:hAnsi="Garamond" w:cstheme="minorHAnsi"/>
          <w:sz w:val="24"/>
          <w:szCs w:val="24"/>
        </w:rPr>
        <w:t xml:space="preserve"> </w:t>
      </w:r>
      <w:r w:rsidRPr="00461D74">
        <w:rPr>
          <w:rFonts w:ascii="Garamond" w:hAnsi="Garamond" w:cstheme="minorHAnsi"/>
          <w:sz w:val="24"/>
          <w:szCs w:val="24"/>
        </w:rPr>
        <w:t>the possession of private property can only be justified in light of the common good of society</w:t>
      </w:r>
      <w:r w:rsidR="00145F4E" w:rsidRPr="00461D74">
        <w:rPr>
          <w:rFonts w:ascii="Garamond" w:hAnsi="Garamond" w:cstheme="minorHAnsi"/>
          <w:sz w:val="24"/>
          <w:szCs w:val="24"/>
        </w:rPr>
        <w:t xml:space="preserve"> as a whole;</w:t>
      </w:r>
      <w:r w:rsidRPr="00461D74">
        <w:rPr>
          <w:rFonts w:ascii="Garamond" w:hAnsi="Garamond" w:cstheme="minorHAnsi"/>
          <w:sz w:val="24"/>
          <w:szCs w:val="24"/>
        </w:rPr>
        <w:t xml:space="preserve"> hence</w:t>
      </w:r>
      <w:r w:rsidR="00145F4E" w:rsidRPr="00461D74">
        <w:rPr>
          <w:rFonts w:ascii="Garamond" w:hAnsi="Garamond" w:cstheme="minorHAnsi"/>
          <w:sz w:val="24"/>
          <w:szCs w:val="24"/>
        </w:rPr>
        <w:t>,</w:t>
      </w:r>
      <w:r w:rsidRPr="00461D74">
        <w:rPr>
          <w:rFonts w:ascii="Garamond" w:hAnsi="Garamond" w:cstheme="minorHAnsi"/>
          <w:sz w:val="24"/>
          <w:szCs w:val="24"/>
        </w:rPr>
        <w:t xml:space="preserve"> property rights cannot be </w:t>
      </w:r>
      <w:r w:rsidR="00145F4E" w:rsidRPr="00461D74">
        <w:rPr>
          <w:rFonts w:ascii="Garamond" w:hAnsi="Garamond" w:cstheme="minorHAnsi"/>
          <w:sz w:val="24"/>
          <w:szCs w:val="24"/>
        </w:rPr>
        <w:t xml:space="preserve">simply </w:t>
      </w:r>
      <w:r w:rsidRPr="00461D74">
        <w:rPr>
          <w:rFonts w:ascii="Garamond" w:hAnsi="Garamond" w:cstheme="minorHAnsi"/>
          <w:sz w:val="24"/>
          <w:szCs w:val="24"/>
        </w:rPr>
        <w:t xml:space="preserve">defined or justified in a way that </w:t>
      </w:r>
      <w:r w:rsidR="00145F4E" w:rsidRPr="00461D74">
        <w:rPr>
          <w:rFonts w:ascii="Garamond" w:hAnsi="Garamond" w:cstheme="minorHAnsi"/>
          <w:sz w:val="24"/>
          <w:szCs w:val="24"/>
        </w:rPr>
        <w:t>conceptualises those rights</w:t>
      </w:r>
      <w:r w:rsidR="0067743E">
        <w:rPr>
          <w:rFonts w:ascii="Garamond" w:hAnsi="Garamond" w:cstheme="minorHAnsi"/>
          <w:sz w:val="24"/>
          <w:szCs w:val="24"/>
        </w:rPr>
        <w:t>,</w:t>
      </w:r>
      <w:r w:rsidRPr="00461D74">
        <w:rPr>
          <w:rFonts w:ascii="Garamond" w:hAnsi="Garamond" w:cstheme="minorHAnsi"/>
          <w:sz w:val="24"/>
          <w:szCs w:val="24"/>
        </w:rPr>
        <w:t xml:space="preserve"> </w:t>
      </w:r>
      <w:r w:rsidR="00145F4E" w:rsidRPr="00461D74">
        <w:rPr>
          <w:rFonts w:ascii="Garamond" w:hAnsi="Garamond" w:cstheme="minorHAnsi"/>
          <w:sz w:val="24"/>
          <w:szCs w:val="24"/>
        </w:rPr>
        <w:t xml:space="preserve">as </w:t>
      </w:r>
      <w:r w:rsidR="0067743E">
        <w:rPr>
          <w:rFonts w:ascii="Garamond" w:hAnsi="Garamond" w:cstheme="minorHAnsi"/>
          <w:sz w:val="24"/>
          <w:szCs w:val="24"/>
        </w:rPr>
        <w:t xml:space="preserve">generally enjoying an absolute </w:t>
      </w:r>
      <w:r w:rsidRPr="00461D74">
        <w:rPr>
          <w:rFonts w:ascii="Garamond" w:hAnsi="Garamond" w:cstheme="minorHAnsi"/>
          <w:sz w:val="24"/>
          <w:szCs w:val="24"/>
        </w:rPr>
        <w:t>prior</w:t>
      </w:r>
      <w:r w:rsidR="0067743E">
        <w:rPr>
          <w:rFonts w:ascii="Garamond" w:hAnsi="Garamond" w:cstheme="minorHAnsi"/>
          <w:sz w:val="24"/>
          <w:szCs w:val="24"/>
        </w:rPr>
        <w:t>ity over</w:t>
      </w:r>
      <w:r w:rsidRPr="00461D74">
        <w:rPr>
          <w:rFonts w:ascii="Garamond" w:hAnsi="Garamond" w:cstheme="minorHAnsi"/>
          <w:sz w:val="24"/>
          <w:szCs w:val="24"/>
        </w:rPr>
        <w:t xml:space="preserve"> the common good of the community as a whole. </w:t>
      </w:r>
      <w:r w:rsidR="00145F4E" w:rsidRPr="00461D74">
        <w:rPr>
          <w:rFonts w:ascii="Garamond" w:hAnsi="Garamond" w:cstheme="minorHAnsi"/>
          <w:sz w:val="24"/>
          <w:szCs w:val="24"/>
        </w:rPr>
        <w:t xml:space="preserve">Hence, </w:t>
      </w:r>
      <w:r w:rsidRPr="00461D74">
        <w:rPr>
          <w:rFonts w:ascii="Garamond" w:hAnsi="Garamond" w:cstheme="minorHAnsi"/>
          <w:sz w:val="24"/>
          <w:szCs w:val="24"/>
        </w:rPr>
        <w:t xml:space="preserve">the </w:t>
      </w:r>
      <w:r w:rsidR="00145F4E" w:rsidRPr="00461D74">
        <w:rPr>
          <w:rFonts w:ascii="Garamond" w:hAnsi="Garamond" w:cstheme="minorHAnsi"/>
          <w:sz w:val="24"/>
          <w:szCs w:val="24"/>
        </w:rPr>
        <w:t xml:space="preserve">goods a </w:t>
      </w:r>
      <w:r w:rsidRPr="00461D74">
        <w:rPr>
          <w:rFonts w:ascii="Garamond" w:hAnsi="Garamond" w:cstheme="minorHAnsi"/>
          <w:sz w:val="24"/>
          <w:szCs w:val="24"/>
        </w:rPr>
        <w:t xml:space="preserve">property </w:t>
      </w:r>
      <w:r w:rsidR="00145F4E" w:rsidRPr="00461D74">
        <w:rPr>
          <w:rFonts w:ascii="Garamond" w:hAnsi="Garamond" w:cstheme="minorHAnsi"/>
          <w:sz w:val="24"/>
          <w:szCs w:val="24"/>
        </w:rPr>
        <w:t xml:space="preserve">potentially </w:t>
      </w:r>
      <w:r w:rsidR="009E78A4" w:rsidRPr="00461D74">
        <w:rPr>
          <w:rFonts w:ascii="Garamond" w:hAnsi="Garamond" w:cstheme="minorHAnsi"/>
          <w:sz w:val="24"/>
          <w:szCs w:val="24"/>
        </w:rPr>
        <w:t>confers on</w:t>
      </w:r>
      <w:r w:rsidR="00145F4E" w:rsidRPr="00461D74">
        <w:rPr>
          <w:rFonts w:ascii="Garamond" w:hAnsi="Garamond" w:cstheme="minorHAnsi"/>
          <w:sz w:val="24"/>
          <w:szCs w:val="24"/>
        </w:rPr>
        <w:t xml:space="preserve"> an individual who possess</w:t>
      </w:r>
      <w:r w:rsidR="009E78A4" w:rsidRPr="00461D74">
        <w:rPr>
          <w:rFonts w:ascii="Garamond" w:hAnsi="Garamond" w:cstheme="minorHAnsi"/>
          <w:sz w:val="24"/>
          <w:szCs w:val="24"/>
        </w:rPr>
        <w:t>es</w:t>
      </w:r>
      <w:r w:rsidR="00145F4E" w:rsidRPr="00461D74">
        <w:rPr>
          <w:rFonts w:ascii="Garamond" w:hAnsi="Garamond" w:cstheme="minorHAnsi"/>
          <w:sz w:val="24"/>
          <w:szCs w:val="24"/>
        </w:rPr>
        <w:t xml:space="preserve"> it is not infinite</w:t>
      </w:r>
      <w:r w:rsidR="009E78A4" w:rsidRPr="00461D74">
        <w:rPr>
          <w:rFonts w:ascii="Garamond" w:hAnsi="Garamond" w:cstheme="minorHAnsi"/>
          <w:sz w:val="24"/>
          <w:szCs w:val="24"/>
        </w:rPr>
        <w:t>,</w:t>
      </w:r>
      <w:r w:rsidR="00145F4E" w:rsidRPr="00461D74">
        <w:rPr>
          <w:rFonts w:ascii="Garamond" w:hAnsi="Garamond" w:cstheme="minorHAnsi"/>
          <w:sz w:val="24"/>
          <w:szCs w:val="24"/>
        </w:rPr>
        <w:t xml:space="preserve"> and stands in close relation to </w:t>
      </w:r>
      <w:r w:rsidR="00FC1C9C" w:rsidRPr="00461D74">
        <w:rPr>
          <w:rFonts w:ascii="Garamond" w:hAnsi="Garamond" w:cstheme="minorHAnsi"/>
          <w:sz w:val="24"/>
          <w:szCs w:val="24"/>
        </w:rPr>
        <w:t>the common good of the community as a whole</w:t>
      </w:r>
      <w:r w:rsidR="00145F4E" w:rsidRPr="00461D74">
        <w:rPr>
          <w:rFonts w:ascii="Garamond" w:hAnsi="Garamond" w:cstheme="minorHAnsi"/>
          <w:sz w:val="24"/>
          <w:szCs w:val="24"/>
        </w:rPr>
        <w:t>,</w:t>
      </w:r>
      <w:r w:rsidRPr="00461D74">
        <w:rPr>
          <w:rFonts w:ascii="Garamond" w:hAnsi="Garamond" w:cstheme="minorHAnsi"/>
          <w:sz w:val="24"/>
          <w:szCs w:val="24"/>
        </w:rPr>
        <w:t xml:space="preserve"> </w:t>
      </w:r>
      <w:r w:rsidR="009E78A4" w:rsidRPr="00461D74">
        <w:rPr>
          <w:rFonts w:ascii="Garamond" w:hAnsi="Garamond" w:cstheme="minorHAnsi"/>
          <w:sz w:val="24"/>
          <w:szCs w:val="24"/>
        </w:rPr>
        <w:t xml:space="preserve">while </w:t>
      </w:r>
      <w:r w:rsidRPr="00461D74">
        <w:rPr>
          <w:rFonts w:ascii="Garamond" w:hAnsi="Garamond" w:cstheme="minorHAnsi"/>
          <w:sz w:val="24"/>
          <w:szCs w:val="24"/>
        </w:rPr>
        <w:t xml:space="preserve">the </w:t>
      </w:r>
      <w:r w:rsidR="00FC1C9C" w:rsidRPr="00461D74">
        <w:rPr>
          <w:rFonts w:ascii="Garamond" w:hAnsi="Garamond" w:cstheme="minorHAnsi"/>
          <w:sz w:val="24"/>
          <w:szCs w:val="24"/>
        </w:rPr>
        <w:t xml:space="preserve">appropriate </w:t>
      </w:r>
      <w:r w:rsidRPr="00461D74">
        <w:rPr>
          <w:rFonts w:ascii="Garamond" w:hAnsi="Garamond" w:cstheme="minorHAnsi"/>
          <w:sz w:val="24"/>
          <w:szCs w:val="24"/>
        </w:rPr>
        <w:t>ways</w:t>
      </w:r>
      <w:r w:rsidR="00FC1C9C" w:rsidRPr="00461D74">
        <w:rPr>
          <w:rFonts w:ascii="Garamond" w:hAnsi="Garamond" w:cstheme="minorHAnsi"/>
          <w:sz w:val="24"/>
          <w:szCs w:val="24"/>
        </w:rPr>
        <w:t xml:space="preserve"> in</w:t>
      </w:r>
      <w:r w:rsidRPr="00461D74">
        <w:rPr>
          <w:rFonts w:ascii="Garamond" w:hAnsi="Garamond" w:cstheme="minorHAnsi"/>
          <w:sz w:val="24"/>
          <w:szCs w:val="24"/>
        </w:rPr>
        <w:t xml:space="preserve"> which </w:t>
      </w:r>
      <w:r w:rsidR="00FC1C9C" w:rsidRPr="00461D74">
        <w:rPr>
          <w:rFonts w:ascii="Garamond" w:hAnsi="Garamond" w:cstheme="minorHAnsi"/>
          <w:sz w:val="24"/>
          <w:szCs w:val="24"/>
        </w:rPr>
        <w:t xml:space="preserve">an individual exercises those rights </w:t>
      </w:r>
      <w:r w:rsidRPr="00461D74">
        <w:rPr>
          <w:rFonts w:ascii="Garamond" w:hAnsi="Garamond" w:cstheme="minorHAnsi"/>
          <w:sz w:val="24"/>
          <w:szCs w:val="24"/>
        </w:rPr>
        <w:t xml:space="preserve">are closely tied to </w:t>
      </w:r>
      <w:r w:rsidR="00FC1C9C" w:rsidRPr="00461D74">
        <w:rPr>
          <w:rFonts w:ascii="Garamond" w:hAnsi="Garamond" w:cstheme="minorHAnsi"/>
          <w:sz w:val="24"/>
          <w:szCs w:val="24"/>
        </w:rPr>
        <w:t xml:space="preserve">the </w:t>
      </w:r>
      <w:r w:rsidR="00EF1013">
        <w:rPr>
          <w:rFonts w:ascii="Garamond" w:hAnsi="Garamond" w:cstheme="minorHAnsi"/>
          <w:sz w:val="24"/>
          <w:szCs w:val="24"/>
        </w:rPr>
        <w:t xml:space="preserve">common </w:t>
      </w:r>
      <w:r w:rsidR="00FC1C9C" w:rsidRPr="00461D74">
        <w:rPr>
          <w:rFonts w:ascii="Garamond" w:hAnsi="Garamond" w:cstheme="minorHAnsi"/>
          <w:sz w:val="24"/>
          <w:szCs w:val="24"/>
        </w:rPr>
        <w:t>good of</w:t>
      </w:r>
      <w:r w:rsidRPr="00461D74">
        <w:rPr>
          <w:rFonts w:ascii="Garamond" w:hAnsi="Garamond" w:cstheme="minorHAnsi"/>
          <w:sz w:val="24"/>
          <w:szCs w:val="24"/>
        </w:rPr>
        <w:t xml:space="preserve"> the </w:t>
      </w:r>
      <w:r w:rsidR="00FC1C9C" w:rsidRPr="00461D74">
        <w:rPr>
          <w:rFonts w:ascii="Garamond" w:hAnsi="Garamond" w:cstheme="minorHAnsi"/>
          <w:sz w:val="24"/>
          <w:szCs w:val="24"/>
        </w:rPr>
        <w:t xml:space="preserve">entire </w:t>
      </w:r>
      <w:r w:rsidRPr="00461D74">
        <w:rPr>
          <w:rFonts w:ascii="Garamond" w:hAnsi="Garamond" w:cstheme="minorHAnsi"/>
          <w:sz w:val="24"/>
          <w:szCs w:val="24"/>
        </w:rPr>
        <w:t>community.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At this point we </w:t>
      </w:r>
      <w:r w:rsidR="007C12E8" w:rsidRPr="00461D74">
        <w:rPr>
          <w:rFonts w:ascii="Garamond" w:hAnsi="Garamond" w:cstheme="minorHAnsi"/>
          <w:sz w:val="24"/>
          <w:szCs w:val="24"/>
        </w:rPr>
        <w:t xml:space="preserve">ought to </w:t>
      </w:r>
      <w:r w:rsidRPr="00461D74">
        <w:rPr>
          <w:rFonts w:ascii="Garamond" w:hAnsi="Garamond" w:cstheme="minorHAnsi"/>
          <w:sz w:val="24"/>
          <w:szCs w:val="24"/>
        </w:rPr>
        <w:t>ask: how does the difference between</w:t>
      </w:r>
      <w:r w:rsidR="009E78A4" w:rsidRPr="00461D74">
        <w:rPr>
          <w:rFonts w:ascii="Garamond" w:hAnsi="Garamond" w:cstheme="minorHAnsi"/>
          <w:sz w:val="24"/>
          <w:szCs w:val="24"/>
        </w:rPr>
        <w:t>,</w:t>
      </w:r>
      <w:r w:rsidRPr="00461D74">
        <w:rPr>
          <w:rFonts w:ascii="Garamond" w:hAnsi="Garamond" w:cstheme="minorHAnsi"/>
          <w:sz w:val="24"/>
          <w:szCs w:val="24"/>
        </w:rPr>
        <w:t xml:space="preserve"> on the one hand, the modern property doctrine understood as individual rights that are antecedent to civil society, and on the other hand, the Thomistic understanding </w:t>
      </w:r>
      <w:r w:rsidR="008C0AC7" w:rsidRPr="00461D74">
        <w:rPr>
          <w:rFonts w:ascii="Garamond" w:hAnsi="Garamond" w:cstheme="minorHAnsi"/>
          <w:sz w:val="24"/>
          <w:szCs w:val="24"/>
        </w:rPr>
        <w:t xml:space="preserve">in which </w:t>
      </w:r>
      <w:r w:rsidRPr="00461D74">
        <w:rPr>
          <w:rFonts w:ascii="Garamond" w:hAnsi="Garamond" w:cstheme="minorHAnsi"/>
          <w:sz w:val="24"/>
          <w:szCs w:val="24"/>
        </w:rPr>
        <w:t xml:space="preserve">property </w:t>
      </w:r>
      <w:r w:rsidR="008C0AC7" w:rsidRPr="00461D74">
        <w:rPr>
          <w:rFonts w:ascii="Garamond" w:hAnsi="Garamond" w:cstheme="minorHAnsi"/>
          <w:sz w:val="24"/>
          <w:szCs w:val="24"/>
        </w:rPr>
        <w:t xml:space="preserve">rights are limited, </w:t>
      </w:r>
      <w:r w:rsidRPr="00461D74">
        <w:rPr>
          <w:rFonts w:ascii="Garamond" w:hAnsi="Garamond" w:cstheme="minorHAnsi"/>
          <w:sz w:val="24"/>
          <w:szCs w:val="24"/>
        </w:rPr>
        <w:t xml:space="preserve">impact </w:t>
      </w:r>
      <w:r w:rsidR="00B57DA4">
        <w:rPr>
          <w:rFonts w:ascii="Garamond" w:hAnsi="Garamond" w:cstheme="minorHAnsi"/>
          <w:sz w:val="24"/>
          <w:szCs w:val="24"/>
        </w:rPr>
        <w:t xml:space="preserve">on </w:t>
      </w:r>
      <w:r w:rsidRPr="00461D74">
        <w:rPr>
          <w:rFonts w:ascii="Garamond" w:hAnsi="Garamond" w:cstheme="minorHAnsi"/>
          <w:sz w:val="24"/>
          <w:szCs w:val="24"/>
        </w:rPr>
        <w:t xml:space="preserve">our ability </w:t>
      </w:r>
      <w:r w:rsidR="008C0AC7" w:rsidRPr="00461D74">
        <w:rPr>
          <w:rFonts w:ascii="Garamond" w:hAnsi="Garamond" w:cstheme="minorHAnsi"/>
          <w:sz w:val="24"/>
          <w:szCs w:val="24"/>
        </w:rPr>
        <w:t>for enacting</w:t>
      </w:r>
      <w:r w:rsidRPr="00461D74">
        <w:rPr>
          <w:rFonts w:ascii="Garamond" w:hAnsi="Garamond" w:cstheme="minorHAnsi"/>
          <w:sz w:val="24"/>
          <w:szCs w:val="24"/>
        </w:rPr>
        <w:t xml:space="preserve"> legislation </w:t>
      </w:r>
      <w:r w:rsidR="008C0AC7" w:rsidRPr="00461D74">
        <w:rPr>
          <w:rFonts w:ascii="Garamond" w:hAnsi="Garamond" w:cstheme="minorHAnsi"/>
          <w:sz w:val="24"/>
          <w:szCs w:val="24"/>
        </w:rPr>
        <w:t xml:space="preserve">consistent with Thomistic </w:t>
      </w:r>
      <w:r w:rsidRPr="00461D74">
        <w:rPr>
          <w:rFonts w:ascii="Garamond" w:hAnsi="Garamond" w:cstheme="minorHAnsi"/>
          <w:sz w:val="24"/>
          <w:szCs w:val="24"/>
        </w:rPr>
        <w:t>natural law? It would appear that when we utilise resources available in Aquinas’ natural law</w:t>
      </w:r>
      <w:r w:rsidR="008C0AC7" w:rsidRPr="00461D74">
        <w:rPr>
          <w:rFonts w:ascii="Garamond" w:hAnsi="Garamond" w:cstheme="minorHAnsi"/>
          <w:sz w:val="24"/>
          <w:szCs w:val="24"/>
        </w:rPr>
        <w:t>,</w:t>
      </w:r>
      <w:r w:rsidRPr="00461D74">
        <w:rPr>
          <w:rFonts w:ascii="Garamond" w:hAnsi="Garamond" w:cstheme="minorHAnsi"/>
          <w:sz w:val="24"/>
          <w:szCs w:val="24"/>
        </w:rPr>
        <w:t xml:space="preserve"> </w:t>
      </w:r>
      <w:r w:rsidR="008C22F3">
        <w:rPr>
          <w:rFonts w:ascii="Garamond" w:hAnsi="Garamond" w:cstheme="minorHAnsi"/>
          <w:sz w:val="24"/>
          <w:szCs w:val="24"/>
        </w:rPr>
        <w:t>there is a need for</w:t>
      </w:r>
      <w:r w:rsidRPr="00461D74">
        <w:rPr>
          <w:rFonts w:ascii="Garamond" w:hAnsi="Garamond" w:cstheme="minorHAnsi"/>
          <w:sz w:val="24"/>
          <w:szCs w:val="24"/>
        </w:rPr>
        <w:t xml:space="preserve"> balanc</w:t>
      </w:r>
      <w:r w:rsidR="008C22F3">
        <w:rPr>
          <w:rFonts w:ascii="Garamond" w:hAnsi="Garamond" w:cstheme="minorHAnsi"/>
          <w:sz w:val="24"/>
          <w:szCs w:val="24"/>
        </w:rPr>
        <w:t>ing</w:t>
      </w:r>
      <w:r w:rsidRPr="00461D74">
        <w:rPr>
          <w:rFonts w:ascii="Garamond" w:hAnsi="Garamond" w:cstheme="minorHAnsi"/>
          <w:sz w:val="24"/>
          <w:szCs w:val="24"/>
        </w:rPr>
        <w:t xml:space="preserve"> the </w:t>
      </w:r>
      <w:r w:rsidRPr="00461D74">
        <w:rPr>
          <w:rFonts w:ascii="Garamond" w:hAnsi="Garamond" w:cstheme="minorHAnsi"/>
          <w:sz w:val="24"/>
          <w:szCs w:val="24"/>
        </w:rPr>
        <w:lastRenderedPageBreak/>
        <w:t>possession of property against a variety of other practical considerations. This would place strict limits on how much property one can own, and the different ways that one can legitimately utilise</w:t>
      </w:r>
      <w:r w:rsidR="008C0AC7" w:rsidRPr="00461D74">
        <w:rPr>
          <w:rFonts w:ascii="Garamond" w:hAnsi="Garamond" w:cstheme="minorHAnsi"/>
          <w:sz w:val="24"/>
          <w:szCs w:val="24"/>
        </w:rPr>
        <w:t>,</w:t>
      </w:r>
      <w:r w:rsidRPr="00461D74">
        <w:rPr>
          <w:rFonts w:ascii="Garamond" w:hAnsi="Garamond" w:cstheme="minorHAnsi"/>
          <w:sz w:val="24"/>
          <w:szCs w:val="24"/>
        </w:rPr>
        <w:t xml:space="preserve"> </w:t>
      </w:r>
      <w:r w:rsidR="008C0AC7" w:rsidRPr="00461D74">
        <w:rPr>
          <w:rFonts w:ascii="Garamond" w:hAnsi="Garamond" w:cstheme="minorHAnsi"/>
          <w:sz w:val="24"/>
          <w:szCs w:val="24"/>
        </w:rPr>
        <w:t xml:space="preserve">or otherwise enjoy, </w:t>
      </w:r>
      <w:r w:rsidR="009E78A4" w:rsidRPr="00461D74">
        <w:rPr>
          <w:rFonts w:ascii="Garamond" w:hAnsi="Garamond" w:cstheme="minorHAnsi"/>
          <w:sz w:val="24"/>
          <w:szCs w:val="24"/>
        </w:rPr>
        <w:t>one’s</w:t>
      </w:r>
      <w:r w:rsidRPr="00461D74">
        <w:rPr>
          <w:rFonts w:ascii="Garamond" w:hAnsi="Garamond" w:cstheme="minorHAnsi"/>
          <w:sz w:val="24"/>
          <w:szCs w:val="24"/>
        </w:rPr>
        <w:t xml:space="preserve"> property. </w:t>
      </w:r>
      <w:r w:rsidR="008C0AC7" w:rsidRPr="00461D74">
        <w:rPr>
          <w:rFonts w:ascii="Garamond" w:hAnsi="Garamond" w:cstheme="minorHAnsi"/>
          <w:sz w:val="24"/>
          <w:szCs w:val="24"/>
        </w:rPr>
        <w:t xml:space="preserve">Yet, </w:t>
      </w:r>
      <w:r w:rsidRPr="00461D74">
        <w:rPr>
          <w:rFonts w:ascii="Garamond" w:hAnsi="Garamond" w:cstheme="minorHAnsi"/>
          <w:sz w:val="24"/>
          <w:szCs w:val="24"/>
        </w:rPr>
        <w:t xml:space="preserve">this </w:t>
      </w:r>
      <w:r w:rsidR="008C0AC7" w:rsidRPr="00461D74">
        <w:rPr>
          <w:rFonts w:ascii="Garamond" w:hAnsi="Garamond" w:cstheme="minorHAnsi"/>
          <w:sz w:val="24"/>
          <w:szCs w:val="24"/>
        </w:rPr>
        <w:t xml:space="preserve">sort of view </w:t>
      </w:r>
      <w:r w:rsidRPr="00461D74">
        <w:rPr>
          <w:rFonts w:ascii="Garamond" w:hAnsi="Garamond" w:cstheme="minorHAnsi"/>
          <w:sz w:val="24"/>
          <w:szCs w:val="24"/>
        </w:rPr>
        <w:t xml:space="preserve">stands in marked contrast with the modern understanding of private property rights </w:t>
      </w:r>
      <w:r w:rsidR="008C0AC7" w:rsidRPr="00461D74">
        <w:rPr>
          <w:rFonts w:ascii="Garamond" w:hAnsi="Garamond" w:cstheme="minorHAnsi"/>
          <w:sz w:val="24"/>
          <w:szCs w:val="24"/>
        </w:rPr>
        <w:t xml:space="preserve">since </w:t>
      </w:r>
      <w:r w:rsidR="005745B5" w:rsidRPr="00461D74">
        <w:rPr>
          <w:rFonts w:ascii="Garamond" w:hAnsi="Garamond" w:cstheme="minorHAnsi"/>
          <w:sz w:val="24"/>
          <w:szCs w:val="24"/>
        </w:rPr>
        <w:t xml:space="preserve">on the modern view, </w:t>
      </w:r>
      <w:r w:rsidRPr="00461D74">
        <w:rPr>
          <w:rFonts w:ascii="Garamond" w:hAnsi="Garamond" w:cstheme="minorHAnsi"/>
          <w:sz w:val="24"/>
          <w:szCs w:val="24"/>
        </w:rPr>
        <w:t>such rights</w:t>
      </w:r>
      <w:r w:rsidR="005745B5" w:rsidRPr="00461D74">
        <w:rPr>
          <w:rFonts w:ascii="Garamond" w:hAnsi="Garamond" w:cstheme="minorHAnsi"/>
          <w:sz w:val="24"/>
          <w:szCs w:val="24"/>
        </w:rPr>
        <w:t xml:space="preserve">, </w:t>
      </w:r>
      <w:r w:rsidRPr="00461D74">
        <w:rPr>
          <w:rFonts w:ascii="Garamond" w:hAnsi="Garamond" w:cstheme="minorHAnsi"/>
          <w:sz w:val="24"/>
          <w:szCs w:val="24"/>
        </w:rPr>
        <w:t>for the most part</w:t>
      </w:r>
      <w:r w:rsidR="005745B5" w:rsidRPr="00461D74">
        <w:rPr>
          <w:rFonts w:ascii="Garamond" w:hAnsi="Garamond" w:cstheme="minorHAnsi"/>
          <w:sz w:val="24"/>
          <w:szCs w:val="24"/>
        </w:rPr>
        <w:t>,</w:t>
      </w:r>
      <w:r w:rsidR="008C0AC7" w:rsidRPr="00461D74">
        <w:rPr>
          <w:rFonts w:ascii="Garamond" w:hAnsi="Garamond" w:cstheme="minorHAnsi"/>
          <w:sz w:val="24"/>
          <w:szCs w:val="24"/>
        </w:rPr>
        <w:t xml:space="preserve"> </w:t>
      </w:r>
      <w:r w:rsidR="005745B5" w:rsidRPr="00461D74">
        <w:rPr>
          <w:rFonts w:ascii="Garamond" w:hAnsi="Garamond" w:cstheme="minorHAnsi"/>
          <w:sz w:val="24"/>
          <w:szCs w:val="24"/>
        </w:rPr>
        <w:t xml:space="preserve">are not </w:t>
      </w:r>
      <w:r w:rsidR="008C22F3">
        <w:rPr>
          <w:rFonts w:ascii="Garamond" w:hAnsi="Garamond" w:cstheme="minorHAnsi"/>
          <w:sz w:val="24"/>
          <w:szCs w:val="24"/>
        </w:rPr>
        <w:t xml:space="preserve">closely </w:t>
      </w:r>
      <w:r w:rsidR="008C0AC7" w:rsidRPr="00461D74">
        <w:rPr>
          <w:rFonts w:ascii="Garamond" w:hAnsi="Garamond" w:cstheme="minorHAnsi"/>
          <w:sz w:val="24"/>
          <w:szCs w:val="24"/>
        </w:rPr>
        <w:t xml:space="preserve">connected </w:t>
      </w:r>
      <w:r w:rsidRPr="00461D74">
        <w:rPr>
          <w:rFonts w:ascii="Garamond" w:hAnsi="Garamond" w:cstheme="minorHAnsi"/>
          <w:sz w:val="24"/>
          <w:szCs w:val="24"/>
        </w:rPr>
        <w:t>to</w:t>
      </w:r>
      <w:r w:rsidR="009E78A4" w:rsidRPr="00461D74">
        <w:rPr>
          <w:rFonts w:ascii="Garamond" w:hAnsi="Garamond" w:cstheme="minorHAnsi"/>
          <w:sz w:val="24"/>
          <w:szCs w:val="24"/>
        </w:rPr>
        <w:t xml:space="preserve"> </w:t>
      </w:r>
      <w:r w:rsidR="00CB0313">
        <w:rPr>
          <w:rFonts w:ascii="Garamond" w:hAnsi="Garamond" w:cstheme="minorHAnsi"/>
          <w:sz w:val="24"/>
          <w:szCs w:val="24"/>
        </w:rPr>
        <w:t xml:space="preserve">a </w:t>
      </w:r>
      <w:r w:rsidR="008C22F3">
        <w:rPr>
          <w:rFonts w:ascii="Garamond" w:hAnsi="Garamond" w:cstheme="minorHAnsi"/>
          <w:sz w:val="24"/>
          <w:szCs w:val="24"/>
        </w:rPr>
        <w:t>Thomistic</w:t>
      </w:r>
      <w:r w:rsidR="008C22F3" w:rsidRPr="00461D74">
        <w:rPr>
          <w:rFonts w:ascii="Garamond" w:hAnsi="Garamond" w:cstheme="minorHAnsi"/>
          <w:sz w:val="24"/>
          <w:szCs w:val="24"/>
        </w:rPr>
        <w:t xml:space="preserve"> </w:t>
      </w:r>
      <w:r w:rsidR="00CB0313">
        <w:rPr>
          <w:rFonts w:ascii="Garamond" w:hAnsi="Garamond" w:cstheme="minorHAnsi"/>
          <w:sz w:val="24"/>
          <w:szCs w:val="24"/>
        </w:rPr>
        <w:t>understanding</w:t>
      </w:r>
      <w:r w:rsidR="00CB0313" w:rsidRPr="00461D74">
        <w:rPr>
          <w:rFonts w:ascii="Garamond" w:hAnsi="Garamond" w:cstheme="minorHAnsi"/>
          <w:sz w:val="24"/>
          <w:szCs w:val="24"/>
        </w:rPr>
        <w:t xml:space="preserve"> </w:t>
      </w:r>
      <w:r w:rsidR="005745B5" w:rsidRPr="00461D74">
        <w:rPr>
          <w:rFonts w:ascii="Garamond" w:hAnsi="Garamond" w:cstheme="minorHAnsi"/>
          <w:sz w:val="24"/>
          <w:szCs w:val="24"/>
        </w:rPr>
        <w:t xml:space="preserve">of the </w:t>
      </w:r>
      <w:r w:rsidRPr="00461D74">
        <w:rPr>
          <w:rFonts w:ascii="Garamond" w:hAnsi="Garamond" w:cstheme="minorHAnsi"/>
          <w:sz w:val="24"/>
          <w:szCs w:val="24"/>
        </w:rPr>
        <w:t xml:space="preserve">common good. </w:t>
      </w:r>
      <w:r w:rsidR="005745B5" w:rsidRPr="00461D74">
        <w:rPr>
          <w:rFonts w:ascii="Garamond" w:hAnsi="Garamond" w:cstheme="minorHAnsi"/>
          <w:sz w:val="24"/>
          <w:szCs w:val="24"/>
        </w:rPr>
        <w:t>For example, t</w:t>
      </w:r>
      <w:r w:rsidRPr="00461D74">
        <w:rPr>
          <w:rFonts w:ascii="Garamond" w:hAnsi="Garamond" w:cstheme="minorHAnsi"/>
          <w:sz w:val="24"/>
          <w:szCs w:val="24"/>
        </w:rPr>
        <w:t xml:space="preserve">here are, in practical terms, no limits on how much property one can possess. In similar fashion there are very few limits </w:t>
      </w:r>
      <w:r w:rsidR="009E78A4" w:rsidRPr="00461D74">
        <w:rPr>
          <w:rFonts w:ascii="Garamond" w:hAnsi="Garamond" w:cstheme="minorHAnsi"/>
          <w:sz w:val="24"/>
          <w:szCs w:val="24"/>
        </w:rPr>
        <w:t xml:space="preserve">on </w:t>
      </w:r>
      <w:r w:rsidR="008C22F3">
        <w:rPr>
          <w:rFonts w:ascii="Garamond" w:hAnsi="Garamond" w:cstheme="minorHAnsi"/>
          <w:sz w:val="24"/>
          <w:szCs w:val="24"/>
        </w:rPr>
        <w:t>the ways in which</w:t>
      </w:r>
      <w:r w:rsidR="008C22F3" w:rsidRPr="00461D74">
        <w:rPr>
          <w:rFonts w:ascii="Garamond" w:hAnsi="Garamond" w:cstheme="minorHAnsi"/>
          <w:sz w:val="24"/>
          <w:szCs w:val="24"/>
        </w:rPr>
        <w:t xml:space="preserve"> </w:t>
      </w:r>
      <w:r w:rsidRPr="00461D74">
        <w:rPr>
          <w:rFonts w:ascii="Garamond" w:hAnsi="Garamond" w:cstheme="minorHAnsi"/>
          <w:sz w:val="24"/>
          <w:szCs w:val="24"/>
        </w:rPr>
        <w:t xml:space="preserve">one can dispense with </w:t>
      </w:r>
      <w:r w:rsidR="009E78A4" w:rsidRPr="00461D74">
        <w:rPr>
          <w:rFonts w:ascii="Garamond" w:hAnsi="Garamond" w:cstheme="minorHAnsi"/>
          <w:sz w:val="24"/>
          <w:szCs w:val="24"/>
        </w:rPr>
        <w:t>one’s</w:t>
      </w:r>
      <w:r w:rsidRPr="00461D74">
        <w:rPr>
          <w:rFonts w:ascii="Garamond" w:hAnsi="Garamond" w:cstheme="minorHAnsi"/>
          <w:sz w:val="24"/>
          <w:szCs w:val="24"/>
        </w:rPr>
        <w:t xml:space="preserve"> property. Property rights are defined in general terms of individual rights on owning, purchasing and/or transferring private property. Thus, </w:t>
      </w:r>
      <w:r w:rsidR="005745B5" w:rsidRPr="00461D74">
        <w:rPr>
          <w:rFonts w:ascii="Garamond" w:hAnsi="Garamond" w:cstheme="minorHAnsi"/>
          <w:sz w:val="24"/>
          <w:szCs w:val="24"/>
        </w:rPr>
        <w:t xml:space="preserve">a case </w:t>
      </w:r>
      <w:r w:rsidR="009E78A4" w:rsidRPr="00461D74">
        <w:rPr>
          <w:rFonts w:ascii="Garamond" w:hAnsi="Garamond" w:cstheme="minorHAnsi"/>
          <w:sz w:val="24"/>
          <w:szCs w:val="24"/>
        </w:rPr>
        <w:t xml:space="preserve">seldom </w:t>
      </w:r>
      <w:r w:rsidR="005745B5" w:rsidRPr="00461D74">
        <w:rPr>
          <w:rFonts w:ascii="Garamond" w:hAnsi="Garamond" w:cstheme="minorHAnsi"/>
          <w:sz w:val="24"/>
          <w:szCs w:val="24"/>
        </w:rPr>
        <w:t xml:space="preserve">emerges </w:t>
      </w:r>
      <w:r w:rsidR="008C22F3">
        <w:rPr>
          <w:rFonts w:ascii="Garamond" w:hAnsi="Garamond" w:cstheme="minorHAnsi"/>
          <w:sz w:val="24"/>
          <w:szCs w:val="24"/>
        </w:rPr>
        <w:t>where there is a need</w:t>
      </w:r>
      <w:r w:rsidRPr="00461D74">
        <w:rPr>
          <w:rFonts w:ascii="Garamond" w:hAnsi="Garamond" w:cstheme="minorHAnsi"/>
          <w:sz w:val="24"/>
          <w:szCs w:val="24"/>
        </w:rPr>
        <w:t xml:space="preserve"> to balance the right of </w:t>
      </w:r>
      <w:r w:rsidR="005745B5" w:rsidRPr="00461D74">
        <w:rPr>
          <w:rFonts w:ascii="Garamond" w:hAnsi="Garamond" w:cstheme="minorHAnsi"/>
          <w:sz w:val="24"/>
          <w:szCs w:val="24"/>
        </w:rPr>
        <w:t xml:space="preserve">owning and dispensing with </w:t>
      </w:r>
      <w:r w:rsidRPr="00461D74">
        <w:rPr>
          <w:rFonts w:ascii="Garamond" w:hAnsi="Garamond" w:cstheme="minorHAnsi"/>
          <w:sz w:val="24"/>
          <w:szCs w:val="24"/>
        </w:rPr>
        <w:t>property</w:t>
      </w:r>
      <w:r w:rsidR="005745B5" w:rsidRPr="00461D74">
        <w:rPr>
          <w:rFonts w:ascii="Garamond" w:hAnsi="Garamond" w:cstheme="minorHAnsi"/>
          <w:sz w:val="24"/>
          <w:szCs w:val="24"/>
        </w:rPr>
        <w:t>,</w:t>
      </w:r>
      <w:r w:rsidRPr="00461D74">
        <w:rPr>
          <w:rFonts w:ascii="Garamond" w:hAnsi="Garamond" w:cstheme="minorHAnsi"/>
          <w:sz w:val="24"/>
          <w:szCs w:val="24"/>
        </w:rPr>
        <w:t xml:space="preserve"> </w:t>
      </w:r>
      <w:r w:rsidR="005745B5" w:rsidRPr="00461D74">
        <w:rPr>
          <w:rFonts w:ascii="Garamond" w:hAnsi="Garamond" w:cstheme="minorHAnsi"/>
          <w:sz w:val="24"/>
          <w:szCs w:val="24"/>
        </w:rPr>
        <w:t xml:space="preserve">against </w:t>
      </w:r>
      <w:r w:rsidRPr="00461D74">
        <w:rPr>
          <w:rFonts w:ascii="Garamond" w:hAnsi="Garamond" w:cstheme="minorHAnsi"/>
          <w:sz w:val="24"/>
          <w:szCs w:val="24"/>
        </w:rPr>
        <w:t>other practical considerations</w:t>
      </w:r>
      <w:r w:rsidR="005745B5" w:rsidRPr="00461D74">
        <w:rPr>
          <w:rFonts w:ascii="Garamond" w:hAnsi="Garamond" w:cstheme="minorHAnsi"/>
          <w:sz w:val="24"/>
          <w:szCs w:val="24"/>
        </w:rPr>
        <w:t>, in the course of advancing</w:t>
      </w:r>
      <w:r w:rsidRPr="00461D74">
        <w:rPr>
          <w:rFonts w:ascii="Garamond" w:hAnsi="Garamond" w:cstheme="minorHAnsi"/>
          <w:sz w:val="24"/>
          <w:szCs w:val="24"/>
        </w:rPr>
        <w:t xml:space="preserve"> the common good.</w:t>
      </w:r>
    </w:p>
    <w:p w:rsidR="004D3A89" w:rsidRDefault="00016049">
      <w:pPr>
        <w:spacing w:line="360" w:lineRule="auto"/>
        <w:ind w:firstLine="720"/>
        <w:jc w:val="both"/>
        <w:rPr>
          <w:rFonts w:ascii="Garamond" w:hAnsi="Garamond" w:cstheme="minorHAnsi"/>
        </w:rPr>
      </w:pPr>
      <w:r w:rsidRPr="00461D74">
        <w:rPr>
          <w:rFonts w:ascii="Garamond" w:hAnsi="Garamond" w:cstheme="minorHAnsi"/>
          <w:sz w:val="24"/>
          <w:szCs w:val="24"/>
        </w:rPr>
        <w:t>The general form of the problem here is that any</w:t>
      </w:r>
      <w:r w:rsidR="00B57DA4">
        <w:rPr>
          <w:rFonts w:ascii="Garamond" w:hAnsi="Garamond" w:cstheme="minorHAnsi"/>
          <w:sz w:val="24"/>
          <w:szCs w:val="24"/>
        </w:rPr>
        <w:t xml:space="preserve"> </w:t>
      </w:r>
      <w:r w:rsidRPr="00461D74">
        <w:rPr>
          <w:rFonts w:ascii="Garamond" w:hAnsi="Garamond" w:cstheme="minorHAnsi"/>
          <w:sz w:val="24"/>
          <w:szCs w:val="24"/>
        </w:rPr>
        <w:t>time we would refer to Thomistic resources to write human law</w:t>
      </w:r>
      <w:r w:rsidR="00C551F0" w:rsidRPr="00461D74">
        <w:rPr>
          <w:rFonts w:ascii="Garamond" w:hAnsi="Garamond" w:cstheme="minorHAnsi"/>
          <w:sz w:val="24"/>
          <w:szCs w:val="24"/>
        </w:rPr>
        <w:t>,</w:t>
      </w:r>
      <w:r w:rsidRPr="00461D74">
        <w:rPr>
          <w:rFonts w:ascii="Garamond" w:hAnsi="Garamond" w:cstheme="minorHAnsi"/>
          <w:sz w:val="24"/>
          <w:szCs w:val="24"/>
        </w:rPr>
        <w:t xml:space="preserve"> we would have to consider any such law within the context of what is possible </w:t>
      </w:r>
      <w:r w:rsidR="00F772BC">
        <w:rPr>
          <w:rFonts w:ascii="Garamond" w:hAnsi="Garamond" w:cstheme="minorHAnsi"/>
          <w:sz w:val="24"/>
          <w:szCs w:val="24"/>
        </w:rPr>
        <w:t>under</w:t>
      </w:r>
      <w:r w:rsidR="00F772BC" w:rsidRPr="00461D74">
        <w:rPr>
          <w:rFonts w:ascii="Garamond" w:hAnsi="Garamond" w:cstheme="minorHAnsi"/>
          <w:sz w:val="24"/>
          <w:szCs w:val="24"/>
        </w:rPr>
        <w:t xml:space="preserve"> </w:t>
      </w:r>
      <w:r w:rsidRPr="00461D74">
        <w:rPr>
          <w:rFonts w:ascii="Garamond" w:hAnsi="Garamond" w:cstheme="minorHAnsi"/>
          <w:sz w:val="24"/>
          <w:szCs w:val="24"/>
        </w:rPr>
        <w:t xml:space="preserve">Aquinas’ natural law; and that any such law has to be </w:t>
      </w:r>
      <w:r w:rsidR="00C551F0" w:rsidRPr="00461D74">
        <w:rPr>
          <w:rFonts w:ascii="Garamond" w:hAnsi="Garamond" w:cstheme="minorHAnsi"/>
          <w:sz w:val="24"/>
          <w:szCs w:val="24"/>
        </w:rPr>
        <w:t xml:space="preserve">seen </w:t>
      </w:r>
      <w:r w:rsidRPr="00461D74">
        <w:rPr>
          <w:rFonts w:ascii="Garamond" w:hAnsi="Garamond" w:cstheme="minorHAnsi"/>
          <w:sz w:val="24"/>
          <w:szCs w:val="24"/>
        </w:rPr>
        <w:t xml:space="preserve">in light of practical considerations towards advancing the common good of the community. Since MacIntyre maintains that we lack </w:t>
      </w:r>
      <w:r w:rsidR="000329B4">
        <w:rPr>
          <w:rFonts w:ascii="Garamond" w:hAnsi="Garamond" w:cstheme="minorHAnsi"/>
          <w:sz w:val="24"/>
          <w:szCs w:val="24"/>
        </w:rPr>
        <w:t>this form of</w:t>
      </w:r>
      <w:r w:rsidRPr="00461D74">
        <w:rPr>
          <w:rFonts w:ascii="Garamond" w:hAnsi="Garamond" w:cstheme="minorHAnsi"/>
          <w:sz w:val="24"/>
          <w:szCs w:val="24"/>
        </w:rPr>
        <w:t xml:space="preserve"> common good in the modern state, what was possible for the Thomistic natural law in the medieval past, isn’t available to us in the modern political context. </w:t>
      </w:r>
      <w:r w:rsidR="00E6717B" w:rsidRPr="00461D74">
        <w:rPr>
          <w:rFonts w:ascii="Garamond" w:hAnsi="Garamond" w:cstheme="minorHAnsi"/>
          <w:sz w:val="24"/>
          <w:szCs w:val="24"/>
        </w:rPr>
        <w:t>And b</w:t>
      </w:r>
      <w:r w:rsidRPr="00461D74">
        <w:rPr>
          <w:rFonts w:ascii="Garamond" w:hAnsi="Garamond" w:cstheme="minorHAnsi"/>
          <w:sz w:val="24"/>
          <w:szCs w:val="24"/>
        </w:rPr>
        <w:t xml:space="preserve">ecause Aristotelian-Thomistic natural law relies on </w:t>
      </w:r>
      <w:r w:rsidR="000329B4">
        <w:rPr>
          <w:rFonts w:ascii="Garamond" w:hAnsi="Garamond" w:cstheme="minorHAnsi"/>
          <w:sz w:val="24"/>
          <w:szCs w:val="24"/>
        </w:rPr>
        <w:t>a</w:t>
      </w:r>
      <w:r w:rsidRPr="00461D74">
        <w:rPr>
          <w:rFonts w:ascii="Garamond" w:hAnsi="Garamond" w:cstheme="minorHAnsi"/>
          <w:sz w:val="24"/>
          <w:szCs w:val="24"/>
        </w:rPr>
        <w:t xml:space="preserve"> social understanding of the common good</w:t>
      </w:r>
      <w:r w:rsidR="000329B4">
        <w:rPr>
          <w:rFonts w:ascii="Garamond" w:hAnsi="Garamond" w:cstheme="minorHAnsi"/>
          <w:sz w:val="24"/>
          <w:szCs w:val="24"/>
        </w:rPr>
        <w:t xml:space="preserve"> defined in theological terms</w:t>
      </w:r>
      <w:r w:rsidRPr="00461D74">
        <w:rPr>
          <w:rFonts w:ascii="Garamond" w:hAnsi="Garamond" w:cstheme="minorHAnsi"/>
          <w:sz w:val="24"/>
          <w:szCs w:val="24"/>
        </w:rPr>
        <w:t xml:space="preserve"> – a kind of good that </w:t>
      </w:r>
      <w:r w:rsidR="00071044">
        <w:rPr>
          <w:rFonts w:ascii="Garamond" w:hAnsi="Garamond" w:cstheme="minorHAnsi"/>
          <w:sz w:val="24"/>
          <w:szCs w:val="24"/>
        </w:rPr>
        <w:t>is</w:t>
      </w:r>
      <w:r w:rsidR="000329B4">
        <w:rPr>
          <w:rFonts w:ascii="Garamond" w:hAnsi="Garamond" w:cstheme="minorHAnsi"/>
          <w:sz w:val="24"/>
          <w:szCs w:val="24"/>
        </w:rPr>
        <w:t xml:space="preserve"> nevertheless</w:t>
      </w:r>
      <w:r w:rsidRPr="00461D74">
        <w:rPr>
          <w:rFonts w:ascii="Garamond" w:hAnsi="Garamond" w:cstheme="minorHAnsi"/>
          <w:sz w:val="24"/>
          <w:szCs w:val="24"/>
        </w:rPr>
        <w:t xml:space="preserve"> </w:t>
      </w:r>
      <w:r w:rsidR="00071044">
        <w:rPr>
          <w:rFonts w:ascii="Garamond" w:hAnsi="Garamond" w:cstheme="minorHAnsi"/>
          <w:sz w:val="24"/>
          <w:szCs w:val="24"/>
        </w:rPr>
        <w:t>un</w:t>
      </w:r>
      <w:r w:rsidRPr="00461D74">
        <w:rPr>
          <w:rFonts w:ascii="Garamond" w:hAnsi="Garamond" w:cstheme="minorHAnsi"/>
          <w:sz w:val="24"/>
          <w:szCs w:val="24"/>
        </w:rPr>
        <w:t xml:space="preserve">available </w:t>
      </w:r>
      <w:r w:rsidR="00071044">
        <w:rPr>
          <w:rFonts w:ascii="Garamond" w:hAnsi="Garamond" w:cstheme="minorHAnsi"/>
          <w:sz w:val="24"/>
          <w:szCs w:val="24"/>
        </w:rPr>
        <w:t>in</w:t>
      </w:r>
      <w:r w:rsidR="00071044" w:rsidRPr="00461D74">
        <w:rPr>
          <w:rFonts w:ascii="Garamond" w:hAnsi="Garamond" w:cstheme="minorHAnsi"/>
          <w:sz w:val="24"/>
          <w:szCs w:val="24"/>
        </w:rPr>
        <w:t xml:space="preserve"> </w:t>
      </w:r>
      <w:r w:rsidRPr="00461D74">
        <w:rPr>
          <w:rFonts w:ascii="Garamond" w:hAnsi="Garamond" w:cstheme="minorHAnsi"/>
          <w:sz w:val="24"/>
          <w:szCs w:val="24"/>
        </w:rPr>
        <w:t xml:space="preserve">the modern context – it </w:t>
      </w:r>
      <w:r w:rsidR="00071044">
        <w:rPr>
          <w:rFonts w:ascii="Garamond" w:hAnsi="Garamond" w:cstheme="minorHAnsi"/>
          <w:sz w:val="24"/>
          <w:szCs w:val="24"/>
        </w:rPr>
        <w:t>fails to</w:t>
      </w:r>
      <w:r w:rsidR="00071044" w:rsidRPr="00461D74">
        <w:rPr>
          <w:rFonts w:ascii="Garamond" w:hAnsi="Garamond" w:cstheme="minorHAnsi"/>
          <w:sz w:val="24"/>
          <w:szCs w:val="24"/>
        </w:rPr>
        <w:t xml:space="preserve"> </w:t>
      </w:r>
      <w:r w:rsidR="00071044">
        <w:rPr>
          <w:rFonts w:ascii="Garamond" w:hAnsi="Garamond" w:cstheme="minorHAnsi"/>
          <w:sz w:val="24"/>
          <w:szCs w:val="24"/>
        </w:rPr>
        <w:t>afford</w:t>
      </w:r>
      <w:r w:rsidR="00071044" w:rsidRPr="00461D74">
        <w:rPr>
          <w:rFonts w:ascii="Garamond" w:hAnsi="Garamond" w:cstheme="minorHAnsi"/>
          <w:sz w:val="24"/>
          <w:szCs w:val="24"/>
        </w:rPr>
        <w:t xml:space="preserve"> </w:t>
      </w:r>
      <w:r w:rsidRPr="00461D74">
        <w:rPr>
          <w:rFonts w:ascii="Garamond" w:hAnsi="Garamond" w:cstheme="minorHAnsi"/>
          <w:sz w:val="24"/>
          <w:szCs w:val="24"/>
        </w:rPr>
        <w:t>us a</w:t>
      </w:r>
      <w:r w:rsidR="00071044">
        <w:rPr>
          <w:rFonts w:ascii="Garamond" w:hAnsi="Garamond" w:cstheme="minorHAnsi"/>
          <w:sz w:val="24"/>
          <w:szCs w:val="24"/>
        </w:rPr>
        <w:t xml:space="preserve"> plausible</w:t>
      </w:r>
      <w:r w:rsidRPr="00461D74">
        <w:rPr>
          <w:rFonts w:ascii="Garamond" w:hAnsi="Garamond" w:cstheme="minorHAnsi"/>
          <w:sz w:val="24"/>
          <w:szCs w:val="24"/>
        </w:rPr>
        <w:t xml:space="preserve"> way of using Thomistic resources to adjudicate the boundaries between the state and local communities. </w:t>
      </w:r>
      <w:r w:rsidR="000329B4">
        <w:rPr>
          <w:rFonts w:ascii="Garamond" w:hAnsi="Garamond" w:cstheme="minorHAnsi"/>
          <w:sz w:val="24"/>
          <w:szCs w:val="24"/>
        </w:rPr>
        <w:t>The upshot of this is of course the elimination of an important resource available in Thomism with which we could have potentially defended MacIntyre’s local communities, and local politics of the common good.</w:t>
      </w:r>
    </w:p>
    <w:p w:rsidR="00665157" w:rsidRDefault="00665157">
      <w:pPr>
        <w:spacing w:line="360" w:lineRule="auto"/>
        <w:jc w:val="both"/>
        <w:rPr>
          <w:rFonts w:ascii="Garamond" w:hAnsi="Garamond" w:cstheme="minorHAnsi"/>
        </w:rPr>
      </w:pPr>
    </w:p>
    <w:p w:rsidR="00665157" w:rsidRDefault="00C66538">
      <w:pPr>
        <w:pStyle w:val="Heading2"/>
        <w:spacing w:line="360" w:lineRule="auto"/>
        <w:jc w:val="both"/>
        <w:rPr>
          <w:rFonts w:cstheme="majorHAnsi"/>
        </w:rPr>
      </w:pPr>
      <w:bookmarkStart w:id="56" w:name="_Toc528077833"/>
      <w:r>
        <w:rPr>
          <w:rFonts w:cstheme="majorHAnsi"/>
        </w:rPr>
        <w:lastRenderedPageBreak/>
        <w:t xml:space="preserve">4. </w:t>
      </w:r>
      <w:r w:rsidR="00016049" w:rsidRPr="00F03436">
        <w:rPr>
          <w:rFonts w:cstheme="majorHAnsi"/>
        </w:rPr>
        <w:t>Conclu</w:t>
      </w:r>
      <w:r w:rsidR="0035042F" w:rsidRPr="00F03436">
        <w:rPr>
          <w:rFonts w:cstheme="majorHAnsi"/>
        </w:rPr>
        <w:t>ding Remarks</w:t>
      </w:r>
      <w:bookmarkEnd w:id="56"/>
    </w:p>
    <w:p w:rsidR="00665157" w:rsidRDefault="00665157">
      <w:pPr>
        <w:spacing w:line="360" w:lineRule="auto"/>
        <w:jc w:val="both"/>
        <w:rPr>
          <w:rFonts w:ascii="Garamond" w:hAnsi="Garamond"/>
        </w:rPr>
      </w:pPr>
    </w:p>
    <w:p w:rsidR="00665157" w:rsidRDefault="00453FBF">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 xml:space="preserve">In </w:t>
      </w:r>
      <w:r w:rsidR="0069771C" w:rsidRPr="00461D74">
        <w:rPr>
          <w:rFonts w:ascii="Garamond" w:hAnsi="Garamond" w:cstheme="minorHAnsi"/>
          <w:sz w:val="24"/>
          <w:szCs w:val="24"/>
          <w:lang w:val="en-GB"/>
        </w:rPr>
        <w:t>this chapter</w:t>
      </w:r>
      <w:r w:rsidRPr="00461D74">
        <w:rPr>
          <w:rFonts w:ascii="Garamond" w:hAnsi="Garamond" w:cstheme="minorHAnsi"/>
          <w:sz w:val="24"/>
          <w:szCs w:val="24"/>
          <w:lang w:val="en-GB"/>
        </w:rPr>
        <w:t xml:space="preserve">, I </w:t>
      </w:r>
      <w:r w:rsidR="0069771C" w:rsidRPr="00461D74">
        <w:rPr>
          <w:rFonts w:ascii="Garamond" w:hAnsi="Garamond" w:cstheme="minorHAnsi"/>
          <w:sz w:val="24"/>
          <w:szCs w:val="24"/>
          <w:lang w:val="en-GB"/>
        </w:rPr>
        <w:t>examined</w:t>
      </w:r>
      <w:r w:rsidRPr="00461D74">
        <w:rPr>
          <w:rFonts w:ascii="Garamond" w:hAnsi="Garamond" w:cstheme="minorHAnsi"/>
          <w:sz w:val="24"/>
          <w:szCs w:val="24"/>
          <w:lang w:val="en-GB"/>
        </w:rPr>
        <w:t xml:space="preserve"> two possible strategies </w:t>
      </w:r>
      <w:r w:rsidR="0069771C" w:rsidRPr="00461D74">
        <w:rPr>
          <w:rFonts w:ascii="Garamond" w:hAnsi="Garamond" w:cstheme="minorHAnsi"/>
          <w:sz w:val="24"/>
          <w:szCs w:val="24"/>
          <w:lang w:val="en-GB"/>
        </w:rPr>
        <w:t>which</w:t>
      </w:r>
      <w:r w:rsidRPr="00461D74">
        <w:rPr>
          <w:rFonts w:ascii="Garamond" w:hAnsi="Garamond" w:cstheme="minorHAnsi"/>
          <w:sz w:val="24"/>
          <w:szCs w:val="24"/>
          <w:lang w:val="en-GB"/>
        </w:rPr>
        <w:t xml:space="preserve"> MacIntyre can utilise to answer the objections </w:t>
      </w:r>
      <w:r w:rsidR="0069771C" w:rsidRPr="00461D74">
        <w:rPr>
          <w:rFonts w:ascii="Garamond" w:hAnsi="Garamond" w:cstheme="minorHAnsi"/>
          <w:sz w:val="24"/>
          <w:szCs w:val="24"/>
          <w:lang w:val="en-GB"/>
        </w:rPr>
        <w:t xml:space="preserve">that I </w:t>
      </w:r>
      <w:r w:rsidRPr="00461D74">
        <w:rPr>
          <w:rFonts w:ascii="Garamond" w:hAnsi="Garamond" w:cstheme="minorHAnsi"/>
          <w:sz w:val="24"/>
          <w:szCs w:val="24"/>
          <w:lang w:val="en-GB"/>
        </w:rPr>
        <w:t xml:space="preserve">raised against his </w:t>
      </w:r>
      <w:r w:rsidR="0069771C" w:rsidRPr="00461D74">
        <w:rPr>
          <w:rFonts w:ascii="Garamond" w:hAnsi="Garamond" w:cstheme="minorHAnsi"/>
          <w:sz w:val="24"/>
          <w:szCs w:val="24"/>
          <w:lang w:val="en-GB"/>
        </w:rPr>
        <w:t xml:space="preserve">political philosophy. Using the first strategy, </w:t>
      </w:r>
      <w:r w:rsidR="00A42610" w:rsidRPr="00461D74">
        <w:rPr>
          <w:rFonts w:ascii="Garamond" w:hAnsi="Garamond" w:cstheme="minorHAnsi"/>
          <w:sz w:val="24"/>
          <w:szCs w:val="24"/>
          <w:lang w:val="en-GB"/>
        </w:rPr>
        <w:t>I made an attempt to</w:t>
      </w:r>
      <w:r w:rsidR="0069771C" w:rsidRPr="00461D74">
        <w:rPr>
          <w:rFonts w:ascii="Garamond" w:hAnsi="Garamond" w:cstheme="minorHAnsi"/>
          <w:sz w:val="24"/>
          <w:szCs w:val="24"/>
          <w:lang w:val="en-GB"/>
        </w:rPr>
        <w:t xml:space="preserve"> </w:t>
      </w:r>
      <w:r w:rsidR="00A42610" w:rsidRPr="00461D74">
        <w:rPr>
          <w:rFonts w:ascii="Garamond" w:hAnsi="Garamond" w:cstheme="minorHAnsi"/>
          <w:sz w:val="24"/>
          <w:szCs w:val="24"/>
          <w:lang w:val="en-GB"/>
        </w:rPr>
        <w:t>read</w:t>
      </w:r>
      <w:r w:rsidR="0069771C" w:rsidRPr="00461D74">
        <w:rPr>
          <w:rFonts w:ascii="Garamond" w:hAnsi="Garamond" w:cstheme="minorHAnsi"/>
          <w:sz w:val="24"/>
          <w:szCs w:val="24"/>
          <w:lang w:val="en-GB"/>
        </w:rPr>
        <w:t xml:space="preserve"> MacIntyre</w:t>
      </w:r>
      <w:r w:rsidR="00A42610" w:rsidRPr="00461D74">
        <w:rPr>
          <w:rFonts w:ascii="Garamond" w:hAnsi="Garamond" w:cstheme="minorHAnsi"/>
          <w:sz w:val="24"/>
          <w:szCs w:val="24"/>
          <w:lang w:val="en-GB"/>
        </w:rPr>
        <w:t xml:space="preserve">’s political philosophy in the context of </w:t>
      </w:r>
      <w:r w:rsidR="00A42610" w:rsidRPr="00461D74">
        <w:rPr>
          <w:rFonts w:ascii="Garamond" w:hAnsi="Garamond" w:cstheme="minorHAnsi"/>
          <w:i/>
          <w:sz w:val="24"/>
          <w:szCs w:val="24"/>
          <w:lang w:val="en-GB"/>
        </w:rPr>
        <w:t>ideal theory</w:t>
      </w:r>
      <w:r w:rsidR="0069771C" w:rsidRPr="00461D74">
        <w:rPr>
          <w:rFonts w:ascii="Garamond" w:hAnsi="Garamond" w:cstheme="minorHAnsi"/>
          <w:sz w:val="24"/>
          <w:szCs w:val="24"/>
          <w:lang w:val="en-GB"/>
        </w:rPr>
        <w:t xml:space="preserve">. In order to show what this meant in </w:t>
      </w:r>
      <w:r w:rsidR="00A42610" w:rsidRPr="00461D74">
        <w:rPr>
          <w:rFonts w:ascii="Garamond" w:hAnsi="Garamond" w:cstheme="minorHAnsi"/>
          <w:sz w:val="24"/>
          <w:szCs w:val="24"/>
          <w:lang w:val="en-GB"/>
        </w:rPr>
        <w:t>conceptual terms,</w:t>
      </w:r>
      <w:r w:rsidR="0069771C" w:rsidRPr="00461D74">
        <w:rPr>
          <w:rFonts w:ascii="Garamond" w:hAnsi="Garamond" w:cstheme="minorHAnsi"/>
          <w:sz w:val="24"/>
          <w:szCs w:val="24"/>
          <w:lang w:val="en-GB"/>
        </w:rPr>
        <w:t xml:space="preserve"> I </w:t>
      </w:r>
      <w:r w:rsidR="00D01B8D">
        <w:rPr>
          <w:rFonts w:ascii="Garamond" w:hAnsi="Garamond" w:cstheme="minorHAnsi"/>
          <w:sz w:val="24"/>
          <w:szCs w:val="24"/>
          <w:lang w:val="en-GB"/>
        </w:rPr>
        <w:t xml:space="preserve">considered </w:t>
      </w:r>
      <w:r w:rsidR="0069771C" w:rsidRPr="00461D74">
        <w:rPr>
          <w:rFonts w:ascii="Garamond" w:hAnsi="Garamond" w:cstheme="minorHAnsi"/>
          <w:sz w:val="24"/>
          <w:szCs w:val="24"/>
          <w:lang w:val="en-GB"/>
        </w:rPr>
        <w:t xml:space="preserve">the differences between the proponents of ideal theory as against those who endorse real theory. </w:t>
      </w:r>
      <w:r w:rsidR="00A42610" w:rsidRPr="00461D74">
        <w:rPr>
          <w:rFonts w:ascii="Garamond" w:hAnsi="Garamond" w:cstheme="minorHAnsi"/>
          <w:sz w:val="24"/>
          <w:szCs w:val="24"/>
          <w:lang w:val="en-GB"/>
        </w:rPr>
        <w:t>I then</w:t>
      </w:r>
      <w:r w:rsidR="0069771C" w:rsidRPr="00461D74">
        <w:rPr>
          <w:rFonts w:ascii="Garamond" w:hAnsi="Garamond" w:cstheme="minorHAnsi"/>
          <w:sz w:val="24"/>
          <w:szCs w:val="24"/>
          <w:lang w:val="en-GB"/>
        </w:rPr>
        <w:t xml:space="preserve"> examined the various political commitments that MacIntyre appears to hold, and </w:t>
      </w:r>
      <w:r w:rsidR="00A42610" w:rsidRPr="00461D74">
        <w:rPr>
          <w:rFonts w:ascii="Garamond" w:hAnsi="Garamond" w:cstheme="minorHAnsi"/>
          <w:sz w:val="24"/>
          <w:szCs w:val="24"/>
          <w:lang w:val="en-GB"/>
        </w:rPr>
        <w:t>made an attempt</w:t>
      </w:r>
      <w:r w:rsidR="0069771C" w:rsidRPr="00461D74">
        <w:rPr>
          <w:rFonts w:ascii="Garamond" w:hAnsi="Garamond" w:cstheme="minorHAnsi"/>
          <w:sz w:val="24"/>
          <w:szCs w:val="24"/>
          <w:lang w:val="en-GB"/>
        </w:rPr>
        <w:t xml:space="preserve"> to place MacIntyre’s </w:t>
      </w:r>
      <w:r w:rsidR="00A42610" w:rsidRPr="00461D74">
        <w:rPr>
          <w:rFonts w:ascii="Garamond" w:hAnsi="Garamond" w:cstheme="minorHAnsi"/>
          <w:sz w:val="24"/>
          <w:szCs w:val="24"/>
          <w:lang w:val="en-GB"/>
        </w:rPr>
        <w:t>politics</w:t>
      </w:r>
      <w:r w:rsidR="0069771C" w:rsidRPr="00461D74">
        <w:rPr>
          <w:rFonts w:ascii="Garamond" w:hAnsi="Garamond" w:cstheme="minorHAnsi"/>
          <w:sz w:val="24"/>
          <w:szCs w:val="24"/>
          <w:lang w:val="en-GB"/>
        </w:rPr>
        <w:t xml:space="preserve"> in the framework of the wider debate between real and ideal </w:t>
      </w:r>
      <w:r w:rsidR="00A42610" w:rsidRPr="00461D74">
        <w:rPr>
          <w:rFonts w:ascii="Garamond" w:hAnsi="Garamond" w:cstheme="minorHAnsi"/>
          <w:sz w:val="24"/>
          <w:szCs w:val="24"/>
          <w:lang w:val="en-GB"/>
        </w:rPr>
        <w:t>political theory</w:t>
      </w:r>
      <w:r w:rsidR="0069771C" w:rsidRPr="00461D74">
        <w:rPr>
          <w:rFonts w:ascii="Garamond" w:hAnsi="Garamond" w:cstheme="minorHAnsi"/>
          <w:sz w:val="24"/>
          <w:szCs w:val="24"/>
          <w:lang w:val="en-GB"/>
        </w:rPr>
        <w:t>.</w:t>
      </w:r>
      <w:r w:rsidR="00A42610" w:rsidRPr="00461D74">
        <w:rPr>
          <w:rFonts w:ascii="Garamond" w:hAnsi="Garamond" w:cstheme="minorHAnsi"/>
          <w:sz w:val="24"/>
          <w:szCs w:val="24"/>
          <w:lang w:val="en-GB"/>
        </w:rPr>
        <w:t xml:space="preserve"> I then tried to reconcile MacIntyre’s various internal commitments in his political philosophy</w:t>
      </w:r>
      <w:r w:rsidR="00C551F0" w:rsidRPr="00461D74">
        <w:rPr>
          <w:rFonts w:ascii="Garamond" w:hAnsi="Garamond" w:cstheme="minorHAnsi"/>
          <w:sz w:val="24"/>
          <w:szCs w:val="24"/>
          <w:lang w:val="en-GB"/>
        </w:rPr>
        <w:t xml:space="preserve"> </w:t>
      </w:r>
      <w:r w:rsidR="00A42610" w:rsidRPr="00461D74">
        <w:rPr>
          <w:rFonts w:ascii="Garamond" w:hAnsi="Garamond" w:cstheme="minorHAnsi"/>
          <w:sz w:val="24"/>
          <w:szCs w:val="24"/>
          <w:lang w:val="en-GB"/>
        </w:rPr>
        <w:t>– that constitute his overall position</w:t>
      </w:r>
      <w:r w:rsidR="00C551F0" w:rsidRPr="00461D74">
        <w:rPr>
          <w:rFonts w:ascii="Garamond" w:hAnsi="Garamond" w:cstheme="minorHAnsi"/>
          <w:sz w:val="24"/>
          <w:szCs w:val="24"/>
          <w:lang w:val="en-GB"/>
        </w:rPr>
        <w:t xml:space="preserve"> </w:t>
      </w:r>
      <w:r w:rsidR="00A42610" w:rsidRPr="00461D74">
        <w:rPr>
          <w:rFonts w:ascii="Garamond" w:hAnsi="Garamond" w:cstheme="minorHAnsi"/>
          <w:sz w:val="24"/>
          <w:szCs w:val="24"/>
          <w:lang w:val="en-GB"/>
        </w:rPr>
        <w:t>–</w:t>
      </w:r>
      <w:r w:rsidR="00D01B8D">
        <w:rPr>
          <w:rFonts w:ascii="Garamond" w:hAnsi="Garamond" w:cstheme="minorHAnsi"/>
          <w:sz w:val="24"/>
          <w:szCs w:val="24"/>
          <w:lang w:val="en-GB"/>
        </w:rPr>
        <w:t xml:space="preserve"> </w:t>
      </w:r>
      <w:r w:rsidR="00A42610" w:rsidRPr="00461D74">
        <w:rPr>
          <w:rFonts w:ascii="Garamond" w:hAnsi="Garamond" w:cstheme="minorHAnsi"/>
          <w:sz w:val="24"/>
          <w:szCs w:val="24"/>
          <w:lang w:val="en-GB"/>
        </w:rPr>
        <w:t>within the framework of ideal theory. Nevertheless</w:t>
      </w:r>
      <w:r w:rsidR="00D01B8D">
        <w:rPr>
          <w:rFonts w:ascii="Garamond" w:hAnsi="Garamond" w:cstheme="minorHAnsi"/>
          <w:sz w:val="24"/>
          <w:szCs w:val="24"/>
          <w:lang w:val="en-GB"/>
        </w:rPr>
        <w:t>,</w:t>
      </w:r>
      <w:r w:rsidR="00A42610" w:rsidRPr="00461D74">
        <w:rPr>
          <w:rFonts w:ascii="Garamond" w:hAnsi="Garamond" w:cstheme="minorHAnsi"/>
          <w:sz w:val="24"/>
          <w:szCs w:val="24"/>
          <w:lang w:val="en-GB"/>
        </w:rPr>
        <w:t xml:space="preserve"> I argued that reading him as an ideal theorist isn’t terribly productive</w:t>
      </w:r>
      <w:r w:rsidR="00C551F0" w:rsidRPr="00461D74">
        <w:rPr>
          <w:rFonts w:ascii="Garamond" w:hAnsi="Garamond" w:cstheme="minorHAnsi"/>
          <w:sz w:val="24"/>
          <w:szCs w:val="24"/>
          <w:lang w:val="en-GB"/>
        </w:rPr>
        <w:t>,</w:t>
      </w:r>
      <w:r w:rsidR="00A42610" w:rsidRPr="00461D74">
        <w:rPr>
          <w:rFonts w:ascii="Garamond" w:hAnsi="Garamond" w:cstheme="minorHAnsi"/>
          <w:sz w:val="24"/>
          <w:szCs w:val="24"/>
          <w:lang w:val="en-GB"/>
        </w:rPr>
        <w:t xml:space="preserve"> since it would entail abandon</w:t>
      </w:r>
      <w:r w:rsidR="00D01B8D">
        <w:rPr>
          <w:rFonts w:ascii="Garamond" w:hAnsi="Garamond" w:cstheme="minorHAnsi"/>
          <w:sz w:val="24"/>
          <w:szCs w:val="24"/>
          <w:lang w:val="en-GB"/>
        </w:rPr>
        <w:t>ing</w:t>
      </w:r>
      <w:r w:rsidR="00A42610" w:rsidRPr="00461D74">
        <w:rPr>
          <w:rFonts w:ascii="Garamond" w:hAnsi="Garamond" w:cstheme="minorHAnsi"/>
          <w:sz w:val="24"/>
          <w:szCs w:val="24"/>
          <w:lang w:val="en-GB"/>
        </w:rPr>
        <w:t xml:space="preserve"> many of the core tenets in his philosophical account.</w:t>
      </w:r>
    </w:p>
    <w:p w:rsidR="00665157" w:rsidRDefault="00453FBF">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Next, I consider</w:t>
      </w:r>
      <w:r w:rsidR="00A42610" w:rsidRPr="00461D74">
        <w:rPr>
          <w:rFonts w:ascii="Garamond" w:hAnsi="Garamond" w:cstheme="minorHAnsi"/>
          <w:sz w:val="24"/>
          <w:szCs w:val="24"/>
          <w:lang w:val="en-GB"/>
        </w:rPr>
        <w:t>ed</w:t>
      </w:r>
      <w:r w:rsidRPr="00461D74">
        <w:rPr>
          <w:rFonts w:ascii="Garamond" w:hAnsi="Garamond" w:cstheme="minorHAnsi"/>
          <w:sz w:val="24"/>
          <w:szCs w:val="24"/>
          <w:lang w:val="en-GB"/>
        </w:rPr>
        <w:t xml:space="preserve"> a second strategy which MacIntyre </w:t>
      </w:r>
      <w:r w:rsidR="00C551F0" w:rsidRPr="00461D74">
        <w:rPr>
          <w:rFonts w:ascii="Garamond" w:hAnsi="Garamond" w:cstheme="minorHAnsi"/>
          <w:sz w:val="24"/>
          <w:szCs w:val="24"/>
          <w:lang w:val="en-GB"/>
        </w:rPr>
        <w:t xml:space="preserve">might use, which is to </w:t>
      </w:r>
      <w:r w:rsidRPr="00461D74">
        <w:rPr>
          <w:rFonts w:ascii="Garamond" w:hAnsi="Garamond" w:cstheme="minorHAnsi"/>
          <w:sz w:val="24"/>
          <w:szCs w:val="24"/>
          <w:lang w:val="en-GB"/>
        </w:rPr>
        <w:t xml:space="preserve">revive a more </w:t>
      </w:r>
      <w:r w:rsidRPr="00461D74">
        <w:rPr>
          <w:rFonts w:ascii="Garamond" w:hAnsi="Garamond" w:cstheme="minorHAnsi"/>
          <w:i/>
          <w:sz w:val="24"/>
          <w:szCs w:val="24"/>
          <w:lang w:val="en-GB"/>
        </w:rPr>
        <w:t>traditional</w:t>
      </w:r>
      <w:r w:rsidRPr="00461D74">
        <w:rPr>
          <w:rFonts w:ascii="Garamond" w:hAnsi="Garamond" w:cstheme="minorHAnsi"/>
          <w:sz w:val="24"/>
          <w:szCs w:val="24"/>
          <w:lang w:val="en-GB"/>
        </w:rPr>
        <w:t xml:space="preserve"> Aristotelian-Thomistic politics, without the various historicist commitments that </w:t>
      </w:r>
      <w:r w:rsidR="00A42610" w:rsidRPr="00461D74">
        <w:rPr>
          <w:rFonts w:ascii="Garamond" w:hAnsi="Garamond" w:cstheme="minorHAnsi"/>
          <w:sz w:val="24"/>
          <w:szCs w:val="24"/>
          <w:lang w:val="en-GB"/>
        </w:rPr>
        <w:t>would complicate our efforts</w:t>
      </w:r>
      <w:r w:rsidRPr="00461D74">
        <w:rPr>
          <w:rFonts w:ascii="Garamond" w:hAnsi="Garamond" w:cstheme="minorHAnsi"/>
          <w:sz w:val="24"/>
          <w:szCs w:val="24"/>
          <w:lang w:val="en-GB"/>
        </w:rPr>
        <w:t xml:space="preserve">. </w:t>
      </w:r>
      <w:r w:rsidR="00934678" w:rsidRPr="00461D74">
        <w:rPr>
          <w:rFonts w:ascii="Garamond" w:hAnsi="Garamond" w:cstheme="minorHAnsi"/>
          <w:sz w:val="24"/>
          <w:szCs w:val="24"/>
          <w:lang w:val="en-GB"/>
        </w:rPr>
        <w:t xml:space="preserve">This </w:t>
      </w:r>
      <w:r w:rsidR="00882786" w:rsidRPr="00461D74">
        <w:rPr>
          <w:rFonts w:ascii="Garamond" w:hAnsi="Garamond" w:cstheme="minorHAnsi"/>
          <w:sz w:val="24"/>
          <w:szCs w:val="24"/>
          <w:lang w:val="en-GB"/>
        </w:rPr>
        <w:t>approach</w:t>
      </w:r>
      <w:r w:rsidR="00934678" w:rsidRPr="00461D74">
        <w:rPr>
          <w:rFonts w:ascii="Garamond" w:hAnsi="Garamond" w:cstheme="minorHAnsi"/>
          <w:sz w:val="24"/>
          <w:szCs w:val="24"/>
          <w:lang w:val="en-GB"/>
        </w:rPr>
        <w:t xml:space="preserve"> initially appeared to be</w:t>
      </w:r>
      <w:r w:rsidR="00A42610" w:rsidRPr="00461D74">
        <w:rPr>
          <w:rFonts w:ascii="Garamond" w:hAnsi="Garamond" w:cstheme="minorHAnsi"/>
          <w:sz w:val="24"/>
          <w:szCs w:val="24"/>
          <w:lang w:val="en-GB"/>
        </w:rPr>
        <w:t xml:space="preserve"> promising</w:t>
      </w:r>
      <w:r w:rsidR="00934678" w:rsidRPr="00461D74">
        <w:rPr>
          <w:rFonts w:ascii="Garamond" w:hAnsi="Garamond" w:cstheme="minorHAnsi"/>
          <w:sz w:val="24"/>
          <w:szCs w:val="24"/>
          <w:lang w:val="en-GB"/>
        </w:rPr>
        <w:t>; namely, it appeared</w:t>
      </w:r>
      <w:r w:rsidR="00A42610" w:rsidRPr="00461D74">
        <w:rPr>
          <w:rFonts w:ascii="Garamond" w:hAnsi="Garamond" w:cstheme="minorHAnsi"/>
          <w:sz w:val="24"/>
          <w:szCs w:val="24"/>
          <w:lang w:val="en-GB"/>
        </w:rPr>
        <w:t xml:space="preserve"> a</w:t>
      </w:r>
      <w:r w:rsidR="00934678" w:rsidRPr="00461D74">
        <w:rPr>
          <w:rFonts w:ascii="Garamond" w:hAnsi="Garamond" w:cstheme="minorHAnsi"/>
          <w:sz w:val="24"/>
          <w:szCs w:val="24"/>
          <w:lang w:val="en-GB"/>
        </w:rPr>
        <w:t>s though Thomism indeed contained</w:t>
      </w:r>
      <w:r w:rsidR="00A42610" w:rsidRPr="00461D74">
        <w:rPr>
          <w:rFonts w:ascii="Garamond" w:hAnsi="Garamond" w:cstheme="minorHAnsi"/>
          <w:sz w:val="24"/>
          <w:szCs w:val="24"/>
          <w:lang w:val="en-GB"/>
        </w:rPr>
        <w:t xml:space="preserve"> the typ</w:t>
      </w:r>
      <w:r w:rsidR="00934678" w:rsidRPr="00461D74">
        <w:rPr>
          <w:rFonts w:ascii="Garamond" w:hAnsi="Garamond" w:cstheme="minorHAnsi"/>
          <w:sz w:val="24"/>
          <w:szCs w:val="24"/>
          <w:lang w:val="en-GB"/>
        </w:rPr>
        <w:t>e of conceptual resources that c</w:t>
      </w:r>
      <w:r w:rsidR="00A42610" w:rsidRPr="00461D74">
        <w:rPr>
          <w:rFonts w:ascii="Garamond" w:hAnsi="Garamond" w:cstheme="minorHAnsi"/>
          <w:sz w:val="24"/>
          <w:szCs w:val="24"/>
          <w:lang w:val="en-GB"/>
        </w:rPr>
        <w:t>ould</w:t>
      </w:r>
      <w:r w:rsidR="00934678" w:rsidRPr="00461D74">
        <w:rPr>
          <w:rFonts w:ascii="Garamond" w:hAnsi="Garamond" w:cstheme="minorHAnsi"/>
          <w:sz w:val="24"/>
          <w:szCs w:val="24"/>
          <w:lang w:val="en-GB"/>
        </w:rPr>
        <w:t xml:space="preserve"> then be utilised to articulate a constructive political account</w:t>
      </w:r>
      <w:r w:rsidR="00C551F0" w:rsidRPr="00461D74">
        <w:rPr>
          <w:rFonts w:ascii="Garamond" w:hAnsi="Garamond" w:cstheme="minorHAnsi"/>
          <w:sz w:val="24"/>
          <w:szCs w:val="24"/>
          <w:lang w:val="en-GB"/>
        </w:rPr>
        <w:t xml:space="preserve"> </w:t>
      </w:r>
      <w:r w:rsidR="00934678" w:rsidRPr="00461D74">
        <w:rPr>
          <w:rFonts w:ascii="Garamond" w:hAnsi="Garamond" w:cstheme="minorHAnsi"/>
          <w:sz w:val="24"/>
          <w:szCs w:val="24"/>
          <w:lang w:val="en-GB"/>
        </w:rPr>
        <w:t>–</w:t>
      </w:r>
      <w:r w:rsidR="00C551F0" w:rsidRPr="00461D74">
        <w:rPr>
          <w:rFonts w:ascii="Garamond" w:hAnsi="Garamond" w:cstheme="minorHAnsi"/>
          <w:sz w:val="24"/>
          <w:szCs w:val="24"/>
          <w:lang w:val="en-GB"/>
        </w:rPr>
        <w:t xml:space="preserve"> </w:t>
      </w:r>
      <w:r w:rsidR="00934678" w:rsidRPr="00461D74">
        <w:rPr>
          <w:rFonts w:ascii="Garamond" w:hAnsi="Garamond" w:cstheme="minorHAnsi"/>
          <w:sz w:val="24"/>
          <w:szCs w:val="24"/>
          <w:lang w:val="en-GB"/>
        </w:rPr>
        <w:t>a politics that appeared capable of defending local communities.</w:t>
      </w:r>
    </w:p>
    <w:p w:rsidR="00665157" w:rsidRDefault="00023665">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Nevertheless</w:t>
      </w:r>
      <w:r w:rsidR="00453FBF" w:rsidRPr="00461D74">
        <w:rPr>
          <w:rFonts w:ascii="Garamond" w:hAnsi="Garamond" w:cstheme="minorHAnsi"/>
          <w:sz w:val="24"/>
          <w:szCs w:val="24"/>
          <w:lang w:val="en-GB"/>
        </w:rPr>
        <w:t xml:space="preserve">, </w:t>
      </w:r>
      <w:r w:rsidR="004B63E3" w:rsidRPr="00461D74">
        <w:rPr>
          <w:rFonts w:ascii="Garamond" w:hAnsi="Garamond" w:cstheme="minorHAnsi"/>
          <w:sz w:val="24"/>
          <w:szCs w:val="24"/>
          <w:lang w:val="en-GB"/>
        </w:rPr>
        <w:t>my</w:t>
      </w:r>
      <w:r w:rsidR="00934678" w:rsidRPr="00461D74">
        <w:rPr>
          <w:rFonts w:ascii="Garamond" w:hAnsi="Garamond" w:cstheme="minorHAnsi"/>
          <w:sz w:val="24"/>
          <w:szCs w:val="24"/>
          <w:lang w:val="en-GB"/>
        </w:rPr>
        <w:t xml:space="preserve"> examination of </w:t>
      </w:r>
      <w:r w:rsidR="004B63E3" w:rsidRPr="00461D74">
        <w:rPr>
          <w:rFonts w:ascii="Garamond" w:hAnsi="Garamond" w:cstheme="minorHAnsi"/>
          <w:sz w:val="24"/>
          <w:szCs w:val="24"/>
          <w:lang w:val="en-GB"/>
        </w:rPr>
        <w:t>the</w:t>
      </w:r>
      <w:r w:rsidR="00934678" w:rsidRPr="00461D74">
        <w:rPr>
          <w:rFonts w:ascii="Garamond" w:hAnsi="Garamond" w:cstheme="minorHAnsi"/>
          <w:sz w:val="24"/>
          <w:szCs w:val="24"/>
          <w:lang w:val="en-GB"/>
        </w:rPr>
        <w:t xml:space="preserve"> second strategy revealed an important difficulty. Here, I argued that MacIntyre suggests that the type of common good in the Aristotelian-Thomist tradition isn’t really available under the conditions availabl</w:t>
      </w:r>
      <w:r w:rsidR="00FD132C" w:rsidRPr="00461D74">
        <w:rPr>
          <w:rFonts w:ascii="Garamond" w:hAnsi="Garamond" w:cstheme="minorHAnsi"/>
          <w:sz w:val="24"/>
          <w:szCs w:val="24"/>
          <w:lang w:val="en-GB"/>
        </w:rPr>
        <w:t>e in the modern liberal state</w:t>
      </w:r>
      <w:r w:rsidR="00C551F0" w:rsidRPr="00461D74">
        <w:rPr>
          <w:rFonts w:ascii="Garamond" w:hAnsi="Garamond" w:cstheme="minorHAnsi"/>
          <w:sz w:val="24"/>
          <w:szCs w:val="24"/>
          <w:lang w:val="en-GB"/>
        </w:rPr>
        <w:t>, as</w:t>
      </w:r>
      <w:r w:rsidR="00934678" w:rsidRPr="00461D74">
        <w:rPr>
          <w:rFonts w:ascii="Garamond" w:hAnsi="Garamond" w:cstheme="minorHAnsi"/>
          <w:sz w:val="24"/>
          <w:szCs w:val="24"/>
          <w:lang w:val="en-GB"/>
        </w:rPr>
        <w:t xml:space="preserve"> </w:t>
      </w:r>
      <w:r w:rsidR="005D4A87" w:rsidRPr="00461D74">
        <w:rPr>
          <w:rFonts w:ascii="Garamond" w:hAnsi="Garamond" w:cstheme="minorHAnsi"/>
          <w:sz w:val="24"/>
          <w:szCs w:val="24"/>
          <w:lang w:val="en-GB"/>
        </w:rPr>
        <w:t xml:space="preserve">the liberal state only generates a notion of public interest, and public interest is conceptually </w:t>
      </w:r>
      <w:r w:rsidR="00FD132C" w:rsidRPr="00461D74">
        <w:rPr>
          <w:rFonts w:ascii="Garamond" w:hAnsi="Garamond" w:cstheme="minorHAnsi"/>
          <w:sz w:val="24"/>
          <w:szCs w:val="24"/>
          <w:lang w:val="en-GB"/>
        </w:rPr>
        <w:t>distinct from</w:t>
      </w:r>
      <w:r w:rsidR="005D4A87" w:rsidRPr="00461D74">
        <w:rPr>
          <w:rFonts w:ascii="Garamond" w:hAnsi="Garamond" w:cstheme="minorHAnsi"/>
          <w:sz w:val="24"/>
          <w:szCs w:val="24"/>
          <w:lang w:val="en-GB"/>
        </w:rPr>
        <w:t xml:space="preserve"> the Thomistic </w:t>
      </w:r>
      <w:r w:rsidR="00FD132C" w:rsidRPr="00461D74">
        <w:rPr>
          <w:rFonts w:ascii="Garamond" w:hAnsi="Garamond" w:cstheme="minorHAnsi"/>
          <w:sz w:val="24"/>
          <w:szCs w:val="24"/>
          <w:lang w:val="en-GB"/>
        </w:rPr>
        <w:lastRenderedPageBreak/>
        <w:t xml:space="preserve">conception of the </w:t>
      </w:r>
      <w:r w:rsidR="005D4A87" w:rsidRPr="00461D74">
        <w:rPr>
          <w:rFonts w:ascii="Garamond" w:hAnsi="Garamond" w:cstheme="minorHAnsi"/>
          <w:sz w:val="24"/>
          <w:szCs w:val="24"/>
          <w:lang w:val="en-GB"/>
        </w:rPr>
        <w:t>common good</w:t>
      </w:r>
      <w:r w:rsidR="008B36D2">
        <w:rPr>
          <w:rFonts w:ascii="Garamond" w:hAnsi="Garamond" w:cstheme="minorHAnsi"/>
          <w:sz w:val="24"/>
          <w:szCs w:val="24"/>
          <w:lang w:val="en-GB"/>
        </w:rPr>
        <w:t xml:space="preserve">. Now, if the state doesn’t generate the right sort of public good, </w:t>
      </w:r>
      <w:r w:rsidR="00934678" w:rsidRPr="00461D74">
        <w:rPr>
          <w:rFonts w:ascii="Garamond" w:hAnsi="Garamond" w:cstheme="minorHAnsi"/>
          <w:sz w:val="24"/>
          <w:szCs w:val="24"/>
          <w:lang w:val="en-GB"/>
        </w:rPr>
        <w:t>we</w:t>
      </w:r>
      <w:r w:rsidR="005D4A87" w:rsidRPr="00461D74">
        <w:rPr>
          <w:rFonts w:ascii="Garamond" w:hAnsi="Garamond" w:cstheme="minorHAnsi"/>
          <w:sz w:val="24"/>
          <w:szCs w:val="24"/>
          <w:lang w:val="en-GB"/>
        </w:rPr>
        <w:t xml:space="preserve"> </w:t>
      </w:r>
      <w:r w:rsidR="008B36D2">
        <w:rPr>
          <w:rFonts w:ascii="Garamond" w:hAnsi="Garamond" w:cstheme="minorHAnsi"/>
          <w:sz w:val="24"/>
          <w:szCs w:val="24"/>
          <w:lang w:val="en-GB"/>
        </w:rPr>
        <w:t>seem to</w:t>
      </w:r>
      <w:r w:rsidR="008B36D2" w:rsidRPr="00461D74">
        <w:rPr>
          <w:rFonts w:ascii="Garamond" w:hAnsi="Garamond" w:cstheme="minorHAnsi"/>
          <w:sz w:val="24"/>
          <w:szCs w:val="24"/>
          <w:lang w:val="en-GB"/>
        </w:rPr>
        <w:t xml:space="preserve"> </w:t>
      </w:r>
      <w:r w:rsidR="008B36D2">
        <w:rPr>
          <w:rFonts w:ascii="Garamond" w:hAnsi="Garamond" w:cstheme="minorHAnsi"/>
          <w:sz w:val="24"/>
          <w:szCs w:val="24"/>
          <w:lang w:val="en-GB"/>
        </w:rPr>
        <w:t>be in want of</w:t>
      </w:r>
      <w:r w:rsidR="008B36D2" w:rsidRPr="00461D74">
        <w:rPr>
          <w:rFonts w:ascii="Garamond" w:hAnsi="Garamond" w:cstheme="minorHAnsi"/>
          <w:sz w:val="24"/>
          <w:szCs w:val="24"/>
          <w:lang w:val="en-GB"/>
        </w:rPr>
        <w:t xml:space="preserve"> </w:t>
      </w:r>
      <w:r w:rsidR="00934678" w:rsidRPr="00461D74">
        <w:rPr>
          <w:rFonts w:ascii="Garamond" w:hAnsi="Garamond" w:cstheme="minorHAnsi"/>
          <w:sz w:val="24"/>
          <w:szCs w:val="24"/>
          <w:lang w:val="en-GB"/>
        </w:rPr>
        <w:t xml:space="preserve">a plausible conception of the common good that </w:t>
      </w:r>
      <w:r w:rsidR="00C62DAF">
        <w:rPr>
          <w:rFonts w:ascii="Garamond" w:hAnsi="Garamond" w:cstheme="minorHAnsi"/>
          <w:sz w:val="24"/>
          <w:szCs w:val="24"/>
          <w:lang w:val="en-GB"/>
        </w:rPr>
        <w:t>could in turn</w:t>
      </w:r>
      <w:r w:rsidR="00C62DAF" w:rsidRPr="00461D74">
        <w:rPr>
          <w:rFonts w:ascii="Garamond" w:hAnsi="Garamond" w:cstheme="minorHAnsi"/>
          <w:sz w:val="24"/>
          <w:szCs w:val="24"/>
          <w:lang w:val="en-GB"/>
        </w:rPr>
        <w:t xml:space="preserve"> </w:t>
      </w:r>
      <w:r w:rsidR="00934678" w:rsidRPr="00461D74">
        <w:rPr>
          <w:rFonts w:ascii="Garamond" w:hAnsi="Garamond" w:cstheme="minorHAnsi"/>
          <w:sz w:val="24"/>
          <w:szCs w:val="24"/>
          <w:lang w:val="en-GB"/>
        </w:rPr>
        <w:t>ground a more traditional form of Aristotelian-Thomism.</w:t>
      </w:r>
      <w:r w:rsidR="00C3339D" w:rsidRPr="00461D74">
        <w:rPr>
          <w:rFonts w:ascii="Garamond" w:hAnsi="Garamond" w:cstheme="minorHAnsi"/>
          <w:sz w:val="24"/>
          <w:szCs w:val="24"/>
          <w:lang w:val="en-GB"/>
        </w:rPr>
        <w:t xml:space="preserve"> Yet, without an acceptable conception of the common good which </w:t>
      </w:r>
      <w:r w:rsidR="00FD132C" w:rsidRPr="00461D74">
        <w:rPr>
          <w:rFonts w:ascii="Garamond" w:hAnsi="Garamond" w:cstheme="minorHAnsi"/>
          <w:sz w:val="24"/>
          <w:szCs w:val="24"/>
          <w:lang w:val="en-GB"/>
        </w:rPr>
        <w:t>would ground a traditional Thomistic account, this</w:t>
      </w:r>
      <w:r w:rsidR="00C3339D" w:rsidRPr="00461D74">
        <w:rPr>
          <w:rFonts w:ascii="Garamond" w:hAnsi="Garamond" w:cstheme="minorHAnsi"/>
          <w:sz w:val="24"/>
          <w:szCs w:val="24"/>
          <w:lang w:val="en-GB"/>
        </w:rPr>
        <w:t xml:space="preserve"> second strategy </w:t>
      </w:r>
      <w:r w:rsidR="00FD132C" w:rsidRPr="00461D74">
        <w:rPr>
          <w:rFonts w:ascii="Garamond" w:hAnsi="Garamond" w:cstheme="minorHAnsi"/>
          <w:sz w:val="24"/>
          <w:szCs w:val="24"/>
          <w:lang w:val="en-GB"/>
        </w:rPr>
        <w:t xml:space="preserve">is </w:t>
      </w:r>
      <w:r w:rsidR="00C3339D" w:rsidRPr="00461D74">
        <w:rPr>
          <w:rFonts w:ascii="Garamond" w:hAnsi="Garamond" w:cstheme="minorHAnsi"/>
          <w:sz w:val="24"/>
          <w:szCs w:val="24"/>
          <w:lang w:val="en-GB"/>
        </w:rPr>
        <w:t xml:space="preserve">no longer </w:t>
      </w:r>
      <w:r w:rsidR="00FD132C" w:rsidRPr="00461D74">
        <w:rPr>
          <w:rFonts w:ascii="Garamond" w:hAnsi="Garamond" w:cstheme="minorHAnsi"/>
          <w:sz w:val="24"/>
          <w:szCs w:val="24"/>
          <w:lang w:val="en-GB"/>
        </w:rPr>
        <w:t>promising.</w:t>
      </w:r>
      <w:r w:rsidR="00C3339D" w:rsidRPr="00461D74">
        <w:rPr>
          <w:rFonts w:ascii="Garamond" w:hAnsi="Garamond" w:cstheme="minorHAnsi"/>
          <w:sz w:val="24"/>
          <w:szCs w:val="24"/>
          <w:lang w:val="en-GB"/>
        </w:rPr>
        <w:t xml:space="preserve"> </w:t>
      </w:r>
      <w:r w:rsidR="00453FBF" w:rsidRPr="00461D74">
        <w:rPr>
          <w:rFonts w:ascii="Garamond" w:hAnsi="Garamond" w:cstheme="minorHAnsi"/>
          <w:sz w:val="24"/>
          <w:szCs w:val="24"/>
          <w:lang w:val="en-GB"/>
        </w:rPr>
        <w:t>Therefore</w:t>
      </w:r>
      <w:r w:rsidR="001B6503" w:rsidRPr="00461D74">
        <w:rPr>
          <w:rFonts w:ascii="Garamond" w:hAnsi="Garamond" w:cstheme="minorHAnsi"/>
          <w:sz w:val="24"/>
          <w:szCs w:val="24"/>
          <w:lang w:val="en-GB"/>
        </w:rPr>
        <w:t xml:space="preserve">, </w:t>
      </w:r>
      <w:r w:rsidR="00453FBF" w:rsidRPr="00461D74">
        <w:rPr>
          <w:rFonts w:ascii="Garamond" w:hAnsi="Garamond" w:cstheme="minorHAnsi"/>
          <w:sz w:val="24"/>
          <w:szCs w:val="24"/>
          <w:lang w:val="en-GB"/>
        </w:rPr>
        <w:t xml:space="preserve">both of these strategies </w:t>
      </w:r>
      <w:r w:rsidR="001B6503" w:rsidRPr="00461D74">
        <w:rPr>
          <w:rFonts w:ascii="Garamond" w:hAnsi="Garamond" w:cstheme="minorHAnsi"/>
          <w:sz w:val="24"/>
          <w:szCs w:val="24"/>
          <w:lang w:val="en-GB"/>
        </w:rPr>
        <w:t xml:space="preserve">in the end are unsuccessful in </w:t>
      </w:r>
      <w:r w:rsidR="009C3E84" w:rsidRPr="00461D74">
        <w:rPr>
          <w:rFonts w:ascii="Garamond" w:hAnsi="Garamond" w:cstheme="minorHAnsi"/>
          <w:sz w:val="24"/>
          <w:szCs w:val="24"/>
          <w:lang w:val="en-GB"/>
        </w:rPr>
        <w:t>devising</w:t>
      </w:r>
      <w:r w:rsidR="001B6503" w:rsidRPr="00461D74">
        <w:rPr>
          <w:rFonts w:ascii="Garamond" w:hAnsi="Garamond" w:cstheme="minorHAnsi"/>
          <w:sz w:val="24"/>
          <w:szCs w:val="24"/>
          <w:lang w:val="en-GB"/>
        </w:rPr>
        <w:t xml:space="preserve"> the kind of politics that </w:t>
      </w:r>
      <w:r w:rsidR="009C3E84" w:rsidRPr="00461D74">
        <w:rPr>
          <w:rFonts w:ascii="Garamond" w:hAnsi="Garamond" w:cstheme="minorHAnsi"/>
          <w:sz w:val="24"/>
          <w:szCs w:val="24"/>
          <w:lang w:val="en-GB"/>
        </w:rPr>
        <w:t>is capable of resolving</w:t>
      </w:r>
      <w:r w:rsidR="001B6503" w:rsidRPr="00461D74">
        <w:rPr>
          <w:rFonts w:ascii="Garamond" w:hAnsi="Garamond" w:cstheme="minorHAnsi"/>
          <w:sz w:val="24"/>
          <w:szCs w:val="24"/>
          <w:lang w:val="en-GB"/>
        </w:rPr>
        <w:t xml:space="preserve"> </w:t>
      </w:r>
      <w:r w:rsidR="009C3E84" w:rsidRPr="00461D74">
        <w:rPr>
          <w:rFonts w:ascii="Garamond" w:hAnsi="Garamond" w:cstheme="minorHAnsi"/>
          <w:sz w:val="24"/>
          <w:szCs w:val="24"/>
          <w:lang w:val="en-GB"/>
        </w:rPr>
        <w:t>MacIntyre’s</w:t>
      </w:r>
      <w:r w:rsidR="001B6503" w:rsidRPr="00461D74">
        <w:rPr>
          <w:rFonts w:ascii="Garamond" w:hAnsi="Garamond" w:cstheme="minorHAnsi"/>
          <w:sz w:val="24"/>
          <w:szCs w:val="24"/>
          <w:lang w:val="en-GB"/>
        </w:rPr>
        <w:t xml:space="preserve"> difficulty.</w:t>
      </w:r>
    </w:p>
    <w:p w:rsidR="00665157" w:rsidRDefault="00023665">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GB"/>
        </w:rPr>
        <w:t>However, all is not lost – that is, it may be possible to develop an alternative political formulation which is capable of realising the common good under MacIntyre’s definition.</w:t>
      </w:r>
      <w:r w:rsidR="009C3E84" w:rsidRPr="00461D74">
        <w:rPr>
          <w:rFonts w:ascii="Garamond" w:hAnsi="Garamond" w:cstheme="minorHAnsi"/>
          <w:sz w:val="24"/>
          <w:szCs w:val="24"/>
          <w:lang w:val="en-GB"/>
        </w:rPr>
        <w:t xml:space="preserve"> Put differently, it may be feasible for us to articulate a kind of common good that retains the right type of conceptual relationship with the individual’s good</w:t>
      </w:r>
      <w:r w:rsidR="004C3F46">
        <w:rPr>
          <w:rFonts w:ascii="Garamond" w:hAnsi="Garamond" w:cstheme="minorHAnsi"/>
          <w:sz w:val="24"/>
          <w:szCs w:val="24"/>
          <w:lang w:val="en-GB"/>
        </w:rPr>
        <w:t>, under conditions present in the liberal state</w:t>
      </w:r>
      <w:r w:rsidR="009C3E84" w:rsidRPr="00461D74">
        <w:rPr>
          <w:rFonts w:ascii="Garamond" w:hAnsi="Garamond" w:cstheme="minorHAnsi"/>
          <w:sz w:val="24"/>
          <w:szCs w:val="24"/>
          <w:lang w:val="en-GB"/>
        </w:rPr>
        <w:t>. Finally, th</w:t>
      </w:r>
      <w:r w:rsidR="00882786" w:rsidRPr="00461D74">
        <w:rPr>
          <w:rFonts w:ascii="Garamond" w:hAnsi="Garamond" w:cstheme="minorHAnsi"/>
          <w:sz w:val="24"/>
          <w:szCs w:val="24"/>
          <w:lang w:val="en-GB"/>
        </w:rPr>
        <w:t>is</w:t>
      </w:r>
      <w:r w:rsidR="009C3E84" w:rsidRPr="00461D74">
        <w:rPr>
          <w:rFonts w:ascii="Garamond" w:hAnsi="Garamond" w:cstheme="minorHAnsi"/>
          <w:sz w:val="24"/>
          <w:szCs w:val="24"/>
          <w:lang w:val="en-GB"/>
        </w:rPr>
        <w:t xml:space="preserve"> alternative positive account </w:t>
      </w:r>
      <w:r w:rsidR="00882786" w:rsidRPr="00461D74">
        <w:rPr>
          <w:rFonts w:ascii="Garamond" w:hAnsi="Garamond" w:cstheme="minorHAnsi"/>
          <w:sz w:val="24"/>
          <w:szCs w:val="24"/>
          <w:lang w:val="en-GB"/>
        </w:rPr>
        <w:t xml:space="preserve">perhaps </w:t>
      </w:r>
      <w:r w:rsidR="009C3E84" w:rsidRPr="00461D74">
        <w:rPr>
          <w:rFonts w:ascii="Garamond" w:hAnsi="Garamond" w:cstheme="minorHAnsi"/>
          <w:sz w:val="24"/>
          <w:szCs w:val="24"/>
          <w:lang w:val="en-GB"/>
        </w:rPr>
        <w:t>need not entail the abandon</w:t>
      </w:r>
      <w:r w:rsidR="00C551F0" w:rsidRPr="00461D74">
        <w:rPr>
          <w:rFonts w:ascii="Garamond" w:hAnsi="Garamond" w:cstheme="minorHAnsi"/>
          <w:sz w:val="24"/>
          <w:szCs w:val="24"/>
          <w:lang w:val="en-GB"/>
        </w:rPr>
        <w:t>ment</w:t>
      </w:r>
      <w:r w:rsidR="009C3E84" w:rsidRPr="00461D74">
        <w:rPr>
          <w:rFonts w:ascii="Garamond" w:hAnsi="Garamond" w:cstheme="minorHAnsi"/>
          <w:sz w:val="24"/>
          <w:szCs w:val="24"/>
          <w:lang w:val="en-GB"/>
        </w:rPr>
        <w:t xml:space="preserve"> of the various internal commitments which ground MacIntyre’s historicism and contextualism.</w:t>
      </w:r>
      <w:r w:rsidR="00882786" w:rsidRPr="00461D74">
        <w:rPr>
          <w:rFonts w:ascii="Garamond" w:hAnsi="Garamond" w:cstheme="minorHAnsi"/>
          <w:sz w:val="24"/>
          <w:szCs w:val="24"/>
          <w:lang w:val="en-GB"/>
        </w:rPr>
        <w:t xml:space="preserve"> To see how this might be possible, we need to turn once again to the pragmatist tradition.</w:t>
      </w:r>
    </w:p>
    <w:p w:rsidR="009B08FB" w:rsidRPr="00461D74" w:rsidRDefault="009B08FB" w:rsidP="00164E4D">
      <w:pPr>
        <w:pStyle w:val="Heading1"/>
        <w:spacing w:line="360" w:lineRule="auto"/>
        <w:jc w:val="both"/>
        <w:rPr>
          <w:rFonts w:ascii="Garamond" w:hAnsi="Garamond" w:cstheme="majorHAnsi"/>
        </w:rPr>
        <w:sectPr w:rsidR="009B08FB" w:rsidRPr="00461D74" w:rsidSect="003D0941">
          <w:footnotePr>
            <w:numRestart w:val="eachSect"/>
          </w:footnotePr>
          <w:pgSz w:w="12240" w:h="15840"/>
          <w:pgMar w:top="1985" w:right="2268" w:bottom="2268" w:left="2268" w:header="709" w:footer="709" w:gutter="0"/>
          <w:cols w:space="708"/>
          <w:docGrid w:linePitch="360"/>
        </w:sectPr>
      </w:pPr>
    </w:p>
    <w:p w:rsidR="00665157" w:rsidRDefault="00016049">
      <w:pPr>
        <w:pStyle w:val="Heading1"/>
        <w:spacing w:line="360" w:lineRule="auto"/>
        <w:jc w:val="both"/>
        <w:rPr>
          <w:rFonts w:cstheme="majorHAnsi"/>
        </w:rPr>
      </w:pPr>
      <w:bookmarkStart w:id="57" w:name="_Toc528077834"/>
      <w:r w:rsidRPr="00F03436">
        <w:rPr>
          <w:rFonts w:cstheme="majorHAnsi"/>
        </w:rPr>
        <w:lastRenderedPageBreak/>
        <w:t>Chapter 6</w:t>
      </w:r>
      <w:r w:rsidR="00A04EC1" w:rsidRPr="00F03436">
        <w:rPr>
          <w:rFonts w:cstheme="majorHAnsi"/>
        </w:rPr>
        <w:t>: An Alternative Pragmatist Politics</w:t>
      </w:r>
      <w:bookmarkEnd w:id="57"/>
    </w:p>
    <w:p w:rsidR="00665157" w:rsidRDefault="00665157">
      <w:pPr>
        <w:spacing w:line="360" w:lineRule="auto"/>
        <w:jc w:val="both"/>
        <w:rPr>
          <w:rFonts w:asciiTheme="majorHAnsi" w:hAnsiTheme="majorHAnsi" w:cstheme="majorHAnsi"/>
        </w:rPr>
      </w:pPr>
    </w:p>
    <w:p w:rsidR="00665157" w:rsidRDefault="00C66538" w:rsidP="00C66538">
      <w:pPr>
        <w:pStyle w:val="Heading2"/>
        <w:spacing w:line="360" w:lineRule="auto"/>
        <w:jc w:val="both"/>
        <w:rPr>
          <w:rFonts w:cstheme="majorHAnsi"/>
        </w:rPr>
      </w:pPr>
      <w:bookmarkStart w:id="58" w:name="_Toc528077835"/>
      <w:r>
        <w:rPr>
          <w:rFonts w:cstheme="majorHAnsi"/>
        </w:rPr>
        <w:t xml:space="preserve">1. </w:t>
      </w:r>
      <w:r w:rsidR="00016049" w:rsidRPr="00F03436">
        <w:rPr>
          <w:rFonts w:cstheme="majorHAnsi"/>
        </w:rPr>
        <w:t>Introduction</w:t>
      </w:r>
      <w:bookmarkEnd w:id="58"/>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the previous chapter I discussed two possible strategies </w:t>
      </w:r>
      <w:r w:rsidR="00887EE2" w:rsidRPr="00461D74">
        <w:rPr>
          <w:rFonts w:ascii="Garamond" w:hAnsi="Garamond" w:cstheme="minorHAnsi"/>
          <w:sz w:val="24"/>
          <w:szCs w:val="24"/>
        </w:rPr>
        <w:t xml:space="preserve">that </w:t>
      </w:r>
      <w:r w:rsidRPr="00461D74">
        <w:rPr>
          <w:rFonts w:ascii="Garamond" w:hAnsi="Garamond" w:cstheme="minorHAnsi"/>
          <w:sz w:val="24"/>
          <w:szCs w:val="24"/>
        </w:rPr>
        <w:t xml:space="preserve">could </w:t>
      </w:r>
      <w:r w:rsidR="00887EE2" w:rsidRPr="00461D74">
        <w:rPr>
          <w:rFonts w:ascii="Garamond" w:hAnsi="Garamond" w:cstheme="minorHAnsi"/>
          <w:sz w:val="24"/>
          <w:szCs w:val="24"/>
        </w:rPr>
        <w:t xml:space="preserve">potentially </w:t>
      </w:r>
      <w:r w:rsidRPr="00461D74">
        <w:rPr>
          <w:rFonts w:ascii="Garamond" w:hAnsi="Garamond" w:cstheme="minorHAnsi"/>
          <w:sz w:val="24"/>
          <w:szCs w:val="24"/>
        </w:rPr>
        <w:t>deflect the criticism</w:t>
      </w:r>
      <w:r w:rsidR="00887EE2" w:rsidRPr="00461D74">
        <w:rPr>
          <w:rFonts w:ascii="Garamond" w:hAnsi="Garamond" w:cstheme="minorHAnsi"/>
          <w:sz w:val="24"/>
          <w:szCs w:val="24"/>
        </w:rPr>
        <w:t>s</w:t>
      </w:r>
      <w:r w:rsidRPr="00461D74">
        <w:rPr>
          <w:rFonts w:ascii="Garamond" w:hAnsi="Garamond" w:cstheme="minorHAnsi"/>
          <w:sz w:val="24"/>
          <w:szCs w:val="24"/>
        </w:rPr>
        <w:t xml:space="preserve"> I advanced against </w:t>
      </w:r>
      <w:r w:rsidR="00887EE2" w:rsidRPr="00461D74">
        <w:rPr>
          <w:rFonts w:ascii="Garamond" w:hAnsi="Garamond" w:cstheme="minorHAnsi"/>
          <w:sz w:val="24"/>
          <w:szCs w:val="24"/>
        </w:rPr>
        <w:t>MacIntyre’s</w:t>
      </w:r>
      <w:r w:rsidRPr="00461D74">
        <w:rPr>
          <w:rFonts w:ascii="Garamond" w:hAnsi="Garamond" w:cstheme="minorHAnsi"/>
          <w:sz w:val="24"/>
          <w:szCs w:val="24"/>
        </w:rPr>
        <w:t xml:space="preserve"> political philosophy</w:t>
      </w:r>
      <w:r w:rsidR="00F00639">
        <w:rPr>
          <w:rFonts w:ascii="Garamond" w:hAnsi="Garamond" w:cstheme="minorHAnsi"/>
          <w:sz w:val="24"/>
          <w:szCs w:val="24"/>
        </w:rPr>
        <w:t>.</w:t>
      </w:r>
      <w:r w:rsidR="002A5E23" w:rsidRPr="00461D74">
        <w:rPr>
          <w:rFonts w:ascii="Garamond" w:hAnsi="Garamond" w:cstheme="minorHAnsi"/>
          <w:sz w:val="24"/>
          <w:szCs w:val="24"/>
        </w:rPr>
        <w:t xml:space="preserve"> </w:t>
      </w:r>
      <w:r w:rsidR="00F00639">
        <w:rPr>
          <w:rFonts w:ascii="Garamond" w:hAnsi="Garamond" w:cstheme="minorHAnsi"/>
          <w:sz w:val="24"/>
          <w:szCs w:val="24"/>
        </w:rPr>
        <w:t>N</w:t>
      </w:r>
      <w:r w:rsidR="002A5E23" w:rsidRPr="00461D74">
        <w:rPr>
          <w:rFonts w:ascii="Garamond" w:hAnsi="Garamond" w:cstheme="minorHAnsi"/>
          <w:sz w:val="24"/>
          <w:szCs w:val="24"/>
        </w:rPr>
        <w:t>amely</w:t>
      </w:r>
      <w:r w:rsidR="00C551F0" w:rsidRPr="00461D74">
        <w:rPr>
          <w:rFonts w:ascii="Garamond" w:hAnsi="Garamond" w:cstheme="minorHAnsi"/>
          <w:sz w:val="24"/>
          <w:szCs w:val="24"/>
        </w:rPr>
        <w:t xml:space="preserve"> that </w:t>
      </w:r>
      <w:r w:rsidR="00887EE2" w:rsidRPr="00461D74">
        <w:rPr>
          <w:rFonts w:ascii="Garamond" w:hAnsi="Garamond" w:cstheme="minorHAnsi"/>
          <w:sz w:val="24"/>
          <w:szCs w:val="24"/>
        </w:rPr>
        <w:t>in the absence of</w:t>
      </w:r>
      <w:r w:rsidRPr="00461D74">
        <w:rPr>
          <w:rFonts w:ascii="Garamond" w:hAnsi="Garamond" w:cstheme="minorHAnsi"/>
          <w:sz w:val="24"/>
          <w:szCs w:val="24"/>
        </w:rPr>
        <w:t xml:space="preserve"> a positive politics </w:t>
      </w:r>
      <w:r w:rsidR="00887EE2" w:rsidRPr="00461D74">
        <w:rPr>
          <w:rFonts w:ascii="Garamond" w:hAnsi="Garamond" w:cstheme="minorHAnsi"/>
          <w:sz w:val="24"/>
          <w:szCs w:val="24"/>
        </w:rPr>
        <w:t xml:space="preserve">which could </w:t>
      </w:r>
      <w:r w:rsidRPr="00461D74">
        <w:rPr>
          <w:rFonts w:ascii="Garamond" w:hAnsi="Garamond" w:cstheme="minorHAnsi"/>
          <w:sz w:val="24"/>
          <w:szCs w:val="24"/>
        </w:rPr>
        <w:t>outline ways of defending local communities</w:t>
      </w:r>
      <w:r w:rsidR="00887EE2" w:rsidRPr="00461D74">
        <w:rPr>
          <w:rFonts w:ascii="Garamond" w:hAnsi="Garamond" w:cstheme="minorHAnsi"/>
          <w:sz w:val="24"/>
          <w:szCs w:val="24"/>
        </w:rPr>
        <w:t xml:space="preserve"> against the subversive influence of the state</w:t>
      </w:r>
      <w:r w:rsidRPr="00461D74">
        <w:rPr>
          <w:rFonts w:ascii="Garamond" w:hAnsi="Garamond" w:cstheme="minorHAnsi"/>
          <w:sz w:val="24"/>
          <w:szCs w:val="24"/>
        </w:rPr>
        <w:t>, his political project is imperilled</w:t>
      </w:r>
      <w:r w:rsidR="00F00639">
        <w:rPr>
          <w:rFonts w:ascii="Garamond" w:hAnsi="Garamond" w:cstheme="minorHAnsi"/>
          <w:sz w:val="24"/>
          <w:szCs w:val="24"/>
        </w:rPr>
        <w:t>; and</w:t>
      </w:r>
      <w:r w:rsidRPr="00461D74">
        <w:rPr>
          <w:rFonts w:ascii="Garamond" w:hAnsi="Garamond" w:cstheme="minorHAnsi"/>
          <w:sz w:val="24"/>
          <w:szCs w:val="24"/>
        </w:rPr>
        <w:t xml:space="preserve"> </w:t>
      </w:r>
      <w:r w:rsidR="00F00639">
        <w:rPr>
          <w:rFonts w:ascii="Garamond" w:hAnsi="Garamond" w:cstheme="minorHAnsi"/>
          <w:sz w:val="24"/>
          <w:szCs w:val="24"/>
        </w:rPr>
        <w:t>on the account of the fact that</w:t>
      </w:r>
      <w:r w:rsidR="00F00639" w:rsidRPr="00461D74">
        <w:rPr>
          <w:rFonts w:ascii="Garamond" w:hAnsi="Garamond" w:cstheme="minorHAnsi"/>
          <w:sz w:val="24"/>
          <w:szCs w:val="24"/>
        </w:rPr>
        <w:t xml:space="preserve"> </w:t>
      </w:r>
      <w:r w:rsidR="00887EE2" w:rsidRPr="00461D74">
        <w:rPr>
          <w:rFonts w:ascii="Garamond" w:hAnsi="Garamond" w:cstheme="minorHAnsi"/>
          <w:sz w:val="24"/>
          <w:szCs w:val="24"/>
        </w:rPr>
        <w:t xml:space="preserve">MacIntyre treats </w:t>
      </w:r>
      <w:r w:rsidRPr="00461D74">
        <w:rPr>
          <w:rFonts w:ascii="Garamond" w:hAnsi="Garamond" w:cstheme="minorHAnsi"/>
          <w:sz w:val="24"/>
          <w:szCs w:val="24"/>
        </w:rPr>
        <w:t xml:space="preserve">ethics and politics </w:t>
      </w:r>
      <w:r w:rsidR="00887EE2" w:rsidRPr="00461D74">
        <w:rPr>
          <w:rFonts w:ascii="Garamond" w:hAnsi="Garamond" w:cstheme="minorHAnsi"/>
          <w:sz w:val="24"/>
          <w:szCs w:val="24"/>
        </w:rPr>
        <w:t xml:space="preserve">as </w:t>
      </w:r>
      <w:r w:rsidRPr="00461D74">
        <w:rPr>
          <w:rFonts w:ascii="Garamond" w:hAnsi="Garamond" w:cstheme="minorHAnsi"/>
          <w:sz w:val="24"/>
          <w:szCs w:val="24"/>
        </w:rPr>
        <w:t xml:space="preserve">continuous </w:t>
      </w:r>
      <w:r w:rsidR="00887EE2" w:rsidRPr="00461D74">
        <w:rPr>
          <w:rFonts w:ascii="Garamond" w:hAnsi="Garamond" w:cstheme="minorHAnsi"/>
          <w:sz w:val="24"/>
          <w:szCs w:val="24"/>
        </w:rPr>
        <w:t>and interdependent, in lieu of constructive political philosophy that deals with the issues I raised earlier, his overall</w:t>
      </w:r>
      <w:r w:rsidR="00DA0845" w:rsidRPr="00461D74">
        <w:rPr>
          <w:rFonts w:ascii="Garamond" w:hAnsi="Garamond" w:cstheme="minorHAnsi"/>
          <w:sz w:val="24"/>
          <w:szCs w:val="24"/>
        </w:rPr>
        <w:t xml:space="preserve"> </w:t>
      </w:r>
      <w:r w:rsidR="00887EE2" w:rsidRPr="00461D74">
        <w:rPr>
          <w:rFonts w:ascii="Garamond" w:hAnsi="Garamond" w:cstheme="minorHAnsi"/>
          <w:sz w:val="24"/>
          <w:szCs w:val="24"/>
        </w:rPr>
        <w:t>project</w:t>
      </w:r>
      <w:r w:rsidRPr="00461D74">
        <w:rPr>
          <w:rFonts w:ascii="Garamond" w:hAnsi="Garamond" w:cstheme="minorHAnsi"/>
          <w:sz w:val="24"/>
          <w:szCs w:val="24"/>
        </w:rPr>
        <w:t xml:space="preserve"> fails to get off the ground. We then observed that the</w:t>
      </w:r>
      <w:r w:rsidR="00887EE2" w:rsidRPr="00461D74">
        <w:rPr>
          <w:rFonts w:ascii="Garamond" w:hAnsi="Garamond" w:cstheme="minorHAnsi"/>
          <w:sz w:val="24"/>
          <w:szCs w:val="24"/>
        </w:rPr>
        <w:t>se</w:t>
      </w:r>
      <w:r w:rsidRPr="00461D74">
        <w:rPr>
          <w:rFonts w:ascii="Garamond" w:hAnsi="Garamond" w:cstheme="minorHAnsi"/>
          <w:sz w:val="24"/>
          <w:szCs w:val="24"/>
        </w:rPr>
        <w:t xml:space="preserve"> two strategies failed to deflect the particular worries that I raised earlier. We could only read MacIntyre as an ideal theorist if he would accept dispensing with the historical </w:t>
      </w:r>
      <w:r w:rsidR="00887EE2" w:rsidRPr="00461D74">
        <w:rPr>
          <w:rFonts w:ascii="Garamond" w:hAnsi="Garamond" w:cstheme="minorHAnsi"/>
          <w:sz w:val="24"/>
          <w:szCs w:val="24"/>
        </w:rPr>
        <w:t>and contextualist commitments that appear to be central in his overall account</w:t>
      </w:r>
      <w:r w:rsidRPr="00461D74">
        <w:rPr>
          <w:rFonts w:ascii="Garamond" w:hAnsi="Garamond" w:cstheme="minorHAnsi"/>
          <w:sz w:val="24"/>
          <w:szCs w:val="24"/>
        </w:rPr>
        <w:t xml:space="preserve">. </w:t>
      </w:r>
      <w:r w:rsidR="004F6EC8" w:rsidRPr="00461D74">
        <w:rPr>
          <w:rFonts w:ascii="Garamond" w:hAnsi="Garamond" w:cstheme="minorHAnsi"/>
          <w:sz w:val="24"/>
          <w:szCs w:val="24"/>
        </w:rPr>
        <w:t>And</w:t>
      </w:r>
      <w:r w:rsidR="00887EE2" w:rsidRPr="00461D74">
        <w:rPr>
          <w:rFonts w:ascii="Garamond" w:hAnsi="Garamond" w:cstheme="minorHAnsi"/>
          <w:sz w:val="24"/>
          <w:szCs w:val="24"/>
        </w:rPr>
        <w:t xml:space="preserve"> while </w:t>
      </w:r>
      <w:r w:rsidRPr="00461D74">
        <w:rPr>
          <w:rFonts w:ascii="Garamond" w:hAnsi="Garamond" w:cstheme="minorHAnsi"/>
          <w:sz w:val="24"/>
          <w:szCs w:val="24"/>
        </w:rPr>
        <w:t xml:space="preserve">MacIntyre’s </w:t>
      </w:r>
      <w:r w:rsidR="004F6EC8" w:rsidRPr="00461D74">
        <w:rPr>
          <w:rFonts w:ascii="Garamond" w:hAnsi="Garamond" w:cstheme="minorHAnsi"/>
          <w:sz w:val="24"/>
          <w:szCs w:val="24"/>
        </w:rPr>
        <w:t>focus on</w:t>
      </w:r>
      <w:r w:rsidR="00DA0845" w:rsidRPr="00461D74">
        <w:rPr>
          <w:rFonts w:ascii="Garamond" w:hAnsi="Garamond" w:cstheme="minorHAnsi"/>
          <w:sz w:val="24"/>
          <w:szCs w:val="24"/>
        </w:rPr>
        <w:t xml:space="preserve"> local politics </w:t>
      </w:r>
      <w:r w:rsidR="004F6EC8" w:rsidRPr="00461D74">
        <w:rPr>
          <w:rFonts w:ascii="Garamond" w:hAnsi="Garamond" w:cstheme="minorHAnsi"/>
          <w:sz w:val="24"/>
          <w:szCs w:val="24"/>
        </w:rPr>
        <w:t>appears to ignore important Thomistic resources</w:t>
      </w:r>
      <w:r w:rsidR="00DA0845" w:rsidRPr="00461D74">
        <w:rPr>
          <w:rFonts w:ascii="Garamond" w:hAnsi="Garamond" w:cstheme="minorHAnsi"/>
          <w:sz w:val="24"/>
          <w:szCs w:val="24"/>
        </w:rPr>
        <w:t xml:space="preserve"> </w:t>
      </w:r>
      <w:r w:rsidR="004F6EC8" w:rsidRPr="00461D74">
        <w:rPr>
          <w:rFonts w:ascii="Garamond" w:hAnsi="Garamond" w:cstheme="minorHAnsi"/>
          <w:sz w:val="24"/>
          <w:szCs w:val="24"/>
        </w:rPr>
        <w:t xml:space="preserve">that could be potentially </w:t>
      </w:r>
      <w:r w:rsidR="001A415E">
        <w:rPr>
          <w:rFonts w:ascii="Garamond" w:hAnsi="Garamond" w:cstheme="minorHAnsi"/>
          <w:sz w:val="24"/>
          <w:szCs w:val="24"/>
        </w:rPr>
        <w:t>utilised</w:t>
      </w:r>
      <w:r w:rsidR="001A415E" w:rsidRPr="00461D74">
        <w:rPr>
          <w:rFonts w:ascii="Garamond" w:hAnsi="Garamond" w:cstheme="minorHAnsi"/>
          <w:sz w:val="24"/>
          <w:szCs w:val="24"/>
        </w:rPr>
        <w:t xml:space="preserve"> </w:t>
      </w:r>
      <w:r w:rsidR="00DA0845" w:rsidRPr="00461D74">
        <w:rPr>
          <w:rFonts w:ascii="Garamond" w:hAnsi="Garamond" w:cstheme="minorHAnsi"/>
          <w:sz w:val="24"/>
          <w:szCs w:val="24"/>
        </w:rPr>
        <w:t xml:space="preserve">for </w:t>
      </w:r>
      <w:r w:rsidR="004F6EC8" w:rsidRPr="00461D74">
        <w:rPr>
          <w:rFonts w:ascii="Garamond" w:hAnsi="Garamond" w:cstheme="minorHAnsi"/>
          <w:sz w:val="24"/>
          <w:szCs w:val="24"/>
        </w:rPr>
        <w:t xml:space="preserve">formulating an orthodox Aristotelian-Thomism </w:t>
      </w:r>
      <w:r w:rsidR="001A415E">
        <w:rPr>
          <w:rFonts w:ascii="Garamond" w:hAnsi="Garamond" w:cstheme="minorHAnsi"/>
          <w:sz w:val="24"/>
          <w:szCs w:val="24"/>
        </w:rPr>
        <w:t>that</w:t>
      </w:r>
      <w:r w:rsidR="001A415E" w:rsidRPr="00461D74">
        <w:rPr>
          <w:rFonts w:ascii="Garamond" w:hAnsi="Garamond" w:cstheme="minorHAnsi"/>
          <w:sz w:val="24"/>
          <w:szCs w:val="24"/>
        </w:rPr>
        <w:t xml:space="preserve"> </w:t>
      </w:r>
      <w:r w:rsidR="004F6EC8" w:rsidRPr="00461D74">
        <w:rPr>
          <w:rFonts w:ascii="Garamond" w:hAnsi="Garamond" w:cstheme="minorHAnsi"/>
          <w:sz w:val="24"/>
          <w:szCs w:val="24"/>
        </w:rPr>
        <w:t xml:space="preserve">could deal with the problems raised by large-scale political systems, such an approach is not as promising as it initially appears, </w:t>
      </w:r>
      <w:r w:rsidR="003C1CFF">
        <w:rPr>
          <w:rFonts w:ascii="Garamond" w:hAnsi="Garamond" w:cstheme="minorHAnsi"/>
          <w:sz w:val="24"/>
          <w:szCs w:val="24"/>
        </w:rPr>
        <w:t>precisely</w:t>
      </w:r>
      <w:r w:rsidR="001A415E" w:rsidRPr="00461D74">
        <w:rPr>
          <w:rFonts w:ascii="Garamond" w:hAnsi="Garamond" w:cstheme="minorHAnsi"/>
          <w:sz w:val="24"/>
          <w:szCs w:val="24"/>
        </w:rPr>
        <w:t xml:space="preserve"> </w:t>
      </w:r>
      <w:r w:rsidR="001A415E">
        <w:rPr>
          <w:rFonts w:ascii="Garamond" w:hAnsi="Garamond" w:cstheme="minorHAnsi"/>
          <w:sz w:val="24"/>
          <w:szCs w:val="24"/>
        </w:rPr>
        <w:t xml:space="preserve">because </w:t>
      </w:r>
      <w:r w:rsidR="004F6EC8" w:rsidRPr="00461D74">
        <w:rPr>
          <w:rFonts w:ascii="Garamond" w:hAnsi="Garamond" w:cstheme="minorHAnsi"/>
          <w:sz w:val="24"/>
          <w:szCs w:val="24"/>
        </w:rPr>
        <w:t xml:space="preserve">MacIntyre believes that the Thomistic common good, which would form the basis of the second strategy, isn’t really a feasible option given the realities of large-scale political structures. </w:t>
      </w:r>
      <w:r w:rsidRPr="00461D74">
        <w:rPr>
          <w:rFonts w:ascii="Garamond" w:hAnsi="Garamond" w:cstheme="minorHAnsi"/>
          <w:sz w:val="24"/>
          <w:szCs w:val="24"/>
        </w:rPr>
        <w:t xml:space="preserve">Having then witnessed the failure of both strategies in </w:t>
      </w:r>
      <w:r w:rsidR="00DA0845" w:rsidRPr="00461D74">
        <w:rPr>
          <w:rFonts w:ascii="Garamond" w:hAnsi="Garamond" w:cstheme="minorHAnsi"/>
          <w:sz w:val="24"/>
          <w:szCs w:val="24"/>
        </w:rPr>
        <w:t xml:space="preserve">addressing </w:t>
      </w:r>
      <w:r w:rsidRPr="00461D74">
        <w:rPr>
          <w:rFonts w:ascii="Garamond" w:hAnsi="Garamond" w:cstheme="minorHAnsi"/>
          <w:sz w:val="24"/>
          <w:szCs w:val="24"/>
        </w:rPr>
        <w:t>the various worrie</w:t>
      </w:r>
      <w:r w:rsidR="004F6EC8" w:rsidRPr="00461D74">
        <w:rPr>
          <w:rFonts w:ascii="Garamond" w:hAnsi="Garamond" w:cstheme="minorHAnsi"/>
          <w:sz w:val="24"/>
          <w:szCs w:val="24"/>
        </w:rPr>
        <w:t>s raised by MacIntyre’s politics</w:t>
      </w:r>
      <w:r w:rsidR="00C551F0" w:rsidRPr="00461D74">
        <w:rPr>
          <w:rFonts w:ascii="Garamond" w:hAnsi="Garamond" w:cstheme="minorHAnsi"/>
          <w:sz w:val="24"/>
          <w:szCs w:val="24"/>
        </w:rPr>
        <w:t>,</w:t>
      </w:r>
      <w:r w:rsidRPr="00461D74">
        <w:rPr>
          <w:rFonts w:ascii="Garamond" w:hAnsi="Garamond" w:cstheme="minorHAnsi"/>
          <w:sz w:val="24"/>
          <w:szCs w:val="24"/>
        </w:rPr>
        <w:t xml:space="preserve"> it seems that </w:t>
      </w:r>
      <w:r w:rsidR="00A27A95" w:rsidRPr="00461D74">
        <w:rPr>
          <w:rFonts w:ascii="Garamond" w:hAnsi="Garamond" w:cstheme="minorHAnsi"/>
          <w:sz w:val="24"/>
          <w:szCs w:val="24"/>
        </w:rPr>
        <w:t>this sets the parameters for the</w:t>
      </w:r>
      <w:r w:rsidR="00064514">
        <w:rPr>
          <w:rFonts w:ascii="Garamond" w:hAnsi="Garamond" w:cstheme="minorHAnsi"/>
          <w:sz w:val="24"/>
          <w:szCs w:val="24"/>
        </w:rPr>
        <w:t xml:space="preserve"> range of</w:t>
      </w:r>
      <w:r w:rsidR="00A27A95" w:rsidRPr="00461D74">
        <w:rPr>
          <w:rFonts w:ascii="Garamond" w:hAnsi="Garamond" w:cstheme="minorHAnsi"/>
          <w:sz w:val="24"/>
          <w:szCs w:val="24"/>
        </w:rPr>
        <w:t xml:space="preserve"> </w:t>
      </w:r>
      <w:r w:rsidR="004F6EC8" w:rsidRPr="00461D74">
        <w:rPr>
          <w:rFonts w:ascii="Garamond" w:hAnsi="Garamond" w:cstheme="minorHAnsi"/>
          <w:sz w:val="24"/>
          <w:szCs w:val="24"/>
        </w:rPr>
        <w:t>problems</w:t>
      </w:r>
      <w:r w:rsidRPr="00461D74">
        <w:rPr>
          <w:rFonts w:ascii="Garamond" w:hAnsi="Garamond" w:cstheme="minorHAnsi"/>
          <w:sz w:val="24"/>
          <w:szCs w:val="24"/>
        </w:rPr>
        <w:t xml:space="preserve"> that MacIntyre’s account must </w:t>
      </w:r>
      <w:r w:rsidR="00A04EC1" w:rsidRPr="00461D74">
        <w:rPr>
          <w:rFonts w:ascii="Garamond" w:hAnsi="Garamond" w:cstheme="minorHAnsi"/>
          <w:sz w:val="24"/>
          <w:szCs w:val="24"/>
        </w:rPr>
        <w:t xml:space="preserve">then </w:t>
      </w:r>
      <w:r w:rsidRPr="00461D74">
        <w:rPr>
          <w:rFonts w:ascii="Garamond" w:hAnsi="Garamond" w:cstheme="minorHAnsi"/>
          <w:sz w:val="24"/>
          <w:szCs w:val="24"/>
        </w:rPr>
        <w:t>address.</w:t>
      </w:r>
    </w:p>
    <w:p w:rsidR="00665157" w:rsidRDefault="008D2EA7">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Now, t</w:t>
      </w:r>
      <w:r w:rsidR="0002338F" w:rsidRPr="00461D74">
        <w:rPr>
          <w:rFonts w:ascii="Garamond" w:hAnsi="Garamond" w:cstheme="minorHAnsi"/>
          <w:sz w:val="24"/>
          <w:szCs w:val="24"/>
        </w:rPr>
        <w:t xml:space="preserve">he sort of politics I have in mind accepts the need for a critical, yet constructive, engagement with contemporary large-scale political structures aimed at defending small-scale participatory democratic local communities. Ultimately, our solution has to show how a politics informed by the </w:t>
      </w:r>
      <w:r w:rsidR="0002338F" w:rsidRPr="00461D74">
        <w:rPr>
          <w:rFonts w:ascii="Garamond" w:hAnsi="Garamond" w:cstheme="minorHAnsi"/>
          <w:i/>
          <w:sz w:val="24"/>
          <w:szCs w:val="24"/>
        </w:rPr>
        <w:t>common good</w:t>
      </w:r>
      <w:r w:rsidR="00A27A95" w:rsidRPr="00461D74">
        <w:rPr>
          <w:rFonts w:ascii="Garamond" w:hAnsi="Garamond" w:cstheme="minorHAnsi"/>
          <w:i/>
          <w:sz w:val="24"/>
          <w:szCs w:val="24"/>
        </w:rPr>
        <w:t xml:space="preserve"> </w:t>
      </w:r>
      <w:r w:rsidR="0002338F" w:rsidRPr="00461D74">
        <w:rPr>
          <w:rFonts w:ascii="Garamond" w:hAnsi="Garamond" w:cstheme="minorHAnsi"/>
          <w:sz w:val="24"/>
          <w:szCs w:val="24"/>
        </w:rPr>
        <w:t>–</w:t>
      </w:r>
      <w:r w:rsidR="00A27A95" w:rsidRPr="00461D74">
        <w:rPr>
          <w:rFonts w:ascii="Garamond" w:hAnsi="Garamond" w:cstheme="minorHAnsi"/>
          <w:sz w:val="24"/>
          <w:szCs w:val="24"/>
        </w:rPr>
        <w:t xml:space="preserve"> </w:t>
      </w:r>
      <w:r w:rsidR="0002338F" w:rsidRPr="00461D74">
        <w:rPr>
          <w:rFonts w:ascii="Garamond" w:hAnsi="Garamond" w:cstheme="minorHAnsi"/>
          <w:sz w:val="24"/>
          <w:szCs w:val="24"/>
        </w:rPr>
        <w:t>a common good that possesses the right sort of conceptual relationship with the individuals</w:t>
      </w:r>
      <w:r w:rsidR="00B57DA4">
        <w:rPr>
          <w:rFonts w:ascii="Garamond" w:hAnsi="Garamond" w:cstheme="minorHAnsi"/>
          <w:sz w:val="24"/>
          <w:szCs w:val="24"/>
        </w:rPr>
        <w:t>’</w:t>
      </w:r>
      <w:r w:rsidR="0002338F" w:rsidRPr="00461D74">
        <w:rPr>
          <w:rFonts w:ascii="Garamond" w:hAnsi="Garamond" w:cstheme="minorHAnsi"/>
          <w:sz w:val="24"/>
          <w:szCs w:val="24"/>
        </w:rPr>
        <w:t xml:space="preserve"> good</w:t>
      </w:r>
      <w:r w:rsidR="00A27A95" w:rsidRPr="00461D74">
        <w:rPr>
          <w:rFonts w:ascii="Garamond" w:hAnsi="Garamond" w:cstheme="minorHAnsi"/>
          <w:sz w:val="24"/>
          <w:szCs w:val="24"/>
        </w:rPr>
        <w:t xml:space="preserve"> </w:t>
      </w:r>
      <w:r w:rsidR="0002338F" w:rsidRPr="00461D74">
        <w:rPr>
          <w:rFonts w:ascii="Garamond" w:hAnsi="Garamond" w:cstheme="minorHAnsi"/>
          <w:sz w:val="24"/>
          <w:szCs w:val="24"/>
        </w:rPr>
        <w:t>–</w:t>
      </w:r>
      <w:r w:rsidR="00A27A95" w:rsidRPr="00461D74">
        <w:rPr>
          <w:rFonts w:ascii="Garamond" w:hAnsi="Garamond" w:cstheme="minorHAnsi"/>
          <w:sz w:val="24"/>
          <w:szCs w:val="24"/>
        </w:rPr>
        <w:t xml:space="preserve"> </w:t>
      </w:r>
      <w:r w:rsidR="0002338F" w:rsidRPr="00461D74">
        <w:rPr>
          <w:rFonts w:ascii="Garamond" w:hAnsi="Garamond" w:cstheme="minorHAnsi"/>
          <w:sz w:val="24"/>
          <w:szCs w:val="24"/>
        </w:rPr>
        <w:t>can be advanced in the modern social context</w:t>
      </w:r>
      <w:r w:rsidR="00A27A95" w:rsidRPr="00461D74">
        <w:rPr>
          <w:rFonts w:ascii="Garamond" w:hAnsi="Garamond" w:cstheme="minorHAnsi"/>
          <w:sz w:val="24"/>
          <w:szCs w:val="24"/>
        </w:rPr>
        <w:t xml:space="preserve"> </w:t>
      </w:r>
      <w:r w:rsidR="0002338F" w:rsidRPr="00461D74">
        <w:rPr>
          <w:rFonts w:ascii="Garamond" w:hAnsi="Garamond" w:cstheme="minorHAnsi"/>
          <w:sz w:val="24"/>
          <w:szCs w:val="24"/>
        </w:rPr>
        <w:t xml:space="preserve">without contradicting the chief commitments that are fundamental to MacIntyre’s overall account. We could then in principle defend local communities by settling issues involving the boundary between the state and local communities. The hope is then that our alternative politics can aid local communities so that they may enjoy a material degree of political sovereignty, which they </w:t>
      </w:r>
      <w:r w:rsidR="00834BEA">
        <w:rPr>
          <w:rFonts w:ascii="Garamond" w:hAnsi="Garamond" w:cstheme="minorHAnsi"/>
          <w:sz w:val="24"/>
          <w:szCs w:val="24"/>
        </w:rPr>
        <w:t>could</w:t>
      </w:r>
      <w:r w:rsidR="00834BEA" w:rsidRPr="00461D74">
        <w:rPr>
          <w:rFonts w:ascii="Garamond" w:hAnsi="Garamond" w:cstheme="minorHAnsi"/>
          <w:sz w:val="24"/>
          <w:szCs w:val="24"/>
        </w:rPr>
        <w:t xml:space="preserve"> </w:t>
      </w:r>
      <w:r w:rsidR="0002338F" w:rsidRPr="00461D74">
        <w:rPr>
          <w:rFonts w:ascii="Garamond" w:hAnsi="Garamond" w:cstheme="minorHAnsi"/>
          <w:sz w:val="24"/>
          <w:szCs w:val="24"/>
        </w:rPr>
        <w:t>then utilise to better protect local conceptions of the good. The benefits of this approach over reading MacIntyre as a more traditional Aristotelian-Thomist are fourfold.</w:t>
      </w:r>
    </w:p>
    <w:p w:rsidR="00665157" w:rsidRDefault="008D2EA7">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First, I will suggest that a Deweyan inspired politics can </w:t>
      </w:r>
      <w:r w:rsidR="00B8520F">
        <w:rPr>
          <w:rFonts w:ascii="Garamond" w:hAnsi="Garamond" w:cstheme="minorHAnsi"/>
          <w:sz w:val="24"/>
          <w:szCs w:val="24"/>
        </w:rPr>
        <w:t>advance</w:t>
      </w:r>
      <w:r w:rsidR="00B8520F" w:rsidRPr="00461D74">
        <w:rPr>
          <w:rFonts w:ascii="Garamond" w:hAnsi="Garamond" w:cstheme="minorHAnsi"/>
          <w:sz w:val="24"/>
          <w:szCs w:val="24"/>
        </w:rPr>
        <w:t xml:space="preserve"> </w:t>
      </w:r>
      <w:r w:rsidRPr="00461D74">
        <w:rPr>
          <w:rFonts w:ascii="Garamond" w:hAnsi="Garamond" w:cstheme="minorHAnsi"/>
          <w:sz w:val="24"/>
          <w:szCs w:val="24"/>
        </w:rPr>
        <w:t>a kind of common good in the modern political context that is irreducibly social</w:t>
      </w:r>
      <w:r w:rsidR="00B8520F">
        <w:rPr>
          <w:rFonts w:ascii="Garamond" w:hAnsi="Garamond" w:cstheme="minorHAnsi"/>
          <w:sz w:val="24"/>
          <w:szCs w:val="24"/>
        </w:rPr>
        <w:t>, and one in which</w:t>
      </w:r>
      <w:r w:rsidRPr="00461D74">
        <w:rPr>
          <w:rFonts w:ascii="Garamond" w:hAnsi="Garamond" w:cstheme="minorHAnsi"/>
          <w:sz w:val="24"/>
          <w:szCs w:val="24"/>
        </w:rPr>
        <w:t xml:space="preserve"> the relationship between the individual good and the common good doesn’t suffer from the problem that plagues the relationship between ‘public interest’ and the individual good. Second, it might be possible for us to make sense of MacIntyre’s </w:t>
      </w:r>
      <w:r w:rsidR="00293C2B">
        <w:rPr>
          <w:rFonts w:ascii="Garamond" w:hAnsi="Garamond" w:cstheme="minorHAnsi"/>
          <w:sz w:val="24"/>
          <w:szCs w:val="24"/>
        </w:rPr>
        <w:t>conception</w:t>
      </w:r>
      <w:r w:rsidR="00293C2B" w:rsidRPr="00461D74">
        <w:rPr>
          <w:rFonts w:ascii="Garamond" w:hAnsi="Garamond" w:cstheme="minorHAnsi"/>
          <w:sz w:val="24"/>
          <w:szCs w:val="24"/>
        </w:rPr>
        <w:t xml:space="preserve"> </w:t>
      </w:r>
      <w:r w:rsidRPr="00461D74">
        <w:rPr>
          <w:rFonts w:ascii="Garamond" w:hAnsi="Garamond" w:cstheme="minorHAnsi"/>
          <w:sz w:val="24"/>
          <w:szCs w:val="24"/>
        </w:rPr>
        <w:t xml:space="preserve">of the common good in local communities, </w:t>
      </w:r>
      <w:r w:rsidR="006B6C94">
        <w:rPr>
          <w:rFonts w:ascii="Garamond" w:hAnsi="Garamond" w:cstheme="minorHAnsi"/>
          <w:sz w:val="24"/>
          <w:szCs w:val="24"/>
        </w:rPr>
        <w:t>along</w:t>
      </w:r>
      <w:r w:rsidR="00293C2B">
        <w:rPr>
          <w:rFonts w:ascii="Garamond" w:hAnsi="Garamond" w:cstheme="minorHAnsi"/>
          <w:sz w:val="24"/>
          <w:szCs w:val="24"/>
        </w:rPr>
        <w:t xml:space="preserve">side </w:t>
      </w:r>
      <w:r w:rsidRPr="00461D74">
        <w:rPr>
          <w:rFonts w:ascii="Garamond" w:hAnsi="Garamond" w:cstheme="minorHAnsi"/>
          <w:sz w:val="24"/>
          <w:szCs w:val="24"/>
        </w:rPr>
        <w:t xml:space="preserve">a wider notion of the common good derived from the </w:t>
      </w:r>
      <w:r w:rsidR="00293C2B">
        <w:rPr>
          <w:rFonts w:ascii="Garamond" w:hAnsi="Garamond" w:cstheme="minorHAnsi"/>
          <w:sz w:val="24"/>
          <w:szCs w:val="24"/>
        </w:rPr>
        <w:t xml:space="preserve">individual’s relationship with the </w:t>
      </w:r>
      <w:r w:rsidRPr="00461D74">
        <w:rPr>
          <w:rFonts w:ascii="Garamond" w:hAnsi="Garamond" w:cstheme="minorHAnsi"/>
          <w:sz w:val="24"/>
          <w:szCs w:val="24"/>
        </w:rPr>
        <w:t xml:space="preserve">state. Third, we could </w:t>
      </w:r>
      <w:r w:rsidR="00293C2B">
        <w:rPr>
          <w:rFonts w:ascii="Garamond" w:hAnsi="Garamond" w:cstheme="minorHAnsi"/>
          <w:sz w:val="24"/>
          <w:szCs w:val="24"/>
        </w:rPr>
        <w:t>continue to enjoy</w:t>
      </w:r>
      <w:r w:rsidR="00293C2B" w:rsidRPr="00461D74">
        <w:rPr>
          <w:rFonts w:ascii="Garamond" w:hAnsi="Garamond" w:cstheme="minorHAnsi"/>
          <w:sz w:val="24"/>
          <w:szCs w:val="24"/>
        </w:rPr>
        <w:t xml:space="preserve"> </w:t>
      </w:r>
      <w:r w:rsidRPr="00461D74">
        <w:rPr>
          <w:rFonts w:ascii="Garamond" w:hAnsi="Garamond" w:cstheme="minorHAnsi"/>
          <w:sz w:val="24"/>
          <w:szCs w:val="24"/>
        </w:rPr>
        <w:t xml:space="preserve">the historicist elements that are important contributions to MacIntyre’s overall account. Lastly, our alternative Deweyan account possesses the advantage of being more empirical, and hence more appropriate to a type of democratic politics that sees itself as an ongoing process of experimentation and </w:t>
      </w:r>
      <w:r w:rsidR="00D50051">
        <w:rPr>
          <w:rFonts w:ascii="Garamond" w:hAnsi="Garamond" w:cstheme="minorHAnsi"/>
          <w:sz w:val="24"/>
          <w:szCs w:val="24"/>
        </w:rPr>
        <w:t>adjustment</w:t>
      </w:r>
      <w:r w:rsidRPr="00461D74">
        <w:rPr>
          <w:rFonts w:ascii="Garamond" w:hAnsi="Garamond" w:cstheme="minorHAnsi"/>
          <w:sz w:val="24"/>
          <w:szCs w:val="24"/>
        </w:rPr>
        <w:t>. Therefore, our pragmatist alternative political conception could potentially offer a</w:t>
      </w:r>
      <w:r w:rsidR="0002338F" w:rsidRPr="00461D74">
        <w:rPr>
          <w:rFonts w:ascii="Garamond" w:hAnsi="Garamond" w:cstheme="minorHAnsi"/>
          <w:sz w:val="24"/>
          <w:szCs w:val="24"/>
        </w:rPr>
        <w:t xml:space="preserve"> genuine and stable resolution to the second tension that emerges </w:t>
      </w:r>
      <w:r w:rsidRPr="00461D74">
        <w:rPr>
          <w:rFonts w:ascii="Garamond" w:hAnsi="Garamond" w:cstheme="minorHAnsi"/>
          <w:sz w:val="24"/>
          <w:szCs w:val="24"/>
        </w:rPr>
        <w:t>in</w:t>
      </w:r>
      <w:r w:rsidR="0002338F" w:rsidRPr="00461D74">
        <w:rPr>
          <w:rFonts w:ascii="Garamond" w:hAnsi="Garamond" w:cstheme="minorHAnsi"/>
          <w:sz w:val="24"/>
          <w:szCs w:val="24"/>
        </w:rPr>
        <w:t xml:space="preserve"> </w:t>
      </w:r>
      <w:r w:rsidRPr="00461D74">
        <w:rPr>
          <w:rFonts w:ascii="Garamond" w:hAnsi="Garamond" w:cstheme="minorHAnsi"/>
          <w:sz w:val="24"/>
          <w:szCs w:val="24"/>
        </w:rPr>
        <w:t>MacIntyre’s project</w:t>
      </w:r>
      <w:r w:rsidR="0002338F"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In section two, I will again restate the outlines of the worries that are generated by MacIntyre’s politics. In section three I will consider the general </w:t>
      </w:r>
      <w:r w:rsidR="0013758C" w:rsidRPr="00461D74">
        <w:rPr>
          <w:rFonts w:ascii="Garamond" w:hAnsi="Garamond" w:cstheme="minorHAnsi"/>
          <w:sz w:val="24"/>
          <w:szCs w:val="24"/>
        </w:rPr>
        <w:t>contours</w:t>
      </w:r>
      <w:r w:rsidRPr="00461D74">
        <w:rPr>
          <w:rFonts w:ascii="Garamond" w:hAnsi="Garamond" w:cstheme="minorHAnsi"/>
          <w:sz w:val="24"/>
          <w:szCs w:val="24"/>
        </w:rPr>
        <w:t xml:space="preserve"> of the type of political philosophy that </w:t>
      </w:r>
      <w:r w:rsidR="001D36C2" w:rsidRPr="00461D74">
        <w:rPr>
          <w:rFonts w:ascii="Garamond" w:hAnsi="Garamond" w:cstheme="minorHAnsi"/>
          <w:sz w:val="24"/>
          <w:szCs w:val="24"/>
        </w:rPr>
        <w:t xml:space="preserve">seeks to </w:t>
      </w:r>
      <w:r w:rsidRPr="00461D74">
        <w:rPr>
          <w:rFonts w:ascii="Garamond" w:hAnsi="Garamond" w:cstheme="minorHAnsi"/>
          <w:sz w:val="24"/>
          <w:szCs w:val="24"/>
        </w:rPr>
        <w:t>engage with liberal political philosophy</w:t>
      </w:r>
      <w:r w:rsidR="00500928">
        <w:rPr>
          <w:rFonts w:ascii="Garamond" w:hAnsi="Garamond" w:cstheme="minorHAnsi"/>
          <w:sz w:val="24"/>
          <w:szCs w:val="24"/>
        </w:rPr>
        <w:t xml:space="preserve"> –</w:t>
      </w:r>
      <w:r w:rsidRPr="00461D74">
        <w:rPr>
          <w:rFonts w:ascii="Garamond" w:hAnsi="Garamond" w:cstheme="minorHAnsi"/>
          <w:sz w:val="24"/>
          <w:szCs w:val="24"/>
        </w:rPr>
        <w:t xml:space="preserve"> </w:t>
      </w:r>
      <w:r w:rsidR="00500928">
        <w:rPr>
          <w:rFonts w:ascii="Garamond" w:hAnsi="Garamond" w:cstheme="minorHAnsi"/>
          <w:sz w:val="24"/>
          <w:szCs w:val="24"/>
        </w:rPr>
        <w:t>one that seeks</w:t>
      </w:r>
      <w:r w:rsidR="00500928" w:rsidRPr="00461D74">
        <w:rPr>
          <w:rFonts w:ascii="Garamond" w:hAnsi="Garamond" w:cstheme="minorHAnsi"/>
          <w:sz w:val="24"/>
          <w:szCs w:val="24"/>
        </w:rPr>
        <w:t xml:space="preserve"> </w:t>
      </w:r>
      <w:r w:rsidR="001D36C2" w:rsidRPr="00461D74">
        <w:rPr>
          <w:rFonts w:ascii="Garamond" w:hAnsi="Garamond" w:cstheme="minorHAnsi"/>
          <w:sz w:val="24"/>
          <w:szCs w:val="24"/>
        </w:rPr>
        <w:t xml:space="preserve">to </w:t>
      </w:r>
      <w:r w:rsidRPr="00461D74">
        <w:rPr>
          <w:rFonts w:ascii="Garamond" w:hAnsi="Garamond" w:cstheme="minorHAnsi"/>
          <w:sz w:val="24"/>
          <w:szCs w:val="24"/>
        </w:rPr>
        <w:t xml:space="preserve">revise the </w:t>
      </w:r>
      <w:r w:rsidR="001D36C2" w:rsidRPr="00461D74">
        <w:rPr>
          <w:rFonts w:ascii="Garamond" w:hAnsi="Garamond" w:cstheme="minorHAnsi"/>
          <w:sz w:val="24"/>
          <w:szCs w:val="24"/>
        </w:rPr>
        <w:t xml:space="preserve">standard </w:t>
      </w:r>
      <w:r w:rsidRPr="00461D74">
        <w:rPr>
          <w:rFonts w:ascii="Garamond" w:hAnsi="Garamond" w:cstheme="minorHAnsi"/>
          <w:sz w:val="24"/>
          <w:szCs w:val="24"/>
        </w:rPr>
        <w:t xml:space="preserve">liberal account in </w:t>
      </w:r>
      <w:r w:rsidR="001D36C2" w:rsidRPr="00461D74">
        <w:rPr>
          <w:rFonts w:ascii="Garamond" w:hAnsi="Garamond" w:cstheme="minorHAnsi"/>
          <w:sz w:val="24"/>
          <w:szCs w:val="24"/>
        </w:rPr>
        <w:t xml:space="preserve">a </w:t>
      </w:r>
      <w:r w:rsidRPr="00461D74">
        <w:rPr>
          <w:rFonts w:ascii="Garamond" w:hAnsi="Garamond" w:cstheme="minorHAnsi"/>
          <w:sz w:val="24"/>
          <w:szCs w:val="24"/>
        </w:rPr>
        <w:t xml:space="preserve">way that </w:t>
      </w:r>
      <w:r w:rsidR="001D36C2" w:rsidRPr="00461D74">
        <w:rPr>
          <w:rFonts w:ascii="Garamond" w:hAnsi="Garamond" w:cstheme="minorHAnsi"/>
          <w:sz w:val="24"/>
          <w:szCs w:val="24"/>
        </w:rPr>
        <w:t>is more or less consistent with</w:t>
      </w:r>
      <w:r w:rsidRPr="00461D74">
        <w:rPr>
          <w:rFonts w:ascii="Garamond" w:hAnsi="Garamond" w:cstheme="minorHAnsi"/>
          <w:sz w:val="24"/>
          <w:szCs w:val="24"/>
        </w:rPr>
        <w:t xml:space="preserve"> MacIntyre’s overall </w:t>
      </w:r>
      <w:r w:rsidR="00500928">
        <w:rPr>
          <w:rFonts w:ascii="Garamond" w:hAnsi="Garamond" w:cstheme="minorHAnsi"/>
          <w:sz w:val="24"/>
          <w:szCs w:val="24"/>
        </w:rPr>
        <w:t>aims</w:t>
      </w:r>
      <w:r w:rsidRPr="00461D74">
        <w:rPr>
          <w:rFonts w:ascii="Garamond" w:hAnsi="Garamond" w:cstheme="minorHAnsi"/>
          <w:sz w:val="24"/>
          <w:szCs w:val="24"/>
        </w:rPr>
        <w:t xml:space="preserve">. I will </w:t>
      </w:r>
      <w:r w:rsidR="00D50051">
        <w:rPr>
          <w:rFonts w:ascii="Garamond" w:hAnsi="Garamond" w:cstheme="minorHAnsi"/>
          <w:sz w:val="24"/>
          <w:szCs w:val="24"/>
        </w:rPr>
        <w:t xml:space="preserve">then </w:t>
      </w:r>
      <w:r w:rsidRPr="00461D74">
        <w:rPr>
          <w:rFonts w:ascii="Garamond" w:hAnsi="Garamond" w:cstheme="minorHAnsi"/>
          <w:sz w:val="24"/>
          <w:szCs w:val="24"/>
        </w:rPr>
        <w:t>consider some examples of the type of political philosophy that is consistent with a participatory democratic approach</w:t>
      </w:r>
      <w:r w:rsidR="00D50051">
        <w:rPr>
          <w:rFonts w:ascii="Garamond" w:hAnsi="Garamond" w:cstheme="minorHAnsi"/>
          <w:sz w:val="24"/>
          <w:szCs w:val="24"/>
        </w:rPr>
        <w:t>, in section four</w:t>
      </w:r>
      <w:r w:rsidRPr="00461D74">
        <w:rPr>
          <w:rFonts w:ascii="Garamond" w:hAnsi="Garamond" w:cstheme="minorHAnsi"/>
          <w:sz w:val="24"/>
          <w:szCs w:val="24"/>
        </w:rPr>
        <w:t xml:space="preserve">. In section five, I explore how the examples of political philosophy offered by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Honneth’s</w:t>
      </w:r>
      <w:proofErr w:type="spellEnd"/>
      <w:r w:rsidRPr="00461D74">
        <w:rPr>
          <w:rFonts w:ascii="Garamond" w:hAnsi="Garamond" w:cstheme="minorHAnsi"/>
          <w:sz w:val="24"/>
          <w:szCs w:val="24"/>
        </w:rPr>
        <w:t xml:space="preserve"> Dewey</w:t>
      </w:r>
      <w:r w:rsidR="008D2EA7" w:rsidRPr="00461D74">
        <w:rPr>
          <w:rFonts w:ascii="Garamond" w:hAnsi="Garamond" w:cstheme="minorHAnsi"/>
          <w:sz w:val="24"/>
          <w:szCs w:val="24"/>
        </w:rPr>
        <w:t>,</w:t>
      </w:r>
      <w:r w:rsidRPr="00461D74">
        <w:rPr>
          <w:rFonts w:ascii="Garamond" w:hAnsi="Garamond" w:cstheme="minorHAnsi"/>
          <w:sz w:val="24"/>
          <w:szCs w:val="24"/>
        </w:rPr>
        <w:t xml:space="preserve"> can alleviate the problems generated by MacIntyre’s politics. Finally, in section six, I consider some conceptual possibilities that can be viewed as sympathetic to the broad outlines of MacIntyre’s ethics and politics.  The </w:t>
      </w:r>
      <w:r w:rsidR="00D50051">
        <w:rPr>
          <w:rFonts w:ascii="Garamond" w:hAnsi="Garamond" w:cstheme="minorHAnsi"/>
          <w:sz w:val="24"/>
          <w:szCs w:val="24"/>
        </w:rPr>
        <w:t xml:space="preserve">ultimate </w:t>
      </w:r>
      <w:r w:rsidRPr="00461D74">
        <w:rPr>
          <w:rFonts w:ascii="Garamond" w:hAnsi="Garamond" w:cstheme="minorHAnsi"/>
          <w:sz w:val="24"/>
          <w:szCs w:val="24"/>
        </w:rPr>
        <w:t xml:space="preserve">goal here is to </w:t>
      </w:r>
      <w:r w:rsidR="008D2EA7" w:rsidRPr="00461D74">
        <w:rPr>
          <w:rFonts w:ascii="Garamond" w:hAnsi="Garamond" w:cstheme="minorHAnsi"/>
          <w:sz w:val="24"/>
          <w:szCs w:val="24"/>
        </w:rPr>
        <w:t>formulate</w:t>
      </w:r>
      <w:r w:rsidRPr="00461D74">
        <w:rPr>
          <w:rFonts w:ascii="Garamond" w:hAnsi="Garamond" w:cstheme="minorHAnsi"/>
          <w:sz w:val="24"/>
          <w:szCs w:val="24"/>
        </w:rPr>
        <w:t xml:space="preserve"> a viable </w:t>
      </w:r>
      <w:r w:rsidR="008D2EA7" w:rsidRPr="00461D74">
        <w:rPr>
          <w:rFonts w:ascii="Garamond" w:hAnsi="Garamond" w:cstheme="minorHAnsi"/>
          <w:sz w:val="24"/>
          <w:szCs w:val="24"/>
        </w:rPr>
        <w:t xml:space="preserve">alternative </w:t>
      </w:r>
      <w:r w:rsidRPr="00461D74">
        <w:rPr>
          <w:rFonts w:ascii="Garamond" w:hAnsi="Garamond" w:cstheme="minorHAnsi"/>
          <w:sz w:val="24"/>
          <w:szCs w:val="24"/>
        </w:rPr>
        <w:t>political conception</w:t>
      </w:r>
      <w:r w:rsidR="008D2EA7" w:rsidRPr="00461D74">
        <w:rPr>
          <w:rFonts w:ascii="Garamond" w:hAnsi="Garamond" w:cstheme="minorHAnsi"/>
          <w:sz w:val="24"/>
          <w:szCs w:val="24"/>
        </w:rPr>
        <w:t>,</w:t>
      </w:r>
      <w:r w:rsidR="001D36C2" w:rsidRPr="00461D74">
        <w:rPr>
          <w:rFonts w:ascii="Garamond" w:hAnsi="Garamond" w:cstheme="minorHAnsi"/>
          <w:sz w:val="24"/>
          <w:szCs w:val="24"/>
        </w:rPr>
        <w:t xml:space="preserve"> capable of </w:t>
      </w:r>
      <w:r w:rsidR="008D2EA7" w:rsidRPr="00461D74">
        <w:rPr>
          <w:rFonts w:ascii="Garamond" w:hAnsi="Garamond" w:cstheme="minorHAnsi"/>
          <w:sz w:val="24"/>
          <w:szCs w:val="24"/>
        </w:rPr>
        <w:t>advancing MacIntyre’s</w:t>
      </w:r>
      <w:r w:rsidR="001D36C2" w:rsidRPr="00461D74">
        <w:rPr>
          <w:rFonts w:ascii="Garamond" w:hAnsi="Garamond" w:cstheme="minorHAnsi"/>
          <w:sz w:val="24"/>
          <w:szCs w:val="24"/>
        </w:rPr>
        <w:t xml:space="preserve"> </w:t>
      </w:r>
      <w:r w:rsidR="008D2EA7" w:rsidRPr="00461D74">
        <w:rPr>
          <w:rFonts w:ascii="Garamond" w:hAnsi="Garamond" w:cstheme="minorHAnsi"/>
          <w:sz w:val="24"/>
          <w:szCs w:val="24"/>
        </w:rPr>
        <w:t>broader goals.</w:t>
      </w:r>
    </w:p>
    <w:p w:rsidR="00665157" w:rsidRDefault="00665157">
      <w:pPr>
        <w:spacing w:line="360" w:lineRule="auto"/>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59" w:name="_Toc528077836"/>
      <w:r>
        <w:rPr>
          <w:rFonts w:cstheme="majorHAnsi"/>
        </w:rPr>
        <w:t xml:space="preserve">2. </w:t>
      </w:r>
      <w:r w:rsidR="00016049" w:rsidRPr="00F03436">
        <w:rPr>
          <w:rFonts w:cstheme="majorHAnsi"/>
        </w:rPr>
        <w:t xml:space="preserve">The </w:t>
      </w:r>
      <w:r w:rsidR="00996D1B" w:rsidRPr="00F03436">
        <w:rPr>
          <w:rFonts w:cstheme="majorHAnsi"/>
        </w:rPr>
        <w:t>P</w:t>
      </w:r>
      <w:r w:rsidR="00016049" w:rsidRPr="00F03436">
        <w:rPr>
          <w:rFonts w:cstheme="majorHAnsi"/>
        </w:rPr>
        <w:t xml:space="preserve">roblem in MacIntyre’s </w:t>
      </w:r>
      <w:r w:rsidR="00996D1B" w:rsidRPr="00F03436">
        <w:rPr>
          <w:rFonts w:cstheme="majorHAnsi"/>
        </w:rPr>
        <w:t>Political Account</w:t>
      </w:r>
      <w:bookmarkEnd w:id="59"/>
    </w:p>
    <w:p w:rsidR="00665157" w:rsidRDefault="00665157">
      <w:pPr>
        <w:spacing w:line="360" w:lineRule="auto"/>
        <w:jc w:val="both"/>
        <w:rPr>
          <w:rFonts w:ascii="Garamond" w:hAnsi="Garamond" w:cstheme="minorHAnsi"/>
          <w:sz w:val="24"/>
          <w:szCs w:val="24"/>
        </w:rPr>
      </w:pPr>
    </w:p>
    <w:p w:rsidR="00665157" w:rsidRPr="009E5451" w:rsidRDefault="00712CF2">
      <w:pPr>
        <w:spacing w:line="360" w:lineRule="auto"/>
        <w:jc w:val="both"/>
        <w:rPr>
          <w:rFonts w:ascii="Garamond" w:hAnsi="Garamond" w:cstheme="minorHAnsi"/>
          <w:sz w:val="24"/>
          <w:szCs w:val="24"/>
          <w:lang w:val="en-GB"/>
        </w:rPr>
      </w:pPr>
      <w:r w:rsidRPr="00461D74">
        <w:rPr>
          <w:rFonts w:ascii="Garamond" w:hAnsi="Garamond" w:cstheme="minorHAnsi"/>
          <w:sz w:val="24"/>
          <w:szCs w:val="24"/>
        </w:rPr>
        <w:t xml:space="preserve">I emphasized earlier that </w:t>
      </w:r>
      <w:r w:rsidR="00016049" w:rsidRPr="00461D74">
        <w:rPr>
          <w:rFonts w:ascii="Garamond" w:hAnsi="Garamond" w:cstheme="minorHAnsi"/>
          <w:sz w:val="24"/>
          <w:szCs w:val="24"/>
        </w:rPr>
        <w:t xml:space="preserve">MacIntyre </w:t>
      </w:r>
      <w:r w:rsidRPr="00461D74">
        <w:rPr>
          <w:rFonts w:ascii="Garamond" w:hAnsi="Garamond" w:cstheme="minorHAnsi"/>
          <w:sz w:val="24"/>
          <w:szCs w:val="24"/>
        </w:rPr>
        <w:t xml:space="preserve">closely </w:t>
      </w:r>
      <w:r w:rsidR="00016049" w:rsidRPr="00461D74">
        <w:rPr>
          <w:rFonts w:ascii="Garamond" w:hAnsi="Garamond" w:cstheme="minorHAnsi"/>
          <w:sz w:val="24"/>
          <w:szCs w:val="24"/>
        </w:rPr>
        <w:t xml:space="preserve">connects ethics </w:t>
      </w:r>
      <w:r w:rsidRPr="00461D74">
        <w:rPr>
          <w:rFonts w:ascii="Garamond" w:hAnsi="Garamond" w:cstheme="minorHAnsi"/>
          <w:sz w:val="24"/>
          <w:szCs w:val="24"/>
        </w:rPr>
        <w:t>to</w:t>
      </w:r>
      <w:r w:rsidR="00016049" w:rsidRPr="00461D74">
        <w:rPr>
          <w:rFonts w:ascii="Garamond" w:hAnsi="Garamond" w:cstheme="minorHAnsi"/>
          <w:sz w:val="24"/>
          <w:szCs w:val="24"/>
        </w:rPr>
        <w:t xml:space="preserve"> politics</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hence without a coherent political </w:t>
      </w:r>
      <w:r w:rsidRPr="00461D74">
        <w:rPr>
          <w:rFonts w:ascii="Garamond" w:hAnsi="Garamond" w:cstheme="minorHAnsi"/>
          <w:sz w:val="24"/>
          <w:szCs w:val="24"/>
        </w:rPr>
        <w:t>account</w:t>
      </w:r>
      <w:r w:rsidR="00016049" w:rsidRPr="00461D74">
        <w:rPr>
          <w:rFonts w:ascii="Garamond" w:hAnsi="Garamond" w:cstheme="minorHAnsi"/>
          <w:sz w:val="24"/>
          <w:szCs w:val="24"/>
        </w:rPr>
        <w:t xml:space="preserve"> </w:t>
      </w:r>
      <w:r w:rsidRPr="00461D74">
        <w:rPr>
          <w:rFonts w:ascii="Garamond" w:hAnsi="Garamond" w:cstheme="minorHAnsi"/>
          <w:sz w:val="24"/>
          <w:szCs w:val="24"/>
        </w:rPr>
        <w:t>his project as a whole is potentially</w:t>
      </w:r>
      <w:r w:rsidR="00016049" w:rsidRPr="00461D74">
        <w:rPr>
          <w:rFonts w:ascii="Garamond" w:hAnsi="Garamond" w:cstheme="minorHAnsi"/>
          <w:sz w:val="24"/>
          <w:szCs w:val="24"/>
        </w:rPr>
        <w:t xml:space="preserve"> imperilled. </w:t>
      </w:r>
      <w:r w:rsidRPr="00461D74">
        <w:rPr>
          <w:rFonts w:ascii="Garamond" w:hAnsi="Garamond" w:cstheme="minorHAnsi"/>
          <w:sz w:val="24"/>
          <w:szCs w:val="24"/>
        </w:rPr>
        <w:t xml:space="preserve">Moreover, </w:t>
      </w:r>
      <w:r w:rsidR="00016049" w:rsidRPr="00461D74">
        <w:rPr>
          <w:rFonts w:ascii="Garamond" w:hAnsi="Garamond" w:cstheme="minorHAnsi"/>
          <w:sz w:val="24"/>
          <w:szCs w:val="24"/>
        </w:rPr>
        <w:t>MacIntyre</w:t>
      </w:r>
      <w:r w:rsidRPr="00461D74">
        <w:rPr>
          <w:rFonts w:ascii="Garamond" w:hAnsi="Garamond" w:cstheme="minorHAnsi"/>
          <w:sz w:val="24"/>
          <w:szCs w:val="24"/>
        </w:rPr>
        <w:t xml:space="preserve"> argues for a</w:t>
      </w:r>
      <w:r w:rsidR="00016049" w:rsidRPr="00461D74">
        <w:rPr>
          <w:rFonts w:ascii="Garamond" w:hAnsi="Garamond" w:cstheme="minorHAnsi"/>
          <w:sz w:val="24"/>
          <w:szCs w:val="24"/>
        </w:rPr>
        <w:t xml:space="preserve"> defen</w:t>
      </w:r>
      <w:r w:rsidRPr="00461D74">
        <w:rPr>
          <w:rFonts w:ascii="Garamond" w:hAnsi="Garamond" w:cstheme="minorHAnsi"/>
          <w:sz w:val="24"/>
          <w:szCs w:val="24"/>
        </w:rPr>
        <w:t xml:space="preserve">ce of </w:t>
      </w:r>
      <w:r w:rsidR="00016049" w:rsidRPr="00461D74">
        <w:rPr>
          <w:rFonts w:ascii="Garamond" w:hAnsi="Garamond" w:cstheme="minorHAnsi"/>
          <w:sz w:val="24"/>
          <w:szCs w:val="24"/>
        </w:rPr>
        <w:t>loc</w:t>
      </w:r>
      <w:r w:rsidRPr="00461D74">
        <w:rPr>
          <w:rFonts w:ascii="Garamond" w:hAnsi="Garamond" w:cstheme="minorHAnsi"/>
          <w:sz w:val="24"/>
          <w:szCs w:val="24"/>
        </w:rPr>
        <w:t>al communities and ways of life,</w:t>
      </w:r>
      <w:r w:rsidR="00016049" w:rsidRPr="00461D74">
        <w:rPr>
          <w:rFonts w:ascii="Garamond" w:hAnsi="Garamond" w:cstheme="minorHAnsi"/>
          <w:sz w:val="24"/>
          <w:szCs w:val="24"/>
        </w:rPr>
        <w:t xml:space="preserve"> </w:t>
      </w:r>
      <w:r w:rsidRPr="00461D74">
        <w:rPr>
          <w:rFonts w:ascii="Garamond" w:hAnsi="Garamond" w:cstheme="minorHAnsi"/>
          <w:sz w:val="24"/>
          <w:szCs w:val="24"/>
        </w:rPr>
        <w:t>because</w:t>
      </w:r>
      <w:r w:rsidR="00016049" w:rsidRPr="00461D74">
        <w:rPr>
          <w:rFonts w:ascii="Garamond" w:hAnsi="Garamond" w:cstheme="minorHAnsi"/>
          <w:sz w:val="24"/>
          <w:szCs w:val="24"/>
        </w:rPr>
        <w:t xml:space="preserve"> he </w:t>
      </w:r>
      <w:r w:rsidR="008E318C" w:rsidRPr="00461D74">
        <w:rPr>
          <w:rFonts w:ascii="Garamond" w:hAnsi="Garamond" w:cstheme="minorHAnsi"/>
          <w:sz w:val="24"/>
          <w:szCs w:val="24"/>
        </w:rPr>
        <w:t xml:space="preserve">believes </w:t>
      </w:r>
      <w:r w:rsidR="00016049" w:rsidRPr="00461D74">
        <w:rPr>
          <w:rFonts w:ascii="Garamond" w:hAnsi="Garamond" w:cstheme="minorHAnsi"/>
          <w:sz w:val="24"/>
          <w:szCs w:val="24"/>
        </w:rPr>
        <w:t xml:space="preserve">that </w:t>
      </w:r>
      <w:r w:rsidR="008E318C" w:rsidRPr="00461D74">
        <w:rPr>
          <w:rFonts w:ascii="Garamond" w:hAnsi="Garamond" w:cstheme="minorHAnsi"/>
          <w:sz w:val="24"/>
          <w:szCs w:val="24"/>
        </w:rPr>
        <w:t>a genuine</w:t>
      </w:r>
      <w:r w:rsidR="00016049" w:rsidRPr="00461D74">
        <w:rPr>
          <w:rFonts w:ascii="Garamond" w:hAnsi="Garamond" w:cstheme="minorHAnsi"/>
          <w:sz w:val="24"/>
          <w:szCs w:val="24"/>
        </w:rPr>
        <w:t xml:space="preserve"> </w:t>
      </w:r>
      <w:r w:rsidRPr="00461D74">
        <w:rPr>
          <w:rFonts w:ascii="Garamond" w:hAnsi="Garamond" w:cstheme="minorHAnsi"/>
          <w:sz w:val="24"/>
          <w:szCs w:val="24"/>
        </w:rPr>
        <w:t>kind of</w:t>
      </w:r>
      <w:r w:rsidR="00016049" w:rsidRPr="00461D74">
        <w:rPr>
          <w:rFonts w:ascii="Garamond" w:hAnsi="Garamond" w:cstheme="minorHAnsi"/>
          <w:sz w:val="24"/>
          <w:szCs w:val="24"/>
        </w:rPr>
        <w:t xml:space="preserve"> common good can only be </w:t>
      </w:r>
      <w:r w:rsidRPr="00461D74">
        <w:rPr>
          <w:rFonts w:ascii="Garamond" w:hAnsi="Garamond" w:cstheme="minorHAnsi"/>
          <w:sz w:val="24"/>
          <w:szCs w:val="24"/>
        </w:rPr>
        <w:t>advanced</w:t>
      </w:r>
      <w:r w:rsidR="008E318C" w:rsidRPr="00461D74">
        <w:rPr>
          <w:rFonts w:ascii="Garamond" w:hAnsi="Garamond" w:cstheme="minorHAnsi"/>
          <w:sz w:val="24"/>
          <w:szCs w:val="24"/>
        </w:rPr>
        <w:t xml:space="preserve"> </w:t>
      </w:r>
      <w:r w:rsidR="00890474" w:rsidRPr="00461D74">
        <w:rPr>
          <w:rFonts w:ascii="Garamond" w:hAnsi="Garamond" w:cstheme="minorHAnsi"/>
          <w:sz w:val="24"/>
          <w:szCs w:val="24"/>
        </w:rPr>
        <w:t>within these kinds of communities</w:t>
      </w:r>
      <w:r w:rsidR="00016049" w:rsidRPr="00461D74">
        <w:rPr>
          <w:rFonts w:ascii="Garamond" w:hAnsi="Garamond" w:cstheme="minorHAnsi"/>
          <w:sz w:val="24"/>
          <w:szCs w:val="24"/>
        </w:rPr>
        <w:t xml:space="preserve">. </w:t>
      </w:r>
      <w:r w:rsidR="00890474" w:rsidRPr="00461D74">
        <w:rPr>
          <w:rFonts w:ascii="Garamond" w:hAnsi="Garamond" w:cstheme="minorHAnsi"/>
          <w:sz w:val="24"/>
          <w:szCs w:val="24"/>
        </w:rPr>
        <w:t>In addition</w:t>
      </w:r>
      <w:r w:rsidR="00AC0E0A" w:rsidRPr="00461D74">
        <w:rPr>
          <w:rFonts w:ascii="Garamond" w:hAnsi="Garamond" w:cstheme="minorHAnsi"/>
          <w:sz w:val="24"/>
          <w:szCs w:val="24"/>
        </w:rPr>
        <w:t>, MacIntyre also argue</w:t>
      </w:r>
      <w:r w:rsidR="00890474" w:rsidRPr="00461D74">
        <w:rPr>
          <w:rFonts w:ascii="Garamond" w:hAnsi="Garamond" w:cstheme="minorHAnsi"/>
          <w:sz w:val="24"/>
          <w:szCs w:val="24"/>
        </w:rPr>
        <w:t>s</w:t>
      </w:r>
      <w:r w:rsidR="00AC0E0A" w:rsidRPr="00461D74">
        <w:rPr>
          <w:rFonts w:ascii="Garamond" w:hAnsi="Garamond" w:cstheme="minorHAnsi"/>
          <w:sz w:val="24"/>
          <w:szCs w:val="24"/>
        </w:rPr>
        <w:t xml:space="preserve"> that </w:t>
      </w:r>
      <w:r w:rsidR="00016049" w:rsidRPr="00461D74">
        <w:rPr>
          <w:rFonts w:ascii="Garamond" w:hAnsi="Garamond" w:cstheme="minorHAnsi"/>
          <w:sz w:val="24"/>
          <w:szCs w:val="24"/>
        </w:rPr>
        <w:t xml:space="preserve">politics </w:t>
      </w:r>
      <w:r w:rsidR="00A357A3" w:rsidRPr="00461D74">
        <w:rPr>
          <w:rFonts w:ascii="Garamond" w:hAnsi="Garamond" w:cstheme="minorHAnsi"/>
          <w:sz w:val="24"/>
          <w:szCs w:val="24"/>
        </w:rPr>
        <w:t xml:space="preserve">in the liberal state </w:t>
      </w:r>
      <w:r w:rsidR="00016049" w:rsidRPr="00461D74">
        <w:rPr>
          <w:rFonts w:ascii="Garamond" w:hAnsi="Garamond" w:cstheme="minorHAnsi"/>
          <w:sz w:val="24"/>
          <w:szCs w:val="24"/>
        </w:rPr>
        <w:t xml:space="preserve">is </w:t>
      </w:r>
      <w:r w:rsidR="00890474" w:rsidRPr="00461D74">
        <w:rPr>
          <w:rFonts w:ascii="Garamond" w:hAnsi="Garamond" w:cstheme="minorHAnsi"/>
          <w:sz w:val="24"/>
          <w:szCs w:val="24"/>
        </w:rPr>
        <w:t xml:space="preserve">not </w:t>
      </w:r>
      <w:r w:rsidR="00A357A3" w:rsidRPr="00461D74">
        <w:rPr>
          <w:rFonts w:ascii="Garamond" w:hAnsi="Garamond" w:cstheme="minorHAnsi"/>
          <w:sz w:val="24"/>
          <w:szCs w:val="24"/>
        </w:rPr>
        <w:t>for the most part</w:t>
      </w:r>
      <w:r w:rsidR="00890474" w:rsidRPr="00461D74">
        <w:rPr>
          <w:rFonts w:ascii="Garamond" w:hAnsi="Garamond" w:cstheme="minorHAnsi"/>
          <w:sz w:val="24"/>
          <w:szCs w:val="24"/>
        </w:rPr>
        <w:t xml:space="preserve"> a</w:t>
      </w:r>
      <w:r w:rsidR="00016049" w:rsidRPr="00461D74">
        <w:rPr>
          <w:rFonts w:ascii="Garamond" w:hAnsi="Garamond" w:cstheme="minorHAnsi"/>
          <w:sz w:val="24"/>
          <w:szCs w:val="24"/>
        </w:rPr>
        <w:t xml:space="preserve"> </w:t>
      </w:r>
      <w:r w:rsidR="006F43E4" w:rsidRPr="00461D74">
        <w:rPr>
          <w:rFonts w:ascii="Garamond" w:hAnsi="Garamond" w:cstheme="minorHAnsi"/>
          <w:sz w:val="24"/>
          <w:szCs w:val="24"/>
        </w:rPr>
        <w:t xml:space="preserve">kind of </w:t>
      </w:r>
      <w:r w:rsidR="00016049" w:rsidRPr="00461D74">
        <w:rPr>
          <w:rFonts w:ascii="Garamond" w:hAnsi="Garamond" w:cstheme="minorHAnsi"/>
          <w:sz w:val="24"/>
          <w:szCs w:val="24"/>
        </w:rPr>
        <w:t xml:space="preserve">politics </w:t>
      </w:r>
      <w:r w:rsidR="00890474" w:rsidRPr="00461D74">
        <w:rPr>
          <w:rFonts w:ascii="Garamond" w:hAnsi="Garamond" w:cstheme="minorHAnsi"/>
          <w:sz w:val="24"/>
          <w:szCs w:val="24"/>
        </w:rPr>
        <w:t>that advances</w:t>
      </w:r>
      <w:r w:rsidR="006F43E4" w:rsidRPr="00461D74">
        <w:rPr>
          <w:rFonts w:ascii="Garamond" w:hAnsi="Garamond" w:cstheme="minorHAnsi"/>
          <w:sz w:val="24"/>
          <w:szCs w:val="24"/>
        </w:rPr>
        <w:t xml:space="preserve"> the</w:t>
      </w:r>
      <w:r w:rsidR="00016049" w:rsidRPr="00461D74">
        <w:rPr>
          <w:rFonts w:ascii="Garamond" w:hAnsi="Garamond" w:cstheme="minorHAnsi"/>
          <w:sz w:val="24"/>
          <w:szCs w:val="24"/>
        </w:rPr>
        <w:t xml:space="preserve"> common good</w:t>
      </w:r>
      <w:r w:rsidR="00890474"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9E5451">
        <w:rPr>
          <w:rFonts w:ascii="Garamond" w:hAnsi="Garamond" w:cstheme="minorHAnsi"/>
          <w:sz w:val="24"/>
          <w:szCs w:val="24"/>
        </w:rPr>
        <w:t>instead,</w:t>
      </w:r>
      <w:r w:rsidR="009E5451"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politics at the level of large-scale political </w:t>
      </w:r>
      <w:r w:rsidR="00890474" w:rsidRPr="00461D74">
        <w:rPr>
          <w:rFonts w:ascii="Garamond" w:hAnsi="Garamond" w:cstheme="minorHAnsi"/>
          <w:sz w:val="24"/>
          <w:szCs w:val="24"/>
        </w:rPr>
        <w:t>system</w:t>
      </w:r>
      <w:r w:rsidR="00016049" w:rsidRPr="00461D74">
        <w:rPr>
          <w:rFonts w:ascii="Garamond" w:hAnsi="Garamond" w:cstheme="minorHAnsi"/>
          <w:sz w:val="24"/>
          <w:szCs w:val="24"/>
        </w:rPr>
        <w:t xml:space="preserve"> </w:t>
      </w:r>
      <w:r w:rsidR="00890474" w:rsidRPr="00461D74">
        <w:rPr>
          <w:rFonts w:ascii="Garamond" w:hAnsi="Garamond" w:cstheme="minorHAnsi"/>
          <w:sz w:val="24"/>
          <w:szCs w:val="24"/>
        </w:rPr>
        <w:t>remain</w:t>
      </w:r>
      <w:r w:rsidR="009E5451">
        <w:rPr>
          <w:rFonts w:ascii="Garamond" w:hAnsi="Garamond" w:cstheme="minorHAnsi"/>
          <w:sz w:val="24"/>
          <w:szCs w:val="24"/>
        </w:rPr>
        <w:t>s</w:t>
      </w:r>
      <w:r w:rsidR="00016049" w:rsidRPr="00461D74">
        <w:rPr>
          <w:rFonts w:ascii="Garamond" w:hAnsi="Garamond" w:cstheme="minorHAnsi"/>
          <w:sz w:val="24"/>
          <w:szCs w:val="24"/>
        </w:rPr>
        <w:t xml:space="preserve"> a </w:t>
      </w:r>
      <w:r w:rsidR="009E5451">
        <w:rPr>
          <w:rFonts w:ascii="Garamond" w:hAnsi="Garamond" w:cstheme="minorHAnsi"/>
          <w:sz w:val="24"/>
          <w:szCs w:val="24"/>
        </w:rPr>
        <w:t>form</w:t>
      </w:r>
      <w:r w:rsidR="009E5451"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of </w:t>
      </w:r>
      <w:proofErr w:type="spellStart"/>
      <w:r w:rsidR="00016049" w:rsidRPr="00461D74">
        <w:rPr>
          <w:rFonts w:ascii="Garamond" w:hAnsi="Garamond" w:cstheme="minorHAnsi"/>
          <w:i/>
          <w:iCs/>
          <w:sz w:val="24"/>
          <w:szCs w:val="24"/>
        </w:rPr>
        <w:t>Realpolitik</w:t>
      </w:r>
      <w:proofErr w:type="spellEnd"/>
      <w:r w:rsidR="00016049" w:rsidRPr="00461D74">
        <w:rPr>
          <w:rFonts w:ascii="Garamond" w:hAnsi="Garamond" w:cstheme="minorHAnsi"/>
          <w:sz w:val="24"/>
          <w:szCs w:val="24"/>
        </w:rPr>
        <w:t>.</w:t>
      </w:r>
    </w:p>
    <w:p w:rsidR="00665157" w:rsidRDefault="00890474">
      <w:pPr>
        <w:spacing w:line="360" w:lineRule="auto"/>
        <w:ind w:firstLine="567"/>
        <w:jc w:val="both"/>
        <w:rPr>
          <w:rFonts w:ascii="Garamond" w:hAnsi="Garamond" w:cstheme="minorHAnsi"/>
          <w:strike/>
          <w:sz w:val="24"/>
          <w:szCs w:val="24"/>
        </w:rPr>
      </w:pPr>
      <w:r w:rsidRPr="00461D74">
        <w:rPr>
          <w:rFonts w:ascii="Garamond" w:hAnsi="Garamond" w:cstheme="minorHAnsi"/>
          <w:sz w:val="24"/>
          <w:szCs w:val="24"/>
        </w:rPr>
        <w:t>E</w:t>
      </w:r>
      <w:r w:rsidR="00BF489E" w:rsidRPr="00461D74">
        <w:rPr>
          <w:rFonts w:ascii="Garamond" w:hAnsi="Garamond" w:cstheme="minorHAnsi"/>
          <w:sz w:val="24"/>
          <w:szCs w:val="24"/>
        </w:rPr>
        <w:t>arlier</w:t>
      </w:r>
      <w:r w:rsidR="003C70DD" w:rsidRPr="00461D74">
        <w:rPr>
          <w:rFonts w:ascii="Garamond" w:hAnsi="Garamond" w:cstheme="minorHAnsi"/>
          <w:sz w:val="24"/>
          <w:szCs w:val="24"/>
        </w:rPr>
        <w:t>, i</w:t>
      </w:r>
      <w:r w:rsidR="00016049" w:rsidRPr="00461D74">
        <w:rPr>
          <w:rFonts w:ascii="Garamond" w:hAnsi="Garamond" w:cstheme="minorHAnsi"/>
          <w:sz w:val="24"/>
          <w:szCs w:val="24"/>
        </w:rPr>
        <w:t xml:space="preserve">n </w:t>
      </w:r>
      <w:r w:rsidR="00A27A95" w:rsidRPr="00461D74">
        <w:rPr>
          <w:rFonts w:ascii="Garamond" w:hAnsi="Garamond" w:cstheme="minorHAnsi"/>
          <w:sz w:val="24"/>
          <w:szCs w:val="24"/>
        </w:rPr>
        <w:t>C</w:t>
      </w:r>
      <w:r w:rsidR="00016049" w:rsidRPr="00461D74">
        <w:rPr>
          <w:rFonts w:ascii="Garamond" w:hAnsi="Garamond" w:cstheme="minorHAnsi"/>
          <w:sz w:val="24"/>
          <w:szCs w:val="24"/>
        </w:rPr>
        <w:t xml:space="preserve">hapter </w:t>
      </w:r>
      <w:r w:rsidR="00A27A95" w:rsidRPr="00461D74">
        <w:rPr>
          <w:rFonts w:ascii="Garamond" w:hAnsi="Garamond" w:cstheme="minorHAnsi"/>
          <w:sz w:val="24"/>
          <w:szCs w:val="24"/>
        </w:rPr>
        <w:t>F</w:t>
      </w:r>
      <w:r w:rsidR="003C70DD" w:rsidRPr="00461D74">
        <w:rPr>
          <w:rFonts w:ascii="Garamond" w:hAnsi="Garamond" w:cstheme="minorHAnsi"/>
          <w:sz w:val="24"/>
          <w:szCs w:val="24"/>
        </w:rPr>
        <w:t>our,</w:t>
      </w:r>
      <w:r w:rsidR="00016049" w:rsidRPr="00461D74">
        <w:rPr>
          <w:rFonts w:ascii="Garamond" w:hAnsi="Garamond" w:cstheme="minorHAnsi"/>
          <w:sz w:val="24"/>
          <w:szCs w:val="24"/>
        </w:rPr>
        <w:t xml:space="preserve"> we considered MacIntyre’s major criticism against the </w:t>
      </w:r>
      <w:r w:rsidRPr="00461D74">
        <w:rPr>
          <w:rFonts w:ascii="Garamond" w:hAnsi="Garamond" w:cstheme="minorHAnsi"/>
          <w:sz w:val="24"/>
          <w:szCs w:val="24"/>
        </w:rPr>
        <w:t>politics of the</w:t>
      </w:r>
      <w:r w:rsidR="00016049" w:rsidRPr="00461D74">
        <w:rPr>
          <w:rFonts w:ascii="Garamond" w:hAnsi="Garamond" w:cstheme="minorHAnsi"/>
          <w:sz w:val="24"/>
          <w:szCs w:val="24"/>
        </w:rPr>
        <w:t xml:space="preserve"> liberal state</w:t>
      </w:r>
      <w:r w:rsidR="003C70DD" w:rsidRPr="00461D74">
        <w:rPr>
          <w:rFonts w:ascii="Garamond" w:hAnsi="Garamond" w:cstheme="minorHAnsi"/>
          <w:sz w:val="24"/>
          <w:szCs w:val="24"/>
        </w:rPr>
        <w:t xml:space="preserve">. </w:t>
      </w:r>
      <w:r w:rsidRPr="00461D74">
        <w:rPr>
          <w:rFonts w:ascii="Garamond" w:hAnsi="Garamond" w:cstheme="minorHAnsi"/>
          <w:sz w:val="24"/>
          <w:szCs w:val="24"/>
        </w:rPr>
        <w:t xml:space="preserve">MacIntyre argued </w:t>
      </w:r>
      <w:r w:rsidR="00016049" w:rsidRPr="00461D74">
        <w:rPr>
          <w:rFonts w:ascii="Garamond" w:hAnsi="Garamond" w:cstheme="minorHAnsi"/>
          <w:sz w:val="24"/>
          <w:szCs w:val="24"/>
        </w:rPr>
        <w:t xml:space="preserve">that public interest in the liberal state is </w:t>
      </w:r>
      <w:r w:rsidR="003C70DD" w:rsidRPr="00461D74">
        <w:rPr>
          <w:rFonts w:ascii="Garamond" w:hAnsi="Garamond" w:cstheme="minorHAnsi"/>
          <w:sz w:val="24"/>
          <w:szCs w:val="24"/>
        </w:rPr>
        <w:t xml:space="preserve">very different </w:t>
      </w:r>
      <w:r w:rsidRPr="00461D74">
        <w:rPr>
          <w:rFonts w:ascii="Garamond" w:hAnsi="Garamond" w:cstheme="minorHAnsi"/>
          <w:sz w:val="24"/>
          <w:szCs w:val="24"/>
        </w:rPr>
        <w:t>from</w:t>
      </w:r>
      <w:r w:rsidR="00016049" w:rsidRPr="00461D74">
        <w:rPr>
          <w:rFonts w:ascii="Garamond" w:hAnsi="Garamond" w:cstheme="minorHAnsi"/>
          <w:sz w:val="24"/>
          <w:szCs w:val="24"/>
        </w:rPr>
        <w:t xml:space="preserve"> the common good, and that </w:t>
      </w:r>
      <w:r w:rsidR="003C70DD"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politics </w:t>
      </w:r>
      <w:r w:rsidR="003C70DD" w:rsidRPr="00461D74">
        <w:rPr>
          <w:rFonts w:ascii="Garamond" w:hAnsi="Garamond" w:cstheme="minorHAnsi"/>
          <w:sz w:val="24"/>
          <w:szCs w:val="24"/>
        </w:rPr>
        <w:t xml:space="preserve">that </w:t>
      </w:r>
      <w:r w:rsidRPr="00461D74">
        <w:rPr>
          <w:rFonts w:ascii="Garamond" w:hAnsi="Garamond" w:cstheme="minorHAnsi"/>
          <w:sz w:val="24"/>
          <w:szCs w:val="24"/>
        </w:rPr>
        <w:t xml:space="preserve">isn’t </w:t>
      </w:r>
      <w:r w:rsidRPr="00461D74">
        <w:rPr>
          <w:rFonts w:ascii="Garamond" w:hAnsi="Garamond" w:cstheme="minorHAnsi"/>
          <w:sz w:val="24"/>
          <w:szCs w:val="24"/>
        </w:rPr>
        <w:lastRenderedPageBreak/>
        <w:t>constitutive of the common good</w:t>
      </w:r>
      <w:r w:rsidR="00016049" w:rsidRPr="00461D74">
        <w:rPr>
          <w:rFonts w:ascii="Garamond" w:hAnsi="Garamond" w:cstheme="minorHAnsi"/>
          <w:sz w:val="24"/>
          <w:szCs w:val="24"/>
        </w:rPr>
        <w:t xml:space="preserve"> fails to be properly political. The common good of local communities, as </w:t>
      </w:r>
      <w:r w:rsidR="003C70DD" w:rsidRPr="00461D74">
        <w:rPr>
          <w:rFonts w:ascii="Garamond" w:hAnsi="Garamond" w:cstheme="minorHAnsi"/>
          <w:sz w:val="24"/>
          <w:szCs w:val="24"/>
        </w:rPr>
        <w:t xml:space="preserve">defined </w:t>
      </w:r>
      <w:r w:rsidR="00016049" w:rsidRPr="00461D74">
        <w:rPr>
          <w:rFonts w:ascii="Garamond" w:hAnsi="Garamond" w:cstheme="minorHAnsi"/>
          <w:sz w:val="24"/>
          <w:szCs w:val="24"/>
        </w:rPr>
        <w:t xml:space="preserve">by MacIntyre, is closely </w:t>
      </w:r>
      <w:r w:rsidR="00004083" w:rsidRPr="00461D74">
        <w:rPr>
          <w:rFonts w:ascii="Garamond" w:hAnsi="Garamond" w:cstheme="minorHAnsi"/>
          <w:sz w:val="24"/>
          <w:szCs w:val="24"/>
        </w:rPr>
        <w:t xml:space="preserve">connected </w:t>
      </w:r>
      <w:r w:rsidR="00016049" w:rsidRPr="00461D74">
        <w:rPr>
          <w:rFonts w:ascii="Garamond" w:hAnsi="Garamond" w:cstheme="minorHAnsi"/>
          <w:sz w:val="24"/>
          <w:szCs w:val="24"/>
        </w:rPr>
        <w:t xml:space="preserve">to the </w:t>
      </w:r>
      <w:r w:rsidR="003C70DD" w:rsidRPr="00461D74">
        <w:rPr>
          <w:rFonts w:ascii="Garamond" w:hAnsi="Garamond" w:cstheme="minorHAnsi"/>
          <w:sz w:val="24"/>
          <w:szCs w:val="24"/>
        </w:rPr>
        <w:t xml:space="preserve">idea that our individual good </w:t>
      </w:r>
      <w:r w:rsidR="00004083" w:rsidRPr="00461D74">
        <w:rPr>
          <w:rFonts w:ascii="Garamond" w:hAnsi="Garamond" w:cstheme="minorHAnsi"/>
          <w:sz w:val="24"/>
          <w:szCs w:val="24"/>
        </w:rPr>
        <w:t xml:space="preserve">is advanced through </w:t>
      </w:r>
      <w:r w:rsidR="00016049" w:rsidRPr="00461D74">
        <w:rPr>
          <w:rFonts w:ascii="Garamond" w:hAnsi="Garamond" w:cstheme="minorHAnsi"/>
          <w:sz w:val="24"/>
          <w:szCs w:val="24"/>
        </w:rPr>
        <w:t xml:space="preserve">participation in </w:t>
      </w:r>
      <w:r w:rsidR="00004083" w:rsidRPr="00461D74">
        <w:rPr>
          <w:rFonts w:ascii="Garamond" w:hAnsi="Garamond" w:cstheme="minorHAnsi"/>
          <w:sz w:val="24"/>
          <w:szCs w:val="24"/>
        </w:rPr>
        <w:t xml:space="preserve">a </w:t>
      </w:r>
      <w:r w:rsidR="00016049" w:rsidRPr="00461D74">
        <w:rPr>
          <w:rFonts w:ascii="Garamond" w:hAnsi="Garamond" w:cstheme="minorHAnsi"/>
          <w:sz w:val="24"/>
          <w:szCs w:val="24"/>
        </w:rPr>
        <w:t>community’s social practices</w:t>
      </w:r>
      <w:r w:rsidR="003C70DD" w:rsidRPr="00461D74">
        <w:rPr>
          <w:rFonts w:ascii="Garamond" w:hAnsi="Garamond" w:cstheme="minorHAnsi"/>
          <w:sz w:val="24"/>
          <w:szCs w:val="24"/>
        </w:rPr>
        <w:t>, and common</w:t>
      </w:r>
      <w:r w:rsidR="00004083" w:rsidRPr="00461D74">
        <w:rPr>
          <w:rFonts w:ascii="Garamond" w:hAnsi="Garamond" w:cstheme="minorHAnsi"/>
          <w:sz w:val="24"/>
          <w:szCs w:val="24"/>
        </w:rPr>
        <w:t xml:space="preserve"> deliberation with respect to the goods </w:t>
      </w:r>
      <w:r w:rsidR="005313E3">
        <w:rPr>
          <w:rFonts w:ascii="Garamond" w:hAnsi="Garamond" w:cstheme="minorHAnsi"/>
          <w:sz w:val="24"/>
          <w:szCs w:val="24"/>
        </w:rPr>
        <w:t xml:space="preserve">which </w:t>
      </w:r>
      <w:r w:rsidR="0006075F" w:rsidRPr="00461D74">
        <w:rPr>
          <w:rFonts w:ascii="Garamond" w:hAnsi="Garamond" w:cstheme="minorHAnsi"/>
          <w:sz w:val="24"/>
          <w:szCs w:val="24"/>
        </w:rPr>
        <w:t>different</w:t>
      </w:r>
      <w:r w:rsidR="00004083" w:rsidRPr="00461D74">
        <w:rPr>
          <w:rFonts w:ascii="Garamond" w:hAnsi="Garamond" w:cstheme="minorHAnsi"/>
          <w:sz w:val="24"/>
          <w:szCs w:val="24"/>
        </w:rPr>
        <w:t xml:space="preserve"> </w:t>
      </w:r>
      <w:r w:rsidR="0006075F" w:rsidRPr="00461D74">
        <w:rPr>
          <w:rFonts w:ascii="Garamond" w:hAnsi="Garamond" w:cstheme="minorHAnsi"/>
          <w:sz w:val="24"/>
          <w:szCs w:val="24"/>
        </w:rPr>
        <w:t>social</w:t>
      </w:r>
      <w:r w:rsidR="00004083" w:rsidRPr="00461D74">
        <w:rPr>
          <w:rFonts w:ascii="Garamond" w:hAnsi="Garamond" w:cstheme="minorHAnsi"/>
          <w:sz w:val="24"/>
          <w:szCs w:val="24"/>
        </w:rPr>
        <w:t xml:space="preserve"> practices </w:t>
      </w:r>
      <w:r w:rsidR="005313E3">
        <w:rPr>
          <w:rFonts w:ascii="Garamond" w:hAnsi="Garamond" w:cstheme="minorHAnsi"/>
          <w:sz w:val="24"/>
          <w:szCs w:val="24"/>
        </w:rPr>
        <w:t>afford</w:t>
      </w:r>
      <w:r w:rsidR="00004083" w:rsidRPr="00461D74">
        <w:rPr>
          <w:rFonts w:ascii="Garamond" w:hAnsi="Garamond" w:cstheme="minorHAnsi"/>
          <w:sz w:val="24"/>
          <w:szCs w:val="24"/>
        </w:rPr>
        <w:t>. On the other hand,</w:t>
      </w:r>
      <w:r w:rsidR="00016049" w:rsidRPr="00461D74">
        <w:rPr>
          <w:rFonts w:ascii="Garamond" w:hAnsi="Garamond" w:cstheme="minorHAnsi"/>
          <w:sz w:val="24"/>
          <w:szCs w:val="24"/>
        </w:rPr>
        <w:t xml:space="preserve"> public interest</w:t>
      </w:r>
      <w:r w:rsidR="00004083" w:rsidRPr="00461D74">
        <w:rPr>
          <w:rFonts w:ascii="Garamond" w:hAnsi="Garamond" w:cstheme="minorHAnsi"/>
          <w:sz w:val="24"/>
          <w:szCs w:val="24"/>
        </w:rPr>
        <w:t>,</w:t>
      </w:r>
      <w:r w:rsidR="00016049" w:rsidRPr="00461D74">
        <w:rPr>
          <w:rFonts w:ascii="Garamond" w:hAnsi="Garamond" w:cstheme="minorHAnsi"/>
          <w:sz w:val="24"/>
          <w:szCs w:val="24"/>
        </w:rPr>
        <w:t xml:space="preserve"> viewed as an aggregate of </w:t>
      </w:r>
      <w:r w:rsidR="00004083" w:rsidRPr="00461D74">
        <w:rPr>
          <w:rFonts w:ascii="Garamond" w:hAnsi="Garamond" w:cstheme="minorHAnsi"/>
          <w:sz w:val="24"/>
          <w:szCs w:val="24"/>
        </w:rPr>
        <w:t xml:space="preserve">varied </w:t>
      </w:r>
      <w:r w:rsidR="00016049" w:rsidRPr="00461D74">
        <w:rPr>
          <w:rFonts w:ascii="Garamond" w:hAnsi="Garamond" w:cstheme="minorHAnsi"/>
          <w:sz w:val="24"/>
          <w:szCs w:val="24"/>
        </w:rPr>
        <w:t>individual interest</w:t>
      </w:r>
      <w:r w:rsidR="00004083" w:rsidRPr="00461D74">
        <w:rPr>
          <w:rFonts w:ascii="Garamond" w:hAnsi="Garamond" w:cstheme="minorHAnsi"/>
          <w:sz w:val="24"/>
          <w:szCs w:val="24"/>
        </w:rPr>
        <w:t>s,</w:t>
      </w:r>
      <w:r w:rsidR="00016049" w:rsidRPr="00461D74">
        <w:rPr>
          <w:rFonts w:ascii="Garamond" w:hAnsi="Garamond" w:cstheme="minorHAnsi"/>
          <w:sz w:val="24"/>
          <w:szCs w:val="24"/>
        </w:rPr>
        <w:t xml:space="preserve"> is defined separately from the </w:t>
      </w:r>
      <w:r w:rsidR="00004083" w:rsidRPr="00461D74">
        <w:rPr>
          <w:rFonts w:ascii="Garamond" w:hAnsi="Garamond" w:cstheme="minorHAnsi"/>
          <w:sz w:val="24"/>
          <w:szCs w:val="24"/>
        </w:rPr>
        <w:t xml:space="preserve">concept </w:t>
      </w:r>
      <w:r w:rsidR="00016049" w:rsidRPr="00461D74">
        <w:rPr>
          <w:rFonts w:ascii="Garamond" w:hAnsi="Garamond" w:cstheme="minorHAnsi"/>
          <w:sz w:val="24"/>
          <w:szCs w:val="24"/>
        </w:rPr>
        <w:t xml:space="preserve">of the individual’s good. </w:t>
      </w:r>
      <w:r w:rsidR="00004083" w:rsidRPr="00461D74">
        <w:rPr>
          <w:rFonts w:ascii="Garamond" w:hAnsi="Garamond" w:cstheme="minorHAnsi"/>
          <w:sz w:val="24"/>
          <w:szCs w:val="24"/>
        </w:rPr>
        <w:t xml:space="preserve">MacIntyre then argued </w:t>
      </w:r>
      <w:r w:rsidR="005D1C07">
        <w:rPr>
          <w:rFonts w:ascii="Garamond" w:hAnsi="Garamond" w:cstheme="minorHAnsi"/>
          <w:sz w:val="24"/>
          <w:szCs w:val="24"/>
        </w:rPr>
        <w:t xml:space="preserve">that </w:t>
      </w:r>
      <w:r w:rsidR="00004083" w:rsidRPr="00461D74">
        <w:rPr>
          <w:rFonts w:ascii="Garamond" w:hAnsi="Garamond" w:cstheme="minorHAnsi"/>
          <w:sz w:val="24"/>
          <w:szCs w:val="24"/>
        </w:rPr>
        <w:t xml:space="preserve">because of the lack of </w:t>
      </w:r>
      <w:r w:rsidR="00A27A95" w:rsidRPr="00461D74">
        <w:rPr>
          <w:rFonts w:ascii="Garamond" w:hAnsi="Garamond" w:cstheme="minorHAnsi"/>
          <w:sz w:val="24"/>
          <w:szCs w:val="24"/>
        </w:rPr>
        <w:t xml:space="preserve">a </w:t>
      </w:r>
      <w:r w:rsidR="00004083" w:rsidRPr="00461D74">
        <w:rPr>
          <w:rFonts w:ascii="Garamond" w:hAnsi="Garamond" w:cstheme="minorHAnsi"/>
          <w:sz w:val="24"/>
          <w:szCs w:val="24"/>
        </w:rPr>
        <w:t xml:space="preserve">close connection between </w:t>
      </w:r>
      <w:r w:rsidR="00A27A95" w:rsidRPr="00461D74">
        <w:rPr>
          <w:rFonts w:ascii="Garamond" w:hAnsi="Garamond" w:cstheme="minorHAnsi"/>
          <w:sz w:val="24"/>
          <w:szCs w:val="24"/>
        </w:rPr>
        <w:t xml:space="preserve">the </w:t>
      </w:r>
      <w:r w:rsidR="00004083" w:rsidRPr="00461D74">
        <w:rPr>
          <w:rFonts w:ascii="Garamond" w:hAnsi="Garamond" w:cstheme="minorHAnsi"/>
          <w:sz w:val="24"/>
          <w:szCs w:val="24"/>
        </w:rPr>
        <w:t xml:space="preserve">public interest and the individual’s good, the two concepts tend to come apart. A consequence of this is that </w:t>
      </w:r>
      <w:r w:rsidR="00016049" w:rsidRPr="00461D74">
        <w:rPr>
          <w:rFonts w:ascii="Garamond" w:hAnsi="Garamond" w:cstheme="minorHAnsi"/>
          <w:sz w:val="24"/>
          <w:szCs w:val="24"/>
        </w:rPr>
        <w:t xml:space="preserve">it isn’t </w:t>
      </w:r>
      <w:r w:rsidR="00004083" w:rsidRPr="00461D74">
        <w:rPr>
          <w:rFonts w:ascii="Garamond" w:hAnsi="Garamond" w:cstheme="minorHAnsi"/>
          <w:sz w:val="24"/>
          <w:szCs w:val="24"/>
        </w:rPr>
        <w:t xml:space="preserve">always </w:t>
      </w:r>
      <w:r w:rsidR="00016049" w:rsidRPr="00461D74">
        <w:rPr>
          <w:rFonts w:ascii="Garamond" w:hAnsi="Garamond" w:cstheme="minorHAnsi"/>
          <w:sz w:val="24"/>
          <w:szCs w:val="24"/>
        </w:rPr>
        <w:t xml:space="preserve">obvious that sacrificing </w:t>
      </w:r>
      <w:r w:rsidR="00DA2DDC" w:rsidRPr="00461D74">
        <w:rPr>
          <w:rFonts w:ascii="Garamond" w:hAnsi="Garamond" w:cstheme="minorHAnsi"/>
          <w:sz w:val="24"/>
          <w:szCs w:val="24"/>
        </w:rPr>
        <w:t>our own</w:t>
      </w:r>
      <w:r w:rsidR="00016049" w:rsidRPr="00461D74">
        <w:rPr>
          <w:rFonts w:ascii="Garamond" w:hAnsi="Garamond" w:cstheme="minorHAnsi"/>
          <w:sz w:val="24"/>
          <w:szCs w:val="24"/>
        </w:rPr>
        <w:t xml:space="preserve"> individual good</w:t>
      </w:r>
      <w:r w:rsidR="00DA2DDC" w:rsidRPr="00461D74">
        <w:rPr>
          <w:rFonts w:ascii="Garamond" w:hAnsi="Garamond" w:cstheme="minorHAnsi"/>
          <w:sz w:val="24"/>
          <w:szCs w:val="24"/>
        </w:rPr>
        <w:t xml:space="preserve"> for the sake</w:t>
      </w:r>
      <w:r w:rsidR="00016049" w:rsidRPr="00461D74">
        <w:rPr>
          <w:rFonts w:ascii="Garamond" w:hAnsi="Garamond" w:cstheme="minorHAnsi"/>
          <w:sz w:val="24"/>
          <w:szCs w:val="24"/>
        </w:rPr>
        <w:t xml:space="preserve"> of </w:t>
      </w:r>
      <w:r w:rsidR="00DA2DDC"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public interest is something that we </w:t>
      </w:r>
      <w:r w:rsidR="005D1C07">
        <w:rPr>
          <w:rFonts w:ascii="Garamond" w:hAnsi="Garamond" w:cstheme="minorHAnsi"/>
          <w:sz w:val="24"/>
          <w:szCs w:val="24"/>
        </w:rPr>
        <w:t>ought to</w:t>
      </w:r>
      <w:r w:rsidR="005D1C07" w:rsidRPr="00461D74">
        <w:rPr>
          <w:rFonts w:ascii="Garamond" w:hAnsi="Garamond" w:cstheme="minorHAnsi"/>
          <w:sz w:val="24"/>
          <w:szCs w:val="24"/>
        </w:rPr>
        <w:t xml:space="preserve"> </w:t>
      </w:r>
      <w:r w:rsidR="00016049" w:rsidRPr="00461D74">
        <w:rPr>
          <w:rFonts w:ascii="Garamond" w:hAnsi="Garamond" w:cstheme="minorHAnsi"/>
          <w:sz w:val="24"/>
          <w:szCs w:val="24"/>
        </w:rPr>
        <w:t>accept.</w:t>
      </w:r>
      <w:r w:rsidR="00D23E77" w:rsidRPr="00461D74">
        <w:rPr>
          <w:rFonts w:ascii="Garamond" w:hAnsi="Garamond" w:cstheme="minorHAnsi"/>
          <w:sz w:val="24"/>
          <w:szCs w:val="24"/>
        </w:rPr>
        <w:t xml:space="preserve"> F</w:t>
      </w:r>
      <w:r w:rsidR="00DA2DDC" w:rsidRPr="00461D74">
        <w:rPr>
          <w:rFonts w:ascii="Garamond" w:hAnsi="Garamond" w:cstheme="minorHAnsi"/>
          <w:sz w:val="24"/>
          <w:szCs w:val="24"/>
        </w:rPr>
        <w:t xml:space="preserve">or MacIntyre, </w:t>
      </w:r>
      <w:r w:rsidR="00016049" w:rsidRPr="00461D74">
        <w:rPr>
          <w:rFonts w:ascii="Garamond" w:hAnsi="Garamond" w:cstheme="minorHAnsi"/>
          <w:sz w:val="24"/>
          <w:szCs w:val="24"/>
        </w:rPr>
        <w:t xml:space="preserve">the </w:t>
      </w:r>
      <w:r w:rsidR="00D23E77" w:rsidRPr="00461D74">
        <w:rPr>
          <w:rFonts w:ascii="Garamond" w:hAnsi="Garamond" w:cstheme="minorHAnsi"/>
          <w:sz w:val="24"/>
          <w:szCs w:val="24"/>
        </w:rPr>
        <w:t xml:space="preserve">liberal </w:t>
      </w:r>
      <w:r w:rsidR="00016049" w:rsidRPr="00461D74">
        <w:rPr>
          <w:rFonts w:ascii="Garamond" w:hAnsi="Garamond" w:cstheme="minorHAnsi"/>
          <w:sz w:val="24"/>
          <w:szCs w:val="24"/>
        </w:rPr>
        <w:t xml:space="preserve">state doesn’t </w:t>
      </w:r>
      <w:r w:rsidR="00D23E77" w:rsidRPr="00461D74">
        <w:rPr>
          <w:rFonts w:ascii="Garamond" w:hAnsi="Garamond" w:cstheme="minorHAnsi"/>
          <w:sz w:val="24"/>
          <w:szCs w:val="24"/>
        </w:rPr>
        <w:t>seem</w:t>
      </w:r>
      <w:r w:rsidR="00DA2DDC" w:rsidRPr="00461D74">
        <w:rPr>
          <w:rFonts w:ascii="Garamond" w:hAnsi="Garamond" w:cstheme="minorHAnsi"/>
          <w:sz w:val="24"/>
          <w:szCs w:val="24"/>
        </w:rPr>
        <w:t xml:space="preserve"> </w:t>
      </w:r>
      <w:r w:rsidR="00D23E77" w:rsidRPr="00461D74">
        <w:rPr>
          <w:rFonts w:ascii="Garamond" w:hAnsi="Garamond" w:cstheme="minorHAnsi"/>
          <w:sz w:val="24"/>
          <w:szCs w:val="24"/>
        </w:rPr>
        <w:t>to provide us with good</w:t>
      </w:r>
      <w:r w:rsidR="00DA2DDC" w:rsidRPr="00461D74">
        <w:rPr>
          <w:rFonts w:ascii="Garamond" w:hAnsi="Garamond" w:cstheme="minorHAnsi"/>
          <w:sz w:val="24"/>
          <w:szCs w:val="24"/>
        </w:rPr>
        <w:t xml:space="preserve"> reasons </w:t>
      </w:r>
      <w:r w:rsidR="00D23E77" w:rsidRPr="00461D74">
        <w:rPr>
          <w:rFonts w:ascii="Garamond" w:hAnsi="Garamond" w:cstheme="minorHAnsi"/>
          <w:sz w:val="24"/>
          <w:szCs w:val="24"/>
        </w:rPr>
        <w:t xml:space="preserve">as to why we ought to sacrifice </w:t>
      </w:r>
      <w:r w:rsidR="000E39E2" w:rsidRPr="00461D74">
        <w:rPr>
          <w:rFonts w:ascii="Garamond" w:hAnsi="Garamond" w:cstheme="minorHAnsi"/>
          <w:sz w:val="24"/>
          <w:szCs w:val="24"/>
        </w:rPr>
        <w:t>what we take to be our</w:t>
      </w:r>
      <w:r w:rsidR="00D23E77" w:rsidRPr="00461D74">
        <w:rPr>
          <w:rFonts w:ascii="Garamond" w:hAnsi="Garamond" w:cstheme="minorHAnsi"/>
          <w:sz w:val="24"/>
          <w:szCs w:val="24"/>
        </w:rPr>
        <w:t xml:space="preserve"> individual good</w:t>
      </w:r>
      <w:r w:rsidR="000E39E2" w:rsidRPr="00461D74">
        <w:rPr>
          <w:rFonts w:ascii="Garamond" w:hAnsi="Garamond" w:cstheme="minorHAnsi"/>
          <w:sz w:val="24"/>
          <w:szCs w:val="24"/>
        </w:rPr>
        <w:t>,</w:t>
      </w:r>
      <w:r w:rsidR="00D23E77" w:rsidRPr="00461D74">
        <w:rPr>
          <w:rFonts w:ascii="Garamond" w:hAnsi="Garamond" w:cstheme="minorHAnsi"/>
          <w:sz w:val="24"/>
          <w:szCs w:val="24"/>
        </w:rPr>
        <w:t xml:space="preserve"> for the sake of public interest</w:t>
      </w:r>
      <w:r w:rsidR="00A27A95" w:rsidRPr="00461D74">
        <w:rPr>
          <w:rFonts w:ascii="Garamond" w:hAnsi="Garamond" w:cstheme="minorHAnsi"/>
          <w:sz w:val="24"/>
          <w:szCs w:val="24"/>
        </w:rPr>
        <w:t>;</w:t>
      </w:r>
      <w:r w:rsidR="00D23E77" w:rsidRPr="00461D74">
        <w:rPr>
          <w:rFonts w:ascii="Garamond" w:hAnsi="Garamond" w:cstheme="minorHAnsi"/>
          <w:sz w:val="24"/>
          <w:szCs w:val="24"/>
        </w:rPr>
        <w:t xml:space="preserve"> or put differently, it is not clear why we should offer </w:t>
      </w:r>
      <w:r w:rsidR="00016049" w:rsidRPr="00461D74">
        <w:rPr>
          <w:rFonts w:ascii="Garamond" w:hAnsi="Garamond" w:cstheme="minorHAnsi"/>
          <w:sz w:val="24"/>
          <w:szCs w:val="24"/>
        </w:rPr>
        <w:t xml:space="preserve">our allegiance </w:t>
      </w:r>
      <w:r w:rsidR="00D23E77" w:rsidRPr="00461D74">
        <w:rPr>
          <w:rFonts w:ascii="Garamond" w:hAnsi="Garamond" w:cstheme="minorHAnsi"/>
          <w:sz w:val="24"/>
          <w:szCs w:val="24"/>
        </w:rPr>
        <w:t>to the liberal state</w:t>
      </w:r>
      <w:r w:rsidR="000E39E2" w:rsidRPr="00461D74">
        <w:rPr>
          <w:rFonts w:ascii="Garamond" w:hAnsi="Garamond" w:cstheme="minorHAnsi"/>
          <w:sz w:val="24"/>
          <w:szCs w:val="24"/>
        </w:rPr>
        <w:t>. Therefore, the concept of allegiance makes little sense under these conditions.</w:t>
      </w:r>
    </w:p>
    <w:p w:rsidR="00665157" w:rsidRDefault="00EC7224">
      <w:pPr>
        <w:spacing w:line="360" w:lineRule="auto"/>
        <w:ind w:firstLine="567"/>
        <w:jc w:val="both"/>
        <w:rPr>
          <w:rFonts w:ascii="Garamond" w:hAnsi="Garamond" w:cstheme="minorHAnsi"/>
          <w:sz w:val="24"/>
          <w:szCs w:val="24"/>
        </w:rPr>
      </w:pPr>
      <w:r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second problem </w:t>
      </w:r>
      <w:r w:rsidR="00257DAB">
        <w:rPr>
          <w:rFonts w:ascii="Garamond" w:hAnsi="Garamond" w:cstheme="minorHAnsi"/>
          <w:sz w:val="24"/>
          <w:szCs w:val="24"/>
        </w:rPr>
        <w:t>that</w:t>
      </w:r>
      <w:r w:rsidR="004E5A7A" w:rsidRPr="00461D74">
        <w:rPr>
          <w:rFonts w:ascii="Garamond" w:hAnsi="Garamond" w:cstheme="minorHAnsi"/>
          <w:sz w:val="24"/>
          <w:szCs w:val="24"/>
        </w:rPr>
        <w:t xml:space="preserve"> </w:t>
      </w:r>
      <w:r w:rsidR="00BF489E" w:rsidRPr="00461D74">
        <w:rPr>
          <w:rFonts w:ascii="Garamond" w:hAnsi="Garamond" w:cstheme="minorHAnsi"/>
          <w:sz w:val="24"/>
          <w:szCs w:val="24"/>
        </w:rPr>
        <w:t xml:space="preserve">emerged </w:t>
      </w:r>
      <w:r w:rsidR="004E5A7A" w:rsidRPr="00461D74">
        <w:rPr>
          <w:rFonts w:ascii="Garamond" w:hAnsi="Garamond" w:cstheme="minorHAnsi"/>
          <w:sz w:val="24"/>
          <w:szCs w:val="24"/>
        </w:rPr>
        <w:t>under</w:t>
      </w:r>
      <w:r w:rsidR="00016049" w:rsidRPr="00461D74">
        <w:rPr>
          <w:rFonts w:ascii="Garamond" w:hAnsi="Garamond" w:cstheme="minorHAnsi"/>
          <w:sz w:val="24"/>
          <w:szCs w:val="24"/>
        </w:rPr>
        <w:t xml:space="preserve"> MacIntyre’s account of politics was </w:t>
      </w:r>
      <w:r w:rsidR="00257DAB">
        <w:rPr>
          <w:rFonts w:ascii="Garamond" w:hAnsi="Garamond" w:cstheme="minorHAnsi"/>
          <w:sz w:val="24"/>
          <w:szCs w:val="24"/>
        </w:rPr>
        <w:t>on account of</w:t>
      </w:r>
      <w:r w:rsidR="00016049" w:rsidRPr="00461D74">
        <w:rPr>
          <w:rFonts w:ascii="Garamond" w:hAnsi="Garamond" w:cstheme="minorHAnsi"/>
          <w:sz w:val="24"/>
          <w:szCs w:val="24"/>
        </w:rPr>
        <w:t xml:space="preserve"> the first of </w:t>
      </w:r>
      <w:r w:rsidR="00257DAB">
        <w:rPr>
          <w:rFonts w:ascii="Garamond" w:hAnsi="Garamond" w:cstheme="minorHAnsi"/>
          <w:sz w:val="24"/>
          <w:szCs w:val="24"/>
        </w:rPr>
        <w:t>Murphy’s</w:t>
      </w:r>
      <w:r w:rsidR="00257DAB" w:rsidRPr="00461D74">
        <w:rPr>
          <w:rFonts w:ascii="Garamond" w:hAnsi="Garamond" w:cstheme="minorHAnsi"/>
          <w:sz w:val="24"/>
          <w:szCs w:val="24"/>
        </w:rPr>
        <w:t xml:space="preserve"> </w:t>
      </w:r>
      <w:r w:rsidR="00016049" w:rsidRPr="00461D74">
        <w:rPr>
          <w:rFonts w:ascii="Garamond" w:hAnsi="Garamond" w:cstheme="minorHAnsi"/>
          <w:sz w:val="24"/>
          <w:szCs w:val="24"/>
        </w:rPr>
        <w:t>two criticisms</w:t>
      </w:r>
      <w:r w:rsidRPr="00461D74">
        <w:rPr>
          <w:rFonts w:ascii="Garamond" w:hAnsi="Garamond" w:cstheme="minorHAnsi"/>
          <w:sz w:val="24"/>
          <w:szCs w:val="24"/>
        </w:rPr>
        <w:t>. There</w:t>
      </w:r>
      <w:r w:rsidR="004E5A7A" w:rsidRPr="00461D74">
        <w:rPr>
          <w:rFonts w:ascii="Garamond" w:hAnsi="Garamond" w:cstheme="minorHAnsi"/>
          <w:sz w:val="24"/>
          <w:szCs w:val="24"/>
        </w:rPr>
        <w:t>,</w:t>
      </w:r>
      <w:r w:rsidRPr="00461D74">
        <w:rPr>
          <w:rFonts w:ascii="Garamond" w:hAnsi="Garamond" w:cstheme="minorHAnsi"/>
          <w:sz w:val="24"/>
          <w:szCs w:val="24"/>
        </w:rPr>
        <w:t xml:space="preserve"> I utilised Murphy’s argument to show </w:t>
      </w:r>
      <w:r w:rsidR="00016049" w:rsidRPr="00461D74">
        <w:rPr>
          <w:rFonts w:ascii="Garamond" w:hAnsi="Garamond" w:cstheme="minorHAnsi"/>
          <w:sz w:val="24"/>
          <w:szCs w:val="24"/>
        </w:rPr>
        <w:t xml:space="preserve">that </w:t>
      </w:r>
      <w:r w:rsidRPr="00461D74">
        <w:rPr>
          <w:rFonts w:ascii="Garamond" w:hAnsi="Garamond" w:cstheme="minorHAnsi"/>
          <w:sz w:val="24"/>
          <w:szCs w:val="24"/>
        </w:rPr>
        <w:t xml:space="preserve">on MacIntyre’s own account, </w:t>
      </w:r>
      <w:r w:rsidR="00016049" w:rsidRPr="00461D74">
        <w:rPr>
          <w:rFonts w:ascii="Garamond" w:hAnsi="Garamond" w:cstheme="minorHAnsi"/>
          <w:sz w:val="24"/>
          <w:szCs w:val="24"/>
        </w:rPr>
        <w:t xml:space="preserve">the state </w:t>
      </w:r>
      <w:r w:rsidRPr="00461D74">
        <w:rPr>
          <w:rFonts w:ascii="Garamond" w:hAnsi="Garamond" w:cstheme="minorHAnsi"/>
          <w:sz w:val="24"/>
          <w:szCs w:val="24"/>
        </w:rPr>
        <w:t>seems to be</w:t>
      </w:r>
      <w:r w:rsidR="00016049" w:rsidRPr="00461D74">
        <w:rPr>
          <w:rFonts w:ascii="Garamond" w:hAnsi="Garamond" w:cstheme="minorHAnsi"/>
          <w:sz w:val="24"/>
          <w:szCs w:val="24"/>
        </w:rPr>
        <w:t xml:space="preserve"> a precondition for the existence of the </w:t>
      </w:r>
      <w:r w:rsidRPr="00461D74">
        <w:rPr>
          <w:rFonts w:ascii="Garamond" w:hAnsi="Garamond" w:cstheme="minorHAnsi"/>
          <w:sz w:val="24"/>
          <w:szCs w:val="24"/>
        </w:rPr>
        <w:t xml:space="preserve">kinds </w:t>
      </w:r>
      <w:r w:rsidR="00016049" w:rsidRPr="00461D74">
        <w:rPr>
          <w:rFonts w:ascii="Garamond" w:hAnsi="Garamond" w:cstheme="minorHAnsi"/>
          <w:sz w:val="24"/>
          <w:szCs w:val="24"/>
        </w:rPr>
        <w:t xml:space="preserve">of </w:t>
      </w:r>
      <w:r w:rsidRPr="00461D74">
        <w:rPr>
          <w:rFonts w:ascii="Garamond" w:hAnsi="Garamond" w:cstheme="minorHAnsi"/>
          <w:sz w:val="24"/>
          <w:szCs w:val="24"/>
        </w:rPr>
        <w:t xml:space="preserve">local </w:t>
      </w:r>
      <w:r w:rsidR="00016049" w:rsidRPr="00461D74">
        <w:rPr>
          <w:rFonts w:ascii="Garamond" w:hAnsi="Garamond" w:cstheme="minorHAnsi"/>
          <w:sz w:val="24"/>
          <w:szCs w:val="24"/>
        </w:rPr>
        <w:t xml:space="preserve">communities </w:t>
      </w:r>
      <w:r w:rsidRPr="00461D74">
        <w:rPr>
          <w:rFonts w:ascii="Garamond" w:hAnsi="Garamond" w:cstheme="minorHAnsi"/>
          <w:sz w:val="24"/>
          <w:szCs w:val="24"/>
        </w:rPr>
        <w:t xml:space="preserve">in which democratic </w:t>
      </w:r>
      <w:r w:rsidR="00016049" w:rsidRPr="00461D74">
        <w:rPr>
          <w:rFonts w:ascii="Garamond" w:hAnsi="Garamond" w:cstheme="minorHAnsi"/>
          <w:sz w:val="24"/>
          <w:szCs w:val="24"/>
        </w:rPr>
        <w:t>participatory politics</w:t>
      </w:r>
      <w:r w:rsidRPr="00461D74">
        <w:rPr>
          <w:rFonts w:ascii="Garamond" w:hAnsi="Garamond" w:cstheme="minorHAnsi"/>
          <w:sz w:val="24"/>
          <w:szCs w:val="24"/>
        </w:rPr>
        <w:t xml:space="preserve"> and deliberation about the common goods</w:t>
      </w:r>
      <w:r w:rsidR="00016049" w:rsidRPr="00461D74">
        <w:rPr>
          <w:rFonts w:ascii="Garamond" w:hAnsi="Garamond" w:cstheme="minorHAnsi"/>
          <w:sz w:val="24"/>
          <w:szCs w:val="24"/>
        </w:rPr>
        <w:t xml:space="preserve"> is made possible. What is significant </w:t>
      </w:r>
      <w:r w:rsidRPr="00461D74">
        <w:rPr>
          <w:rFonts w:ascii="Garamond" w:hAnsi="Garamond" w:cstheme="minorHAnsi"/>
          <w:sz w:val="24"/>
          <w:szCs w:val="24"/>
        </w:rPr>
        <w:t>here</w:t>
      </w:r>
      <w:r w:rsidR="00016049" w:rsidRPr="00461D74">
        <w:rPr>
          <w:rFonts w:ascii="Garamond" w:hAnsi="Garamond" w:cstheme="minorHAnsi"/>
          <w:sz w:val="24"/>
          <w:szCs w:val="24"/>
        </w:rPr>
        <w:t xml:space="preserve"> is that the state</w:t>
      </w:r>
      <w:r w:rsidRPr="00461D74">
        <w:rPr>
          <w:rFonts w:ascii="Garamond" w:hAnsi="Garamond" w:cstheme="minorHAnsi"/>
          <w:sz w:val="24"/>
          <w:szCs w:val="24"/>
        </w:rPr>
        <w:t>,</w:t>
      </w:r>
      <w:r w:rsidR="00016049" w:rsidRPr="00461D74">
        <w:rPr>
          <w:rFonts w:ascii="Garamond" w:hAnsi="Garamond" w:cstheme="minorHAnsi"/>
          <w:sz w:val="24"/>
          <w:szCs w:val="24"/>
        </w:rPr>
        <w:t xml:space="preserve"> at least </w:t>
      </w:r>
      <w:r w:rsidRPr="00461D74">
        <w:rPr>
          <w:rFonts w:ascii="Garamond" w:hAnsi="Garamond" w:cstheme="minorHAnsi"/>
          <w:sz w:val="24"/>
          <w:szCs w:val="24"/>
        </w:rPr>
        <w:t>some</w:t>
      </w:r>
      <w:r w:rsidR="00016049" w:rsidRPr="00461D74">
        <w:rPr>
          <w:rFonts w:ascii="Garamond" w:hAnsi="Garamond" w:cstheme="minorHAnsi"/>
          <w:sz w:val="24"/>
          <w:szCs w:val="24"/>
        </w:rPr>
        <w:t>times</w:t>
      </w:r>
      <w:r w:rsidRPr="00461D74">
        <w:rPr>
          <w:rFonts w:ascii="Garamond" w:hAnsi="Garamond" w:cstheme="minorHAnsi"/>
          <w:sz w:val="24"/>
          <w:szCs w:val="24"/>
        </w:rPr>
        <w:t>,</w:t>
      </w:r>
      <w:r w:rsidR="00016049" w:rsidRPr="00461D74">
        <w:rPr>
          <w:rFonts w:ascii="Garamond" w:hAnsi="Garamond" w:cstheme="minorHAnsi"/>
          <w:sz w:val="24"/>
          <w:szCs w:val="24"/>
        </w:rPr>
        <w:t xml:space="preserve"> performs important functions</w:t>
      </w:r>
      <w:r w:rsidR="00D566DE" w:rsidRPr="00461D74">
        <w:rPr>
          <w:rFonts w:ascii="Garamond" w:hAnsi="Garamond" w:cstheme="minorHAnsi"/>
          <w:sz w:val="24"/>
          <w:szCs w:val="24"/>
        </w:rPr>
        <w:t>. For example</w:t>
      </w:r>
      <w:r w:rsidR="00016049" w:rsidRPr="00461D74">
        <w:rPr>
          <w:rFonts w:ascii="Garamond" w:hAnsi="Garamond" w:cstheme="minorHAnsi"/>
          <w:sz w:val="24"/>
          <w:szCs w:val="24"/>
        </w:rPr>
        <w:t>, MacIntyre specifically praises the Americans with disabilities act</w:t>
      </w:r>
      <w:r w:rsidR="00A27A95" w:rsidRPr="00461D74">
        <w:rPr>
          <w:rFonts w:ascii="Garamond" w:hAnsi="Garamond" w:cstheme="minorHAnsi"/>
          <w:sz w:val="24"/>
          <w:szCs w:val="24"/>
        </w:rPr>
        <w:t>,</w:t>
      </w:r>
      <w:r w:rsidR="00016049" w:rsidRPr="00461D74">
        <w:rPr>
          <w:rFonts w:ascii="Garamond" w:hAnsi="Garamond" w:cstheme="minorHAnsi"/>
          <w:sz w:val="24"/>
          <w:szCs w:val="24"/>
        </w:rPr>
        <w:t xml:space="preserve"> and </w:t>
      </w:r>
      <w:r w:rsidR="00D566DE" w:rsidRPr="00461D74">
        <w:rPr>
          <w:rFonts w:ascii="Garamond" w:hAnsi="Garamond" w:cstheme="minorHAnsi"/>
          <w:sz w:val="24"/>
          <w:szCs w:val="24"/>
        </w:rPr>
        <w:t>claims</w:t>
      </w:r>
      <w:r w:rsidR="00016049" w:rsidRPr="00461D74">
        <w:rPr>
          <w:rFonts w:ascii="Garamond" w:hAnsi="Garamond" w:cstheme="minorHAnsi"/>
          <w:sz w:val="24"/>
          <w:szCs w:val="24"/>
        </w:rPr>
        <w:t xml:space="preserve"> that the state “is an </w:t>
      </w:r>
      <w:proofErr w:type="spellStart"/>
      <w:r w:rsidR="00016049" w:rsidRPr="00461D74">
        <w:rPr>
          <w:rFonts w:ascii="Garamond" w:hAnsi="Garamond" w:cstheme="minorHAnsi"/>
          <w:sz w:val="24"/>
          <w:szCs w:val="24"/>
        </w:rPr>
        <w:t>ineliminable</w:t>
      </w:r>
      <w:proofErr w:type="spellEnd"/>
      <w:r w:rsidR="00016049" w:rsidRPr="00461D74">
        <w:rPr>
          <w:rFonts w:ascii="Garamond" w:hAnsi="Garamond" w:cstheme="minorHAnsi"/>
          <w:sz w:val="24"/>
          <w:szCs w:val="24"/>
        </w:rPr>
        <w:t xml:space="preserve"> feature of the contemporary landscape and they will not despise the resources that it affords</w:t>
      </w:r>
      <w:r w:rsidR="005676D7" w:rsidRPr="00461D74">
        <w:rPr>
          <w:rFonts w:ascii="Garamond" w:hAnsi="Garamond" w:cstheme="minorHAnsi"/>
          <w:sz w:val="24"/>
          <w:szCs w:val="24"/>
        </w:rPr>
        <w:t>;”</w:t>
      </w:r>
      <w:r w:rsidR="005676D7" w:rsidRPr="00461D74">
        <w:rPr>
          <w:rStyle w:val="FootnoteReference"/>
          <w:rFonts w:ascii="Garamond" w:hAnsi="Garamond" w:cstheme="minorHAnsi"/>
          <w:sz w:val="24"/>
          <w:szCs w:val="24"/>
        </w:rPr>
        <w:footnoteReference w:id="386"/>
      </w:r>
      <w:r w:rsidR="00016049" w:rsidRPr="00461D74">
        <w:rPr>
          <w:rFonts w:ascii="Garamond" w:hAnsi="Garamond" w:cstheme="minorHAnsi"/>
          <w:sz w:val="24"/>
          <w:szCs w:val="24"/>
        </w:rPr>
        <w:t xml:space="preserve"> and in </w:t>
      </w:r>
      <w:r w:rsidR="00016049" w:rsidRPr="00461D74">
        <w:rPr>
          <w:rFonts w:ascii="Garamond" w:hAnsi="Garamond" w:cstheme="minorHAnsi"/>
          <w:i/>
          <w:iCs/>
          <w:sz w:val="24"/>
          <w:szCs w:val="24"/>
        </w:rPr>
        <w:t>After Virtue</w:t>
      </w:r>
      <w:r w:rsidR="00A27A95" w:rsidRPr="00461D74">
        <w:rPr>
          <w:rFonts w:ascii="Garamond" w:hAnsi="Garamond" w:cstheme="minorHAnsi"/>
          <w:i/>
          <w:iCs/>
          <w:sz w:val="24"/>
          <w:szCs w:val="24"/>
        </w:rPr>
        <w:t xml:space="preserve"> </w:t>
      </w:r>
      <w:r w:rsidR="00016049" w:rsidRPr="00461D74">
        <w:rPr>
          <w:rFonts w:ascii="Garamond" w:hAnsi="Garamond" w:cstheme="minorHAnsi"/>
          <w:sz w:val="24"/>
          <w:szCs w:val="24"/>
        </w:rPr>
        <w:t>he states that</w:t>
      </w:r>
    </w:p>
    <w:p w:rsidR="00665157" w:rsidRDefault="00016049">
      <w:pPr>
        <w:spacing w:line="360" w:lineRule="auto"/>
        <w:ind w:left="1440"/>
        <w:jc w:val="both"/>
        <w:rPr>
          <w:rFonts w:ascii="Garamond" w:hAnsi="Garamond" w:cstheme="minorHAnsi"/>
        </w:rPr>
      </w:pPr>
      <w:r w:rsidRPr="00461D74">
        <w:rPr>
          <w:rFonts w:ascii="Garamond" w:hAnsi="Garamond" w:cstheme="minorHAnsi"/>
        </w:rPr>
        <w:t xml:space="preserve">“This does not mean that there are not many tasks only to be performed in and through government which still require performing: the rule of </w:t>
      </w:r>
      <w:r w:rsidRPr="00461D74">
        <w:rPr>
          <w:rFonts w:ascii="Garamond" w:hAnsi="Garamond" w:cstheme="minorHAnsi"/>
        </w:rPr>
        <w:lastRenderedPageBreak/>
        <w:t>law, so far as it is possible in a modern state, has to be vindicated, injustice and unwarranted suffering have to be dealt with, generosity has to be exercised, and liberty has to be defended, in ways that are sometimes only possible through the use of governmental institutions.”</w:t>
      </w:r>
      <w:r w:rsidR="00A27A95" w:rsidRPr="00461D74">
        <w:rPr>
          <w:rStyle w:val="FootnoteReference"/>
          <w:rFonts w:ascii="Garamond" w:hAnsi="Garamond" w:cstheme="minorHAnsi"/>
          <w:sz w:val="24"/>
          <w:szCs w:val="24"/>
        </w:rPr>
        <w:t xml:space="preserve"> </w:t>
      </w:r>
      <w:r w:rsidR="00A27A95" w:rsidRPr="00461D74">
        <w:rPr>
          <w:rStyle w:val="FootnoteReference"/>
          <w:rFonts w:ascii="Garamond" w:hAnsi="Garamond" w:cstheme="minorHAnsi"/>
          <w:sz w:val="24"/>
          <w:szCs w:val="24"/>
        </w:rPr>
        <w:footnoteReference w:id="387"/>
      </w:r>
    </w:p>
    <w:p w:rsidR="00665157" w:rsidRDefault="00D566D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Yet</w:t>
      </w:r>
      <w:r w:rsidR="00016049" w:rsidRPr="00461D74">
        <w:rPr>
          <w:rFonts w:ascii="Garamond" w:hAnsi="Garamond" w:cstheme="minorHAnsi"/>
          <w:sz w:val="24"/>
          <w:szCs w:val="24"/>
        </w:rPr>
        <w:t xml:space="preserve">, </w:t>
      </w:r>
      <w:r w:rsidR="00692A74" w:rsidRPr="00461D74">
        <w:rPr>
          <w:rFonts w:ascii="Garamond" w:hAnsi="Garamond" w:cstheme="minorHAnsi"/>
          <w:sz w:val="24"/>
          <w:szCs w:val="24"/>
        </w:rPr>
        <w:t>e</w:t>
      </w:r>
      <w:r w:rsidR="00016049" w:rsidRPr="00461D74">
        <w:rPr>
          <w:rFonts w:ascii="Garamond" w:hAnsi="Garamond" w:cstheme="minorHAnsi"/>
          <w:sz w:val="24"/>
          <w:szCs w:val="24"/>
        </w:rPr>
        <w:t xml:space="preserve">ven in </w:t>
      </w:r>
      <w:r w:rsidR="00016049" w:rsidRPr="00461D74">
        <w:rPr>
          <w:rFonts w:ascii="Garamond" w:hAnsi="Garamond" w:cstheme="minorHAnsi"/>
          <w:i/>
          <w:iCs/>
          <w:sz w:val="24"/>
          <w:szCs w:val="24"/>
        </w:rPr>
        <w:t>After Virtue</w:t>
      </w:r>
      <w:r w:rsidR="00016049" w:rsidRPr="00461D74">
        <w:rPr>
          <w:rFonts w:ascii="Garamond" w:hAnsi="Garamond" w:cstheme="minorHAnsi"/>
          <w:sz w:val="24"/>
          <w:szCs w:val="24"/>
        </w:rPr>
        <w:t xml:space="preserve"> where he considers the benefits that the state offers, he concludes that no modern state can be a legitimate form of government</w:t>
      </w:r>
      <w:r w:rsidR="00A27A95" w:rsidRPr="00461D74">
        <w:rPr>
          <w:rFonts w:ascii="Garamond" w:hAnsi="Garamond" w:cstheme="minorHAnsi"/>
          <w:sz w:val="24"/>
          <w:szCs w:val="24"/>
        </w:rPr>
        <w:t>,</w:t>
      </w:r>
      <w:r w:rsidR="00016049" w:rsidRPr="00461D74">
        <w:rPr>
          <w:rFonts w:ascii="Garamond" w:hAnsi="Garamond" w:cstheme="minorHAnsi"/>
          <w:sz w:val="24"/>
          <w:szCs w:val="24"/>
        </w:rPr>
        <w:t xml:space="preserve"> and </w:t>
      </w:r>
      <w:r w:rsidR="00C21406">
        <w:rPr>
          <w:rFonts w:ascii="Garamond" w:hAnsi="Garamond" w:cstheme="minorHAnsi"/>
          <w:sz w:val="24"/>
          <w:szCs w:val="24"/>
        </w:rPr>
        <w:t>ultimately</w:t>
      </w:r>
      <w:r w:rsidR="00C21406"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his view entails the wholesale rejection of the contemporary </w:t>
      </w:r>
      <w:r w:rsidRPr="00461D74">
        <w:rPr>
          <w:rFonts w:ascii="Garamond" w:hAnsi="Garamond" w:cstheme="minorHAnsi"/>
          <w:sz w:val="24"/>
          <w:szCs w:val="24"/>
        </w:rPr>
        <w:t xml:space="preserve">liberal </w:t>
      </w:r>
      <w:r w:rsidR="00016049" w:rsidRPr="00461D74">
        <w:rPr>
          <w:rFonts w:ascii="Garamond" w:hAnsi="Garamond" w:cstheme="minorHAnsi"/>
          <w:sz w:val="24"/>
          <w:szCs w:val="24"/>
        </w:rPr>
        <w:t>political system.</w:t>
      </w:r>
      <w:r w:rsidR="00257DAB" w:rsidRPr="00461D74">
        <w:rPr>
          <w:rStyle w:val="FootnoteReference"/>
          <w:rFonts w:ascii="Garamond" w:hAnsi="Garamond" w:cstheme="minorHAnsi"/>
          <w:sz w:val="24"/>
          <w:szCs w:val="24"/>
        </w:rPr>
        <w:footnoteReference w:id="388"/>
      </w:r>
      <w:r w:rsidR="00016049" w:rsidRPr="00461D74">
        <w:rPr>
          <w:rFonts w:ascii="Garamond" w:hAnsi="Garamond" w:cstheme="minorHAnsi"/>
          <w:sz w:val="24"/>
          <w:szCs w:val="24"/>
        </w:rPr>
        <w:t xml:space="preserve"> Thus MacIntyre ends up altogether rejecting the modern soci</w:t>
      </w:r>
      <w:r w:rsidR="004E5A7A" w:rsidRPr="00461D74">
        <w:rPr>
          <w:rFonts w:ascii="Garamond" w:hAnsi="Garamond" w:cstheme="minorHAnsi"/>
          <w:sz w:val="24"/>
          <w:szCs w:val="24"/>
        </w:rPr>
        <w:t>al</w:t>
      </w:r>
      <w:r w:rsidR="00016049" w:rsidRPr="00461D74">
        <w:rPr>
          <w:rFonts w:ascii="Garamond" w:hAnsi="Garamond" w:cstheme="minorHAnsi"/>
          <w:sz w:val="24"/>
          <w:szCs w:val="24"/>
        </w:rPr>
        <w:t>-political structure – root and branch.</w:t>
      </w:r>
      <w:r w:rsidR="00692A74" w:rsidRPr="00461D74">
        <w:rPr>
          <w:rFonts w:ascii="Garamond" w:hAnsi="Garamond" w:cstheme="minorHAnsi"/>
          <w:sz w:val="24"/>
          <w:szCs w:val="24"/>
        </w:rPr>
        <w:t xml:space="preserve"> </w:t>
      </w:r>
      <w:r w:rsidR="00257DAB">
        <w:rPr>
          <w:rFonts w:ascii="Garamond" w:hAnsi="Garamond" w:cstheme="minorHAnsi"/>
          <w:sz w:val="24"/>
          <w:szCs w:val="24"/>
        </w:rPr>
        <w:t>I nevertheless argued that it might be</w:t>
      </w:r>
      <w:r w:rsidR="00692A74" w:rsidRPr="00461D74">
        <w:rPr>
          <w:rFonts w:ascii="Garamond" w:hAnsi="Garamond" w:cstheme="minorHAnsi"/>
          <w:sz w:val="24"/>
          <w:szCs w:val="24"/>
        </w:rPr>
        <w:t xml:space="preserve"> premature </w:t>
      </w:r>
      <w:r w:rsidR="00016049" w:rsidRPr="00461D74">
        <w:rPr>
          <w:rFonts w:ascii="Garamond" w:hAnsi="Garamond" w:cstheme="minorHAnsi"/>
          <w:sz w:val="24"/>
          <w:szCs w:val="24"/>
        </w:rPr>
        <w:t>to condemn the state in such stark terms, especially if</w:t>
      </w:r>
      <w:r w:rsidR="00692A74" w:rsidRPr="00461D74">
        <w:rPr>
          <w:rFonts w:ascii="Garamond" w:hAnsi="Garamond" w:cstheme="minorHAnsi"/>
          <w:sz w:val="24"/>
          <w:szCs w:val="24"/>
        </w:rPr>
        <w:t xml:space="preserve"> </w:t>
      </w:r>
      <w:r w:rsidR="00016049" w:rsidRPr="00461D74">
        <w:rPr>
          <w:rFonts w:ascii="Garamond" w:hAnsi="Garamond" w:cstheme="minorHAnsi"/>
          <w:sz w:val="24"/>
          <w:szCs w:val="24"/>
        </w:rPr>
        <w:t>our relationship with the state is much more complex</w:t>
      </w:r>
      <w:r w:rsidR="00692A74" w:rsidRPr="00461D74">
        <w:rPr>
          <w:rFonts w:ascii="Garamond" w:hAnsi="Garamond" w:cstheme="minorHAnsi"/>
          <w:sz w:val="24"/>
          <w:szCs w:val="24"/>
        </w:rPr>
        <w:t xml:space="preserve"> </w:t>
      </w:r>
      <w:r w:rsidR="00016049" w:rsidRPr="00461D74">
        <w:rPr>
          <w:rFonts w:ascii="Garamond" w:hAnsi="Garamond" w:cstheme="minorHAnsi"/>
          <w:sz w:val="24"/>
          <w:szCs w:val="24"/>
        </w:rPr>
        <w:t>by MacIntyre’s own admission</w:t>
      </w:r>
      <w:r w:rsidR="002351E4" w:rsidRPr="00461D74">
        <w:rPr>
          <w:rFonts w:ascii="Garamond" w:hAnsi="Garamond" w:cstheme="minorHAnsi"/>
          <w:sz w:val="24"/>
          <w:szCs w:val="24"/>
        </w:rPr>
        <w:t xml:space="preserve">. Recall that only the </w:t>
      </w:r>
      <w:r w:rsidR="00692A74" w:rsidRPr="00461D74">
        <w:rPr>
          <w:rFonts w:ascii="Garamond" w:hAnsi="Garamond" w:cstheme="minorHAnsi"/>
          <w:sz w:val="24"/>
          <w:szCs w:val="24"/>
        </w:rPr>
        <w:t xml:space="preserve">state seems to </w:t>
      </w:r>
      <w:r w:rsidR="002351E4" w:rsidRPr="00461D74">
        <w:rPr>
          <w:rFonts w:ascii="Garamond" w:hAnsi="Garamond" w:cstheme="minorHAnsi"/>
          <w:sz w:val="24"/>
          <w:szCs w:val="24"/>
        </w:rPr>
        <w:t xml:space="preserve">possess </w:t>
      </w:r>
      <w:r w:rsidR="00692A74" w:rsidRPr="00461D74">
        <w:rPr>
          <w:rFonts w:ascii="Garamond" w:hAnsi="Garamond" w:cstheme="minorHAnsi"/>
          <w:sz w:val="24"/>
          <w:szCs w:val="24"/>
        </w:rPr>
        <w:t xml:space="preserve">the </w:t>
      </w:r>
      <w:r w:rsidR="002351E4" w:rsidRPr="00461D74">
        <w:rPr>
          <w:rFonts w:ascii="Garamond" w:hAnsi="Garamond" w:cstheme="minorHAnsi"/>
          <w:sz w:val="24"/>
          <w:szCs w:val="24"/>
        </w:rPr>
        <w:t>kinds of resources</w:t>
      </w:r>
      <w:r w:rsidR="00692A74" w:rsidRPr="00461D74">
        <w:rPr>
          <w:rFonts w:ascii="Garamond" w:hAnsi="Garamond" w:cstheme="minorHAnsi"/>
          <w:sz w:val="24"/>
          <w:szCs w:val="24"/>
        </w:rPr>
        <w:t xml:space="preserve"> </w:t>
      </w:r>
      <w:r w:rsidR="002351E4" w:rsidRPr="00461D74">
        <w:rPr>
          <w:rFonts w:ascii="Garamond" w:hAnsi="Garamond" w:cstheme="minorHAnsi"/>
          <w:sz w:val="24"/>
          <w:szCs w:val="24"/>
        </w:rPr>
        <w:t xml:space="preserve">that local communities depend on. More importantly, </w:t>
      </w:r>
      <w:r w:rsidR="00016049" w:rsidRPr="00461D74">
        <w:rPr>
          <w:rFonts w:ascii="Garamond" w:hAnsi="Garamond" w:cstheme="minorHAnsi"/>
          <w:sz w:val="24"/>
          <w:szCs w:val="24"/>
        </w:rPr>
        <w:t xml:space="preserve">the state is a vehicle for </w:t>
      </w:r>
      <w:r w:rsidR="00692A74" w:rsidRPr="00461D74">
        <w:rPr>
          <w:rFonts w:ascii="Garamond" w:hAnsi="Garamond" w:cstheme="minorHAnsi"/>
          <w:sz w:val="24"/>
          <w:szCs w:val="24"/>
        </w:rPr>
        <w:t xml:space="preserve">advancing </w:t>
      </w:r>
      <w:r w:rsidR="00016049" w:rsidRPr="00461D74">
        <w:rPr>
          <w:rFonts w:ascii="Garamond" w:hAnsi="Garamond" w:cstheme="minorHAnsi"/>
          <w:sz w:val="24"/>
          <w:szCs w:val="24"/>
        </w:rPr>
        <w:t xml:space="preserve">important </w:t>
      </w:r>
      <w:r w:rsidR="002351E4" w:rsidRPr="00461D74">
        <w:rPr>
          <w:rFonts w:ascii="Garamond" w:hAnsi="Garamond" w:cstheme="minorHAnsi"/>
          <w:sz w:val="24"/>
          <w:szCs w:val="24"/>
        </w:rPr>
        <w:t xml:space="preserve">social and </w:t>
      </w:r>
      <w:r w:rsidR="00016049" w:rsidRPr="00461D74">
        <w:rPr>
          <w:rFonts w:ascii="Garamond" w:hAnsi="Garamond" w:cstheme="minorHAnsi"/>
          <w:sz w:val="24"/>
          <w:szCs w:val="24"/>
        </w:rPr>
        <w:t xml:space="preserve">political </w:t>
      </w:r>
      <w:r w:rsidR="002351E4" w:rsidRPr="00461D74">
        <w:rPr>
          <w:rFonts w:ascii="Garamond" w:hAnsi="Garamond" w:cstheme="minorHAnsi"/>
          <w:sz w:val="24"/>
          <w:szCs w:val="24"/>
        </w:rPr>
        <w:t>policy,</w:t>
      </w:r>
      <w:r w:rsidR="00016049" w:rsidRPr="00461D74">
        <w:rPr>
          <w:rFonts w:ascii="Garamond" w:hAnsi="Garamond" w:cstheme="minorHAnsi"/>
          <w:sz w:val="24"/>
          <w:szCs w:val="24"/>
        </w:rPr>
        <w:t xml:space="preserve"> </w:t>
      </w:r>
      <w:r w:rsidR="002351E4" w:rsidRPr="00461D74">
        <w:rPr>
          <w:rFonts w:ascii="Garamond" w:hAnsi="Garamond" w:cstheme="minorHAnsi"/>
          <w:sz w:val="24"/>
          <w:szCs w:val="24"/>
        </w:rPr>
        <w:t>a</w:t>
      </w:r>
      <w:r w:rsidR="00016049" w:rsidRPr="00461D74">
        <w:rPr>
          <w:rFonts w:ascii="Garamond" w:hAnsi="Garamond" w:cstheme="minorHAnsi"/>
          <w:sz w:val="24"/>
          <w:szCs w:val="24"/>
        </w:rPr>
        <w:t xml:space="preserve">nd there </w:t>
      </w:r>
      <w:r w:rsidR="009F0525" w:rsidRPr="00461D74">
        <w:rPr>
          <w:rFonts w:ascii="Garamond" w:hAnsi="Garamond" w:cstheme="minorHAnsi"/>
          <w:sz w:val="24"/>
          <w:szCs w:val="24"/>
        </w:rPr>
        <w:t>exist</w:t>
      </w:r>
      <w:r w:rsidR="002351E4" w:rsidRPr="00461D74">
        <w:rPr>
          <w:rFonts w:ascii="Garamond" w:hAnsi="Garamond" w:cstheme="minorHAnsi"/>
          <w:sz w:val="24"/>
          <w:szCs w:val="24"/>
        </w:rPr>
        <w:t xml:space="preserve"> clear </w:t>
      </w:r>
      <w:r w:rsidR="00016049" w:rsidRPr="00461D74">
        <w:rPr>
          <w:rFonts w:ascii="Garamond" w:hAnsi="Garamond" w:cstheme="minorHAnsi"/>
          <w:sz w:val="24"/>
          <w:szCs w:val="24"/>
        </w:rPr>
        <w:t xml:space="preserve">counter examples that show how the state </w:t>
      </w:r>
      <w:r w:rsidR="009F0525" w:rsidRPr="00461D74">
        <w:rPr>
          <w:rFonts w:ascii="Garamond" w:hAnsi="Garamond" w:cstheme="minorHAnsi"/>
          <w:sz w:val="24"/>
          <w:szCs w:val="24"/>
        </w:rPr>
        <w:t xml:space="preserve">can be seen as </w:t>
      </w:r>
      <w:r w:rsidR="00016049" w:rsidRPr="00461D74">
        <w:rPr>
          <w:rFonts w:ascii="Garamond" w:hAnsi="Garamond" w:cstheme="minorHAnsi"/>
          <w:sz w:val="24"/>
          <w:szCs w:val="24"/>
        </w:rPr>
        <w:t>promoting worthwhile values</w:t>
      </w:r>
      <w:r w:rsidR="00A27A95" w:rsidRPr="00461D74">
        <w:rPr>
          <w:rFonts w:ascii="Garamond" w:hAnsi="Garamond" w:cstheme="minorHAnsi"/>
          <w:sz w:val="24"/>
          <w:szCs w:val="24"/>
        </w:rPr>
        <w:t>.</w:t>
      </w:r>
      <w:r w:rsidR="009F0525" w:rsidRPr="00461D74">
        <w:rPr>
          <w:rStyle w:val="FootnoteReference"/>
          <w:rFonts w:ascii="Garamond" w:hAnsi="Garamond" w:cstheme="minorHAnsi"/>
          <w:sz w:val="24"/>
          <w:szCs w:val="24"/>
        </w:rPr>
        <w:footnoteReference w:id="389"/>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Third, Murphy’s second criticism against MacIntyre</w:t>
      </w:r>
      <w:r w:rsidR="002E316F" w:rsidRPr="00461D74">
        <w:rPr>
          <w:rFonts w:ascii="Garamond" w:hAnsi="Garamond" w:cstheme="minorHAnsi"/>
          <w:sz w:val="24"/>
          <w:szCs w:val="24"/>
        </w:rPr>
        <w:t xml:space="preserve"> </w:t>
      </w:r>
      <w:r w:rsidRPr="00461D74">
        <w:rPr>
          <w:rFonts w:ascii="Garamond" w:hAnsi="Garamond" w:cstheme="minorHAnsi"/>
          <w:sz w:val="24"/>
          <w:szCs w:val="24"/>
        </w:rPr>
        <w:t xml:space="preserve">was that </w:t>
      </w:r>
      <w:r w:rsidR="002E316F" w:rsidRPr="00461D74">
        <w:rPr>
          <w:rFonts w:ascii="Garamond" w:hAnsi="Garamond" w:cstheme="minorHAnsi"/>
          <w:sz w:val="24"/>
          <w:szCs w:val="24"/>
        </w:rPr>
        <w:t>his conception</w:t>
      </w:r>
      <w:r w:rsidRPr="00461D74">
        <w:rPr>
          <w:rFonts w:ascii="Garamond" w:hAnsi="Garamond" w:cstheme="minorHAnsi"/>
          <w:sz w:val="24"/>
          <w:szCs w:val="24"/>
        </w:rPr>
        <w:t xml:space="preserve"> of politics as a second order practice</w:t>
      </w:r>
      <w:r w:rsidR="002E316F" w:rsidRPr="00461D74">
        <w:rPr>
          <w:rFonts w:ascii="Garamond" w:hAnsi="Garamond" w:cstheme="minorHAnsi"/>
          <w:sz w:val="24"/>
          <w:szCs w:val="24"/>
        </w:rPr>
        <w:t xml:space="preserve"> appeared</w:t>
      </w:r>
      <w:r w:rsidRPr="00461D74">
        <w:rPr>
          <w:rFonts w:ascii="Garamond" w:hAnsi="Garamond" w:cstheme="minorHAnsi"/>
          <w:sz w:val="24"/>
          <w:szCs w:val="24"/>
        </w:rPr>
        <w:t xml:space="preserve"> </w:t>
      </w:r>
      <w:r w:rsidR="002E316F" w:rsidRPr="00461D74">
        <w:rPr>
          <w:rFonts w:ascii="Garamond" w:hAnsi="Garamond" w:cstheme="minorHAnsi"/>
          <w:sz w:val="24"/>
          <w:szCs w:val="24"/>
        </w:rPr>
        <w:t xml:space="preserve">to be </w:t>
      </w:r>
      <w:r w:rsidRPr="00461D74">
        <w:rPr>
          <w:rFonts w:ascii="Garamond" w:hAnsi="Garamond" w:cstheme="minorHAnsi"/>
          <w:sz w:val="24"/>
          <w:szCs w:val="24"/>
        </w:rPr>
        <w:t>incoherent. The problem</w:t>
      </w:r>
      <w:r w:rsidR="002E316F" w:rsidRPr="00461D74">
        <w:rPr>
          <w:rFonts w:ascii="Garamond" w:hAnsi="Garamond" w:cstheme="minorHAnsi"/>
          <w:sz w:val="24"/>
          <w:szCs w:val="24"/>
        </w:rPr>
        <w:t xml:space="preserve">, </w:t>
      </w:r>
      <w:r w:rsidR="0013758C" w:rsidRPr="00461D74">
        <w:rPr>
          <w:rFonts w:ascii="Garamond" w:hAnsi="Garamond" w:cstheme="minorHAnsi"/>
          <w:sz w:val="24"/>
          <w:szCs w:val="24"/>
        </w:rPr>
        <w:t>it may be recalled</w:t>
      </w:r>
      <w:r w:rsidR="002E316F" w:rsidRPr="00461D74">
        <w:rPr>
          <w:rFonts w:ascii="Garamond" w:hAnsi="Garamond" w:cstheme="minorHAnsi"/>
          <w:sz w:val="24"/>
          <w:szCs w:val="24"/>
        </w:rPr>
        <w:t>, was</w:t>
      </w:r>
      <w:r w:rsidRPr="00461D74">
        <w:rPr>
          <w:rFonts w:ascii="Garamond" w:hAnsi="Garamond" w:cstheme="minorHAnsi"/>
          <w:sz w:val="24"/>
          <w:szCs w:val="24"/>
        </w:rPr>
        <w:t xml:space="preserve"> how a practitioner of a particular practice can attain the type of resources to comparatively evaluate the goods of all practices. This is because in order for a </w:t>
      </w:r>
      <w:r w:rsidR="00DF1151">
        <w:rPr>
          <w:rFonts w:ascii="Garamond" w:hAnsi="Garamond" w:cstheme="minorHAnsi"/>
          <w:sz w:val="24"/>
          <w:szCs w:val="24"/>
        </w:rPr>
        <w:t>person</w:t>
      </w:r>
      <w:r w:rsidR="00DF1151" w:rsidRPr="00461D74">
        <w:rPr>
          <w:rFonts w:ascii="Garamond" w:hAnsi="Garamond" w:cstheme="minorHAnsi"/>
          <w:sz w:val="24"/>
          <w:szCs w:val="24"/>
        </w:rPr>
        <w:t xml:space="preserve"> </w:t>
      </w:r>
      <w:r w:rsidRPr="00461D74">
        <w:rPr>
          <w:rFonts w:ascii="Garamond" w:hAnsi="Garamond" w:cstheme="minorHAnsi"/>
          <w:sz w:val="24"/>
          <w:szCs w:val="24"/>
        </w:rPr>
        <w:t xml:space="preserve">to understand and evaluate the goods of a practice, she must </w:t>
      </w:r>
      <w:r w:rsidR="00DF1151">
        <w:rPr>
          <w:rFonts w:ascii="Garamond" w:hAnsi="Garamond" w:cstheme="minorHAnsi"/>
          <w:sz w:val="24"/>
          <w:szCs w:val="24"/>
        </w:rPr>
        <w:t xml:space="preserve">simultaneously be a </w:t>
      </w:r>
      <w:r w:rsidR="00DF1151" w:rsidRPr="00461D74">
        <w:rPr>
          <w:rFonts w:ascii="Garamond" w:hAnsi="Garamond" w:cstheme="minorHAnsi"/>
          <w:sz w:val="24"/>
          <w:szCs w:val="24"/>
        </w:rPr>
        <w:t>practitioner</w:t>
      </w:r>
      <w:r w:rsidR="002E316F" w:rsidRPr="00461D74">
        <w:rPr>
          <w:rFonts w:ascii="Garamond" w:hAnsi="Garamond" w:cstheme="minorHAnsi"/>
          <w:sz w:val="24"/>
          <w:szCs w:val="24"/>
        </w:rPr>
        <w:t xml:space="preserve"> in that practice. Y</w:t>
      </w:r>
      <w:r w:rsidRPr="00461D74">
        <w:rPr>
          <w:rFonts w:ascii="Garamond" w:hAnsi="Garamond" w:cstheme="minorHAnsi"/>
          <w:sz w:val="24"/>
          <w:szCs w:val="24"/>
        </w:rPr>
        <w:t xml:space="preserve">et it </w:t>
      </w:r>
      <w:r w:rsidR="002E316F" w:rsidRPr="00461D74">
        <w:rPr>
          <w:rFonts w:ascii="Garamond" w:hAnsi="Garamond" w:cstheme="minorHAnsi"/>
          <w:sz w:val="24"/>
          <w:szCs w:val="24"/>
        </w:rPr>
        <w:t xml:space="preserve">seems </w:t>
      </w:r>
      <w:r w:rsidRPr="00461D74">
        <w:rPr>
          <w:rFonts w:ascii="Garamond" w:hAnsi="Garamond" w:cstheme="minorHAnsi"/>
          <w:sz w:val="24"/>
          <w:szCs w:val="24"/>
        </w:rPr>
        <w:t>impossible that any</w:t>
      </w:r>
      <w:r w:rsidR="002E316F" w:rsidRPr="00461D74">
        <w:rPr>
          <w:rFonts w:ascii="Garamond" w:hAnsi="Garamond" w:cstheme="minorHAnsi"/>
          <w:sz w:val="24"/>
          <w:szCs w:val="24"/>
        </w:rPr>
        <w:t xml:space="preserve"> </w:t>
      </w:r>
      <w:r w:rsidRPr="00461D74">
        <w:rPr>
          <w:rFonts w:ascii="Garamond" w:hAnsi="Garamond" w:cstheme="minorHAnsi"/>
          <w:sz w:val="24"/>
          <w:szCs w:val="24"/>
        </w:rPr>
        <w:t xml:space="preserve">one </w:t>
      </w:r>
      <w:r w:rsidR="002E316F" w:rsidRPr="00461D74">
        <w:rPr>
          <w:rFonts w:ascii="Garamond" w:hAnsi="Garamond" w:cstheme="minorHAnsi"/>
          <w:sz w:val="24"/>
          <w:szCs w:val="24"/>
        </w:rPr>
        <w:t xml:space="preserve">person </w:t>
      </w:r>
      <w:r w:rsidRPr="00461D74">
        <w:rPr>
          <w:rFonts w:ascii="Garamond" w:hAnsi="Garamond" w:cstheme="minorHAnsi"/>
          <w:sz w:val="24"/>
          <w:szCs w:val="24"/>
        </w:rPr>
        <w:t xml:space="preserve">can </w:t>
      </w:r>
      <w:r w:rsidR="002E316F" w:rsidRPr="00461D74">
        <w:rPr>
          <w:rFonts w:ascii="Garamond" w:hAnsi="Garamond" w:cstheme="minorHAnsi"/>
          <w:sz w:val="24"/>
          <w:szCs w:val="24"/>
        </w:rPr>
        <w:t xml:space="preserve">come to possess </w:t>
      </w:r>
      <w:r w:rsidRPr="00461D74">
        <w:rPr>
          <w:rFonts w:ascii="Garamond" w:hAnsi="Garamond" w:cstheme="minorHAnsi"/>
          <w:sz w:val="24"/>
          <w:szCs w:val="24"/>
        </w:rPr>
        <w:t xml:space="preserve">the type of knowledge that allows her to </w:t>
      </w:r>
      <w:r w:rsidR="002E316F" w:rsidRPr="00461D74">
        <w:rPr>
          <w:rFonts w:ascii="Garamond" w:hAnsi="Garamond" w:cstheme="minorHAnsi"/>
          <w:sz w:val="24"/>
          <w:szCs w:val="24"/>
        </w:rPr>
        <w:t xml:space="preserve">properly </w:t>
      </w:r>
      <w:r w:rsidRPr="00461D74">
        <w:rPr>
          <w:rFonts w:ascii="Garamond" w:hAnsi="Garamond" w:cstheme="minorHAnsi"/>
          <w:sz w:val="24"/>
          <w:szCs w:val="24"/>
        </w:rPr>
        <w:t xml:space="preserve">evaluate the goods of </w:t>
      </w:r>
      <w:r w:rsidR="002E316F" w:rsidRPr="00461D74">
        <w:rPr>
          <w:rFonts w:ascii="Garamond" w:hAnsi="Garamond" w:cstheme="minorHAnsi"/>
          <w:sz w:val="24"/>
          <w:szCs w:val="24"/>
        </w:rPr>
        <w:t xml:space="preserve">a </w:t>
      </w:r>
      <w:r w:rsidRPr="00461D74">
        <w:rPr>
          <w:rFonts w:ascii="Garamond" w:hAnsi="Garamond" w:cstheme="minorHAnsi"/>
          <w:sz w:val="24"/>
          <w:szCs w:val="24"/>
        </w:rPr>
        <w:t xml:space="preserve">diverse set of practices. While this </w:t>
      </w:r>
      <w:r w:rsidRPr="00461D74">
        <w:rPr>
          <w:rFonts w:ascii="Garamond" w:hAnsi="Garamond" w:cstheme="minorHAnsi"/>
          <w:sz w:val="24"/>
          <w:szCs w:val="24"/>
        </w:rPr>
        <w:lastRenderedPageBreak/>
        <w:t>second criticism that Murphy levelled against MacIntyre is somewhat easier to defend</w:t>
      </w:r>
      <w:r w:rsidR="00CD1CE8">
        <w:rPr>
          <w:rFonts w:ascii="Garamond" w:hAnsi="Garamond" w:cstheme="minorHAnsi"/>
          <w:sz w:val="24"/>
          <w:szCs w:val="24"/>
        </w:rPr>
        <w:t xml:space="preserve"> against</w:t>
      </w:r>
      <w:r w:rsidRPr="00461D74">
        <w:rPr>
          <w:rFonts w:ascii="Garamond" w:hAnsi="Garamond" w:cstheme="minorHAnsi"/>
          <w:sz w:val="24"/>
          <w:szCs w:val="24"/>
        </w:rPr>
        <w:t xml:space="preserve">, it still requires that MacIntyre procure the type of resources that </w:t>
      </w:r>
      <w:r w:rsidR="002E316F" w:rsidRPr="00461D74">
        <w:rPr>
          <w:rFonts w:ascii="Garamond" w:hAnsi="Garamond" w:cstheme="minorHAnsi"/>
          <w:sz w:val="24"/>
          <w:szCs w:val="24"/>
        </w:rPr>
        <w:t xml:space="preserve">can only be </w:t>
      </w:r>
      <w:r w:rsidR="00AE1088">
        <w:rPr>
          <w:rFonts w:ascii="Garamond" w:hAnsi="Garamond" w:cstheme="minorHAnsi"/>
          <w:sz w:val="24"/>
          <w:szCs w:val="24"/>
        </w:rPr>
        <w:t>advanced</w:t>
      </w:r>
      <w:r w:rsidR="00AE1088" w:rsidRPr="00461D74">
        <w:rPr>
          <w:rFonts w:ascii="Garamond" w:hAnsi="Garamond" w:cstheme="minorHAnsi"/>
          <w:sz w:val="24"/>
          <w:szCs w:val="24"/>
        </w:rPr>
        <w:t xml:space="preserve"> </w:t>
      </w:r>
      <w:r w:rsidR="00695E39" w:rsidRPr="00461D74">
        <w:rPr>
          <w:rFonts w:ascii="Garamond" w:hAnsi="Garamond" w:cstheme="minorHAnsi"/>
          <w:sz w:val="24"/>
          <w:szCs w:val="24"/>
        </w:rPr>
        <w:t xml:space="preserve">within the framework of </w:t>
      </w:r>
      <w:r w:rsidRPr="00461D74">
        <w:rPr>
          <w:rFonts w:ascii="Garamond" w:hAnsi="Garamond" w:cstheme="minorHAnsi"/>
          <w:sz w:val="24"/>
          <w:szCs w:val="24"/>
        </w:rPr>
        <w:t>the state</w:t>
      </w:r>
      <w:r w:rsidR="002E316F" w:rsidRPr="00461D74">
        <w:rPr>
          <w:rFonts w:ascii="Garamond" w:hAnsi="Garamond" w:cstheme="minorHAnsi"/>
          <w:sz w:val="24"/>
          <w:szCs w:val="24"/>
        </w:rPr>
        <w:t xml:space="preserve"> and its institutions</w:t>
      </w:r>
      <w:r w:rsidRPr="00461D74">
        <w:rPr>
          <w:rFonts w:ascii="Garamond" w:hAnsi="Garamond" w:cstheme="minorHAnsi"/>
          <w:sz w:val="24"/>
          <w:szCs w:val="24"/>
        </w:rPr>
        <w:t>.</w:t>
      </w:r>
    </w:p>
    <w:p w:rsidR="00162C58" w:rsidRDefault="00162C58" w:rsidP="00162C58">
      <w:pPr>
        <w:spacing w:line="360" w:lineRule="auto"/>
        <w:ind w:firstLine="720"/>
        <w:jc w:val="both"/>
        <w:rPr>
          <w:rFonts w:ascii="Garamond" w:hAnsi="Garamond" w:cstheme="minorHAnsi"/>
          <w:sz w:val="24"/>
          <w:szCs w:val="24"/>
        </w:rPr>
      </w:pPr>
      <w:r>
        <w:rPr>
          <w:rFonts w:ascii="Garamond" w:hAnsi="Garamond" w:cstheme="minorHAnsi"/>
          <w:sz w:val="24"/>
          <w:szCs w:val="24"/>
        </w:rPr>
        <w:t>Fourth</w:t>
      </w:r>
      <w:r w:rsidRPr="00461D74">
        <w:rPr>
          <w:rFonts w:ascii="Garamond" w:hAnsi="Garamond" w:cstheme="minorHAnsi"/>
          <w:sz w:val="24"/>
          <w:szCs w:val="24"/>
        </w:rPr>
        <w:t xml:space="preserve">, recall that MacIntyre tells us that local communities ought to strictly limit their dealings with the state, and its related institutions. In addition, in all transactions that deal with the state, communities have to act in ways that maximize their own interest, and in return, give up as little as possible. Putting it in another way, members of a community in dealing with each other have to act in ways to achieve their shared common good, but in all their dealings with the state must adopt an attitude of shrewd cost-benefit analysis – that is they have to more or less wear the mask of </w:t>
      </w:r>
      <w:proofErr w:type="spellStart"/>
      <w:r w:rsidRPr="00461D74">
        <w:rPr>
          <w:rFonts w:ascii="Garamond" w:hAnsi="Garamond" w:cstheme="minorHAnsi"/>
          <w:i/>
          <w:iCs/>
          <w:sz w:val="24"/>
          <w:szCs w:val="24"/>
        </w:rPr>
        <w:t>Realpolitik</w:t>
      </w:r>
      <w:proofErr w:type="spellEnd"/>
      <w:r w:rsidRPr="00461D74">
        <w:rPr>
          <w:rFonts w:ascii="Garamond" w:hAnsi="Garamond" w:cstheme="minorHAnsi"/>
          <w:sz w:val="24"/>
          <w:szCs w:val="24"/>
        </w:rPr>
        <w:t xml:space="preserve">. An obvious charge here against MacIntyre is that this double attitude adopted by communities and their members, seems to at once accept some version of the </w:t>
      </w:r>
      <w:proofErr w:type="spellStart"/>
      <w:r w:rsidRPr="00461D74">
        <w:rPr>
          <w:rFonts w:ascii="Garamond" w:hAnsi="Garamond" w:cstheme="minorHAnsi"/>
          <w:sz w:val="24"/>
          <w:szCs w:val="24"/>
        </w:rPr>
        <w:t>emotivist</w:t>
      </w:r>
      <w:proofErr w:type="spellEnd"/>
      <w:r w:rsidRPr="00461D74">
        <w:rPr>
          <w:rFonts w:ascii="Garamond" w:hAnsi="Garamond" w:cstheme="minorHAnsi"/>
          <w:sz w:val="24"/>
          <w:szCs w:val="24"/>
        </w:rPr>
        <w:t xml:space="preserve"> thesis (specifically in the dealings between local communities and the state), while at the same time rejecting emotivism as a true account of ethical practice.</w:t>
      </w:r>
      <w:r w:rsidRPr="00461D74">
        <w:rPr>
          <w:rStyle w:val="FootnoteReference"/>
          <w:rFonts w:ascii="Garamond" w:hAnsi="Garamond" w:cstheme="minorHAnsi"/>
          <w:sz w:val="24"/>
          <w:szCs w:val="24"/>
        </w:rPr>
        <w:footnoteReference w:id="390"/>
      </w:r>
    </w:p>
    <w:p w:rsidR="00AC54ED" w:rsidRDefault="00162C58" w:rsidP="000A4668">
      <w:pPr>
        <w:spacing w:line="360" w:lineRule="auto"/>
        <w:ind w:firstLine="720"/>
        <w:jc w:val="both"/>
        <w:rPr>
          <w:rFonts w:ascii="Garamond" w:hAnsi="Garamond" w:cstheme="minorHAnsi"/>
          <w:sz w:val="24"/>
          <w:szCs w:val="24"/>
        </w:rPr>
      </w:pPr>
      <w:r>
        <w:rPr>
          <w:rFonts w:ascii="Garamond" w:hAnsi="Garamond" w:cstheme="minorHAnsi"/>
          <w:sz w:val="24"/>
          <w:szCs w:val="24"/>
        </w:rPr>
        <w:t>Fifth</w:t>
      </w:r>
      <w:r w:rsidR="00016049" w:rsidRPr="00461D74">
        <w:rPr>
          <w:rFonts w:ascii="Garamond" w:hAnsi="Garamond" w:cstheme="minorHAnsi"/>
          <w:sz w:val="24"/>
          <w:szCs w:val="24"/>
        </w:rPr>
        <w:t>, recall that in the previous chapter we considered whether MacIntyre could be read as an Aristotelian ideal theorist. We saw that this was only possible if he relinquishes much of the historicis</w:t>
      </w:r>
      <w:r w:rsidR="00F42D09">
        <w:rPr>
          <w:rFonts w:ascii="Garamond" w:hAnsi="Garamond" w:cstheme="minorHAnsi"/>
          <w:sz w:val="24"/>
          <w:szCs w:val="24"/>
        </w:rPr>
        <w:t>t-contextualist content</w:t>
      </w:r>
      <w:r w:rsidR="00016049" w:rsidRPr="00461D74">
        <w:rPr>
          <w:rFonts w:ascii="Garamond" w:hAnsi="Garamond" w:cstheme="minorHAnsi"/>
          <w:sz w:val="24"/>
          <w:szCs w:val="24"/>
        </w:rPr>
        <w:t xml:space="preserve"> in his account. </w:t>
      </w:r>
      <w:r w:rsidR="00BA59C9">
        <w:rPr>
          <w:rFonts w:ascii="Garamond" w:hAnsi="Garamond" w:cstheme="minorHAnsi"/>
          <w:sz w:val="24"/>
          <w:szCs w:val="24"/>
        </w:rPr>
        <w:t>Yet, such a move isn’t really attractive since it would entail losing much of the content that makes MacIntyre’s account interesting.</w:t>
      </w:r>
    </w:p>
    <w:p w:rsidR="004D3A89" w:rsidRDefault="00AC54ED">
      <w:pPr>
        <w:spacing w:line="360" w:lineRule="auto"/>
        <w:ind w:firstLine="720"/>
        <w:jc w:val="both"/>
        <w:rPr>
          <w:rFonts w:ascii="Garamond" w:hAnsi="Garamond" w:cstheme="minorHAnsi"/>
          <w:sz w:val="24"/>
          <w:szCs w:val="24"/>
        </w:rPr>
      </w:pPr>
      <w:r>
        <w:rPr>
          <w:rFonts w:ascii="Garamond" w:hAnsi="Garamond" w:cstheme="minorHAnsi"/>
          <w:sz w:val="24"/>
          <w:szCs w:val="24"/>
        </w:rPr>
        <w:t>Lastly, we</w:t>
      </w:r>
      <w:r w:rsidR="00016049" w:rsidRPr="00461D74">
        <w:rPr>
          <w:rFonts w:ascii="Garamond" w:hAnsi="Garamond" w:cstheme="minorHAnsi"/>
          <w:sz w:val="24"/>
          <w:szCs w:val="24"/>
        </w:rPr>
        <w:t xml:space="preserve"> considered whether </w:t>
      </w:r>
      <w:r w:rsidR="00BA59C9">
        <w:rPr>
          <w:rFonts w:ascii="Garamond" w:hAnsi="Garamond" w:cstheme="minorHAnsi"/>
          <w:sz w:val="24"/>
          <w:szCs w:val="24"/>
        </w:rPr>
        <w:t xml:space="preserve">Thomism itself has the resources </w:t>
      </w:r>
      <w:r w:rsidR="00EF17E5" w:rsidRPr="00461D74">
        <w:rPr>
          <w:rFonts w:ascii="Garamond" w:hAnsi="Garamond" w:cstheme="minorHAnsi"/>
          <w:sz w:val="24"/>
          <w:szCs w:val="24"/>
        </w:rPr>
        <w:t xml:space="preserve">to </w:t>
      </w:r>
      <w:r w:rsidR="00BA59C9">
        <w:rPr>
          <w:rFonts w:ascii="Garamond" w:hAnsi="Garamond" w:cstheme="minorHAnsi"/>
          <w:sz w:val="24"/>
          <w:szCs w:val="24"/>
        </w:rPr>
        <w:t xml:space="preserve">successfully </w:t>
      </w:r>
      <w:r w:rsidR="00EF17E5" w:rsidRPr="00461D74">
        <w:rPr>
          <w:rFonts w:ascii="Garamond" w:hAnsi="Garamond" w:cstheme="minorHAnsi"/>
          <w:sz w:val="24"/>
          <w:szCs w:val="24"/>
        </w:rPr>
        <w:t xml:space="preserve">defend </w:t>
      </w:r>
      <w:r w:rsidR="00BA59C9">
        <w:rPr>
          <w:rFonts w:ascii="Garamond" w:hAnsi="Garamond" w:cstheme="minorHAnsi"/>
          <w:sz w:val="24"/>
          <w:szCs w:val="24"/>
        </w:rPr>
        <w:t>MacIntyre’s</w:t>
      </w:r>
      <w:r w:rsidR="00EF17E5" w:rsidRPr="00461D74">
        <w:rPr>
          <w:rFonts w:ascii="Garamond" w:hAnsi="Garamond" w:cstheme="minorHAnsi"/>
          <w:sz w:val="24"/>
          <w:szCs w:val="24"/>
        </w:rPr>
        <w:t xml:space="preserve"> account of local politics of the common good.</w:t>
      </w:r>
      <w:r w:rsidR="00AE0DC9">
        <w:rPr>
          <w:rFonts w:ascii="Garamond" w:hAnsi="Garamond" w:cstheme="minorHAnsi"/>
          <w:sz w:val="24"/>
          <w:szCs w:val="24"/>
        </w:rPr>
        <w:t xml:space="preserve"> As a first approximation it indeed appeared that Thomism possesses the resources to afford a defense of MacIntyre’s local communities, </w:t>
      </w:r>
      <w:r w:rsidR="000E1EBC">
        <w:rPr>
          <w:rFonts w:ascii="Garamond" w:hAnsi="Garamond" w:cstheme="minorHAnsi"/>
          <w:sz w:val="24"/>
          <w:szCs w:val="24"/>
        </w:rPr>
        <w:t>and their attendant politics of the common good</w:t>
      </w:r>
      <w:r w:rsidR="00AE0DC9">
        <w:rPr>
          <w:rFonts w:ascii="Garamond" w:hAnsi="Garamond" w:cstheme="minorHAnsi"/>
          <w:sz w:val="24"/>
          <w:szCs w:val="24"/>
        </w:rPr>
        <w:t xml:space="preserve">. </w:t>
      </w:r>
      <w:r w:rsidR="000A4668">
        <w:rPr>
          <w:rFonts w:ascii="Garamond" w:hAnsi="Garamond" w:cstheme="minorHAnsi"/>
          <w:sz w:val="24"/>
          <w:szCs w:val="24"/>
        </w:rPr>
        <w:t xml:space="preserve">But a problem that emerged for MacIntyre was that he seemed </w:t>
      </w:r>
      <w:r w:rsidR="000A4668">
        <w:rPr>
          <w:rFonts w:ascii="Garamond" w:hAnsi="Garamond" w:cstheme="minorHAnsi"/>
          <w:sz w:val="24"/>
          <w:szCs w:val="24"/>
        </w:rPr>
        <w:lastRenderedPageBreak/>
        <w:t>to draw</w:t>
      </w:r>
      <w:r w:rsidR="007B4B8F" w:rsidRPr="00461D74">
        <w:rPr>
          <w:rFonts w:ascii="Garamond" w:hAnsi="Garamond" w:cstheme="minorHAnsi"/>
          <w:sz w:val="24"/>
          <w:szCs w:val="24"/>
        </w:rPr>
        <w:t xml:space="preserve"> </w:t>
      </w:r>
      <w:proofErr w:type="gramStart"/>
      <w:r w:rsidR="00F50B06" w:rsidRPr="00461D74">
        <w:rPr>
          <w:rFonts w:ascii="Garamond" w:hAnsi="Garamond" w:cstheme="minorHAnsi"/>
          <w:sz w:val="24"/>
          <w:szCs w:val="24"/>
        </w:rPr>
        <w:t xml:space="preserve">an </w:t>
      </w:r>
      <w:r w:rsidR="007B4B8F" w:rsidRPr="00461D74">
        <w:rPr>
          <w:rFonts w:ascii="Garamond" w:hAnsi="Garamond" w:cstheme="minorHAnsi"/>
          <w:sz w:val="24"/>
          <w:szCs w:val="24"/>
        </w:rPr>
        <w:t>equivalence</w:t>
      </w:r>
      <w:proofErr w:type="gramEnd"/>
      <w:r w:rsidR="007B4B8F" w:rsidRPr="00461D74">
        <w:rPr>
          <w:rFonts w:ascii="Garamond" w:hAnsi="Garamond" w:cstheme="minorHAnsi"/>
          <w:sz w:val="24"/>
          <w:szCs w:val="24"/>
        </w:rPr>
        <w:t xml:space="preserve"> between his definition of the common good best exemplified by </w:t>
      </w:r>
      <w:r w:rsidR="009C78BE" w:rsidRPr="00461D74">
        <w:rPr>
          <w:rFonts w:ascii="Garamond" w:hAnsi="Garamond" w:cstheme="minorHAnsi"/>
          <w:sz w:val="24"/>
          <w:szCs w:val="24"/>
        </w:rPr>
        <w:t xml:space="preserve">the shared good of </w:t>
      </w:r>
      <w:r w:rsidR="007B4B8F" w:rsidRPr="00461D74">
        <w:rPr>
          <w:rFonts w:ascii="Garamond" w:hAnsi="Garamond" w:cstheme="minorHAnsi"/>
          <w:sz w:val="24"/>
          <w:szCs w:val="24"/>
        </w:rPr>
        <w:t xml:space="preserve">local communities and associations, and the common good </w:t>
      </w:r>
      <w:r w:rsidR="009C78BE" w:rsidRPr="00461D74">
        <w:rPr>
          <w:rFonts w:ascii="Garamond" w:hAnsi="Garamond" w:cstheme="minorHAnsi"/>
          <w:sz w:val="24"/>
          <w:szCs w:val="24"/>
        </w:rPr>
        <w:t>as conceived in the writings of Aristotle and Aquinas</w:t>
      </w:r>
      <w:r w:rsidR="007B4B8F" w:rsidRPr="00461D74">
        <w:rPr>
          <w:rFonts w:ascii="Garamond" w:hAnsi="Garamond" w:cstheme="minorHAnsi"/>
          <w:sz w:val="24"/>
          <w:szCs w:val="24"/>
        </w:rPr>
        <w:t xml:space="preserve">. </w:t>
      </w:r>
      <w:r w:rsidR="009C78BE" w:rsidRPr="00461D74">
        <w:rPr>
          <w:rFonts w:ascii="Garamond" w:hAnsi="Garamond" w:cstheme="minorHAnsi"/>
          <w:sz w:val="24"/>
          <w:szCs w:val="24"/>
        </w:rPr>
        <w:t xml:space="preserve">Osborne </w:t>
      </w:r>
      <w:r w:rsidR="000A4668">
        <w:rPr>
          <w:rFonts w:ascii="Garamond" w:hAnsi="Garamond" w:cstheme="minorHAnsi"/>
          <w:sz w:val="24"/>
          <w:szCs w:val="24"/>
        </w:rPr>
        <w:t>however argues</w:t>
      </w:r>
      <w:r w:rsidR="000A4668" w:rsidRPr="00461D74">
        <w:rPr>
          <w:rFonts w:ascii="Garamond" w:hAnsi="Garamond" w:cstheme="minorHAnsi"/>
          <w:sz w:val="24"/>
          <w:szCs w:val="24"/>
        </w:rPr>
        <w:t xml:space="preserve"> </w:t>
      </w:r>
      <w:r w:rsidR="009C78BE" w:rsidRPr="00461D74">
        <w:rPr>
          <w:rFonts w:ascii="Garamond" w:hAnsi="Garamond" w:cstheme="minorHAnsi"/>
          <w:sz w:val="24"/>
          <w:szCs w:val="24"/>
        </w:rPr>
        <w:t>that</w:t>
      </w:r>
      <w:r w:rsidR="007B4B8F" w:rsidRPr="00461D74">
        <w:rPr>
          <w:rFonts w:ascii="Garamond" w:hAnsi="Garamond" w:cstheme="minorHAnsi"/>
          <w:sz w:val="24"/>
          <w:szCs w:val="24"/>
        </w:rPr>
        <w:t xml:space="preserve"> </w:t>
      </w:r>
      <w:r w:rsidR="009C78BE" w:rsidRPr="00461D74">
        <w:rPr>
          <w:rFonts w:ascii="Garamond" w:hAnsi="Garamond" w:cstheme="minorHAnsi"/>
          <w:sz w:val="24"/>
          <w:szCs w:val="24"/>
        </w:rPr>
        <w:t>Aristotle and Aquinas held the position that</w:t>
      </w:r>
      <w:r w:rsidR="007B4B8F" w:rsidRPr="00461D74">
        <w:rPr>
          <w:rFonts w:ascii="Garamond" w:hAnsi="Garamond" w:cstheme="minorHAnsi"/>
          <w:sz w:val="24"/>
          <w:szCs w:val="24"/>
        </w:rPr>
        <w:t xml:space="preserve"> only </w:t>
      </w:r>
      <w:r w:rsidR="009C78BE" w:rsidRPr="00461D74">
        <w:rPr>
          <w:rFonts w:ascii="Garamond" w:hAnsi="Garamond" w:cstheme="minorHAnsi"/>
          <w:sz w:val="24"/>
          <w:szCs w:val="24"/>
        </w:rPr>
        <w:t xml:space="preserve">complete </w:t>
      </w:r>
      <w:r w:rsidR="007B4B8F" w:rsidRPr="00461D74">
        <w:rPr>
          <w:rFonts w:ascii="Garamond" w:hAnsi="Garamond" w:cstheme="minorHAnsi"/>
          <w:sz w:val="24"/>
          <w:szCs w:val="24"/>
        </w:rPr>
        <w:t xml:space="preserve">communities </w:t>
      </w:r>
      <w:r w:rsidR="009C78BE" w:rsidRPr="00461D74">
        <w:rPr>
          <w:rFonts w:ascii="Garamond" w:hAnsi="Garamond" w:cstheme="minorHAnsi"/>
          <w:sz w:val="24"/>
          <w:szCs w:val="24"/>
        </w:rPr>
        <w:t>which</w:t>
      </w:r>
      <w:r w:rsidR="007B4B8F" w:rsidRPr="00461D74">
        <w:rPr>
          <w:rFonts w:ascii="Garamond" w:hAnsi="Garamond" w:cstheme="minorHAnsi"/>
          <w:sz w:val="24"/>
          <w:szCs w:val="24"/>
        </w:rPr>
        <w:t xml:space="preserve"> </w:t>
      </w:r>
      <w:r w:rsidR="009C78BE" w:rsidRPr="00461D74">
        <w:rPr>
          <w:rFonts w:ascii="Garamond" w:hAnsi="Garamond" w:cstheme="minorHAnsi"/>
          <w:sz w:val="24"/>
          <w:szCs w:val="24"/>
        </w:rPr>
        <w:t>are able to</w:t>
      </w:r>
      <w:r w:rsidR="007B4B8F" w:rsidRPr="00461D74">
        <w:rPr>
          <w:rFonts w:ascii="Garamond" w:hAnsi="Garamond" w:cstheme="minorHAnsi"/>
          <w:sz w:val="24"/>
          <w:szCs w:val="24"/>
        </w:rPr>
        <w:t xml:space="preserve"> </w:t>
      </w:r>
      <w:r w:rsidR="009C78BE" w:rsidRPr="00461D74">
        <w:rPr>
          <w:rFonts w:ascii="Garamond" w:hAnsi="Garamond" w:cstheme="minorHAnsi"/>
          <w:sz w:val="24"/>
          <w:szCs w:val="24"/>
        </w:rPr>
        <w:t>exercise coercive power, and possess the capacity for self-defence</w:t>
      </w:r>
      <w:r w:rsidR="007B4B8F" w:rsidRPr="00461D74">
        <w:rPr>
          <w:rFonts w:ascii="Garamond" w:hAnsi="Garamond" w:cstheme="minorHAnsi"/>
          <w:sz w:val="24"/>
          <w:szCs w:val="24"/>
        </w:rPr>
        <w:t xml:space="preserve">, can </w:t>
      </w:r>
      <w:r w:rsidR="009C78BE" w:rsidRPr="00461D74">
        <w:rPr>
          <w:rFonts w:ascii="Garamond" w:hAnsi="Garamond" w:cstheme="minorHAnsi"/>
          <w:sz w:val="24"/>
          <w:szCs w:val="24"/>
        </w:rPr>
        <w:t>realise</w:t>
      </w:r>
      <w:r w:rsidR="007B4B8F" w:rsidRPr="00461D74">
        <w:rPr>
          <w:rFonts w:ascii="Garamond" w:hAnsi="Garamond" w:cstheme="minorHAnsi"/>
          <w:sz w:val="24"/>
          <w:szCs w:val="24"/>
        </w:rPr>
        <w:t xml:space="preserve"> the common good, properly understood.</w:t>
      </w:r>
      <w:r w:rsidR="006F5CD4">
        <w:rPr>
          <w:rStyle w:val="FootnoteReference"/>
          <w:rFonts w:ascii="Garamond" w:hAnsi="Garamond" w:cstheme="minorHAnsi"/>
          <w:sz w:val="24"/>
          <w:szCs w:val="24"/>
        </w:rPr>
        <w:footnoteReference w:id="391"/>
      </w:r>
      <w:r w:rsidR="001A7F30" w:rsidRPr="00461D74">
        <w:rPr>
          <w:rFonts w:ascii="Garamond" w:hAnsi="Garamond" w:cstheme="minorHAnsi"/>
          <w:sz w:val="24"/>
          <w:szCs w:val="24"/>
        </w:rPr>
        <w:t xml:space="preserve"> </w:t>
      </w:r>
      <w:r w:rsidR="009C78BE" w:rsidRPr="00461D74">
        <w:rPr>
          <w:rFonts w:ascii="Garamond" w:hAnsi="Garamond" w:cstheme="minorHAnsi"/>
          <w:sz w:val="24"/>
          <w:szCs w:val="24"/>
        </w:rPr>
        <w:t>Therefore</w:t>
      </w:r>
      <w:r w:rsidR="007B4B8F" w:rsidRPr="00461D74">
        <w:rPr>
          <w:rFonts w:ascii="Garamond" w:hAnsi="Garamond" w:cstheme="minorHAnsi"/>
          <w:sz w:val="24"/>
          <w:szCs w:val="24"/>
        </w:rPr>
        <w:t xml:space="preserve">, </w:t>
      </w:r>
      <w:r w:rsidR="009C78BE" w:rsidRPr="00461D74">
        <w:rPr>
          <w:rFonts w:ascii="Garamond" w:hAnsi="Garamond" w:cstheme="minorHAnsi"/>
          <w:sz w:val="24"/>
          <w:szCs w:val="24"/>
        </w:rPr>
        <w:t xml:space="preserve">MacIntyre’s account requires a conception of the </w:t>
      </w:r>
      <w:r w:rsidR="007B4B8F" w:rsidRPr="00461D74">
        <w:rPr>
          <w:rFonts w:ascii="Garamond" w:hAnsi="Garamond" w:cstheme="minorHAnsi"/>
          <w:sz w:val="24"/>
          <w:szCs w:val="24"/>
        </w:rPr>
        <w:t xml:space="preserve">common good </w:t>
      </w:r>
      <w:r w:rsidR="009C78BE" w:rsidRPr="00461D74">
        <w:rPr>
          <w:rFonts w:ascii="Garamond" w:hAnsi="Garamond" w:cstheme="minorHAnsi"/>
          <w:sz w:val="24"/>
          <w:szCs w:val="24"/>
        </w:rPr>
        <w:t>that is applicable to complete communities</w:t>
      </w:r>
      <w:r w:rsidR="000A4668">
        <w:rPr>
          <w:rFonts w:ascii="Garamond" w:hAnsi="Garamond" w:cstheme="minorHAnsi"/>
          <w:sz w:val="24"/>
          <w:szCs w:val="24"/>
        </w:rPr>
        <w:t xml:space="preserve"> –</w:t>
      </w:r>
      <w:r w:rsidR="009C78BE" w:rsidRPr="00461D74">
        <w:rPr>
          <w:rFonts w:ascii="Garamond" w:hAnsi="Garamond" w:cstheme="minorHAnsi"/>
          <w:sz w:val="24"/>
          <w:szCs w:val="24"/>
        </w:rPr>
        <w:t xml:space="preserve"> </w:t>
      </w:r>
      <w:r w:rsidR="007B4B8F" w:rsidRPr="00461D74">
        <w:rPr>
          <w:rFonts w:ascii="Garamond" w:hAnsi="Garamond" w:cstheme="minorHAnsi"/>
          <w:sz w:val="24"/>
          <w:szCs w:val="24"/>
        </w:rPr>
        <w:t>communities that are self-sufficient</w:t>
      </w:r>
      <w:r w:rsidR="009C78BE" w:rsidRPr="00461D74">
        <w:rPr>
          <w:rFonts w:ascii="Garamond" w:hAnsi="Garamond" w:cstheme="minorHAnsi"/>
          <w:sz w:val="24"/>
          <w:szCs w:val="24"/>
        </w:rPr>
        <w:t>, capable of self-defence, and the exercise of coercive power</w:t>
      </w:r>
      <w:r w:rsidR="007B4B8F" w:rsidRPr="00461D74">
        <w:rPr>
          <w:rFonts w:ascii="Garamond" w:hAnsi="Garamond" w:cstheme="minorHAnsi"/>
          <w:sz w:val="24"/>
          <w:szCs w:val="24"/>
        </w:rPr>
        <w:t xml:space="preserve">. </w:t>
      </w:r>
      <w:r w:rsidR="00A50672">
        <w:rPr>
          <w:rFonts w:ascii="Garamond" w:hAnsi="Garamond" w:cstheme="minorHAnsi"/>
          <w:sz w:val="24"/>
          <w:szCs w:val="24"/>
        </w:rPr>
        <w:t>Now</w:t>
      </w:r>
      <w:r w:rsidR="009C78BE" w:rsidRPr="00461D74">
        <w:rPr>
          <w:rFonts w:ascii="Garamond" w:hAnsi="Garamond" w:cstheme="minorHAnsi"/>
          <w:sz w:val="24"/>
          <w:szCs w:val="24"/>
        </w:rPr>
        <w:t xml:space="preserve">, </w:t>
      </w:r>
      <w:r>
        <w:rPr>
          <w:rFonts w:ascii="Garamond" w:hAnsi="Garamond" w:cstheme="minorHAnsi"/>
          <w:sz w:val="24"/>
          <w:szCs w:val="24"/>
        </w:rPr>
        <w:t>with</w:t>
      </w:r>
      <w:r w:rsidR="009C78BE" w:rsidRPr="00461D74">
        <w:rPr>
          <w:rFonts w:ascii="Garamond" w:hAnsi="Garamond" w:cstheme="minorHAnsi"/>
          <w:sz w:val="24"/>
          <w:szCs w:val="24"/>
        </w:rPr>
        <w:t>in the contemporary political context, only nation-states are able to simultaneously meet all of these conditions.</w:t>
      </w:r>
      <w:r>
        <w:rPr>
          <w:rFonts w:ascii="Garamond" w:hAnsi="Garamond" w:cstheme="minorHAnsi"/>
          <w:sz w:val="24"/>
          <w:szCs w:val="24"/>
        </w:rPr>
        <w:t xml:space="preserve"> MacIntyre has nevertheless argued that this type of common good isn’t really available within the confines of large-scale political structures, and that the liberal state doesn’t ultimately generate the conditions conducive to the formation of the common good. And this is in part because large-scale political structures limit genuine deliberative democracy, and partly owing to the fact that the type of shared (common) goods – i.e., public interest – that is available in the liberal state, does not hold the right sort of relationship with the individual’s good.</w:t>
      </w:r>
    </w:p>
    <w:p w:rsidR="00665157" w:rsidRDefault="00016049" w:rsidP="000E1EBC">
      <w:pPr>
        <w:spacing w:line="360" w:lineRule="auto"/>
        <w:ind w:firstLine="567"/>
        <w:jc w:val="both"/>
        <w:rPr>
          <w:rFonts w:ascii="Garamond" w:hAnsi="Garamond" w:cstheme="minorHAnsi"/>
          <w:sz w:val="24"/>
          <w:szCs w:val="24"/>
        </w:rPr>
      </w:pPr>
      <w:r w:rsidRPr="00461D74">
        <w:rPr>
          <w:rFonts w:ascii="Garamond" w:hAnsi="Garamond" w:cstheme="minorHAnsi"/>
          <w:sz w:val="24"/>
          <w:szCs w:val="24"/>
        </w:rPr>
        <w:t xml:space="preserve">What </w:t>
      </w:r>
      <w:r w:rsidR="004E343D" w:rsidRPr="00461D74">
        <w:rPr>
          <w:rFonts w:ascii="Garamond" w:hAnsi="Garamond" w:cstheme="minorHAnsi"/>
          <w:sz w:val="24"/>
          <w:szCs w:val="24"/>
        </w:rPr>
        <w:t xml:space="preserve">the above </w:t>
      </w:r>
      <w:r w:rsidRPr="00461D74">
        <w:rPr>
          <w:rFonts w:ascii="Garamond" w:hAnsi="Garamond" w:cstheme="minorHAnsi"/>
          <w:sz w:val="24"/>
          <w:szCs w:val="24"/>
        </w:rPr>
        <w:t xml:space="preserve">suggests </w:t>
      </w:r>
      <w:r w:rsidR="00A635DD" w:rsidRPr="00461D74">
        <w:rPr>
          <w:rFonts w:ascii="Garamond" w:hAnsi="Garamond" w:cstheme="minorHAnsi"/>
          <w:sz w:val="24"/>
          <w:szCs w:val="24"/>
        </w:rPr>
        <w:t xml:space="preserve">is </w:t>
      </w:r>
      <w:r w:rsidRPr="00461D74">
        <w:rPr>
          <w:rFonts w:ascii="Garamond" w:hAnsi="Garamond" w:cstheme="minorHAnsi"/>
          <w:sz w:val="24"/>
          <w:szCs w:val="24"/>
        </w:rPr>
        <w:t>that in order to defend local communities</w:t>
      </w:r>
      <w:r w:rsidR="00A635DD" w:rsidRPr="00461D74">
        <w:rPr>
          <w:rFonts w:ascii="Garamond" w:hAnsi="Garamond" w:cstheme="minorHAnsi"/>
          <w:sz w:val="24"/>
          <w:szCs w:val="24"/>
        </w:rPr>
        <w:t>,</w:t>
      </w:r>
      <w:r w:rsidRPr="00461D74">
        <w:rPr>
          <w:rFonts w:ascii="Garamond" w:hAnsi="Garamond" w:cstheme="minorHAnsi"/>
          <w:sz w:val="24"/>
          <w:szCs w:val="24"/>
        </w:rPr>
        <w:t xml:space="preserve"> we </w:t>
      </w:r>
      <w:r w:rsidR="001D6470">
        <w:rPr>
          <w:rFonts w:ascii="Garamond" w:hAnsi="Garamond" w:cstheme="minorHAnsi"/>
          <w:sz w:val="24"/>
          <w:szCs w:val="24"/>
        </w:rPr>
        <w:t>ought to develop</w:t>
      </w:r>
      <w:r w:rsidR="007C5B8B" w:rsidRPr="00461D74">
        <w:rPr>
          <w:rFonts w:ascii="Garamond" w:hAnsi="Garamond" w:cstheme="minorHAnsi"/>
          <w:sz w:val="24"/>
          <w:szCs w:val="24"/>
        </w:rPr>
        <w:t xml:space="preserve"> </w:t>
      </w:r>
      <w:r w:rsidR="004E343D" w:rsidRPr="00461D74">
        <w:rPr>
          <w:rFonts w:ascii="Garamond" w:hAnsi="Garamond" w:cstheme="minorHAnsi"/>
          <w:sz w:val="24"/>
          <w:szCs w:val="24"/>
        </w:rPr>
        <w:t xml:space="preserve">a kind of politics that </w:t>
      </w:r>
      <w:r w:rsidR="007C5B8B" w:rsidRPr="00461D74">
        <w:rPr>
          <w:rFonts w:ascii="Garamond" w:hAnsi="Garamond" w:cstheme="minorHAnsi"/>
          <w:sz w:val="24"/>
          <w:szCs w:val="24"/>
        </w:rPr>
        <w:t>offers</w:t>
      </w:r>
      <w:r w:rsidR="004E343D" w:rsidRPr="00461D74">
        <w:rPr>
          <w:rFonts w:ascii="Garamond" w:hAnsi="Garamond" w:cstheme="minorHAnsi"/>
          <w:sz w:val="24"/>
          <w:szCs w:val="24"/>
        </w:rPr>
        <w:t xml:space="preserve"> </w:t>
      </w:r>
      <w:r w:rsidR="007C5B8B" w:rsidRPr="00461D74">
        <w:rPr>
          <w:rFonts w:ascii="Garamond" w:hAnsi="Garamond" w:cstheme="minorHAnsi"/>
          <w:sz w:val="24"/>
          <w:szCs w:val="24"/>
        </w:rPr>
        <w:t xml:space="preserve">a space </w:t>
      </w:r>
      <w:r w:rsidR="004E343D" w:rsidRPr="00461D74">
        <w:rPr>
          <w:rFonts w:ascii="Garamond" w:hAnsi="Garamond" w:cstheme="minorHAnsi"/>
          <w:sz w:val="24"/>
          <w:szCs w:val="24"/>
        </w:rPr>
        <w:t>for a substantive conception of the good</w:t>
      </w:r>
      <w:r w:rsidR="007C5B8B" w:rsidRPr="00461D74">
        <w:rPr>
          <w:rFonts w:ascii="Garamond" w:hAnsi="Garamond" w:cstheme="minorHAnsi"/>
          <w:sz w:val="24"/>
          <w:szCs w:val="24"/>
        </w:rPr>
        <w:t xml:space="preserve"> which is essential to the maintenance of cooperative social bonds, and this conception </w:t>
      </w:r>
      <w:r w:rsidR="002F7196">
        <w:rPr>
          <w:rFonts w:ascii="Garamond" w:hAnsi="Garamond" w:cstheme="minorHAnsi"/>
          <w:sz w:val="24"/>
          <w:szCs w:val="24"/>
        </w:rPr>
        <w:t>ought to</w:t>
      </w:r>
      <w:r w:rsidR="002F7196" w:rsidRPr="00461D74">
        <w:rPr>
          <w:rFonts w:ascii="Garamond" w:hAnsi="Garamond" w:cstheme="minorHAnsi"/>
          <w:sz w:val="24"/>
          <w:szCs w:val="24"/>
        </w:rPr>
        <w:t xml:space="preserve"> </w:t>
      </w:r>
      <w:r w:rsidR="007C5B8B" w:rsidRPr="00461D74">
        <w:rPr>
          <w:rFonts w:ascii="Garamond" w:hAnsi="Garamond" w:cstheme="minorHAnsi"/>
          <w:sz w:val="24"/>
          <w:szCs w:val="24"/>
        </w:rPr>
        <w:t>be generated as part of</w:t>
      </w:r>
      <w:r w:rsidR="004E343D" w:rsidRPr="00461D74">
        <w:rPr>
          <w:rFonts w:ascii="Garamond" w:hAnsi="Garamond" w:cstheme="minorHAnsi"/>
          <w:sz w:val="24"/>
          <w:szCs w:val="24"/>
        </w:rPr>
        <w:t xml:space="preserve"> </w:t>
      </w:r>
      <w:r w:rsidR="007C5B8B" w:rsidRPr="00461D74">
        <w:rPr>
          <w:rFonts w:ascii="Garamond" w:hAnsi="Garamond" w:cstheme="minorHAnsi"/>
          <w:sz w:val="24"/>
          <w:szCs w:val="24"/>
        </w:rPr>
        <w:t xml:space="preserve">deliberative </w:t>
      </w:r>
      <w:r w:rsidR="004E343D" w:rsidRPr="00461D74">
        <w:rPr>
          <w:rFonts w:ascii="Garamond" w:hAnsi="Garamond" w:cstheme="minorHAnsi"/>
          <w:sz w:val="24"/>
          <w:szCs w:val="24"/>
        </w:rPr>
        <w:t>democratic inquiry at the level</w:t>
      </w:r>
      <w:r w:rsidR="007C5B8B" w:rsidRPr="00461D74">
        <w:rPr>
          <w:rFonts w:ascii="Garamond" w:hAnsi="Garamond" w:cstheme="minorHAnsi"/>
          <w:sz w:val="24"/>
          <w:szCs w:val="24"/>
        </w:rPr>
        <w:t xml:space="preserve"> of communities. Nevertheless, this solution raises important </w:t>
      </w:r>
      <w:r w:rsidR="00041B53">
        <w:rPr>
          <w:rFonts w:ascii="Garamond" w:hAnsi="Garamond" w:cstheme="minorHAnsi"/>
          <w:sz w:val="24"/>
          <w:szCs w:val="24"/>
        </w:rPr>
        <w:t xml:space="preserve">considerations as to whether it would end up violating </w:t>
      </w:r>
      <w:r w:rsidR="007C5B8B" w:rsidRPr="00461D74">
        <w:rPr>
          <w:rFonts w:ascii="Garamond" w:hAnsi="Garamond" w:cstheme="minorHAnsi"/>
          <w:sz w:val="24"/>
          <w:szCs w:val="24"/>
        </w:rPr>
        <w:t>the principle of neutrality</w:t>
      </w:r>
      <w:r w:rsidR="00041B53">
        <w:rPr>
          <w:rFonts w:ascii="Garamond" w:hAnsi="Garamond" w:cstheme="minorHAnsi"/>
          <w:sz w:val="24"/>
          <w:szCs w:val="24"/>
        </w:rPr>
        <w:t xml:space="preserve">, </w:t>
      </w:r>
      <w:r w:rsidR="002F7196">
        <w:rPr>
          <w:rFonts w:ascii="Garamond" w:hAnsi="Garamond" w:cstheme="minorHAnsi"/>
          <w:sz w:val="24"/>
          <w:szCs w:val="24"/>
        </w:rPr>
        <w:t xml:space="preserve">the </w:t>
      </w:r>
      <w:r w:rsidR="00041B53">
        <w:rPr>
          <w:rFonts w:ascii="Garamond" w:hAnsi="Garamond" w:cstheme="minorHAnsi"/>
          <w:sz w:val="24"/>
          <w:szCs w:val="24"/>
        </w:rPr>
        <w:t>bedrock of modern politics</w:t>
      </w:r>
      <w:r w:rsidR="007C5B8B" w:rsidRPr="00461D74">
        <w:rPr>
          <w:rFonts w:ascii="Garamond" w:hAnsi="Garamond" w:cstheme="minorHAnsi"/>
          <w:sz w:val="24"/>
          <w:szCs w:val="24"/>
        </w:rPr>
        <w:t xml:space="preserve">. How can we allow a space for a substantive conception of the good yet </w:t>
      </w:r>
      <w:r w:rsidR="00F03331" w:rsidRPr="00461D74">
        <w:rPr>
          <w:rFonts w:ascii="Garamond" w:hAnsi="Garamond" w:cstheme="minorHAnsi"/>
          <w:sz w:val="24"/>
          <w:szCs w:val="24"/>
        </w:rPr>
        <w:t>at the same</w:t>
      </w:r>
      <w:r w:rsidR="001A7F30" w:rsidRPr="00461D74">
        <w:rPr>
          <w:rFonts w:ascii="Garamond" w:hAnsi="Garamond" w:cstheme="minorHAnsi"/>
          <w:sz w:val="24"/>
          <w:szCs w:val="24"/>
        </w:rPr>
        <w:t xml:space="preserve"> </w:t>
      </w:r>
      <w:r w:rsidR="00F03331" w:rsidRPr="00461D74">
        <w:rPr>
          <w:rFonts w:ascii="Garamond" w:hAnsi="Garamond" w:cstheme="minorHAnsi"/>
          <w:sz w:val="24"/>
          <w:szCs w:val="24"/>
        </w:rPr>
        <w:t xml:space="preserve">time ensure </w:t>
      </w:r>
      <w:r w:rsidR="001A7F30" w:rsidRPr="00461D74">
        <w:rPr>
          <w:rFonts w:ascii="Garamond" w:hAnsi="Garamond" w:cstheme="minorHAnsi"/>
          <w:sz w:val="24"/>
          <w:szCs w:val="24"/>
        </w:rPr>
        <w:t xml:space="preserve">that </w:t>
      </w:r>
      <w:r w:rsidR="00F03331" w:rsidRPr="00461D74">
        <w:rPr>
          <w:rFonts w:ascii="Garamond" w:hAnsi="Garamond" w:cstheme="minorHAnsi"/>
          <w:sz w:val="24"/>
          <w:szCs w:val="24"/>
        </w:rPr>
        <w:t>our actions</w:t>
      </w:r>
      <w:r w:rsidR="007C5B8B" w:rsidRPr="00461D74">
        <w:rPr>
          <w:rFonts w:ascii="Garamond" w:hAnsi="Garamond" w:cstheme="minorHAnsi"/>
          <w:sz w:val="24"/>
          <w:szCs w:val="24"/>
        </w:rPr>
        <w:t xml:space="preserve"> </w:t>
      </w:r>
      <w:r w:rsidR="00F03331" w:rsidRPr="00461D74">
        <w:rPr>
          <w:rFonts w:ascii="Garamond" w:hAnsi="Garamond" w:cstheme="minorHAnsi"/>
          <w:sz w:val="24"/>
          <w:szCs w:val="24"/>
        </w:rPr>
        <w:t xml:space="preserve">do not violate </w:t>
      </w:r>
      <w:r w:rsidR="001A7F30" w:rsidRPr="00461D74">
        <w:rPr>
          <w:rFonts w:ascii="Garamond" w:hAnsi="Garamond" w:cstheme="minorHAnsi"/>
          <w:sz w:val="24"/>
          <w:szCs w:val="24"/>
        </w:rPr>
        <w:t xml:space="preserve">essential </w:t>
      </w:r>
      <w:r w:rsidR="00F03331" w:rsidRPr="00461D74">
        <w:rPr>
          <w:rFonts w:ascii="Garamond" w:hAnsi="Garamond" w:cstheme="minorHAnsi"/>
          <w:sz w:val="24"/>
          <w:szCs w:val="24"/>
        </w:rPr>
        <w:t>civil liberties</w:t>
      </w:r>
      <w:r w:rsidR="001A7F30" w:rsidRPr="00461D74">
        <w:rPr>
          <w:rFonts w:ascii="Garamond" w:hAnsi="Garamond" w:cstheme="minorHAnsi"/>
          <w:sz w:val="24"/>
          <w:szCs w:val="24"/>
        </w:rPr>
        <w:t>, which</w:t>
      </w:r>
      <w:r w:rsidR="00F03331" w:rsidRPr="00461D74">
        <w:rPr>
          <w:rFonts w:ascii="Garamond" w:hAnsi="Garamond" w:cstheme="minorHAnsi"/>
          <w:sz w:val="24"/>
          <w:szCs w:val="24"/>
        </w:rPr>
        <w:t xml:space="preserve"> </w:t>
      </w:r>
      <w:r w:rsidR="001A7F30" w:rsidRPr="00461D74">
        <w:rPr>
          <w:rFonts w:ascii="Garamond" w:hAnsi="Garamond" w:cstheme="minorHAnsi"/>
          <w:sz w:val="24"/>
          <w:szCs w:val="24"/>
        </w:rPr>
        <w:t>are founded upon</w:t>
      </w:r>
      <w:r w:rsidR="00524AF3" w:rsidRPr="00461D74">
        <w:rPr>
          <w:rFonts w:ascii="Garamond" w:hAnsi="Garamond" w:cstheme="minorHAnsi"/>
          <w:sz w:val="24"/>
          <w:szCs w:val="24"/>
        </w:rPr>
        <w:t xml:space="preserve"> </w:t>
      </w:r>
      <w:r w:rsidR="00F53A35" w:rsidRPr="00461D74">
        <w:rPr>
          <w:rFonts w:ascii="Garamond" w:hAnsi="Garamond" w:cstheme="minorHAnsi"/>
          <w:sz w:val="24"/>
          <w:szCs w:val="24"/>
        </w:rPr>
        <w:t xml:space="preserve">the principle of neutrality, </w:t>
      </w:r>
      <w:r w:rsidR="00524AF3" w:rsidRPr="00461D74">
        <w:rPr>
          <w:rFonts w:ascii="Garamond" w:hAnsi="Garamond" w:cstheme="minorHAnsi"/>
          <w:sz w:val="24"/>
          <w:szCs w:val="24"/>
        </w:rPr>
        <w:lastRenderedPageBreak/>
        <w:t xml:space="preserve">autonomy, and toleration, </w:t>
      </w:r>
      <w:r w:rsidR="00F53A35" w:rsidRPr="00461D74">
        <w:rPr>
          <w:rFonts w:ascii="Garamond" w:hAnsi="Garamond" w:cstheme="minorHAnsi"/>
          <w:sz w:val="24"/>
          <w:szCs w:val="24"/>
        </w:rPr>
        <w:t xml:space="preserve">and </w:t>
      </w:r>
      <w:r w:rsidR="00524AF3" w:rsidRPr="00461D74">
        <w:rPr>
          <w:rFonts w:ascii="Garamond" w:hAnsi="Garamond" w:cstheme="minorHAnsi"/>
          <w:sz w:val="24"/>
          <w:szCs w:val="24"/>
        </w:rPr>
        <w:t>remain</w:t>
      </w:r>
      <w:r w:rsidR="006A0A4D" w:rsidRPr="00461D74">
        <w:rPr>
          <w:rFonts w:ascii="Garamond" w:hAnsi="Garamond" w:cstheme="minorHAnsi"/>
          <w:sz w:val="24"/>
          <w:szCs w:val="24"/>
        </w:rPr>
        <w:t xml:space="preserve"> </w:t>
      </w:r>
      <w:r w:rsidR="00F53A35" w:rsidRPr="00461D74">
        <w:rPr>
          <w:rFonts w:ascii="Garamond" w:hAnsi="Garamond" w:cstheme="minorHAnsi"/>
          <w:sz w:val="24"/>
          <w:szCs w:val="24"/>
        </w:rPr>
        <w:t xml:space="preserve">deeply </w:t>
      </w:r>
      <w:r w:rsidR="00524AF3" w:rsidRPr="00461D74">
        <w:rPr>
          <w:rFonts w:ascii="Garamond" w:hAnsi="Garamond" w:cstheme="minorHAnsi"/>
          <w:sz w:val="24"/>
          <w:szCs w:val="24"/>
        </w:rPr>
        <w:t>embedded in our social and political life</w:t>
      </w:r>
      <w:r w:rsidR="006A0A4D" w:rsidRPr="00461D74">
        <w:rPr>
          <w:rFonts w:ascii="Garamond" w:hAnsi="Garamond" w:cstheme="minorHAnsi"/>
          <w:sz w:val="24"/>
          <w:szCs w:val="24"/>
        </w:rPr>
        <w:t>?</w:t>
      </w:r>
    </w:p>
    <w:p w:rsidR="00665157" w:rsidRDefault="009D7B38">
      <w:pPr>
        <w:spacing w:line="360" w:lineRule="auto"/>
        <w:ind w:firstLine="567"/>
        <w:jc w:val="both"/>
        <w:rPr>
          <w:rFonts w:ascii="Garamond" w:hAnsi="Garamond" w:cstheme="minorHAnsi"/>
          <w:sz w:val="24"/>
          <w:szCs w:val="24"/>
        </w:rPr>
      </w:pPr>
      <w:r w:rsidRPr="00461D74">
        <w:rPr>
          <w:rFonts w:ascii="Garamond" w:hAnsi="Garamond" w:cstheme="minorHAnsi"/>
          <w:sz w:val="24"/>
          <w:szCs w:val="24"/>
        </w:rPr>
        <w:t xml:space="preserve">Now, </w:t>
      </w:r>
      <w:r w:rsidR="00016049" w:rsidRPr="00461D74">
        <w:rPr>
          <w:rFonts w:ascii="Garamond" w:hAnsi="Garamond" w:cstheme="minorHAnsi"/>
          <w:sz w:val="24"/>
          <w:szCs w:val="24"/>
        </w:rPr>
        <w:t>MacIntyre</w:t>
      </w:r>
      <w:r w:rsidR="00CD1CE8">
        <w:rPr>
          <w:rFonts w:ascii="Garamond" w:hAnsi="Garamond" w:cstheme="minorHAnsi"/>
          <w:sz w:val="24"/>
          <w:szCs w:val="24"/>
        </w:rPr>
        <w:t>’s</w:t>
      </w:r>
      <w:r w:rsidR="00016049" w:rsidRPr="00461D74">
        <w:rPr>
          <w:rFonts w:ascii="Garamond" w:hAnsi="Garamond" w:cstheme="minorHAnsi"/>
          <w:sz w:val="24"/>
          <w:szCs w:val="24"/>
        </w:rPr>
        <w:t xml:space="preserve"> </w:t>
      </w:r>
      <w:r w:rsidR="00A74C61" w:rsidRPr="00461D74">
        <w:rPr>
          <w:rFonts w:ascii="Garamond" w:hAnsi="Garamond" w:cstheme="minorHAnsi"/>
          <w:sz w:val="24"/>
          <w:szCs w:val="24"/>
        </w:rPr>
        <w:t xml:space="preserve">position </w:t>
      </w:r>
      <w:r w:rsidR="00016049" w:rsidRPr="00461D74">
        <w:rPr>
          <w:rFonts w:ascii="Garamond" w:hAnsi="Garamond" w:cstheme="minorHAnsi"/>
          <w:sz w:val="24"/>
          <w:szCs w:val="24"/>
        </w:rPr>
        <w:t xml:space="preserve">is often </w:t>
      </w:r>
      <w:r w:rsidR="00A74C61" w:rsidRPr="00461D74">
        <w:rPr>
          <w:rFonts w:ascii="Garamond" w:hAnsi="Garamond" w:cstheme="minorHAnsi"/>
          <w:sz w:val="24"/>
          <w:szCs w:val="24"/>
        </w:rPr>
        <w:t xml:space="preserve">viewed as close to the </w:t>
      </w:r>
      <w:r w:rsidR="00016049" w:rsidRPr="00461D74">
        <w:rPr>
          <w:rFonts w:ascii="Garamond" w:hAnsi="Garamond" w:cstheme="minorHAnsi"/>
          <w:sz w:val="24"/>
          <w:szCs w:val="24"/>
        </w:rPr>
        <w:t>communitarian</w:t>
      </w:r>
      <w:r w:rsidR="00A74C61" w:rsidRPr="00461D74">
        <w:rPr>
          <w:rFonts w:ascii="Garamond" w:hAnsi="Garamond" w:cstheme="minorHAnsi"/>
          <w:sz w:val="24"/>
          <w:szCs w:val="24"/>
        </w:rPr>
        <w:t>s</w:t>
      </w:r>
      <w:r w:rsidR="00F50B06" w:rsidRPr="00461D74">
        <w:rPr>
          <w:rFonts w:ascii="Garamond" w:hAnsi="Garamond" w:cstheme="minorHAnsi"/>
          <w:sz w:val="24"/>
          <w:szCs w:val="24"/>
        </w:rPr>
        <w:t>,</w:t>
      </w:r>
      <w:r w:rsidR="007E114B" w:rsidRPr="00461D74">
        <w:rPr>
          <w:rStyle w:val="FootnoteReference"/>
          <w:rFonts w:ascii="Garamond" w:hAnsi="Garamond" w:cstheme="minorHAnsi"/>
          <w:sz w:val="24"/>
          <w:szCs w:val="24"/>
        </w:rPr>
        <w:footnoteReference w:id="392"/>
      </w:r>
      <w:r w:rsidR="00016049" w:rsidRPr="00461D74">
        <w:rPr>
          <w:rFonts w:ascii="Garamond" w:hAnsi="Garamond" w:cstheme="minorHAnsi"/>
          <w:sz w:val="24"/>
          <w:szCs w:val="24"/>
        </w:rPr>
        <w:t xml:space="preserve"> even though </w:t>
      </w:r>
      <w:r w:rsidR="00A74C61" w:rsidRPr="00461D74">
        <w:rPr>
          <w:rFonts w:ascii="Garamond" w:hAnsi="Garamond" w:cstheme="minorHAnsi"/>
          <w:sz w:val="24"/>
          <w:szCs w:val="24"/>
        </w:rPr>
        <w:t xml:space="preserve">he supports the liberal position with respect to </w:t>
      </w:r>
      <w:r w:rsidR="00016049" w:rsidRPr="00461D74">
        <w:rPr>
          <w:rFonts w:ascii="Garamond" w:hAnsi="Garamond" w:cstheme="minorHAnsi"/>
          <w:sz w:val="24"/>
          <w:szCs w:val="24"/>
        </w:rPr>
        <w:t xml:space="preserve">an important debate between liberal and communitarian political </w:t>
      </w:r>
      <w:r w:rsidR="00A74C61" w:rsidRPr="00461D74">
        <w:rPr>
          <w:rFonts w:ascii="Garamond" w:hAnsi="Garamond" w:cstheme="minorHAnsi"/>
          <w:sz w:val="24"/>
          <w:szCs w:val="24"/>
        </w:rPr>
        <w:t>theorists</w:t>
      </w:r>
      <w:r w:rsidR="00016049" w:rsidRPr="00461D74">
        <w:rPr>
          <w:rFonts w:ascii="Garamond" w:hAnsi="Garamond" w:cstheme="minorHAnsi"/>
          <w:sz w:val="24"/>
          <w:szCs w:val="24"/>
        </w:rPr>
        <w:t xml:space="preserve">. </w:t>
      </w:r>
      <w:r w:rsidR="00BF213C" w:rsidRPr="00461D74">
        <w:rPr>
          <w:rFonts w:ascii="Garamond" w:hAnsi="Garamond" w:cstheme="minorHAnsi"/>
          <w:sz w:val="24"/>
          <w:szCs w:val="24"/>
        </w:rPr>
        <w:t xml:space="preserve">While communitarians want an acknowledgment of some conception of the good by the state, liberal thinkers generally maintain that the state shouldn’t acknowledge any one conception of the good and </w:t>
      </w:r>
      <w:r w:rsidR="00F50B06" w:rsidRPr="00461D74">
        <w:rPr>
          <w:rFonts w:ascii="Garamond" w:hAnsi="Garamond" w:cstheme="minorHAnsi"/>
          <w:sz w:val="24"/>
          <w:szCs w:val="24"/>
        </w:rPr>
        <w:t xml:space="preserve">should </w:t>
      </w:r>
      <w:r w:rsidR="00BF213C" w:rsidRPr="00461D74">
        <w:rPr>
          <w:rFonts w:ascii="Garamond" w:hAnsi="Garamond" w:cstheme="minorHAnsi"/>
          <w:sz w:val="24"/>
          <w:szCs w:val="24"/>
        </w:rPr>
        <w:t xml:space="preserve">remain neutral. Here, </w:t>
      </w:r>
      <w:r w:rsidR="00016049" w:rsidRPr="00461D74">
        <w:rPr>
          <w:rFonts w:ascii="Garamond" w:hAnsi="Garamond" w:cstheme="minorHAnsi"/>
          <w:sz w:val="24"/>
          <w:szCs w:val="24"/>
        </w:rPr>
        <w:t xml:space="preserve">MacIntyre rejects the idea that the state </w:t>
      </w:r>
      <w:r w:rsidR="007A2635" w:rsidRPr="00461D74">
        <w:rPr>
          <w:rFonts w:ascii="Garamond" w:hAnsi="Garamond" w:cstheme="minorHAnsi"/>
          <w:sz w:val="24"/>
          <w:szCs w:val="24"/>
        </w:rPr>
        <w:t xml:space="preserve">could constructively </w:t>
      </w:r>
      <w:r w:rsidR="00016049" w:rsidRPr="00461D74">
        <w:rPr>
          <w:rFonts w:ascii="Garamond" w:hAnsi="Garamond" w:cstheme="minorHAnsi"/>
          <w:sz w:val="24"/>
          <w:szCs w:val="24"/>
        </w:rPr>
        <w:t>adopt a substantive conception of the good</w:t>
      </w:r>
      <w:r w:rsidR="007A2635"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In the </w:t>
      </w:r>
      <w:r w:rsidR="00557872">
        <w:rPr>
          <w:rFonts w:ascii="Garamond" w:hAnsi="Garamond" w:cstheme="minorHAnsi"/>
          <w:sz w:val="24"/>
          <w:szCs w:val="24"/>
        </w:rPr>
        <w:t>‘</w:t>
      </w:r>
      <w:r w:rsidR="00016049" w:rsidRPr="00461D74">
        <w:rPr>
          <w:rFonts w:ascii="Garamond" w:hAnsi="Garamond" w:cstheme="minorHAnsi"/>
          <w:sz w:val="24"/>
          <w:szCs w:val="24"/>
        </w:rPr>
        <w:t>Theses on Feuerbach: A Road not Taken</w:t>
      </w:r>
      <w:r w:rsidR="00557872">
        <w:rPr>
          <w:rFonts w:ascii="Garamond" w:hAnsi="Garamond" w:cstheme="minorHAnsi"/>
          <w:sz w:val="24"/>
          <w:szCs w:val="24"/>
        </w:rPr>
        <w:t>’</w:t>
      </w:r>
      <w:r w:rsidR="00016049" w:rsidRPr="00461D74">
        <w:rPr>
          <w:rFonts w:ascii="Garamond" w:hAnsi="Garamond" w:cstheme="minorHAnsi"/>
          <w:sz w:val="24"/>
          <w:szCs w:val="24"/>
        </w:rPr>
        <w:t xml:space="preserve"> he states that “the state should not impose any</w:t>
      </w:r>
      <w:r w:rsidR="00F50B06" w:rsidRPr="00461D74">
        <w:rPr>
          <w:rFonts w:ascii="Garamond" w:hAnsi="Garamond" w:cstheme="minorHAnsi"/>
          <w:sz w:val="24"/>
          <w:szCs w:val="24"/>
        </w:rPr>
        <w:t xml:space="preserve"> </w:t>
      </w:r>
      <w:r w:rsidR="00016049" w:rsidRPr="00461D74">
        <w:rPr>
          <w:rFonts w:ascii="Garamond" w:hAnsi="Garamond" w:cstheme="minorHAnsi"/>
          <w:sz w:val="24"/>
          <w:szCs w:val="24"/>
        </w:rPr>
        <w:t>one conception of the good precisely because it is not neutral and so it can’t be trusted to promote any worthwhile set of values.”</w:t>
      </w:r>
      <w:r w:rsidR="00016049" w:rsidRPr="00461D74">
        <w:rPr>
          <w:rStyle w:val="FootnoteReference"/>
          <w:rFonts w:ascii="Garamond" w:hAnsi="Garamond" w:cstheme="minorHAnsi"/>
          <w:sz w:val="24"/>
          <w:szCs w:val="24"/>
        </w:rPr>
        <w:footnoteReference w:id="393"/>
      </w:r>
      <w:r w:rsidR="00016049" w:rsidRPr="00461D74">
        <w:rPr>
          <w:rFonts w:ascii="Garamond" w:hAnsi="Garamond" w:cstheme="minorHAnsi"/>
          <w:sz w:val="24"/>
          <w:szCs w:val="24"/>
        </w:rPr>
        <w:t xml:space="preserve"> Elsewhere in </w:t>
      </w:r>
      <w:r w:rsidR="00EF5B27">
        <w:rPr>
          <w:rFonts w:ascii="Garamond" w:hAnsi="Garamond" w:cstheme="minorHAnsi"/>
          <w:sz w:val="24"/>
          <w:szCs w:val="24"/>
        </w:rPr>
        <w:t>‘</w:t>
      </w:r>
      <w:r w:rsidR="00016049" w:rsidRPr="00461D74">
        <w:rPr>
          <w:rFonts w:ascii="Garamond" w:hAnsi="Garamond" w:cstheme="minorHAnsi"/>
          <w:sz w:val="24"/>
          <w:szCs w:val="24"/>
        </w:rPr>
        <w:t>Toleration and the Goods of Conflict</w:t>
      </w:r>
      <w:r w:rsidR="00EF5B27">
        <w:rPr>
          <w:rFonts w:ascii="Garamond" w:hAnsi="Garamond" w:cstheme="minorHAnsi"/>
          <w:sz w:val="24"/>
          <w:szCs w:val="24"/>
        </w:rPr>
        <w:t>’</w:t>
      </w:r>
      <w:r w:rsidR="00016049" w:rsidRPr="00461D74">
        <w:rPr>
          <w:rFonts w:ascii="Garamond" w:hAnsi="Garamond" w:cstheme="minorHAnsi"/>
          <w:sz w:val="24"/>
          <w:szCs w:val="24"/>
        </w:rPr>
        <w:t xml:space="preserve"> he claims that “the contemporary state is not and cannot be </w:t>
      </w:r>
      <w:proofErr w:type="spellStart"/>
      <w:r w:rsidR="00016049" w:rsidRPr="00461D74">
        <w:rPr>
          <w:rFonts w:ascii="Garamond" w:hAnsi="Garamond" w:cstheme="minorHAnsi"/>
          <w:sz w:val="24"/>
          <w:szCs w:val="24"/>
        </w:rPr>
        <w:t>evaluatively</w:t>
      </w:r>
      <w:proofErr w:type="spellEnd"/>
      <w:r w:rsidR="00016049" w:rsidRPr="00461D74">
        <w:rPr>
          <w:rFonts w:ascii="Garamond" w:hAnsi="Garamond" w:cstheme="minorHAnsi"/>
          <w:sz w:val="24"/>
          <w:szCs w:val="24"/>
        </w:rPr>
        <w:t xml:space="preserve"> neutral, and secondly that it is just because of the ways in which the state is not </w:t>
      </w:r>
      <w:proofErr w:type="spellStart"/>
      <w:r w:rsidR="00016049" w:rsidRPr="00461D74">
        <w:rPr>
          <w:rFonts w:ascii="Garamond" w:hAnsi="Garamond" w:cstheme="minorHAnsi"/>
          <w:sz w:val="24"/>
          <w:szCs w:val="24"/>
        </w:rPr>
        <w:t>evaluatively</w:t>
      </w:r>
      <w:proofErr w:type="spellEnd"/>
      <w:r w:rsidR="00016049" w:rsidRPr="00461D74">
        <w:rPr>
          <w:rFonts w:ascii="Garamond" w:hAnsi="Garamond" w:cstheme="minorHAnsi"/>
          <w:sz w:val="24"/>
          <w:szCs w:val="24"/>
        </w:rPr>
        <w:t xml:space="preserve"> neutral that it cannot generally be trusted to promote any worthwhile set of values, including those of autonomy and liberty</w:t>
      </w:r>
      <w:r w:rsidR="00EF5B27">
        <w:rPr>
          <w:rFonts w:ascii="Garamond" w:hAnsi="Garamond" w:cstheme="minorHAnsi"/>
          <w:sz w:val="24"/>
          <w:szCs w:val="24"/>
        </w:rPr>
        <w:t>;</w:t>
      </w:r>
      <w:r w:rsidR="00016049" w:rsidRPr="00461D74">
        <w:rPr>
          <w:rFonts w:ascii="Garamond" w:hAnsi="Garamond" w:cstheme="minorHAnsi"/>
          <w:sz w:val="24"/>
          <w:szCs w:val="24"/>
        </w:rPr>
        <w:t>”</w:t>
      </w:r>
      <w:r w:rsidR="00AF5869" w:rsidRPr="00461D74">
        <w:rPr>
          <w:rFonts w:ascii="Garamond" w:hAnsi="Garamond" w:cstheme="minorHAnsi"/>
          <w:sz w:val="24"/>
          <w:szCs w:val="24"/>
        </w:rPr>
        <w:t xml:space="preserve"> </w:t>
      </w:r>
      <w:r w:rsidR="00EF5B27">
        <w:rPr>
          <w:rFonts w:ascii="Garamond" w:hAnsi="Garamond" w:cstheme="minorHAnsi"/>
          <w:sz w:val="24"/>
          <w:szCs w:val="24"/>
        </w:rPr>
        <w:t>yet</w:t>
      </w:r>
      <w:r w:rsidR="00AF5869" w:rsidRPr="00461D74">
        <w:rPr>
          <w:rFonts w:ascii="Garamond" w:hAnsi="Garamond" w:cstheme="minorHAnsi"/>
          <w:sz w:val="24"/>
          <w:szCs w:val="24"/>
        </w:rPr>
        <w:t xml:space="preserve">, he also argues </w:t>
      </w:r>
      <w:r w:rsidR="00016049" w:rsidRPr="00461D74">
        <w:rPr>
          <w:rFonts w:ascii="Garamond" w:hAnsi="Garamond" w:cstheme="minorHAnsi"/>
          <w:sz w:val="24"/>
          <w:szCs w:val="24"/>
        </w:rPr>
        <w:t>that “even although that neutrality is never real, it is an important fiction, and those of us who recognize its importance as well as its fictional character will agree with liberals in upholding a certain range of civil liberties.”</w:t>
      </w:r>
      <w:r w:rsidR="00016049" w:rsidRPr="00461D74">
        <w:rPr>
          <w:rStyle w:val="FootnoteReference"/>
          <w:rFonts w:ascii="Garamond" w:hAnsi="Garamond" w:cstheme="minorHAnsi"/>
          <w:sz w:val="24"/>
          <w:szCs w:val="24"/>
        </w:rPr>
        <w:footnoteReference w:id="394"/>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This suggests that with respect to neutrality in the liberal state, MacIntyre </w:t>
      </w:r>
      <w:r w:rsidR="00AF5869" w:rsidRPr="00461D74">
        <w:rPr>
          <w:rFonts w:ascii="Garamond" w:hAnsi="Garamond" w:cstheme="minorHAnsi"/>
          <w:sz w:val="24"/>
          <w:szCs w:val="24"/>
        </w:rPr>
        <w:t xml:space="preserve">seems to </w:t>
      </w:r>
      <w:r w:rsidR="001A116E" w:rsidRPr="00461D74">
        <w:rPr>
          <w:rFonts w:ascii="Garamond" w:hAnsi="Garamond" w:cstheme="minorHAnsi"/>
          <w:sz w:val="24"/>
          <w:szCs w:val="24"/>
        </w:rPr>
        <w:t>believe</w:t>
      </w:r>
      <w:r w:rsidR="00AF5869" w:rsidRPr="00461D74">
        <w:rPr>
          <w:rFonts w:ascii="Garamond" w:hAnsi="Garamond" w:cstheme="minorHAnsi"/>
          <w:sz w:val="24"/>
          <w:szCs w:val="24"/>
        </w:rPr>
        <w:t xml:space="preserve"> </w:t>
      </w:r>
      <w:r w:rsidRPr="00461D74">
        <w:rPr>
          <w:rFonts w:ascii="Garamond" w:hAnsi="Garamond" w:cstheme="minorHAnsi"/>
          <w:sz w:val="24"/>
          <w:szCs w:val="24"/>
        </w:rPr>
        <w:t xml:space="preserve">that </w:t>
      </w:r>
      <w:r w:rsidR="001A116E" w:rsidRPr="00461D74">
        <w:rPr>
          <w:rFonts w:ascii="Garamond" w:hAnsi="Garamond" w:cstheme="minorHAnsi"/>
          <w:sz w:val="24"/>
          <w:szCs w:val="24"/>
        </w:rPr>
        <w:t xml:space="preserve">while the liberal state isn’t </w:t>
      </w:r>
      <w:r w:rsidR="00233D01" w:rsidRPr="00461D74">
        <w:rPr>
          <w:rFonts w:ascii="Garamond" w:hAnsi="Garamond" w:cstheme="minorHAnsi"/>
          <w:sz w:val="24"/>
          <w:szCs w:val="24"/>
        </w:rPr>
        <w:t xml:space="preserve">genuinely </w:t>
      </w:r>
      <w:r w:rsidR="001A116E" w:rsidRPr="00461D74">
        <w:rPr>
          <w:rFonts w:ascii="Garamond" w:hAnsi="Garamond" w:cstheme="minorHAnsi"/>
          <w:sz w:val="24"/>
          <w:szCs w:val="24"/>
        </w:rPr>
        <w:t xml:space="preserve">neutral, </w:t>
      </w:r>
      <w:r w:rsidR="0016742C">
        <w:rPr>
          <w:rFonts w:ascii="Garamond" w:hAnsi="Garamond" w:cstheme="minorHAnsi"/>
          <w:sz w:val="24"/>
          <w:szCs w:val="24"/>
        </w:rPr>
        <w:t>pseudo-</w:t>
      </w:r>
      <w:r w:rsidR="001A116E" w:rsidRPr="00461D74">
        <w:rPr>
          <w:rFonts w:ascii="Garamond" w:hAnsi="Garamond" w:cstheme="minorHAnsi"/>
          <w:sz w:val="24"/>
          <w:szCs w:val="24"/>
        </w:rPr>
        <w:t xml:space="preserve">neutrality is </w:t>
      </w:r>
      <w:r w:rsidR="00233D01" w:rsidRPr="00461D74">
        <w:rPr>
          <w:rFonts w:ascii="Garamond" w:hAnsi="Garamond" w:cstheme="minorHAnsi"/>
          <w:sz w:val="24"/>
          <w:szCs w:val="24"/>
        </w:rPr>
        <w:t xml:space="preserve">an </w:t>
      </w:r>
      <w:r w:rsidR="001A116E" w:rsidRPr="00461D74">
        <w:rPr>
          <w:rFonts w:ascii="Garamond" w:hAnsi="Garamond" w:cstheme="minorHAnsi"/>
          <w:sz w:val="24"/>
          <w:szCs w:val="24"/>
        </w:rPr>
        <w:t xml:space="preserve">important feature of the liberal state </w:t>
      </w:r>
      <w:r w:rsidR="00BF213C" w:rsidRPr="00461D74">
        <w:rPr>
          <w:rFonts w:ascii="Garamond" w:hAnsi="Garamond" w:cstheme="minorHAnsi"/>
          <w:sz w:val="24"/>
          <w:szCs w:val="24"/>
        </w:rPr>
        <w:t>(</w:t>
      </w:r>
      <w:r w:rsidR="001A116E" w:rsidRPr="00461D74">
        <w:rPr>
          <w:rFonts w:ascii="Garamond" w:hAnsi="Garamond" w:cstheme="minorHAnsi"/>
          <w:sz w:val="24"/>
          <w:szCs w:val="24"/>
        </w:rPr>
        <w:t>especially with respect to ensuring civil liberties and equal protection under the law</w:t>
      </w:r>
      <w:r w:rsidR="00BF213C" w:rsidRPr="00461D74">
        <w:rPr>
          <w:rFonts w:ascii="Garamond" w:hAnsi="Garamond" w:cstheme="minorHAnsi"/>
          <w:sz w:val="24"/>
          <w:szCs w:val="24"/>
        </w:rPr>
        <w:t>)</w:t>
      </w:r>
      <w:r w:rsidR="001A116E" w:rsidRPr="00461D74">
        <w:rPr>
          <w:rFonts w:ascii="Garamond" w:hAnsi="Garamond" w:cstheme="minorHAnsi"/>
          <w:sz w:val="24"/>
          <w:szCs w:val="24"/>
        </w:rPr>
        <w:t>.</w:t>
      </w:r>
      <w:r w:rsidRPr="00461D74">
        <w:rPr>
          <w:rFonts w:ascii="Garamond" w:hAnsi="Garamond" w:cstheme="minorHAnsi"/>
          <w:sz w:val="24"/>
          <w:szCs w:val="24"/>
        </w:rPr>
        <w:t xml:space="preserve"> </w:t>
      </w:r>
      <w:r w:rsidR="009D7B38" w:rsidRPr="00461D74">
        <w:rPr>
          <w:rFonts w:ascii="Garamond" w:hAnsi="Garamond" w:cstheme="minorHAnsi"/>
          <w:sz w:val="24"/>
          <w:szCs w:val="24"/>
        </w:rPr>
        <w:t xml:space="preserve">Here, </w:t>
      </w:r>
      <w:r w:rsidRPr="00461D74">
        <w:rPr>
          <w:rFonts w:ascii="Garamond" w:hAnsi="Garamond" w:cstheme="minorHAnsi"/>
          <w:sz w:val="24"/>
          <w:szCs w:val="24"/>
        </w:rPr>
        <w:t xml:space="preserve">we could accept that the state isn’t living up to the ideal of neutrality, and that as currently </w:t>
      </w:r>
      <w:r w:rsidRPr="00461D74">
        <w:rPr>
          <w:rFonts w:ascii="Garamond" w:hAnsi="Garamond" w:cstheme="minorHAnsi"/>
          <w:sz w:val="24"/>
          <w:szCs w:val="24"/>
        </w:rPr>
        <w:lastRenderedPageBreak/>
        <w:t>structured</w:t>
      </w:r>
      <w:r w:rsidR="00176640">
        <w:rPr>
          <w:rFonts w:ascii="Garamond" w:hAnsi="Garamond" w:cstheme="minorHAnsi"/>
          <w:sz w:val="24"/>
          <w:szCs w:val="24"/>
        </w:rPr>
        <w:t>,</w:t>
      </w:r>
      <w:r w:rsidRPr="00461D74">
        <w:rPr>
          <w:rFonts w:ascii="Garamond" w:hAnsi="Garamond" w:cstheme="minorHAnsi"/>
          <w:sz w:val="24"/>
          <w:szCs w:val="24"/>
        </w:rPr>
        <w:t xml:space="preserve"> it </w:t>
      </w:r>
      <w:r w:rsidR="00BF213C" w:rsidRPr="00461D74">
        <w:rPr>
          <w:rFonts w:ascii="Garamond" w:hAnsi="Garamond" w:cstheme="minorHAnsi"/>
          <w:sz w:val="24"/>
          <w:szCs w:val="24"/>
        </w:rPr>
        <w:t>is unable to effectively</w:t>
      </w:r>
      <w:r w:rsidRPr="00461D74">
        <w:rPr>
          <w:rFonts w:ascii="Garamond" w:hAnsi="Garamond" w:cstheme="minorHAnsi"/>
          <w:sz w:val="24"/>
          <w:szCs w:val="24"/>
        </w:rPr>
        <w:t xml:space="preserve"> realize this goal. </w:t>
      </w:r>
      <w:r w:rsidR="009D7B38" w:rsidRPr="00461D74">
        <w:rPr>
          <w:rFonts w:ascii="Garamond" w:hAnsi="Garamond" w:cstheme="minorHAnsi"/>
          <w:sz w:val="24"/>
          <w:szCs w:val="24"/>
        </w:rPr>
        <w:t xml:space="preserve">Thus, </w:t>
      </w:r>
      <w:r w:rsidRPr="00461D74">
        <w:rPr>
          <w:rFonts w:ascii="Garamond" w:hAnsi="Garamond" w:cstheme="minorHAnsi"/>
          <w:sz w:val="24"/>
          <w:szCs w:val="24"/>
        </w:rPr>
        <w:t xml:space="preserve">MacIntyre, it seems, </w:t>
      </w:r>
      <w:r w:rsidR="001A116E" w:rsidRPr="00461D74">
        <w:rPr>
          <w:rFonts w:ascii="Garamond" w:hAnsi="Garamond" w:cstheme="minorHAnsi"/>
          <w:sz w:val="24"/>
          <w:szCs w:val="24"/>
        </w:rPr>
        <w:t xml:space="preserve">desires </w:t>
      </w:r>
      <w:r w:rsidRPr="00461D74">
        <w:rPr>
          <w:rFonts w:ascii="Garamond" w:hAnsi="Garamond" w:cstheme="minorHAnsi"/>
          <w:sz w:val="24"/>
          <w:szCs w:val="24"/>
        </w:rPr>
        <w:t xml:space="preserve">a state that </w:t>
      </w:r>
      <w:r w:rsidR="00B01712">
        <w:rPr>
          <w:rFonts w:ascii="Garamond" w:hAnsi="Garamond" w:cstheme="minorHAnsi"/>
          <w:sz w:val="24"/>
          <w:szCs w:val="24"/>
        </w:rPr>
        <w:t>affords</w:t>
      </w:r>
      <w:r w:rsidR="00B01712" w:rsidRPr="00461D74">
        <w:rPr>
          <w:rFonts w:ascii="Garamond" w:hAnsi="Garamond" w:cstheme="minorHAnsi"/>
          <w:sz w:val="24"/>
          <w:szCs w:val="24"/>
        </w:rPr>
        <w:t xml:space="preserve"> </w:t>
      </w:r>
      <w:r w:rsidR="001A116E" w:rsidRPr="00461D74">
        <w:rPr>
          <w:rFonts w:ascii="Garamond" w:hAnsi="Garamond" w:cstheme="minorHAnsi"/>
          <w:sz w:val="24"/>
          <w:szCs w:val="24"/>
        </w:rPr>
        <w:t>a more authentic</w:t>
      </w:r>
      <w:r w:rsidR="009068AC" w:rsidRPr="00461D74">
        <w:rPr>
          <w:rFonts w:ascii="Garamond" w:hAnsi="Garamond" w:cstheme="minorHAnsi"/>
          <w:sz w:val="24"/>
          <w:szCs w:val="24"/>
        </w:rPr>
        <w:t xml:space="preserve"> </w:t>
      </w:r>
      <w:r w:rsidR="00B01712">
        <w:rPr>
          <w:rFonts w:ascii="Garamond" w:hAnsi="Garamond" w:cstheme="minorHAnsi"/>
          <w:sz w:val="24"/>
          <w:szCs w:val="24"/>
        </w:rPr>
        <w:t>expression</w:t>
      </w:r>
      <w:r w:rsidR="00B01712" w:rsidRPr="00461D74">
        <w:rPr>
          <w:rFonts w:ascii="Garamond" w:hAnsi="Garamond" w:cstheme="minorHAnsi"/>
          <w:sz w:val="24"/>
          <w:szCs w:val="24"/>
        </w:rPr>
        <w:t xml:space="preserve"> </w:t>
      </w:r>
      <w:r w:rsidR="00A465CE" w:rsidRPr="00461D74">
        <w:rPr>
          <w:rFonts w:ascii="Garamond" w:hAnsi="Garamond" w:cstheme="minorHAnsi"/>
          <w:sz w:val="24"/>
          <w:szCs w:val="24"/>
        </w:rPr>
        <w:t xml:space="preserve">of </w:t>
      </w:r>
      <w:r w:rsidRPr="00461D74">
        <w:rPr>
          <w:rFonts w:ascii="Garamond" w:hAnsi="Garamond" w:cstheme="minorHAnsi"/>
          <w:sz w:val="24"/>
          <w:szCs w:val="24"/>
        </w:rPr>
        <w:t>neutrality</w:t>
      </w:r>
      <w:r w:rsidR="00A465CE" w:rsidRPr="00461D74">
        <w:rPr>
          <w:rFonts w:ascii="Garamond" w:hAnsi="Garamond" w:cstheme="minorHAnsi"/>
          <w:sz w:val="24"/>
          <w:szCs w:val="24"/>
        </w:rPr>
        <w:t>.</w:t>
      </w:r>
      <w:r w:rsidR="009D7B38" w:rsidRPr="00461D74">
        <w:rPr>
          <w:rFonts w:ascii="Garamond" w:hAnsi="Garamond" w:cstheme="minorHAnsi"/>
          <w:sz w:val="24"/>
          <w:szCs w:val="24"/>
        </w:rPr>
        <w:t xml:space="preserve"> This I think is a fairly uncontroversial and plausible line of reasoning with one caveat</w:t>
      </w:r>
      <w:r w:rsidR="00F50B06" w:rsidRPr="00461D74">
        <w:rPr>
          <w:rFonts w:ascii="Garamond" w:hAnsi="Garamond" w:cstheme="minorHAnsi"/>
          <w:sz w:val="24"/>
          <w:szCs w:val="24"/>
        </w:rPr>
        <w:t>,</w:t>
      </w:r>
      <w:r w:rsidR="009D7B38" w:rsidRPr="00461D74">
        <w:rPr>
          <w:rFonts w:ascii="Garamond" w:hAnsi="Garamond" w:cstheme="minorHAnsi"/>
          <w:sz w:val="24"/>
          <w:szCs w:val="24"/>
        </w:rPr>
        <w:t xml:space="preserve"> which is that MacIntyre rejects </w:t>
      </w:r>
      <w:r w:rsidR="00E23C05" w:rsidRPr="00461D74">
        <w:rPr>
          <w:rFonts w:ascii="Garamond" w:hAnsi="Garamond" w:cstheme="minorHAnsi"/>
          <w:sz w:val="24"/>
          <w:szCs w:val="24"/>
        </w:rPr>
        <w:t>any</w:t>
      </w:r>
      <w:r w:rsidR="009D7B38" w:rsidRPr="00461D74">
        <w:rPr>
          <w:rFonts w:ascii="Garamond" w:hAnsi="Garamond" w:cstheme="minorHAnsi"/>
          <w:sz w:val="24"/>
          <w:szCs w:val="24"/>
        </w:rPr>
        <w:t xml:space="preserve"> possibility </w:t>
      </w:r>
      <w:r w:rsidR="00E23C05" w:rsidRPr="00461D74">
        <w:rPr>
          <w:rFonts w:ascii="Garamond" w:hAnsi="Garamond" w:cstheme="minorHAnsi"/>
          <w:sz w:val="24"/>
          <w:szCs w:val="24"/>
        </w:rPr>
        <w:t>for constructively</w:t>
      </w:r>
      <w:r w:rsidR="00B01712">
        <w:rPr>
          <w:rFonts w:ascii="Garamond" w:hAnsi="Garamond" w:cstheme="minorHAnsi"/>
          <w:sz w:val="24"/>
          <w:szCs w:val="24"/>
        </w:rPr>
        <w:t>,</w:t>
      </w:r>
      <w:r w:rsidR="009D7B38" w:rsidRPr="00461D74">
        <w:rPr>
          <w:rFonts w:ascii="Garamond" w:hAnsi="Garamond" w:cstheme="minorHAnsi"/>
          <w:sz w:val="24"/>
          <w:szCs w:val="24"/>
        </w:rPr>
        <w:t xml:space="preserve"> </w:t>
      </w:r>
      <w:r w:rsidR="00B01712">
        <w:rPr>
          <w:rFonts w:ascii="Garamond" w:hAnsi="Garamond" w:cstheme="minorHAnsi"/>
          <w:sz w:val="24"/>
          <w:szCs w:val="24"/>
        </w:rPr>
        <w:t xml:space="preserve">yet incrementally, adapting and transforming </w:t>
      </w:r>
      <w:r w:rsidR="009D7B38" w:rsidRPr="00461D74">
        <w:rPr>
          <w:rFonts w:ascii="Garamond" w:hAnsi="Garamond" w:cstheme="minorHAnsi"/>
          <w:sz w:val="24"/>
          <w:szCs w:val="24"/>
        </w:rPr>
        <w:t>the state to</w:t>
      </w:r>
      <w:r w:rsidR="00E23C05" w:rsidRPr="00461D74">
        <w:rPr>
          <w:rFonts w:ascii="Garamond" w:hAnsi="Garamond" w:cstheme="minorHAnsi"/>
          <w:sz w:val="24"/>
          <w:szCs w:val="24"/>
        </w:rPr>
        <w:t>wards</w:t>
      </w:r>
      <w:r w:rsidR="009D7B38" w:rsidRPr="00461D74">
        <w:rPr>
          <w:rFonts w:ascii="Garamond" w:hAnsi="Garamond" w:cstheme="minorHAnsi"/>
          <w:sz w:val="24"/>
          <w:szCs w:val="24"/>
        </w:rPr>
        <w:t xml:space="preserve"> </w:t>
      </w:r>
      <w:r w:rsidR="00E23C05" w:rsidRPr="00461D74">
        <w:rPr>
          <w:rFonts w:ascii="Garamond" w:hAnsi="Garamond" w:cstheme="minorHAnsi"/>
          <w:sz w:val="24"/>
          <w:szCs w:val="24"/>
        </w:rPr>
        <w:t>the realisation of</w:t>
      </w:r>
      <w:r w:rsidR="00DB44B7" w:rsidRPr="00461D74">
        <w:rPr>
          <w:rFonts w:ascii="Garamond" w:hAnsi="Garamond" w:cstheme="minorHAnsi"/>
          <w:sz w:val="24"/>
          <w:szCs w:val="24"/>
        </w:rPr>
        <w:t xml:space="preserve"> this goal</w:t>
      </w:r>
      <w:r w:rsidR="009D7B38" w:rsidRPr="00461D74">
        <w:rPr>
          <w:rFonts w:ascii="Garamond" w:hAnsi="Garamond" w:cstheme="minorHAnsi"/>
          <w:sz w:val="24"/>
          <w:szCs w:val="24"/>
        </w:rPr>
        <w:t xml:space="preserve">.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problem with MacIntyre’s </w:t>
      </w:r>
      <w:r w:rsidR="00B01712">
        <w:rPr>
          <w:rFonts w:ascii="Garamond" w:hAnsi="Garamond" w:cstheme="minorHAnsi"/>
          <w:sz w:val="24"/>
          <w:szCs w:val="24"/>
        </w:rPr>
        <w:t>conclusion</w:t>
      </w:r>
      <w:r w:rsidR="00B01712" w:rsidRPr="00461D74">
        <w:rPr>
          <w:rFonts w:ascii="Garamond" w:hAnsi="Garamond" w:cstheme="minorHAnsi"/>
          <w:sz w:val="24"/>
          <w:szCs w:val="24"/>
        </w:rPr>
        <w:t xml:space="preserve"> </w:t>
      </w:r>
      <w:r w:rsidRPr="00461D74">
        <w:rPr>
          <w:rFonts w:ascii="Garamond" w:hAnsi="Garamond" w:cstheme="minorHAnsi"/>
          <w:sz w:val="24"/>
          <w:szCs w:val="24"/>
        </w:rPr>
        <w:t xml:space="preserve">is that by rejecting the possibility of the state being neutral, it </w:t>
      </w:r>
      <w:r w:rsidR="009068AC" w:rsidRPr="00461D74">
        <w:rPr>
          <w:rFonts w:ascii="Garamond" w:hAnsi="Garamond" w:cstheme="minorHAnsi"/>
          <w:sz w:val="24"/>
          <w:szCs w:val="24"/>
        </w:rPr>
        <w:t xml:space="preserve">succumbs to a non-empirical foundational </w:t>
      </w:r>
      <w:r w:rsidR="00CD25BF" w:rsidRPr="00461D74">
        <w:rPr>
          <w:rFonts w:ascii="Garamond" w:hAnsi="Garamond" w:cstheme="minorHAnsi"/>
          <w:sz w:val="24"/>
          <w:szCs w:val="24"/>
        </w:rPr>
        <w:t xml:space="preserve">(or essentialist) </w:t>
      </w:r>
      <w:r w:rsidR="009068AC" w:rsidRPr="00461D74">
        <w:rPr>
          <w:rFonts w:ascii="Garamond" w:hAnsi="Garamond" w:cstheme="minorHAnsi"/>
          <w:sz w:val="24"/>
          <w:szCs w:val="24"/>
        </w:rPr>
        <w:t>claim that seems to block some possible avenues of inquiry.</w:t>
      </w:r>
      <w:r w:rsidRPr="00461D74">
        <w:rPr>
          <w:rFonts w:ascii="Garamond" w:hAnsi="Garamond" w:cstheme="minorHAnsi"/>
          <w:sz w:val="24"/>
          <w:szCs w:val="24"/>
        </w:rPr>
        <w:t xml:space="preserve"> Yet </w:t>
      </w:r>
      <w:r w:rsidR="009068AC" w:rsidRPr="00461D74">
        <w:rPr>
          <w:rFonts w:ascii="Garamond" w:hAnsi="Garamond" w:cstheme="minorHAnsi"/>
          <w:sz w:val="24"/>
          <w:szCs w:val="24"/>
        </w:rPr>
        <w:t xml:space="preserve">elements </w:t>
      </w:r>
      <w:r w:rsidR="00440B98">
        <w:rPr>
          <w:rFonts w:ascii="Garamond" w:hAnsi="Garamond" w:cstheme="minorHAnsi"/>
          <w:sz w:val="24"/>
          <w:szCs w:val="24"/>
        </w:rPr>
        <w:t>in</w:t>
      </w:r>
      <w:r w:rsidR="00440B98" w:rsidRPr="00461D74">
        <w:rPr>
          <w:rFonts w:ascii="Garamond" w:hAnsi="Garamond" w:cstheme="minorHAnsi"/>
          <w:sz w:val="24"/>
          <w:szCs w:val="24"/>
        </w:rPr>
        <w:t xml:space="preserve"> </w:t>
      </w:r>
      <w:r w:rsidRPr="00461D74">
        <w:rPr>
          <w:rFonts w:ascii="Garamond" w:hAnsi="Garamond" w:cstheme="minorHAnsi"/>
          <w:sz w:val="24"/>
          <w:szCs w:val="24"/>
        </w:rPr>
        <w:t xml:space="preserve">MacIntyre’s historicism </w:t>
      </w:r>
      <w:r w:rsidR="009068AC" w:rsidRPr="00461D74">
        <w:rPr>
          <w:rFonts w:ascii="Garamond" w:hAnsi="Garamond" w:cstheme="minorHAnsi"/>
          <w:sz w:val="24"/>
          <w:szCs w:val="24"/>
        </w:rPr>
        <w:t xml:space="preserve">and fallibilism </w:t>
      </w:r>
      <w:r w:rsidRPr="00461D74">
        <w:rPr>
          <w:rFonts w:ascii="Garamond" w:hAnsi="Garamond" w:cstheme="minorHAnsi"/>
          <w:sz w:val="24"/>
          <w:szCs w:val="24"/>
        </w:rPr>
        <w:t xml:space="preserve">suggest that </w:t>
      </w:r>
      <w:r w:rsidR="009068AC" w:rsidRPr="00461D74">
        <w:rPr>
          <w:rFonts w:ascii="Garamond" w:hAnsi="Garamond" w:cstheme="minorHAnsi"/>
          <w:sz w:val="24"/>
          <w:szCs w:val="24"/>
        </w:rPr>
        <w:t xml:space="preserve">one </w:t>
      </w:r>
      <w:r w:rsidRPr="00461D74">
        <w:rPr>
          <w:rFonts w:ascii="Garamond" w:hAnsi="Garamond" w:cstheme="minorHAnsi"/>
          <w:sz w:val="24"/>
          <w:szCs w:val="24"/>
        </w:rPr>
        <w:t xml:space="preserve">should </w:t>
      </w:r>
      <w:r w:rsidR="00D15654" w:rsidRPr="00461D74">
        <w:rPr>
          <w:rFonts w:ascii="Garamond" w:hAnsi="Garamond" w:cstheme="minorHAnsi"/>
          <w:sz w:val="24"/>
          <w:szCs w:val="24"/>
        </w:rPr>
        <w:t xml:space="preserve">normally </w:t>
      </w:r>
      <w:r w:rsidRPr="00461D74">
        <w:rPr>
          <w:rFonts w:ascii="Garamond" w:hAnsi="Garamond" w:cstheme="minorHAnsi"/>
          <w:sz w:val="24"/>
          <w:szCs w:val="24"/>
        </w:rPr>
        <w:t xml:space="preserve">shy away from </w:t>
      </w:r>
      <w:r w:rsidR="009068AC" w:rsidRPr="00461D74">
        <w:rPr>
          <w:rFonts w:ascii="Garamond" w:hAnsi="Garamond" w:cstheme="minorHAnsi"/>
          <w:sz w:val="24"/>
          <w:szCs w:val="24"/>
        </w:rPr>
        <w:t>such wide-ranging foundational claims</w:t>
      </w:r>
      <w:r w:rsidRPr="00461D74">
        <w:rPr>
          <w:rFonts w:ascii="Garamond" w:hAnsi="Garamond" w:cstheme="minorHAnsi"/>
          <w:sz w:val="24"/>
          <w:szCs w:val="24"/>
        </w:rPr>
        <w:t>. On the historicist (non-</w:t>
      </w:r>
      <w:proofErr w:type="spellStart"/>
      <w:r w:rsidR="009068AC" w:rsidRPr="00461D74">
        <w:rPr>
          <w:rFonts w:ascii="Garamond" w:hAnsi="Garamond" w:cstheme="minorHAnsi"/>
          <w:sz w:val="24"/>
          <w:szCs w:val="24"/>
        </w:rPr>
        <w:t>foundationalist</w:t>
      </w:r>
      <w:proofErr w:type="spellEnd"/>
      <w:r w:rsidRPr="00461D74">
        <w:rPr>
          <w:rFonts w:ascii="Garamond" w:hAnsi="Garamond" w:cstheme="minorHAnsi"/>
          <w:sz w:val="24"/>
          <w:szCs w:val="24"/>
        </w:rPr>
        <w:t xml:space="preserve">) view, there is no reason for us to think that it is impossible for the state to realize a certain level of authentic neutrality, or </w:t>
      </w:r>
      <w:r w:rsidR="00F50B06" w:rsidRPr="00461D74">
        <w:rPr>
          <w:rFonts w:ascii="Garamond" w:hAnsi="Garamond" w:cstheme="minorHAnsi"/>
          <w:sz w:val="24"/>
          <w:szCs w:val="24"/>
        </w:rPr>
        <w:t xml:space="preserve">– </w:t>
      </w:r>
      <w:r w:rsidRPr="00461D74">
        <w:rPr>
          <w:rFonts w:ascii="Garamond" w:hAnsi="Garamond" w:cstheme="minorHAnsi"/>
          <w:sz w:val="24"/>
          <w:szCs w:val="24"/>
        </w:rPr>
        <w:t>to employ a more appropriate terminology – remain properly procedural (at least in some aspects) in ways that are more</w:t>
      </w:r>
      <w:r w:rsidR="00440B98">
        <w:rPr>
          <w:rFonts w:ascii="Garamond" w:hAnsi="Garamond" w:cstheme="minorHAnsi"/>
          <w:sz w:val="24"/>
          <w:szCs w:val="24"/>
        </w:rPr>
        <w:t>,</w:t>
      </w:r>
      <w:r w:rsidRPr="00461D74">
        <w:rPr>
          <w:rFonts w:ascii="Garamond" w:hAnsi="Garamond" w:cstheme="minorHAnsi"/>
          <w:sz w:val="24"/>
          <w:szCs w:val="24"/>
        </w:rPr>
        <w:t xml:space="preserve"> </w:t>
      </w:r>
      <w:r w:rsidR="00440B98">
        <w:rPr>
          <w:rFonts w:ascii="Garamond" w:hAnsi="Garamond" w:cstheme="minorHAnsi"/>
          <w:sz w:val="24"/>
          <w:szCs w:val="24"/>
        </w:rPr>
        <w:t>rather than</w:t>
      </w:r>
      <w:r w:rsidR="00440B98" w:rsidRPr="00461D74">
        <w:rPr>
          <w:rFonts w:ascii="Garamond" w:hAnsi="Garamond" w:cstheme="minorHAnsi"/>
          <w:sz w:val="24"/>
          <w:szCs w:val="24"/>
        </w:rPr>
        <w:t xml:space="preserve"> </w:t>
      </w:r>
      <w:r w:rsidRPr="00461D74">
        <w:rPr>
          <w:rFonts w:ascii="Garamond" w:hAnsi="Garamond" w:cstheme="minorHAnsi"/>
          <w:sz w:val="24"/>
          <w:szCs w:val="24"/>
        </w:rPr>
        <w:t>less</w:t>
      </w:r>
      <w:r w:rsidR="00440B98">
        <w:rPr>
          <w:rFonts w:ascii="Garamond" w:hAnsi="Garamond" w:cstheme="minorHAnsi"/>
          <w:sz w:val="24"/>
          <w:szCs w:val="24"/>
        </w:rPr>
        <w:t>,</w:t>
      </w:r>
      <w:r w:rsidRPr="00461D74">
        <w:rPr>
          <w:rFonts w:ascii="Garamond" w:hAnsi="Garamond" w:cstheme="minorHAnsi"/>
          <w:sz w:val="24"/>
          <w:szCs w:val="24"/>
        </w:rPr>
        <w:t xml:space="preserve"> neutral.</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What is significant for our </w:t>
      </w:r>
      <w:r w:rsidR="00DB44B7" w:rsidRPr="00461D74">
        <w:rPr>
          <w:rFonts w:ascii="Garamond" w:hAnsi="Garamond" w:cstheme="minorHAnsi"/>
          <w:sz w:val="24"/>
          <w:szCs w:val="24"/>
        </w:rPr>
        <w:t xml:space="preserve">discussion </w:t>
      </w:r>
      <w:r w:rsidRPr="00461D74">
        <w:rPr>
          <w:rFonts w:ascii="Garamond" w:hAnsi="Garamond" w:cstheme="minorHAnsi"/>
          <w:sz w:val="24"/>
          <w:szCs w:val="24"/>
        </w:rPr>
        <w:t xml:space="preserve">is that in order to </w:t>
      </w:r>
      <w:r w:rsidR="00DB44B7" w:rsidRPr="00461D74">
        <w:rPr>
          <w:rFonts w:ascii="Garamond" w:hAnsi="Garamond" w:cstheme="minorHAnsi"/>
          <w:sz w:val="24"/>
          <w:szCs w:val="24"/>
        </w:rPr>
        <w:t xml:space="preserve">advance </w:t>
      </w:r>
      <w:r w:rsidRPr="00461D74">
        <w:rPr>
          <w:rFonts w:ascii="Garamond" w:hAnsi="Garamond" w:cstheme="minorHAnsi"/>
          <w:sz w:val="24"/>
          <w:szCs w:val="24"/>
        </w:rPr>
        <w:t xml:space="preserve">a formulation amenable to MacIntyre’s overall aims, we </w:t>
      </w:r>
      <w:r w:rsidR="00065B30" w:rsidRPr="00461D74">
        <w:rPr>
          <w:rFonts w:ascii="Garamond" w:hAnsi="Garamond" w:cstheme="minorHAnsi"/>
          <w:sz w:val="24"/>
          <w:szCs w:val="24"/>
        </w:rPr>
        <w:t xml:space="preserve">are not forced to </w:t>
      </w:r>
      <w:r w:rsidRPr="00461D74">
        <w:rPr>
          <w:rFonts w:ascii="Garamond" w:hAnsi="Garamond" w:cstheme="minorHAnsi"/>
          <w:sz w:val="24"/>
          <w:szCs w:val="24"/>
        </w:rPr>
        <w:t xml:space="preserve">abandon all </w:t>
      </w:r>
      <w:r w:rsidR="00D15654" w:rsidRPr="00461D74">
        <w:rPr>
          <w:rFonts w:ascii="Garamond" w:hAnsi="Garamond" w:cstheme="minorHAnsi"/>
          <w:sz w:val="24"/>
          <w:szCs w:val="24"/>
        </w:rPr>
        <w:t xml:space="preserve">talk of </w:t>
      </w:r>
      <w:r w:rsidRPr="00461D74">
        <w:rPr>
          <w:rFonts w:ascii="Garamond" w:hAnsi="Garamond" w:cstheme="minorHAnsi"/>
          <w:sz w:val="24"/>
          <w:szCs w:val="24"/>
        </w:rPr>
        <w:t>neutral</w:t>
      </w:r>
      <w:r w:rsidR="00DB44B7" w:rsidRPr="00461D74">
        <w:rPr>
          <w:rFonts w:ascii="Garamond" w:hAnsi="Garamond" w:cstheme="minorHAnsi"/>
          <w:sz w:val="24"/>
          <w:szCs w:val="24"/>
        </w:rPr>
        <w:t xml:space="preserve"> (or </w:t>
      </w:r>
      <w:proofErr w:type="spellStart"/>
      <w:r w:rsidRPr="00461D74">
        <w:rPr>
          <w:rFonts w:ascii="Garamond" w:hAnsi="Garamond" w:cstheme="minorHAnsi"/>
          <w:sz w:val="24"/>
          <w:szCs w:val="24"/>
        </w:rPr>
        <w:t>proceduralist</w:t>
      </w:r>
      <w:proofErr w:type="spellEnd"/>
      <w:r w:rsidR="00D15654" w:rsidRPr="00461D74">
        <w:rPr>
          <w:rFonts w:ascii="Garamond" w:hAnsi="Garamond" w:cstheme="minorHAnsi"/>
          <w:sz w:val="24"/>
          <w:szCs w:val="24"/>
        </w:rPr>
        <w:t>)</w:t>
      </w:r>
      <w:r w:rsidRPr="00461D74">
        <w:rPr>
          <w:rFonts w:ascii="Garamond" w:hAnsi="Garamond" w:cstheme="minorHAnsi"/>
          <w:sz w:val="24"/>
          <w:szCs w:val="24"/>
        </w:rPr>
        <w:t xml:space="preserve"> politics altogether. </w:t>
      </w:r>
      <w:r w:rsidR="00E23C05" w:rsidRPr="00461D74">
        <w:rPr>
          <w:rFonts w:ascii="Garamond" w:hAnsi="Garamond" w:cstheme="minorHAnsi"/>
          <w:sz w:val="24"/>
          <w:szCs w:val="24"/>
        </w:rPr>
        <w:t>So how can we balance the need for a substantive conception of the good with the fact of pluralism and neutrality, and the realities of social life in contemporary pluralist multi-cultural societies?</w:t>
      </w:r>
      <w:r w:rsidR="00FA54BD" w:rsidRPr="00461D74">
        <w:rPr>
          <w:rFonts w:ascii="Garamond" w:hAnsi="Garamond" w:cstheme="minorHAnsi"/>
          <w:sz w:val="24"/>
          <w:szCs w:val="24"/>
        </w:rPr>
        <w:t xml:space="preserve"> </w:t>
      </w:r>
      <w:r w:rsidR="00E23C05" w:rsidRPr="00461D74">
        <w:rPr>
          <w:rFonts w:ascii="Garamond" w:hAnsi="Garamond" w:cstheme="minorHAnsi"/>
          <w:sz w:val="24"/>
          <w:szCs w:val="24"/>
        </w:rPr>
        <w:t xml:space="preserve">I would like to suggest that it may be possible to delineate </w:t>
      </w:r>
      <w:r w:rsidRPr="00461D74">
        <w:rPr>
          <w:rFonts w:ascii="Garamond" w:hAnsi="Garamond" w:cstheme="minorHAnsi"/>
          <w:sz w:val="24"/>
          <w:szCs w:val="24"/>
        </w:rPr>
        <w:t xml:space="preserve">a space for prioritizing </w:t>
      </w:r>
      <w:r w:rsidR="00133879">
        <w:rPr>
          <w:rFonts w:ascii="Garamond" w:hAnsi="Garamond" w:cstheme="minorHAnsi"/>
          <w:sz w:val="24"/>
          <w:szCs w:val="24"/>
        </w:rPr>
        <w:t>certain</w:t>
      </w:r>
      <w:r w:rsidR="00133879" w:rsidRPr="00461D74">
        <w:rPr>
          <w:rFonts w:ascii="Garamond" w:hAnsi="Garamond" w:cstheme="minorHAnsi"/>
          <w:sz w:val="24"/>
          <w:szCs w:val="24"/>
        </w:rPr>
        <w:t xml:space="preserve"> </w:t>
      </w:r>
      <w:r w:rsidRPr="00461D74">
        <w:rPr>
          <w:rFonts w:ascii="Garamond" w:hAnsi="Garamond" w:cstheme="minorHAnsi"/>
          <w:sz w:val="24"/>
          <w:szCs w:val="24"/>
        </w:rPr>
        <w:t xml:space="preserve">substantive </w:t>
      </w:r>
      <w:r w:rsidR="00D15654" w:rsidRPr="00461D74">
        <w:rPr>
          <w:rFonts w:ascii="Garamond" w:hAnsi="Garamond" w:cstheme="minorHAnsi"/>
          <w:sz w:val="24"/>
          <w:szCs w:val="24"/>
        </w:rPr>
        <w:t>conception</w:t>
      </w:r>
      <w:r w:rsidR="00133879">
        <w:rPr>
          <w:rFonts w:ascii="Garamond" w:hAnsi="Garamond" w:cstheme="minorHAnsi"/>
          <w:sz w:val="24"/>
          <w:szCs w:val="24"/>
        </w:rPr>
        <w:t>s</w:t>
      </w:r>
      <w:r w:rsidR="00D15654" w:rsidRPr="00461D74">
        <w:rPr>
          <w:rFonts w:ascii="Garamond" w:hAnsi="Garamond" w:cstheme="minorHAnsi"/>
          <w:sz w:val="24"/>
          <w:szCs w:val="24"/>
        </w:rPr>
        <w:t xml:space="preserve"> </w:t>
      </w:r>
      <w:r w:rsidRPr="00461D74">
        <w:rPr>
          <w:rFonts w:ascii="Garamond" w:hAnsi="Garamond" w:cstheme="minorHAnsi"/>
          <w:sz w:val="24"/>
          <w:szCs w:val="24"/>
        </w:rPr>
        <w:t xml:space="preserve">of the good in </w:t>
      </w:r>
      <w:r w:rsidR="00133879">
        <w:rPr>
          <w:rFonts w:ascii="Garamond" w:hAnsi="Garamond" w:cstheme="minorHAnsi"/>
          <w:sz w:val="24"/>
          <w:szCs w:val="24"/>
        </w:rPr>
        <w:t>specific</w:t>
      </w:r>
      <w:r w:rsidR="00133879" w:rsidRPr="00461D74">
        <w:rPr>
          <w:rFonts w:ascii="Garamond" w:hAnsi="Garamond" w:cstheme="minorHAnsi"/>
          <w:sz w:val="24"/>
          <w:szCs w:val="24"/>
        </w:rPr>
        <w:t xml:space="preserve"> </w:t>
      </w:r>
      <w:r w:rsidRPr="00461D74">
        <w:rPr>
          <w:rFonts w:ascii="Garamond" w:hAnsi="Garamond" w:cstheme="minorHAnsi"/>
          <w:sz w:val="24"/>
          <w:szCs w:val="24"/>
        </w:rPr>
        <w:t>domains</w:t>
      </w:r>
      <w:r w:rsidR="00E23C05" w:rsidRPr="00461D74">
        <w:rPr>
          <w:rFonts w:ascii="Garamond" w:hAnsi="Garamond" w:cstheme="minorHAnsi"/>
          <w:sz w:val="24"/>
          <w:szCs w:val="24"/>
        </w:rPr>
        <w:t>,</w:t>
      </w:r>
      <w:r w:rsidR="00133879">
        <w:rPr>
          <w:rFonts w:ascii="Garamond" w:hAnsi="Garamond" w:cstheme="minorHAnsi"/>
          <w:sz w:val="24"/>
          <w:szCs w:val="24"/>
        </w:rPr>
        <w:t xml:space="preserve"> i.e., </w:t>
      </w:r>
      <w:r w:rsidRPr="00461D74">
        <w:rPr>
          <w:rFonts w:ascii="Garamond" w:hAnsi="Garamond" w:cstheme="minorHAnsi"/>
          <w:sz w:val="24"/>
          <w:szCs w:val="24"/>
        </w:rPr>
        <w:t>local communities</w:t>
      </w:r>
      <w:r w:rsidR="00E23C05" w:rsidRPr="00461D74">
        <w:rPr>
          <w:rFonts w:ascii="Garamond" w:hAnsi="Garamond" w:cstheme="minorHAnsi"/>
          <w:sz w:val="24"/>
          <w:szCs w:val="24"/>
        </w:rPr>
        <w:t>,</w:t>
      </w:r>
      <w:r w:rsidRPr="00461D74">
        <w:rPr>
          <w:rFonts w:ascii="Garamond" w:hAnsi="Garamond" w:cstheme="minorHAnsi"/>
          <w:sz w:val="24"/>
          <w:szCs w:val="24"/>
        </w:rPr>
        <w:t xml:space="preserve"> </w:t>
      </w:r>
      <w:r w:rsidR="0065579F">
        <w:rPr>
          <w:rFonts w:ascii="Garamond" w:hAnsi="Garamond" w:cstheme="minorHAnsi"/>
          <w:sz w:val="24"/>
          <w:szCs w:val="24"/>
        </w:rPr>
        <w:t>where we</w:t>
      </w:r>
      <w:r w:rsidRPr="00461D74">
        <w:rPr>
          <w:rFonts w:ascii="Garamond" w:hAnsi="Garamond" w:cstheme="minorHAnsi"/>
          <w:sz w:val="24"/>
          <w:szCs w:val="24"/>
        </w:rPr>
        <w:t xml:space="preserve"> can </w:t>
      </w:r>
      <w:r w:rsidR="0065579F">
        <w:rPr>
          <w:rFonts w:ascii="Garamond" w:hAnsi="Garamond" w:cstheme="minorHAnsi"/>
          <w:sz w:val="24"/>
          <w:szCs w:val="24"/>
        </w:rPr>
        <w:t>advance</w:t>
      </w:r>
      <w:r w:rsidR="0065579F" w:rsidRPr="00461D74">
        <w:rPr>
          <w:rFonts w:ascii="Garamond" w:hAnsi="Garamond" w:cstheme="minorHAnsi"/>
          <w:sz w:val="24"/>
          <w:szCs w:val="24"/>
        </w:rPr>
        <w:t xml:space="preserve"> </w:t>
      </w:r>
      <w:r w:rsidRPr="00461D74">
        <w:rPr>
          <w:rFonts w:ascii="Garamond" w:hAnsi="Garamond" w:cstheme="minorHAnsi"/>
          <w:sz w:val="24"/>
          <w:szCs w:val="24"/>
        </w:rPr>
        <w:t xml:space="preserve">solutions for </w:t>
      </w:r>
      <w:r w:rsidR="00D15654" w:rsidRPr="00461D74">
        <w:rPr>
          <w:rFonts w:ascii="Garamond" w:hAnsi="Garamond" w:cstheme="minorHAnsi"/>
          <w:sz w:val="24"/>
          <w:szCs w:val="24"/>
        </w:rPr>
        <w:t xml:space="preserve">particular </w:t>
      </w:r>
      <w:r w:rsidR="00133879">
        <w:rPr>
          <w:rFonts w:ascii="Garamond" w:hAnsi="Garamond" w:cstheme="minorHAnsi"/>
          <w:sz w:val="24"/>
          <w:szCs w:val="24"/>
        </w:rPr>
        <w:t>social</w:t>
      </w:r>
      <w:r w:rsidR="0065579F">
        <w:rPr>
          <w:rFonts w:ascii="Garamond" w:hAnsi="Garamond" w:cstheme="minorHAnsi"/>
          <w:sz w:val="24"/>
          <w:szCs w:val="24"/>
        </w:rPr>
        <w:t>-political</w:t>
      </w:r>
      <w:r w:rsidR="00133879">
        <w:rPr>
          <w:rFonts w:ascii="Garamond" w:hAnsi="Garamond" w:cstheme="minorHAnsi"/>
          <w:sz w:val="24"/>
          <w:szCs w:val="24"/>
        </w:rPr>
        <w:t xml:space="preserve"> </w:t>
      </w:r>
      <w:r w:rsidRPr="00461D74">
        <w:rPr>
          <w:rFonts w:ascii="Garamond" w:hAnsi="Garamond" w:cstheme="minorHAnsi"/>
          <w:sz w:val="24"/>
          <w:szCs w:val="24"/>
        </w:rPr>
        <w:t xml:space="preserve">problems </w:t>
      </w:r>
      <w:r w:rsidR="00133879">
        <w:rPr>
          <w:rFonts w:ascii="Garamond" w:hAnsi="Garamond" w:cstheme="minorHAnsi"/>
          <w:sz w:val="24"/>
          <w:szCs w:val="24"/>
        </w:rPr>
        <w:t xml:space="preserve">raised </w:t>
      </w:r>
      <w:r w:rsidRPr="00461D74">
        <w:rPr>
          <w:rFonts w:ascii="Garamond" w:hAnsi="Garamond" w:cstheme="minorHAnsi"/>
          <w:sz w:val="24"/>
          <w:szCs w:val="24"/>
        </w:rPr>
        <w:t xml:space="preserve">in </w:t>
      </w:r>
      <w:r w:rsidR="00A54DF9">
        <w:rPr>
          <w:rFonts w:ascii="Garamond" w:hAnsi="Garamond" w:cstheme="minorHAnsi"/>
          <w:sz w:val="24"/>
          <w:szCs w:val="24"/>
        </w:rPr>
        <w:t>specific</w:t>
      </w:r>
      <w:r w:rsidR="00A54DF9" w:rsidRPr="00461D74">
        <w:rPr>
          <w:rFonts w:ascii="Garamond" w:hAnsi="Garamond" w:cstheme="minorHAnsi"/>
          <w:sz w:val="24"/>
          <w:szCs w:val="24"/>
        </w:rPr>
        <w:t xml:space="preserve"> </w:t>
      </w:r>
      <w:r w:rsidRPr="00461D74">
        <w:rPr>
          <w:rFonts w:ascii="Garamond" w:hAnsi="Garamond" w:cstheme="minorHAnsi"/>
          <w:sz w:val="24"/>
          <w:szCs w:val="24"/>
        </w:rPr>
        <w:t xml:space="preserve">domains. </w:t>
      </w:r>
      <w:r w:rsidR="00FA54BD" w:rsidRPr="00461D74">
        <w:rPr>
          <w:rFonts w:ascii="Garamond" w:hAnsi="Garamond" w:cstheme="minorHAnsi"/>
          <w:sz w:val="24"/>
          <w:szCs w:val="24"/>
        </w:rPr>
        <w:t xml:space="preserve">Of course this </w:t>
      </w:r>
      <w:r w:rsidR="0065579F">
        <w:rPr>
          <w:rFonts w:ascii="Garamond" w:hAnsi="Garamond" w:cstheme="minorHAnsi"/>
          <w:sz w:val="24"/>
          <w:szCs w:val="24"/>
        </w:rPr>
        <w:t xml:space="preserve">would also </w:t>
      </w:r>
      <w:r w:rsidR="00FA54BD" w:rsidRPr="00461D74">
        <w:rPr>
          <w:rFonts w:ascii="Garamond" w:hAnsi="Garamond" w:cstheme="minorHAnsi"/>
          <w:sz w:val="24"/>
          <w:szCs w:val="24"/>
        </w:rPr>
        <w:t xml:space="preserve">mean that </w:t>
      </w:r>
      <w:r w:rsidR="00A54DF9">
        <w:rPr>
          <w:rFonts w:ascii="Garamond" w:hAnsi="Garamond" w:cstheme="minorHAnsi"/>
          <w:sz w:val="24"/>
          <w:szCs w:val="24"/>
        </w:rPr>
        <w:t>a</w:t>
      </w:r>
      <w:r w:rsidR="00A54DF9" w:rsidRPr="00461D74">
        <w:rPr>
          <w:rFonts w:ascii="Garamond" w:hAnsi="Garamond" w:cstheme="minorHAnsi"/>
          <w:sz w:val="24"/>
          <w:szCs w:val="24"/>
        </w:rPr>
        <w:t xml:space="preserve"> </w:t>
      </w:r>
      <w:r w:rsidR="00FA54BD" w:rsidRPr="00461D74">
        <w:rPr>
          <w:rFonts w:ascii="Garamond" w:hAnsi="Garamond" w:cstheme="minorHAnsi"/>
          <w:sz w:val="24"/>
          <w:szCs w:val="24"/>
        </w:rPr>
        <w:t xml:space="preserve">substantive conception of the good </w:t>
      </w:r>
      <w:r w:rsidR="00A54DF9">
        <w:rPr>
          <w:rFonts w:ascii="Garamond" w:hAnsi="Garamond" w:cstheme="minorHAnsi"/>
          <w:sz w:val="24"/>
          <w:szCs w:val="24"/>
        </w:rPr>
        <w:t>ought to</w:t>
      </w:r>
      <w:r w:rsidR="00A54DF9" w:rsidRPr="00461D74">
        <w:rPr>
          <w:rFonts w:ascii="Garamond" w:hAnsi="Garamond" w:cstheme="minorHAnsi"/>
          <w:sz w:val="24"/>
          <w:szCs w:val="24"/>
        </w:rPr>
        <w:t xml:space="preserve"> </w:t>
      </w:r>
      <w:r w:rsidR="00FA54BD" w:rsidRPr="00461D74">
        <w:rPr>
          <w:rFonts w:ascii="Garamond" w:hAnsi="Garamond" w:cstheme="minorHAnsi"/>
          <w:sz w:val="24"/>
          <w:szCs w:val="24"/>
        </w:rPr>
        <w:t xml:space="preserve">be </w:t>
      </w:r>
      <w:r w:rsidR="00043A39" w:rsidRPr="00461D74">
        <w:rPr>
          <w:rFonts w:ascii="Garamond" w:hAnsi="Garamond" w:cstheme="minorHAnsi"/>
          <w:sz w:val="24"/>
          <w:szCs w:val="24"/>
        </w:rPr>
        <w:t xml:space="preserve">grounded in a form of inquiry which is genuinely participatory deliberative and </w:t>
      </w:r>
      <w:r w:rsidR="00FA54BD" w:rsidRPr="00461D74">
        <w:rPr>
          <w:rFonts w:ascii="Garamond" w:hAnsi="Garamond" w:cstheme="minorHAnsi"/>
          <w:sz w:val="24"/>
          <w:szCs w:val="24"/>
        </w:rPr>
        <w:t>democratic</w:t>
      </w:r>
      <w:r w:rsidR="00043A39" w:rsidRPr="00461D74">
        <w:rPr>
          <w:rFonts w:ascii="Garamond" w:hAnsi="Garamond" w:cstheme="minorHAnsi"/>
          <w:sz w:val="24"/>
          <w:szCs w:val="24"/>
        </w:rPr>
        <w:t xml:space="preserve"> with respect to the common good</w:t>
      </w:r>
      <w:r w:rsidR="0065579F">
        <w:rPr>
          <w:rFonts w:ascii="Garamond" w:hAnsi="Garamond" w:cstheme="minorHAnsi"/>
          <w:sz w:val="24"/>
          <w:szCs w:val="24"/>
        </w:rPr>
        <w:t xml:space="preserve"> </w:t>
      </w:r>
      <w:r w:rsidR="00FA54BD" w:rsidRPr="00461D74">
        <w:rPr>
          <w:rFonts w:ascii="Garamond" w:hAnsi="Garamond" w:cstheme="minorHAnsi"/>
          <w:sz w:val="24"/>
          <w:szCs w:val="24"/>
        </w:rPr>
        <w:t xml:space="preserve">of </w:t>
      </w:r>
      <w:r w:rsidR="0065579F">
        <w:rPr>
          <w:rFonts w:ascii="Garamond" w:hAnsi="Garamond" w:cstheme="minorHAnsi"/>
          <w:sz w:val="24"/>
          <w:szCs w:val="24"/>
        </w:rPr>
        <w:t xml:space="preserve">the community as a whole, while simultaneously </w:t>
      </w:r>
      <w:r w:rsidR="00A65622">
        <w:rPr>
          <w:rFonts w:ascii="Garamond" w:hAnsi="Garamond" w:cstheme="minorHAnsi"/>
          <w:sz w:val="24"/>
          <w:szCs w:val="24"/>
        </w:rPr>
        <w:t>ensuring</w:t>
      </w:r>
      <w:r w:rsidR="00043A39" w:rsidRPr="00461D74">
        <w:rPr>
          <w:rFonts w:ascii="Garamond" w:hAnsi="Garamond" w:cstheme="minorHAnsi"/>
          <w:sz w:val="24"/>
          <w:szCs w:val="24"/>
        </w:rPr>
        <w:t xml:space="preserve"> that the </w:t>
      </w:r>
      <w:r w:rsidR="0065579F">
        <w:rPr>
          <w:rFonts w:ascii="Garamond" w:hAnsi="Garamond" w:cstheme="minorHAnsi"/>
          <w:sz w:val="24"/>
          <w:szCs w:val="24"/>
        </w:rPr>
        <w:t xml:space="preserve">eventual </w:t>
      </w:r>
      <w:r w:rsidR="00043A39" w:rsidRPr="00461D74">
        <w:rPr>
          <w:rFonts w:ascii="Garamond" w:hAnsi="Garamond" w:cstheme="minorHAnsi"/>
          <w:sz w:val="24"/>
          <w:szCs w:val="24"/>
        </w:rPr>
        <w:t xml:space="preserve">outcome of </w:t>
      </w:r>
      <w:r w:rsidR="005D2150" w:rsidRPr="00A65622">
        <w:rPr>
          <w:rFonts w:ascii="Garamond" w:hAnsi="Garamond" w:cstheme="minorHAnsi"/>
          <w:sz w:val="24"/>
          <w:szCs w:val="24"/>
        </w:rPr>
        <w:t xml:space="preserve">deliberations do not violate important civil liberties, especially at the expense of </w:t>
      </w:r>
      <w:r w:rsidR="00A65622">
        <w:rPr>
          <w:rFonts w:ascii="Garamond" w:hAnsi="Garamond" w:cstheme="minorHAnsi"/>
          <w:sz w:val="24"/>
          <w:szCs w:val="24"/>
          <w:highlight w:val="yellow"/>
        </w:rPr>
        <w:t xml:space="preserve">marginalised </w:t>
      </w:r>
      <w:r w:rsidR="005D2150" w:rsidRPr="005D2150">
        <w:rPr>
          <w:rFonts w:ascii="Garamond" w:hAnsi="Garamond" w:cstheme="minorHAnsi"/>
          <w:sz w:val="24"/>
          <w:szCs w:val="24"/>
          <w:highlight w:val="yellow"/>
        </w:rPr>
        <w:t>minorit</w:t>
      </w:r>
      <w:r w:rsidR="00A65622">
        <w:rPr>
          <w:rFonts w:ascii="Garamond" w:hAnsi="Garamond" w:cstheme="minorHAnsi"/>
          <w:sz w:val="24"/>
          <w:szCs w:val="24"/>
          <w:highlight w:val="yellow"/>
        </w:rPr>
        <w:t>ies</w:t>
      </w:r>
      <w:r w:rsidR="005D2150" w:rsidRPr="00A65622">
        <w:rPr>
          <w:rFonts w:ascii="Garamond" w:hAnsi="Garamond" w:cstheme="minorHAnsi"/>
          <w:sz w:val="24"/>
          <w:szCs w:val="24"/>
        </w:rPr>
        <w:t>.</w:t>
      </w:r>
    </w:p>
    <w:p w:rsidR="00665157" w:rsidRDefault="00FA54BD">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In addition</w:t>
      </w:r>
      <w:r w:rsidR="00016049" w:rsidRPr="00461D74">
        <w:rPr>
          <w:rFonts w:ascii="Garamond" w:hAnsi="Garamond" w:cstheme="minorHAnsi"/>
          <w:sz w:val="24"/>
          <w:szCs w:val="24"/>
        </w:rPr>
        <w:t xml:space="preserve">, in order to offer local communities the space for a </w:t>
      </w:r>
      <w:r w:rsidR="00D15654" w:rsidRPr="00461D74">
        <w:rPr>
          <w:rFonts w:ascii="Garamond" w:hAnsi="Garamond" w:cstheme="minorHAnsi"/>
          <w:sz w:val="24"/>
          <w:szCs w:val="24"/>
        </w:rPr>
        <w:t xml:space="preserve">genuinely participatory </w:t>
      </w:r>
      <w:r w:rsidR="00016049" w:rsidRPr="00461D74">
        <w:rPr>
          <w:rFonts w:ascii="Garamond" w:hAnsi="Garamond" w:cstheme="minorHAnsi"/>
          <w:sz w:val="24"/>
          <w:szCs w:val="24"/>
        </w:rPr>
        <w:t>politics of the common good</w:t>
      </w:r>
      <w:r w:rsidR="00D15654" w:rsidRPr="00461D74">
        <w:rPr>
          <w:rFonts w:ascii="Garamond" w:hAnsi="Garamond" w:cstheme="minorHAnsi"/>
          <w:sz w:val="24"/>
          <w:szCs w:val="24"/>
        </w:rPr>
        <w:t xml:space="preserve"> grounded in </w:t>
      </w:r>
      <w:r w:rsidR="00043A39" w:rsidRPr="00461D74">
        <w:rPr>
          <w:rFonts w:ascii="Garamond" w:hAnsi="Garamond" w:cstheme="minorHAnsi"/>
          <w:sz w:val="24"/>
          <w:szCs w:val="24"/>
        </w:rPr>
        <w:t>participatory-</w:t>
      </w:r>
      <w:r w:rsidR="00D15654" w:rsidRPr="00461D74">
        <w:rPr>
          <w:rFonts w:ascii="Garamond" w:hAnsi="Garamond" w:cstheme="minorHAnsi"/>
          <w:sz w:val="24"/>
          <w:szCs w:val="24"/>
        </w:rPr>
        <w:t>deliberative inquiry</w:t>
      </w:r>
      <w:r w:rsidR="00016049" w:rsidRPr="00461D74">
        <w:rPr>
          <w:rFonts w:ascii="Garamond" w:hAnsi="Garamond" w:cstheme="minorHAnsi"/>
          <w:sz w:val="24"/>
          <w:szCs w:val="24"/>
        </w:rPr>
        <w:t xml:space="preserve">, we need </w:t>
      </w:r>
      <w:r w:rsidR="00D15654" w:rsidRPr="00461D74">
        <w:rPr>
          <w:rFonts w:ascii="Garamond" w:hAnsi="Garamond" w:cstheme="minorHAnsi"/>
          <w:sz w:val="24"/>
          <w:szCs w:val="24"/>
        </w:rPr>
        <w:t>the kind of</w:t>
      </w:r>
      <w:r w:rsidR="00016049" w:rsidRPr="00461D74">
        <w:rPr>
          <w:rFonts w:ascii="Garamond" w:hAnsi="Garamond" w:cstheme="minorHAnsi"/>
          <w:sz w:val="24"/>
          <w:szCs w:val="24"/>
        </w:rPr>
        <w:t xml:space="preserve"> state that is more neutral than the contemporary liberal state. </w:t>
      </w:r>
      <w:r w:rsidR="00CF1C2B" w:rsidRPr="00461D74">
        <w:rPr>
          <w:rFonts w:ascii="Garamond" w:hAnsi="Garamond" w:cstheme="minorHAnsi"/>
          <w:sz w:val="24"/>
          <w:szCs w:val="24"/>
        </w:rPr>
        <w:t xml:space="preserve">The type of state I have in mind would not then </w:t>
      </w:r>
      <w:r w:rsidR="00016049" w:rsidRPr="00461D74">
        <w:rPr>
          <w:rFonts w:ascii="Garamond" w:hAnsi="Garamond" w:cstheme="minorHAnsi"/>
          <w:sz w:val="24"/>
          <w:szCs w:val="24"/>
        </w:rPr>
        <w:t xml:space="preserve">surreptitiously – that is indirectly through the mechanism of the market – </w:t>
      </w:r>
      <w:r w:rsidR="00CF1C2B" w:rsidRPr="00461D74">
        <w:rPr>
          <w:rFonts w:ascii="Garamond" w:hAnsi="Garamond" w:cstheme="minorHAnsi"/>
          <w:sz w:val="24"/>
          <w:szCs w:val="24"/>
        </w:rPr>
        <w:t xml:space="preserve">smuggle </w:t>
      </w:r>
      <w:r w:rsidR="00016049" w:rsidRPr="00461D74">
        <w:rPr>
          <w:rFonts w:ascii="Garamond" w:hAnsi="Garamond" w:cstheme="minorHAnsi"/>
          <w:sz w:val="24"/>
          <w:szCs w:val="24"/>
        </w:rPr>
        <w:t>in a materialist conception of the good</w:t>
      </w:r>
      <w:r w:rsidR="00CF1C2B" w:rsidRPr="00461D74">
        <w:rPr>
          <w:rFonts w:ascii="Garamond" w:hAnsi="Garamond" w:cstheme="minorHAnsi"/>
          <w:sz w:val="24"/>
          <w:szCs w:val="24"/>
        </w:rPr>
        <w:t xml:space="preserve">, </w:t>
      </w:r>
      <w:r w:rsidR="00910E03">
        <w:rPr>
          <w:rFonts w:ascii="Garamond" w:hAnsi="Garamond" w:cstheme="minorHAnsi"/>
          <w:sz w:val="24"/>
          <w:szCs w:val="24"/>
        </w:rPr>
        <w:t xml:space="preserve">one </w:t>
      </w:r>
      <w:r w:rsidR="00CF1C2B" w:rsidRPr="00461D74">
        <w:rPr>
          <w:rFonts w:ascii="Garamond" w:hAnsi="Garamond" w:cstheme="minorHAnsi"/>
          <w:sz w:val="24"/>
          <w:szCs w:val="24"/>
        </w:rPr>
        <w:t>that ends up undermining local democracy and participation</w:t>
      </w:r>
      <w:r w:rsidR="00016049" w:rsidRPr="00461D74">
        <w:rPr>
          <w:rFonts w:ascii="Garamond" w:hAnsi="Garamond" w:cstheme="minorHAnsi"/>
          <w:sz w:val="24"/>
          <w:szCs w:val="24"/>
        </w:rPr>
        <w:t xml:space="preserve"> under </w:t>
      </w:r>
      <w:r w:rsidR="00CF1C2B" w:rsidRPr="00461D74">
        <w:rPr>
          <w:rFonts w:ascii="Garamond" w:hAnsi="Garamond" w:cstheme="minorHAnsi"/>
          <w:sz w:val="24"/>
          <w:szCs w:val="24"/>
        </w:rPr>
        <w:t>the guise of neutrality</w:t>
      </w:r>
      <w:r w:rsidR="00016049" w:rsidRPr="00461D74">
        <w:rPr>
          <w:rFonts w:ascii="Garamond" w:hAnsi="Garamond" w:cstheme="minorHAnsi"/>
          <w:sz w:val="24"/>
          <w:szCs w:val="24"/>
        </w:rPr>
        <w:t xml:space="preserve">. This suggests that it may be possible to address the deficiencies of </w:t>
      </w:r>
      <w:r w:rsidR="00043A39" w:rsidRPr="00461D74">
        <w:rPr>
          <w:rFonts w:ascii="Garamond" w:hAnsi="Garamond" w:cstheme="minorHAnsi"/>
          <w:sz w:val="24"/>
          <w:szCs w:val="24"/>
        </w:rPr>
        <w:t xml:space="preserve">a more </w:t>
      </w:r>
      <w:r w:rsidR="00016049" w:rsidRPr="00461D74">
        <w:rPr>
          <w:rFonts w:ascii="Garamond" w:hAnsi="Garamond" w:cstheme="minorHAnsi"/>
          <w:sz w:val="24"/>
          <w:szCs w:val="24"/>
        </w:rPr>
        <w:t xml:space="preserve">rigid </w:t>
      </w:r>
      <w:proofErr w:type="spellStart"/>
      <w:r w:rsidR="00016049" w:rsidRPr="00461D74">
        <w:rPr>
          <w:rFonts w:ascii="Garamond" w:hAnsi="Garamond" w:cstheme="minorHAnsi"/>
          <w:sz w:val="24"/>
          <w:szCs w:val="24"/>
        </w:rPr>
        <w:t>proceduralist</w:t>
      </w:r>
      <w:proofErr w:type="spellEnd"/>
      <w:r w:rsidR="00016049" w:rsidRPr="00461D74">
        <w:rPr>
          <w:rFonts w:ascii="Garamond" w:hAnsi="Garamond" w:cstheme="minorHAnsi"/>
          <w:sz w:val="24"/>
          <w:szCs w:val="24"/>
        </w:rPr>
        <w:t xml:space="preserve"> liberal theory. On the one hand, such an alternative model combines </w:t>
      </w:r>
      <w:r w:rsidR="00043A39" w:rsidRPr="00461D74">
        <w:rPr>
          <w:rFonts w:ascii="Garamond" w:hAnsi="Garamond" w:cstheme="minorHAnsi"/>
          <w:sz w:val="24"/>
          <w:szCs w:val="24"/>
        </w:rPr>
        <w:t xml:space="preserve">a </w:t>
      </w:r>
      <w:r w:rsidR="00016049" w:rsidRPr="00461D74">
        <w:rPr>
          <w:rFonts w:ascii="Garamond" w:hAnsi="Garamond" w:cstheme="minorHAnsi"/>
          <w:sz w:val="24"/>
          <w:szCs w:val="24"/>
        </w:rPr>
        <w:t>procedurally flexible process</w:t>
      </w:r>
      <w:r w:rsidR="00E23C05" w:rsidRPr="00461D74">
        <w:rPr>
          <w:rFonts w:ascii="Garamond" w:hAnsi="Garamond" w:cstheme="minorHAnsi"/>
          <w:sz w:val="24"/>
          <w:szCs w:val="24"/>
        </w:rPr>
        <w:t xml:space="preserve"> </w:t>
      </w:r>
      <w:r w:rsidR="00043A39" w:rsidRPr="00461D74">
        <w:rPr>
          <w:rFonts w:ascii="Garamond" w:hAnsi="Garamond" w:cstheme="minorHAnsi"/>
          <w:sz w:val="24"/>
          <w:szCs w:val="24"/>
        </w:rPr>
        <w:t>of</w:t>
      </w:r>
      <w:r w:rsidR="00E23C05" w:rsidRPr="00461D74">
        <w:rPr>
          <w:rFonts w:ascii="Garamond" w:hAnsi="Garamond" w:cstheme="minorHAnsi"/>
          <w:sz w:val="24"/>
          <w:szCs w:val="24"/>
        </w:rPr>
        <w:t xml:space="preserve"> inquiry</w:t>
      </w:r>
      <w:r w:rsidR="00016049" w:rsidRPr="00461D74">
        <w:rPr>
          <w:rFonts w:ascii="Garamond" w:hAnsi="Garamond" w:cstheme="minorHAnsi"/>
          <w:sz w:val="24"/>
          <w:szCs w:val="24"/>
        </w:rPr>
        <w:t xml:space="preserve"> – for engendering substantive conceptions of the good – at the local level that are central to developing specific solutions for local communities. On the other hand, a more neutral state than the one offered by standard liberal theory ensures that </w:t>
      </w:r>
      <w:r w:rsidR="00E23C05"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substantive </w:t>
      </w:r>
      <w:r w:rsidR="00E23C05" w:rsidRPr="00461D74">
        <w:rPr>
          <w:rFonts w:ascii="Garamond" w:hAnsi="Garamond" w:cstheme="minorHAnsi"/>
          <w:sz w:val="24"/>
          <w:szCs w:val="24"/>
        </w:rPr>
        <w:t xml:space="preserve">conception of the good </w:t>
      </w:r>
      <w:r w:rsidR="00CF1C2B" w:rsidRPr="00461D74">
        <w:rPr>
          <w:rFonts w:ascii="Garamond" w:hAnsi="Garamond" w:cstheme="minorHAnsi"/>
          <w:sz w:val="24"/>
          <w:szCs w:val="24"/>
        </w:rPr>
        <w:t xml:space="preserve">– one </w:t>
      </w:r>
      <w:r w:rsidR="00E23C05" w:rsidRPr="00461D74">
        <w:rPr>
          <w:rFonts w:ascii="Garamond" w:hAnsi="Garamond" w:cstheme="minorHAnsi"/>
          <w:sz w:val="24"/>
          <w:szCs w:val="24"/>
        </w:rPr>
        <w:t>that is the outcome of a bona</w:t>
      </w:r>
      <w:r w:rsidR="005A1AE3">
        <w:rPr>
          <w:rFonts w:ascii="Garamond" w:hAnsi="Garamond" w:cstheme="minorHAnsi"/>
          <w:sz w:val="24"/>
          <w:szCs w:val="24"/>
        </w:rPr>
        <w:t xml:space="preserve"> </w:t>
      </w:r>
      <w:r w:rsidR="00E23C05" w:rsidRPr="00461D74">
        <w:rPr>
          <w:rFonts w:ascii="Garamond" w:hAnsi="Garamond" w:cstheme="minorHAnsi"/>
          <w:sz w:val="24"/>
          <w:szCs w:val="24"/>
        </w:rPr>
        <w:t xml:space="preserve">fide participatory democratic inquiry by </w:t>
      </w:r>
      <w:r w:rsidR="00016049" w:rsidRPr="00461D74">
        <w:rPr>
          <w:rFonts w:ascii="Garamond" w:hAnsi="Garamond" w:cstheme="minorHAnsi"/>
          <w:sz w:val="24"/>
          <w:szCs w:val="24"/>
        </w:rPr>
        <w:t>local communities</w:t>
      </w:r>
      <w:r w:rsidR="00CF1C2B" w:rsidRPr="00461D74">
        <w:rPr>
          <w:rFonts w:ascii="Garamond" w:hAnsi="Garamond" w:cstheme="minorHAnsi"/>
          <w:sz w:val="24"/>
          <w:szCs w:val="24"/>
        </w:rPr>
        <w:t xml:space="preserve"> – is</w:t>
      </w:r>
      <w:r w:rsidR="00016049" w:rsidRPr="00461D74">
        <w:rPr>
          <w:rFonts w:ascii="Garamond" w:hAnsi="Garamond" w:cstheme="minorHAnsi"/>
          <w:sz w:val="24"/>
          <w:szCs w:val="24"/>
        </w:rPr>
        <w:t xml:space="preserve"> not </w:t>
      </w:r>
      <w:r w:rsidR="00CF1C2B" w:rsidRPr="00461D74">
        <w:rPr>
          <w:rFonts w:ascii="Garamond" w:hAnsi="Garamond" w:cstheme="minorHAnsi"/>
          <w:sz w:val="24"/>
          <w:szCs w:val="24"/>
        </w:rPr>
        <w:t xml:space="preserve">then </w:t>
      </w:r>
      <w:r w:rsidR="00016049" w:rsidRPr="00461D74">
        <w:rPr>
          <w:rFonts w:ascii="Garamond" w:hAnsi="Garamond" w:cstheme="minorHAnsi"/>
          <w:sz w:val="24"/>
          <w:szCs w:val="24"/>
        </w:rPr>
        <w:t>subverted by a state that subscribes to an excessively materialist conception of the good.</w:t>
      </w:r>
    </w:p>
    <w:p w:rsidR="00665157" w:rsidRDefault="00665157" w:rsidP="00BE6168">
      <w:pPr>
        <w:spacing w:line="360" w:lineRule="auto"/>
        <w:jc w:val="both"/>
        <w:rPr>
          <w:rFonts w:ascii="Garamond" w:hAnsi="Garamond" w:cstheme="minorHAnsi"/>
          <w:sz w:val="24"/>
          <w:szCs w:val="24"/>
        </w:rPr>
      </w:pPr>
    </w:p>
    <w:p w:rsidR="00665157" w:rsidRDefault="00BE6168" w:rsidP="00BE6168">
      <w:pPr>
        <w:pStyle w:val="Heading3"/>
        <w:spacing w:before="200" w:line="360" w:lineRule="auto"/>
        <w:jc w:val="both"/>
        <w:rPr>
          <w:rFonts w:cstheme="majorHAnsi"/>
        </w:rPr>
      </w:pPr>
      <w:bookmarkStart w:id="60" w:name="_Toc528077837"/>
      <w:r>
        <w:rPr>
          <w:rFonts w:cstheme="majorHAnsi"/>
        </w:rPr>
        <w:t xml:space="preserve">2.1 </w:t>
      </w:r>
      <w:r w:rsidR="00016049" w:rsidRPr="00F03436">
        <w:rPr>
          <w:rFonts w:cstheme="majorHAnsi"/>
        </w:rPr>
        <w:t xml:space="preserve">Some </w:t>
      </w:r>
      <w:r w:rsidR="00B958B7" w:rsidRPr="00F03436">
        <w:rPr>
          <w:rFonts w:cstheme="majorHAnsi"/>
        </w:rPr>
        <w:t>Desiderata</w:t>
      </w:r>
      <w:bookmarkEnd w:id="60"/>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The above general problems and MacIntyre’s neutrality thesis provides us with some general guidelines of what an alternative critical liberal politics might amount to.</w:t>
      </w:r>
    </w:p>
    <w:p w:rsidR="00665157" w:rsidRDefault="00016049">
      <w:pPr>
        <w:spacing w:line="360" w:lineRule="auto"/>
        <w:jc w:val="both"/>
        <w:rPr>
          <w:rFonts w:ascii="Garamond" w:hAnsi="Garamond" w:cstheme="minorHAnsi"/>
          <w:i/>
          <w:iCs/>
          <w:sz w:val="24"/>
          <w:szCs w:val="24"/>
        </w:rPr>
      </w:pPr>
      <w:r w:rsidRPr="00461D74">
        <w:rPr>
          <w:rFonts w:ascii="Garamond" w:hAnsi="Garamond" w:cstheme="minorHAnsi"/>
          <w:i/>
          <w:iCs/>
          <w:sz w:val="24"/>
          <w:szCs w:val="24"/>
        </w:rPr>
        <w:t>Guidelines towards a political solution:</w:t>
      </w:r>
    </w:p>
    <w:p w:rsidR="00665157" w:rsidRDefault="00016049">
      <w:pPr>
        <w:pStyle w:val="ListParagraph"/>
        <w:numPr>
          <w:ilvl w:val="0"/>
          <w:numId w:val="4"/>
        </w:numPr>
        <w:spacing w:after="200" w:line="360" w:lineRule="auto"/>
        <w:jc w:val="both"/>
        <w:rPr>
          <w:rFonts w:ascii="Garamond" w:hAnsi="Garamond" w:cstheme="minorHAnsi"/>
        </w:rPr>
      </w:pPr>
      <w:r w:rsidRPr="00461D74">
        <w:rPr>
          <w:rFonts w:ascii="Garamond" w:hAnsi="Garamond" w:cstheme="minorHAnsi"/>
        </w:rPr>
        <w:t xml:space="preserve">The need </w:t>
      </w:r>
      <w:r w:rsidR="009A20DD" w:rsidRPr="00461D74">
        <w:rPr>
          <w:rFonts w:ascii="Garamond" w:hAnsi="Garamond" w:cstheme="minorHAnsi"/>
        </w:rPr>
        <w:t>for</w:t>
      </w:r>
      <w:r w:rsidRPr="00461D74">
        <w:rPr>
          <w:rFonts w:ascii="Garamond" w:hAnsi="Garamond" w:cstheme="minorHAnsi"/>
        </w:rPr>
        <w:t xml:space="preserve"> a constructive relationship between l</w:t>
      </w:r>
      <w:r w:rsidR="009A20DD" w:rsidRPr="00461D74">
        <w:rPr>
          <w:rFonts w:ascii="Garamond" w:hAnsi="Garamond" w:cstheme="minorHAnsi"/>
        </w:rPr>
        <w:t xml:space="preserve">ocal communities and the state. </w:t>
      </w:r>
      <w:r w:rsidRPr="00461D74">
        <w:rPr>
          <w:rFonts w:ascii="Garamond" w:hAnsi="Garamond" w:cstheme="minorHAnsi"/>
        </w:rPr>
        <w:t xml:space="preserve">Even if we accept the large set of problems that plagues the liberal state, we needn’t accept the essentialist terms in which MacIntyre frames the debate. MacIntyre’s own historicism and </w:t>
      </w:r>
      <w:r w:rsidRPr="00461D74">
        <w:rPr>
          <w:rFonts w:ascii="Garamond" w:hAnsi="Garamond" w:cstheme="minorHAnsi"/>
        </w:rPr>
        <w:lastRenderedPageBreak/>
        <w:t>fallibilism suggests that we should think of these problems as contingent.</w:t>
      </w:r>
    </w:p>
    <w:p w:rsidR="00665157" w:rsidRDefault="00016049">
      <w:pPr>
        <w:pStyle w:val="ListParagraph"/>
        <w:numPr>
          <w:ilvl w:val="0"/>
          <w:numId w:val="4"/>
        </w:numPr>
        <w:spacing w:after="200" w:line="360" w:lineRule="auto"/>
        <w:jc w:val="both"/>
        <w:rPr>
          <w:rFonts w:ascii="Garamond" w:hAnsi="Garamond" w:cstheme="minorHAnsi"/>
        </w:rPr>
      </w:pPr>
      <w:r w:rsidRPr="00461D74">
        <w:rPr>
          <w:rFonts w:ascii="Garamond" w:hAnsi="Garamond" w:cstheme="minorHAnsi"/>
        </w:rPr>
        <w:t xml:space="preserve"> </w:t>
      </w:r>
      <w:r w:rsidR="009A20DD" w:rsidRPr="00461D74">
        <w:rPr>
          <w:rFonts w:ascii="Garamond" w:hAnsi="Garamond" w:cstheme="minorHAnsi"/>
        </w:rPr>
        <w:t>The possibilities of distributive justice are enhanced by a constructive dialogue and relationship between communities and the state, and in the absence of a more constructive relationship, the possibilities of distributive justice are altogether stifled (especially if communities act in a purely cost-benefit approach as MacIntyre currently suggests).</w:t>
      </w:r>
      <w:r w:rsidR="00910E03">
        <w:rPr>
          <w:rFonts w:ascii="Garamond" w:hAnsi="Garamond" w:cstheme="minorHAnsi"/>
        </w:rPr>
        <w:t xml:space="preserve"> (Keith Breen)</w:t>
      </w:r>
    </w:p>
    <w:p w:rsidR="00665157" w:rsidRDefault="009A20DD">
      <w:pPr>
        <w:pStyle w:val="ListParagraph"/>
        <w:numPr>
          <w:ilvl w:val="0"/>
          <w:numId w:val="4"/>
        </w:numPr>
        <w:spacing w:after="200" w:line="360" w:lineRule="auto"/>
        <w:jc w:val="both"/>
        <w:rPr>
          <w:rFonts w:ascii="Garamond" w:hAnsi="Garamond" w:cstheme="minorHAnsi"/>
        </w:rPr>
      </w:pPr>
      <w:r w:rsidRPr="00461D74">
        <w:rPr>
          <w:rFonts w:ascii="Garamond" w:hAnsi="Garamond" w:cstheme="minorHAnsi"/>
        </w:rPr>
        <w:t xml:space="preserve">There is a need for </w:t>
      </w:r>
      <w:r w:rsidR="005C7794" w:rsidRPr="00461D74">
        <w:rPr>
          <w:rFonts w:ascii="Garamond" w:hAnsi="Garamond" w:cstheme="minorHAnsi"/>
        </w:rPr>
        <w:t>concrete</w:t>
      </w:r>
      <w:r w:rsidR="00016049" w:rsidRPr="00461D74">
        <w:rPr>
          <w:rFonts w:ascii="Garamond" w:hAnsi="Garamond" w:cstheme="minorHAnsi"/>
        </w:rPr>
        <w:t xml:space="preserve"> ways </w:t>
      </w:r>
      <w:r w:rsidR="005C7794" w:rsidRPr="00461D74">
        <w:rPr>
          <w:rFonts w:ascii="Garamond" w:hAnsi="Garamond" w:cstheme="minorHAnsi"/>
        </w:rPr>
        <w:t>of</w:t>
      </w:r>
      <w:r w:rsidR="00016049" w:rsidRPr="00461D74">
        <w:rPr>
          <w:rFonts w:ascii="Garamond" w:hAnsi="Garamond" w:cstheme="minorHAnsi"/>
        </w:rPr>
        <w:t xml:space="preserve"> defend</w:t>
      </w:r>
      <w:r w:rsidR="005C7794" w:rsidRPr="00461D74">
        <w:rPr>
          <w:rFonts w:ascii="Garamond" w:hAnsi="Garamond" w:cstheme="minorHAnsi"/>
        </w:rPr>
        <w:t>ing</w:t>
      </w:r>
      <w:r w:rsidR="00016049" w:rsidRPr="00461D74">
        <w:rPr>
          <w:rFonts w:ascii="Garamond" w:hAnsi="Garamond" w:cstheme="minorHAnsi"/>
        </w:rPr>
        <w:t xml:space="preserve"> </w:t>
      </w:r>
      <w:r w:rsidR="005C7794" w:rsidRPr="00461D74">
        <w:rPr>
          <w:rFonts w:ascii="Garamond" w:hAnsi="Garamond" w:cstheme="minorHAnsi"/>
        </w:rPr>
        <w:t>deliberative democratic politics (inquiry) at the local level</w:t>
      </w:r>
      <w:r w:rsidR="00016049" w:rsidRPr="00461D74">
        <w:rPr>
          <w:rFonts w:ascii="Garamond" w:hAnsi="Garamond" w:cstheme="minorHAnsi"/>
        </w:rPr>
        <w:t>.</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 xml:space="preserve">Setting boundaries between the state and local communities through dialogue </w:t>
      </w:r>
      <w:r w:rsidR="00F01CC2">
        <w:rPr>
          <w:rFonts w:ascii="Garamond" w:hAnsi="Garamond" w:cstheme="minorHAnsi"/>
        </w:rPr>
        <w:t>on</w:t>
      </w:r>
      <w:r w:rsidR="00F01CC2" w:rsidRPr="00461D74">
        <w:rPr>
          <w:rFonts w:ascii="Garamond" w:hAnsi="Garamond" w:cstheme="minorHAnsi"/>
        </w:rPr>
        <w:t xml:space="preserve"> </w:t>
      </w:r>
      <w:r w:rsidRPr="00461D74">
        <w:rPr>
          <w:rFonts w:ascii="Garamond" w:hAnsi="Garamond" w:cstheme="minorHAnsi"/>
        </w:rPr>
        <w:t>legislati</w:t>
      </w:r>
      <w:r w:rsidR="00F01CC2">
        <w:rPr>
          <w:rFonts w:ascii="Garamond" w:hAnsi="Garamond" w:cstheme="minorHAnsi"/>
        </w:rPr>
        <w:t>ve boundaries</w:t>
      </w:r>
      <w:r w:rsidRPr="00461D74">
        <w:rPr>
          <w:rFonts w:ascii="Garamond" w:hAnsi="Garamond" w:cstheme="minorHAnsi"/>
        </w:rPr>
        <w:t xml:space="preserve"> and self-determination.</w:t>
      </w:r>
      <w:r w:rsidR="00910E03">
        <w:rPr>
          <w:rFonts w:ascii="Garamond" w:hAnsi="Garamond" w:cstheme="minorHAnsi"/>
        </w:rPr>
        <w:t xml:space="preserve"> (Thomas </w:t>
      </w:r>
      <w:proofErr w:type="spellStart"/>
      <w:r w:rsidR="00910E03">
        <w:rPr>
          <w:rFonts w:ascii="Garamond" w:hAnsi="Garamond" w:cstheme="minorHAnsi"/>
        </w:rPr>
        <w:t>Hibbs</w:t>
      </w:r>
      <w:proofErr w:type="spellEnd"/>
      <w:r w:rsidR="00910E03">
        <w:rPr>
          <w:rFonts w:ascii="Garamond" w:hAnsi="Garamond" w:cstheme="minorHAnsi"/>
        </w:rPr>
        <w:t>)</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 xml:space="preserve">The need for </w:t>
      </w:r>
      <w:proofErr w:type="spellStart"/>
      <w:r w:rsidRPr="00461D74">
        <w:rPr>
          <w:rFonts w:ascii="Garamond" w:hAnsi="Garamond" w:cstheme="minorHAnsi"/>
        </w:rPr>
        <w:t>epistemically</w:t>
      </w:r>
      <w:proofErr w:type="spellEnd"/>
      <w:r w:rsidRPr="00461D74">
        <w:rPr>
          <w:rFonts w:ascii="Garamond" w:hAnsi="Garamond" w:cstheme="minorHAnsi"/>
        </w:rPr>
        <w:t xml:space="preserve"> reflexive procedures – procedures that change based on relevant empirical data –</w:t>
      </w:r>
      <w:r w:rsidR="005C7794" w:rsidRPr="00461D74">
        <w:rPr>
          <w:rFonts w:ascii="Garamond" w:hAnsi="Garamond" w:cstheme="minorHAnsi"/>
        </w:rPr>
        <w:t xml:space="preserve"> </w:t>
      </w:r>
      <w:r w:rsidRPr="00461D74">
        <w:rPr>
          <w:rFonts w:ascii="Garamond" w:hAnsi="Garamond" w:cstheme="minorHAnsi"/>
        </w:rPr>
        <w:t xml:space="preserve">that allows us to defend local politics of the common good, yet </w:t>
      </w:r>
      <w:r w:rsidR="009A20DD" w:rsidRPr="00461D74">
        <w:rPr>
          <w:rFonts w:ascii="Garamond" w:hAnsi="Garamond" w:cstheme="minorHAnsi"/>
        </w:rPr>
        <w:t>maintain</w:t>
      </w:r>
      <w:r w:rsidRPr="00461D74">
        <w:rPr>
          <w:rFonts w:ascii="Garamond" w:hAnsi="Garamond" w:cstheme="minorHAnsi"/>
        </w:rPr>
        <w:t xml:space="preserve"> an important role for large-scale politics and its associated structures.</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Inter-communal or trans-communal dialogue between local communities promotes the possibilities for distributive justice. (</w:t>
      </w:r>
      <w:r w:rsidR="00910E03">
        <w:rPr>
          <w:rFonts w:ascii="Garamond" w:hAnsi="Garamond" w:cstheme="minorHAnsi"/>
        </w:rPr>
        <w:t xml:space="preserve">Keith </w:t>
      </w:r>
      <w:r w:rsidRPr="00461D74">
        <w:rPr>
          <w:rFonts w:ascii="Garamond" w:hAnsi="Garamond" w:cstheme="minorHAnsi"/>
        </w:rPr>
        <w:t>Breen)</w:t>
      </w:r>
    </w:p>
    <w:p w:rsidR="00665157" w:rsidRDefault="00016049">
      <w:pPr>
        <w:pStyle w:val="ListParagraph"/>
        <w:numPr>
          <w:ilvl w:val="0"/>
          <w:numId w:val="4"/>
        </w:numPr>
        <w:spacing w:after="200" w:line="360" w:lineRule="auto"/>
        <w:jc w:val="both"/>
        <w:rPr>
          <w:rFonts w:ascii="Garamond" w:hAnsi="Garamond" w:cstheme="minorHAnsi"/>
        </w:rPr>
      </w:pPr>
      <w:r w:rsidRPr="00461D74">
        <w:rPr>
          <w:rFonts w:ascii="Garamond" w:hAnsi="Garamond" w:cstheme="minorHAnsi"/>
        </w:rPr>
        <w:t xml:space="preserve">MacIntyre explicitly states that he wants to guarantee civil liberties. </w:t>
      </w:r>
      <w:r w:rsidR="00F01CC2">
        <w:rPr>
          <w:rFonts w:ascii="Garamond" w:hAnsi="Garamond" w:cstheme="minorHAnsi"/>
        </w:rPr>
        <w:t>He nevertheless believes that</w:t>
      </w:r>
      <w:r w:rsidRPr="00461D74">
        <w:rPr>
          <w:rFonts w:ascii="Garamond" w:hAnsi="Garamond" w:cstheme="minorHAnsi"/>
        </w:rPr>
        <w:t xml:space="preserve"> the state eventually subverts the aims of local communities aiming at the common good.</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 xml:space="preserve">These two theses can be brought together </w:t>
      </w:r>
      <w:r w:rsidR="00910E03">
        <w:rPr>
          <w:rFonts w:ascii="Garamond" w:hAnsi="Garamond" w:cstheme="minorHAnsi"/>
        </w:rPr>
        <w:t>through</w:t>
      </w:r>
      <w:r w:rsidRPr="00461D74">
        <w:rPr>
          <w:rFonts w:ascii="Garamond" w:hAnsi="Garamond" w:cstheme="minorHAnsi"/>
        </w:rPr>
        <w:t xml:space="preserve"> MacIntyre’s support for a more neutral state (albeit he thinks such a state isn’t possible) which leads us to think that a state </w:t>
      </w:r>
      <w:r w:rsidR="00910E03">
        <w:rPr>
          <w:rFonts w:ascii="Garamond" w:hAnsi="Garamond" w:cstheme="minorHAnsi"/>
        </w:rPr>
        <w:t>which</w:t>
      </w:r>
      <w:r w:rsidR="00910E03" w:rsidRPr="00461D74">
        <w:rPr>
          <w:rFonts w:ascii="Garamond" w:hAnsi="Garamond" w:cstheme="minorHAnsi"/>
        </w:rPr>
        <w:t xml:space="preserve"> </w:t>
      </w:r>
      <w:r w:rsidRPr="00461D74">
        <w:rPr>
          <w:rFonts w:ascii="Garamond" w:hAnsi="Garamond" w:cstheme="minorHAnsi"/>
        </w:rPr>
        <w:t xml:space="preserve">takes to heart </w:t>
      </w:r>
      <w:r w:rsidR="00DA0055">
        <w:rPr>
          <w:rFonts w:ascii="Garamond" w:hAnsi="Garamond" w:cstheme="minorHAnsi"/>
        </w:rPr>
        <w:t>a more meaningful</w:t>
      </w:r>
      <w:r w:rsidR="00DA0055" w:rsidRPr="00461D74">
        <w:rPr>
          <w:rFonts w:ascii="Garamond" w:hAnsi="Garamond" w:cstheme="minorHAnsi"/>
        </w:rPr>
        <w:t xml:space="preserve"> </w:t>
      </w:r>
      <w:r w:rsidR="00DA0055">
        <w:rPr>
          <w:rFonts w:ascii="Garamond" w:hAnsi="Garamond" w:cstheme="minorHAnsi"/>
        </w:rPr>
        <w:t>conception</w:t>
      </w:r>
      <w:r w:rsidR="00DA0055" w:rsidRPr="00461D74">
        <w:rPr>
          <w:rFonts w:ascii="Garamond" w:hAnsi="Garamond" w:cstheme="minorHAnsi"/>
        </w:rPr>
        <w:t xml:space="preserve"> </w:t>
      </w:r>
      <w:r w:rsidRPr="00461D74">
        <w:rPr>
          <w:rFonts w:ascii="Garamond" w:hAnsi="Garamond" w:cstheme="minorHAnsi"/>
        </w:rPr>
        <w:t xml:space="preserve">of neutrality, and </w:t>
      </w:r>
      <w:r w:rsidRPr="00461D74">
        <w:rPr>
          <w:rFonts w:ascii="Garamond" w:hAnsi="Garamond" w:cstheme="minorHAnsi"/>
        </w:rPr>
        <w:lastRenderedPageBreak/>
        <w:t>honest</w:t>
      </w:r>
      <w:r w:rsidR="00DA0055">
        <w:rPr>
          <w:rFonts w:ascii="Garamond" w:hAnsi="Garamond" w:cstheme="minorHAnsi"/>
        </w:rPr>
        <w:t>l</w:t>
      </w:r>
      <w:r w:rsidRPr="00461D74">
        <w:rPr>
          <w:rFonts w:ascii="Garamond" w:hAnsi="Garamond" w:cstheme="minorHAnsi"/>
        </w:rPr>
        <w:t xml:space="preserve">y </w:t>
      </w:r>
      <w:r w:rsidR="00DA0055">
        <w:rPr>
          <w:rFonts w:ascii="Garamond" w:hAnsi="Garamond" w:cstheme="minorHAnsi"/>
        </w:rPr>
        <w:t>considers</w:t>
      </w:r>
      <w:r w:rsidRPr="00461D74">
        <w:rPr>
          <w:rFonts w:ascii="Garamond" w:hAnsi="Garamond" w:cstheme="minorHAnsi"/>
        </w:rPr>
        <w:t xml:space="preserve"> where and when it can or cannot be neutral, might be the way forward. In this sense the state can be neutral in ways that promotes civil liberties but at the same time it accepts where its neutrality is questionable</w:t>
      </w:r>
      <w:r w:rsidR="00F01CC2">
        <w:rPr>
          <w:rFonts w:ascii="Garamond" w:hAnsi="Garamond" w:cstheme="minorHAnsi"/>
        </w:rPr>
        <w:t>,</w:t>
      </w:r>
      <w:r w:rsidRPr="00461D74">
        <w:rPr>
          <w:rFonts w:ascii="Garamond" w:hAnsi="Garamond" w:cstheme="minorHAnsi"/>
        </w:rPr>
        <w:t xml:space="preserve"> and </w:t>
      </w:r>
      <w:r w:rsidR="00F01CC2">
        <w:rPr>
          <w:rFonts w:ascii="Garamond" w:hAnsi="Garamond" w:cstheme="minorHAnsi"/>
        </w:rPr>
        <w:t>hence</w:t>
      </w:r>
      <w:r w:rsidR="00F01CC2" w:rsidRPr="00461D74">
        <w:rPr>
          <w:rFonts w:ascii="Garamond" w:hAnsi="Garamond" w:cstheme="minorHAnsi"/>
        </w:rPr>
        <w:t xml:space="preserve"> </w:t>
      </w:r>
      <w:r w:rsidR="00F01CC2">
        <w:rPr>
          <w:rFonts w:ascii="Garamond" w:hAnsi="Garamond" w:cstheme="minorHAnsi"/>
        </w:rPr>
        <w:t>affords a certain degree of priority to</w:t>
      </w:r>
      <w:r w:rsidR="00F01CC2" w:rsidRPr="00461D74">
        <w:rPr>
          <w:rFonts w:ascii="Garamond" w:hAnsi="Garamond" w:cstheme="minorHAnsi"/>
        </w:rPr>
        <w:t xml:space="preserve"> </w:t>
      </w:r>
      <w:r w:rsidRPr="00461D74">
        <w:rPr>
          <w:rFonts w:ascii="Garamond" w:hAnsi="Garamond" w:cstheme="minorHAnsi"/>
        </w:rPr>
        <w:t>local</w:t>
      </w:r>
      <w:r w:rsidR="00F01CC2">
        <w:rPr>
          <w:rFonts w:ascii="Garamond" w:hAnsi="Garamond" w:cstheme="minorHAnsi"/>
        </w:rPr>
        <w:t xml:space="preserve"> or communal</w:t>
      </w:r>
      <w:r w:rsidRPr="00461D74">
        <w:rPr>
          <w:rFonts w:ascii="Garamond" w:hAnsi="Garamond" w:cstheme="minorHAnsi"/>
        </w:rPr>
        <w:t xml:space="preserve"> conceptions of the good.</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 xml:space="preserve">Additionally, there is a need </w:t>
      </w:r>
      <w:r w:rsidR="00DA0055">
        <w:rPr>
          <w:rFonts w:ascii="Garamond" w:hAnsi="Garamond" w:cstheme="minorHAnsi"/>
        </w:rPr>
        <w:t>for</w:t>
      </w:r>
      <w:r w:rsidRPr="00461D74">
        <w:rPr>
          <w:rFonts w:ascii="Garamond" w:hAnsi="Garamond" w:cstheme="minorHAnsi"/>
        </w:rPr>
        <w:t xml:space="preserve"> </w:t>
      </w:r>
      <w:proofErr w:type="spellStart"/>
      <w:r w:rsidRPr="00461D74">
        <w:rPr>
          <w:rFonts w:ascii="Garamond" w:hAnsi="Garamond" w:cstheme="minorHAnsi"/>
        </w:rPr>
        <w:t>epistemically</w:t>
      </w:r>
      <w:proofErr w:type="spellEnd"/>
      <w:r w:rsidRPr="00461D74">
        <w:rPr>
          <w:rFonts w:ascii="Garamond" w:hAnsi="Garamond" w:cstheme="minorHAnsi"/>
        </w:rPr>
        <w:t xml:space="preserve"> reflexive (empirically malleable) procedures to delineate between private and public spheres of inquiry. A detail</w:t>
      </w:r>
      <w:r w:rsidR="00EB1653">
        <w:rPr>
          <w:rFonts w:ascii="Garamond" w:hAnsi="Garamond" w:cstheme="minorHAnsi"/>
        </w:rPr>
        <w:t>ed</w:t>
      </w:r>
      <w:r w:rsidRPr="00461D74">
        <w:rPr>
          <w:rFonts w:ascii="Garamond" w:hAnsi="Garamond" w:cstheme="minorHAnsi"/>
        </w:rPr>
        <w:t xml:space="preserve"> consideration of the issue that neutrality of public reason presents</w:t>
      </w:r>
      <w:r w:rsidR="008978EF" w:rsidRPr="00461D74">
        <w:rPr>
          <w:rFonts w:ascii="Garamond" w:hAnsi="Garamond" w:cstheme="minorHAnsi"/>
        </w:rPr>
        <w:t xml:space="preserve"> means that </w:t>
      </w:r>
      <w:r w:rsidR="00F77412" w:rsidRPr="00461D74">
        <w:rPr>
          <w:rFonts w:ascii="Garamond" w:hAnsi="Garamond" w:cstheme="minorHAnsi"/>
        </w:rPr>
        <w:t>we</w:t>
      </w:r>
      <w:r w:rsidR="00F5632D" w:rsidRPr="00461D74">
        <w:rPr>
          <w:rFonts w:ascii="Garamond" w:hAnsi="Garamond" w:cstheme="minorHAnsi"/>
        </w:rPr>
        <w:t xml:space="preserve"> </w:t>
      </w:r>
      <w:r w:rsidR="00F77412" w:rsidRPr="00461D74">
        <w:rPr>
          <w:rFonts w:ascii="Garamond" w:hAnsi="Garamond" w:cstheme="minorHAnsi"/>
        </w:rPr>
        <w:t xml:space="preserve">ought to examine </w:t>
      </w:r>
      <w:r w:rsidR="008978EF" w:rsidRPr="00461D74">
        <w:rPr>
          <w:rFonts w:ascii="Garamond" w:hAnsi="Garamond" w:cstheme="minorHAnsi"/>
        </w:rPr>
        <w:t xml:space="preserve">the ways in which </w:t>
      </w:r>
      <w:r w:rsidRPr="00461D74">
        <w:rPr>
          <w:rFonts w:ascii="Garamond" w:hAnsi="Garamond" w:cstheme="minorHAnsi"/>
        </w:rPr>
        <w:t xml:space="preserve">the </w:t>
      </w:r>
      <w:r w:rsidR="008978EF" w:rsidRPr="00461D74">
        <w:rPr>
          <w:rFonts w:ascii="Garamond" w:hAnsi="Garamond" w:cstheme="minorHAnsi"/>
        </w:rPr>
        <w:t xml:space="preserve">distinction between the </w:t>
      </w:r>
      <w:r w:rsidRPr="00461D74">
        <w:rPr>
          <w:rFonts w:ascii="Garamond" w:hAnsi="Garamond" w:cstheme="minorHAnsi"/>
        </w:rPr>
        <w:t xml:space="preserve">private </w:t>
      </w:r>
      <w:r w:rsidR="008978EF" w:rsidRPr="00461D74">
        <w:rPr>
          <w:rFonts w:ascii="Garamond" w:hAnsi="Garamond" w:cstheme="minorHAnsi"/>
        </w:rPr>
        <w:t>and public spheres can at times limit our ability to tackle social problems; yet, at the same time, this distinction remains important if we are to avoid the slippery slope to a totalitarian end state</w:t>
      </w:r>
      <w:r w:rsidRPr="00461D74">
        <w:rPr>
          <w:rFonts w:ascii="Garamond" w:hAnsi="Garamond" w:cstheme="minorHAnsi"/>
        </w:rPr>
        <w:t>.</w:t>
      </w:r>
    </w:p>
    <w:p w:rsidR="00665157" w:rsidRDefault="00016049">
      <w:pPr>
        <w:pStyle w:val="ListParagraph"/>
        <w:numPr>
          <w:ilvl w:val="0"/>
          <w:numId w:val="4"/>
        </w:numPr>
        <w:spacing w:after="200" w:line="360" w:lineRule="auto"/>
        <w:jc w:val="both"/>
        <w:rPr>
          <w:rFonts w:ascii="Garamond" w:hAnsi="Garamond" w:cstheme="minorHAnsi"/>
        </w:rPr>
      </w:pPr>
      <w:r w:rsidRPr="00461D74">
        <w:rPr>
          <w:rFonts w:ascii="Garamond" w:hAnsi="Garamond" w:cstheme="minorHAnsi"/>
        </w:rPr>
        <w:t>Lastly, in order for us to meaningfully achieve some of the above suggestions and set meaningful boundaries between the state and local communities we need to engage seriously with legal/political history.</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At least with respect to defending local communities</w:t>
      </w:r>
      <w:r w:rsidR="00F5632D" w:rsidRPr="00461D74">
        <w:rPr>
          <w:rFonts w:ascii="Garamond" w:hAnsi="Garamond" w:cstheme="minorHAnsi"/>
        </w:rPr>
        <w:t>,</w:t>
      </w:r>
      <w:r w:rsidR="00F77412" w:rsidRPr="00461D74">
        <w:rPr>
          <w:rFonts w:ascii="Garamond" w:hAnsi="Garamond" w:cstheme="minorHAnsi"/>
        </w:rPr>
        <w:t xml:space="preserve"> </w:t>
      </w:r>
      <w:r w:rsidRPr="00461D74">
        <w:rPr>
          <w:rFonts w:ascii="Garamond" w:hAnsi="Garamond" w:cstheme="minorHAnsi"/>
        </w:rPr>
        <w:t xml:space="preserve">it seems MacIntyre’s work has </w:t>
      </w:r>
      <w:r w:rsidR="00F01CC2">
        <w:rPr>
          <w:rFonts w:ascii="Garamond" w:hAnsi="Garamond" w:cstheme="minorHAnsi"/>
        </w:rPr>
        <w:t xml:space="preserve">to some extent </w:t>
      </w:r>
      <w:r w:rsidRPr="00461D74">
        <w:rPr>
          <w:rFonts w:ascii="Garamond" w:hAnsi="Garamond" w:cstheme="minorHAnsi"/>
        </w:rPr>
        <w:t xml:space="preserve">neglected the implications of </w:t>
      </w:r>
      <w:r w:rsidR="00C25E4D" w:rsidRPr="00461D74">
        <w:rPr>
          <w:rFonts w:ascii="Garamond" w:hAnsi="Garamond" w:cstheme="minorHAnsi"/>
        </w:rPr>
        <w:t xml:space="preserve">historical </w:t>
      </w:r>
      <w:r w:rsidRPr="00461D74">
        <w:rPr>
          <w:rFonts w:ascii="Garamond" w:hAnsi="Garamond" w:cstheme="minorHAnsi"/>
        </w:rPr>
        <w:t>events in legal and political history</w:t>
      </w:r>
      <w:r w:rsidR="00F01CC2">
        <w:rPr>
          <w:rFonts w:ascii="Garamond" w:hAnsi="Garamond" w:cstheme="minorHAnsi"/>
        </w:rPr>
        <w:t>,</w:t>
      </w:r>
      <w:r w:rsidR="00C25E4D" w:rsidRPr="00461D74">
        <w:rPr>
          <w:rFonts w:ascii="Garamond" w:hAnsi="Garamond" w:cstheme="minorHAnsi"/>
        </w:rPr>
        <w:t xml:space="preserve"> </w:t>
      </w:r>
      <w:r w:rsidR="00F01CC2">
        <w:rPr>
          <w:rFonts w:ascii="Garamond" w:hAnsi="Garamond" w:cstheme="minorHAnsi"/>
        </w:rPr>
        <w:t>which</w:t>
      </w:r>
      <w:r w:rsidR="00F01CC2" w:rsidRPr="00461D74">
        <w:rPr>
          <w:rFonts w:ascii="Garamond" w:hAnsi="Garamond" w:cstheme="minorHAnsi"/>
        </w:rPr>
        <w:t xml:space="preserve"> </w:t>
      </w:r>
      <w:r w:rsidR="00C25E4D" w:rsidRPr="00461D74">
        <w:rPr>
          <w:rFonts w:ascii="Garamond" w:hAnsi="Garamond" w:cstheme="minorHAnsi"/>
        </w:rPr>
        <w:t>have undermined</w:t>
      </w:r>
      <w:r w:rsidRPr="00461D74">
        <w:rPr>
          <w:rFonts w:ascii="Garamond" w:hAnsi="Garamond" w:cstheme="minorHAnsi"/>
        </w:rPr>
        <w:t xml:space="preserve"> </w:t>
      </w:r>
      <w:r w:rsidR="00C25E4D" w:rsidRPr="00461D74">
        <w:rPr>
          <w:rFonts w:ascii="Garamond" w:hAnsi="Garamond" w:cstheme="minorHAnsi"/>
        </w:rPr>
        <w:t xml:space="preserve">democratic </w:t>
      </w:r>
      <w:r w:rsidRPr="00461D74">
        <w:rPr>
          <w:rFonts w:ascii="Garamond" w:hAnsi="Garamond" w:cstheme="minorHAnsi"/>
        </w:rPr>
        <w:t>politics</w:t>
      </w:r>
      <w:r w:rsidR="00C25E4D" w:rsidRPr="00461D74">
        <w:rPr>
          <w:rFonts w:ascii="Garamond" w:hAnsi="Garamond" w:cstheme="minorHAnsi"/>
        </w:rPr>
        <w:t xml:space="preserve"> at the level of communities</w:t>
      </w:r>
      <w:r w:rsidRPr="00461D74">
        <w:rPr>
          <w:rFonts w:ascii="Garamond" w:hAnsi="Garamond" w:cstheme="minorHAnsi"/>
        </w:rPr>
        <w:t>.</w:t>
      </w:r>
    </w:p>
    <w:p w:rsidR="00665157" w:rsidRDefault="00016049">
      <w:pPr>
        <w:pStyle w:val="ListParagraph"/>
        <w:numPr>
          <w:ilvl w:val="1"/>
          <w:numId w:val="4"/>
        </w:numPr>
        <w:spacing w:after="200" w:line="360" w:lineRule="auto"/>
        <w:jc w:val="both"/>
        <w:rPr>
          <w:rFonts w:ascii="Garamond" w:hAnsi="Garamond" w:cstheme="minorHAnsi"/>
        </w:rPr>
      </w:pPr>
      <w:r w:rsidRPr="00461D74">
        <w:rPr>
          <w:rFonts w:ascii="Garamond" w:hAnsi="Garamond" w:cstheme="minorHAnsi"/>
        </w:rPr>
        <w:t>A brief examination of particular 19</w:t>
      </w:r>
      <w:r w:rsidRPr="00461D74">
        <w:rPr>
          <w:rFonts w:ascii="Garamond" w:hAnsi="Garamond" w:cstheme="minorHAnsi"/>
          <w:vertAlign w:val="superscript"/>
        </w:rPr>
        <w:t>th</w:t>
      </w:r>
      <w:r w:rsidRPr="00461D74">
        <w:rPr>
          <w:rFonts w:ascii="Garamond" w:hAnsi="Garamond" w:cstheme="minorHAnsi"/>
        </w:rPr>
        <w:t>-20</w:t>
      </w:r>
      <w:r w:rsidRPr="00461D74">
        <w:rPr>
          <w:rFonts w:ascii="Garamond" w:hAnsi="Garamond" w:cstheme="minorHAnsi"/>
          <w:vertAlign w:val="superscript"/>
        </w:rPr>
        <w:t>th</w:t>
      </w:r>
      <w:r w:rsidRPr="00461D74">
        <w:rPr>
          <w:rFonts w:ascii="Garamond" w:hAnsi="Garamond" w:cstheme="minorHAnsi"/>
        </w:rPr>
        <w:t xml:space="preserve"> century cases in legal and political history in the United States reveals how the democratic power of local communities have been gradually eviscerated. This type of political-historical analysis can help us </w:t>
      </w:r>
      <w:r w:rsidRPr="00461D74">
        <w:rPr>
          <w:rFonts w:ascii="Garamond" w:hAnsi="Garamond" w:cstheme="minorHAnsi"/>
        </w:rPr>
        <w:lastRenderedPageBreak/>
        <w:t xml:space="preserve">find ways to empower community-based </w:t>
      </w:r>
      <w:r w:rsidR="00C25E4D" w:rsidRPr="00461D74">
        <w:rPr>
          <w:rFonts w:ascii="Garamond" w:hAnsi="Garamond" w:cstheme="minorHAnsi"/>
        </w:rPr>
        <w:t xml:space="preserve">participatory </w:t>
      </w:r>
      <w:r w:rsidRPr="00461D74">
        <w:rPr>
          <w:rFonts w:ascii="Garamond" w:hAnsi="Garamond" w:cstheme="minorHAnsi"/>
        </w:rPr>
        <w:t>democratic politics.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will </w:t>
      </w:r>
      <w:r w:rsidR="00DA7CC6" w:rsidRPr="00461D74">
        <w:rPr>
          <w:rFonts w:ascii="Garamond" w:hAnsi="Garamond" w:cstheme="minorHAnsi"/>
          <w:sz w:val="24"/>
          <w:szCs w:val="24"/>
        </w:rPr>
        <w:t xml:space="preserve">now </w:t>
      </w:r>
      <w:r w:rsidR="000A2373">
        <w:rPr>
          <w:rFonts w:ascii="Garamond" w:hAnsi="Garamond" w:cstheme="minorHAnsi"/>
          <w:sz w:val="24"/>
          <w:szCs w:val="24"/>
        </w:rPr>
        <w:t xml:space="preserve">begin </w:t>
      </w:r>
      <w:r w:rsidRPr="00461D74">
        <w:rPr>
          <w:rFonts w:ascii="Garamond" w:hAnsi="Garamond" w:cstheme="minorHAnsi"/>
          <w:sz w:val="24"/>
          <w:szCs w:val="24"/>
        </w:rPr>
        <w:t>consider</w:t>
      </w:r>
      <w:r w:rsidR="000A2373">
        <w:rPr>
          <w:rFonts w:ascii="Garamond" w:hAnsi="Garamond" w:cstheme="minorHAnsi"/>
          <w:sz w:val="24"/>
          <w:szCs w:val="24"/>
        </w:rPr>
        <w:t>ing</w:t>
      </w:r>
      <w:r w:rsidRPr="00461D74">
        <w:rPr>
          <w:rFonts w:ascii="Garamond" w:hAnsi="Garamond" w:cstheme="minorHAnsi"/>
          <w:sz w:val="24"/>
          <w:szCs w:val="24"/>
        </w:rPr>
        <w:t xml:space="preserve"> what I take to be some important constitutive elements of just such a political philosophy. In order to advance my argument, I will engage in some detail with accounts that look to remedy the standard versions of liberalism – the versions that MacIntyre finds objectionable. The hope is that the sort of honest self-conscious theory is</w:t>
      </w:r>
      <w:r w:rsidR="00DA7CC6" w:rsidRPr="00461D74">
        <w:rPr>
          <w:rFonts w:ascii="Garamond" w:hAnsi="Garamond" w:cstheme="minorHAnsi"/>
          <w:sz w:val="24"/>
          <w:szCs w:val="24"/>
        </w:rPr>
        <w:t xml:space="preserve"> more</w:t>
      </w:r>
      <w:r w:rsidRPr="00461D74">
        <w:rPr>
          <w:rFonts w:ascii="Garamond" w:hAnsi="Garamond" w:cstheme="minorHAnsi"/>
          <w:sz w:val="24"/>
          <w:szCs w:val="24"/>
        </w:rPr>
        <w:t xml:space="preserve"> cognizant about the limits of neutrality in politics. This mode of engaging in politics accepts the importance of adopting neutrality or a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attitude where it is most necessary, for example, with respect to important civil liberties. At the same time whenever it is advisable, or possible, even at some cost to efficiency of bureaucracy, </w:t>
      </w:r>
      <w:r w:rsidR="00DA7CC6" w:rsidRPr="00461D74">
        <w:rPr>
          <w:rFonts w:ascii="Garamond" w:hAnsi="Garamond" w:cstheme="minorHAnsi"/>
          <w:sz w:val="24"/>
          <w:szCs w:val="24"/>
        </w:rPr>
        <w:t>we should</w:t>
      </w:r>
      <w:r w:rsidRPr="00461D74">
        <w:rPr>
          <w:rFonts w:ascii="Garamond" w:hAnsi="Garamond" w:cstheme="minorHAnsi"/>
          <w:sz w:val="24"/>
          <w:szCs w:val="24"/>
        </w:rPr>
        <w:t xml:space="preserve"> empower local democratic structures to make public decisions. It is my hope that this alternative approach to politics provides the space for local communities to promote a participatory politics of the common good in choosing freely in their evaluation of the various goods that sustain a flourishing community life, and at the same time maintain the sort of neutrality that limits the ability of local communities to frustrate the wishes of under-represented and marginalized elements of communities.</w:t>
      </w:r>
      <w:r w:rsidRPr="00461D74">
        <w:rPr>
          <w:rFonts w:ascii="Garamond" w:hAnsi="Garamond" w:cstheme="minorHAnsi"/>
          <w:sz w:val="24"/>
          <w:szCs w:val="24"/>
        </w:rPr>
        <w:softHyphen/>
      </w:r>
    </w:p>
    <w:p w:rsidR="00665157" w:rsidRDefault="00665157" w:rsidP="00C66538">
      <w:pPr>
        <w:spacing w:line="360" w:lineRule="auto"/>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61" w:name="_Toc528077838"/>
      <w:r>
        <w:rPr>
          <w:rFonts w:cstheme="majorHAnsi"/>
        </w:rPr>
        <w:t xml:space="preserve">3. </w:t>
      </w:r>
      <w:r w:rsidR="00016049" w:rsidRPr="00F03436">
        <w:rPr>
          <w:rFonts w:cstheme="majorHAnsi"/>
        </w:rPr>
        <w:t>Participatory Democracy</w:t>
      </w:r>
      <w:bookmarkEnd w:id="61"/>
    </w:p>
    <w:p w:rsidR="00665157" w:rsidRDefault="00665157">
      <w:pPr>
        <w:spacing w:line="360" w:lineRule="auto"/>
        <w:jc w:val="both"/>
        <w:rPr>
          <w:rFonts w:ascii="Garamond" w:hAnsi="Garamond" w:cstheme="minorHAnsi"/>
          <w:sz w:val="24"/>
          <w:szCs w:val="24"/>
        </w:rPr>
      </w:pPr>
    </w:p>
    <w:p w:rsidR="00665157" w:rsidRDefault="007E114B">
      <w:pPr>
        <w:spacing w:line="360" w:lineRule="auto"/>
        <w:jc w:val="both"/>
        <w:rPr>
          <w:rFonts w:ascii="Garamond" w:hAnsi="Garamond" w:cstheme="minorHAnsi"/>
          <w:sz w:val="24"/>
          <w:szCs w:val="24"/>
        </w:rPr>
      </w:pPr>
      <w:r w:rsidRPr="00461D74">
        <w:rPr>
          <w:rFonts w:ascii="Garamond" w:hAnsi="Garamond" w:cstheme="minorHAnsi"/>
          <w:sz w:val="24"/>
          <w:szCs w:val="24"/>
        </w:rPr>
        <w:t xml:space="preserve">In order to develop the outlines of an alternative critical (liberal) politics, I will primarily consider some alternative </w:t>
      </w:r>
      <w:r w:rsidR="00D92BB5" w:rsidRPr="00461D74">
        <w:rPr>
          <w:rFonts w:ascii="Garamond" w:hAnsi="Garamond" w:cstheme="minorHAnsi"/>
          <w:sz w:val="24"/>
          <w:szCs w:val="24"/>
        </w:rPr>
        <w:t xml:space="preserve">pragmatist inclined </w:t>
      </w:r>
      <w:r w:rsidRPr="00461D74">
        <w:rPr>
          <w:rFonts w:ascii="Garamond" w:hAnsi="Garamond" w:cstheme="minorHAnsi"/>
          <w:sz w:val="24"/>
          <w:szCs w:val="24"/>
        </w:rPr>
        <w:t xml:space="preserve">approaches taken </w:t>
      </w:r>
      <w:r w:rsidR="00D92BB5" w:rsidRPr="00461D74">
        <w:rPr>
          <w:rFonts w:ascii="Garamond" w:hAnsi="Garamond" w:cstheme="minorHAnsi"/>
          <w:sz w:val="24"/>
          <w:szCs w:val="24"/>
        </w:rPr>
        <w:t xml:space="preserve">up </w:t>
      </w:r>
      <w:r w:rsidRPr="00461D74">
        <w:rPr>
          <w:rFonts w:ascii="Garamond" w:hAnsi="Garamond" w:cstheme="minorHAnsi"/>
          <w:sz w:val="24"/>
          <w:szCs w:val="24"/>
        </w:rPr>
        <w:t xml:space="preserve">by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Honneth’s</w:t>
      </w:r>
      <w:proofErr w:type="spellEnd"/>
      <w:r w:rsidRPr="00461D74">
        <w:rPr>
          <w:rFonts w:ascii="Garamond" w:hAnsi="Garamond" w:cstheme="minorHAnsi"/>
          <w:sz w:val="24"/>
          <w:szCs w:val="24"/>
        </w:rPr>
        <w:t xml:space="preserve"> Dewey. </w:t>
      </w:r>
      <w:r w:rsidR="00EB1653">
        <w:rPr>
          <w:rFonts w:ascii="Garamond" w:hAnsi="Garamond" w:cstheme="minorHAnsi"/>
          <w:sz w:val="24"/>
          <w:szCs w:val="24"/>
        </w:rPr>
        <w:t>I</w:t>
      </w:r>
      <w:r w:rsidRPr="00461D74">
        <w:rPr>
          <w:rFonts w:ascii="Garamond" w:hAnsi="Garamond" w:cstheme="minorHAnsi"/>
          <w:sz w:val="24"/>
          <w:szCs w:val="24"/>
        </w:rPr>
        <w:t xml:space="preserve">n my view, at a deeper level, all these approaches share a common ground – that of developing a </w:t>
      </w:r>
      <w:r w:rsidRPr="00461D74">
        <w:rPr>
          <w:rFonts w:ascii="Garamond" w:hAnsi="Garamond" w:cstheme="minorHAnsi"/>
          <w:i/>
          <w:iCs/>
          <w:sz w:val="24"/>
          <w:szCs w:val="24"/>
        </w:rPr>
        <w:t>via media</w:t>
      </w:r>
      <w:r w:rsidRPr="00461D74">
        <w:rPr>
          <w:rFonts w:ascii="Garamond" w:hAnsi="Garamond" w:cstheme="minorHAnsi"/>
          <w:sz w:val="24"/>
          <w:szCs w:val="24"/>
        </w:rPr>
        <w:t xml:space="preserve"> that can bridge the gap between realist non-ideal accounts of politics and the kind of </w:t>
      </w:r>
      <w:r w:rsidRPr="00461D74">
        <w:rPr>
          <w:rFonts w:ascii="Garamond" w:hAnsi="Garamond" w:cstheme="minorHAnsi"/>
          <w:sz w:val="24"/>
          <w:szCs w:val="24"/>
        </w:rPr>
        <w:lastRenderedPageBreak/>
        <w:t>account</w:t>
      </w:r>
      <w:r w:rsidR="000A2373">
        <w:rPr>
          <w:rFonts w:ascii="Garamond" w:hAnsi="Garamond" w:cstheme="minorHAnsi"/>
          <w:sz w:val="24"/>
          <w:szCs w:val="24"/>
        </w:rPr>
        <w:t>s</w:t>
      </w:r>
      <w:r w:rsidRPr="00461D74">
        <w:rPr>
          <w:rFonts w:ascii="Garamond" w:hAnsi="Garamond" w:cstheme="minorHAnsi"/>
          <w:sz w:val="24"/>
          <w:szCs w:val="24"/>
        </w:rPr>
        <w:t xml:space="preserve"> found more prominently in </w:t>
      </w:r>
      <w:r w:rsidR="000A2373">
        <w:rPr>
          <w:rFonts w:ascii="Garamond" w:hAnsi="Garamond" w:cstheme="minorHAnsi"/>
          <w:sz w:val="24"/>
          <w:szCs w:val="24"/>
        </w:rPr>
        <w:t xml:space="preserve">the works of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w:t>
      </w:r>
      <w:r w:rsidR="000A2373">
        <w:rPr>
          <w:rFonts w:ascii="Garamond" w:hAnsi="Garamond" w:cstheme="minorHAnsi"/>
          <w:sz w:val="24"/>
          <w:szCs w:val="24"/>
        </w:rPr>
        <w:t>and other</w:t>
      </w:r>
      <w:r w:rsidR="000A2373" w:rsidRPr="00461D74">
        <w:rPr>
          <w:rFonts w:ascii="Garamond" w:hAnsi="Garamond" w:cstheme="minorHAnsi"/>
          <w:sz w:val="24"/>
          <w:szCs w:val="24"/>
        </w:rPr>
        <w:t xml:space="preserve">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w:t>
      </w:r>
      <w:r w:rsidR="000A2373">
        <w:rPr>
          <w:rFonts w:ascii="Garamond" w:hAnsi="Garamond" w:cstheme="minorHAnsi"/>
          <w:sz w:val="24"/>
          <w:szCs w:val="24"/>
        </w:rPr>
        <w:t>liberal political philosophers</w:t>
      </w:r>
      <w:r w:rsidRPr="00461D74">
        <w:rPr>
          <w:rFonts w:ascii="Garamond" w:hAnsi="Garamond" w:cstheme="minorHAnsi"/>
          <w:sz w:val="24"/>
          <w:szCs w:val="24"/>
        </w:rPr>
        <w:t>. Thus, at a conceptual level, the remedy to our problem – that of outlining an alternative critical liberal model for politics – l</w:t>
      </w:r>
      <w:r w:rsidR="00F5632D" w:rsidRPr="00461D74">
        <w:rPr>
          <w:rFonts w:ascii="Garamond" w:hAnsi="Garamond" w:cstheme="minorHAnsi"/>
          <w:sz w:val="24"/>
          <w:szCs w:val="24"/>
        </w:rPr>
        <w:t>ies</w:t>
      </w:r>
      <w:r w:rsidRPr="00461D74">
        <w:rPr>
          <w:rFonts w:ascii="Garamond" w:hAnsi="Garamond" w:cstheme="minorHAnsi"/>
          <w:sz w:val="24"/>
          <w:szCs w:val="24"/>
        </w:rPr>
        <w:t xml:space="preserve"> in the ongoing debate between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(ideal) accounts and more realistic (non-ideal) accounts in politics.</w:t>
      </w:r>
    </w:p>
    <w:p w:rsidR="00665157" w:rsidRDefault="00C8079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First, I should say that as far as I am aware, MacIntyre doesn’t explicitly discuss pragmatism. </w:t>
      </w:r>
      <w:r w:rsidR="00F5632D" w:rsidRPr="00461D74">
        <w:rPr>
          <w:rFonts w:ascii="Garamond" w:hAnsi="Garamond" w:cstheme="minorHAnsi"/>
          <w:sz w:val="24"/>
          <w:szCs w:val="24"/>
        </w:rPr>
        <w:t xml:space="preserve">The </w:t>
      </w:r>
      <w:r w:rsidRPr="00461D74">
        <w:rPr>
          <w:rFonts w:ascii="Garamond" w:hAnsi="Garamond" w:cstheme="minorHAnsi"/>
          <w:sz w:val="24"/>
          <w:szCs w:val="24"/>
        </w:rPr>
        <w:t xml:space="preserve">noted MacIntyre scholar Kelvin Knight discusses Pragmatist philosophers Robert </w:t>
      </w:r>
      <w:proofErr w:type="spellStart"/>
      <w:r w:rsidRPr="00461D74">
        <w:rPr>
          <w:rFonts w:ascii="Garamond" w:hAnsi="Garamond" w:cstheme="minorHAnsi"/>
          <w:sz w:val="24"/>
          <w:szCs w:val="24"/>
        </w:rPr>
        <w:t>Brandom</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Jurgen</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Habermas</w:t>
      </w:r>
      <w:proofErr w:type="spellEnd"/>
      <w:r w:rsidR="00F5632D" w:rsidRPr="00461D74">
        <w:rPr>
          <w:rFonts w:ascii="Garamond" w:hAnsi="Garamond" w:cstheme="minorHAnsi"/>
          <w:sz w:val="24"/>
          <w:szCs w:val="24"/>
        </w:rPr>
        <w:t xml:space="preserve"> in a paper</w:t>
      </w:r>
      <w:r w:rsidRPr="00461D74">
        <w:rPr>
          <w:rFonts w:ascii="Garamond" w:hAnsi="Garamond" w:cstheme="minorHAnsi"/>
          <w:sz w:val="24"/>
          <w:szCs w:val="24"/>
        </w:rPr>
        <w:t>.</w:t>
      </w:r>
      <w:r w:rsidR="00F5632D" w:rsidRPr="00461D74">
        <w:rPr>
          <w:rStyle w:val="FootnoteReference"/>
          <w:rFonts w:ascii="Garamond" w:hAnsi="Garamond" w:cstheme="minorHAnsi"/>
          <w:sz w:val="24"/>
          <w:szCs w:val="24"/>
        </w:rPr>
        <w:footnoteReference w:id="395"/>
      </w:r>
      <w:r w:rsidR="00F5632D" w:rsidRPr="00461D74">
        <w:rPr>
          <w:rFonts w:ascii="Garamond" w:hAnsi="Garamond" w:cstheme="minorHAnsi"/>
          <w:sz w:val="24"/>
          <w:szCs w:val="24"/>
        </w:rPr>
        <w:t xml:space="preserve"> </w:t>
      </w:r>
      <w:r w:rsidRPr="00461D74">
        <w:rPr>
          <w:rFonts w:ascii="Garamond" w:hAnsi="Garamond" w:cstheme="minorHAnsi"/>
          <w:sz w:val="24"/>
          <w:szCs w:val="24"/>
        </w:rPr>
        <w:t xml:space="preserve">Nevertheless, in my view, </w:t>
      </w:r>
      <w:proofErr w:type="spellStart"/>
      <w:r w:rsidRPr="00461D74">
        <w:rPr>
          <w:rFonts w:ascii="Garamond" w:hAnsi="Garamond" w:cstheme="minorHAnsi"/>
          <w:sz w:val="24"/>
          <w:szCs w:val="24"/>
        </w:rPr>
        <w:t>Brandom</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Habermas</w:t>
      </w:r>
      <w:proofErr w:type="spellEnd"/>
      <w:r w:rsidRPr="00461D74">
        <w:rPr>
          <w:rFonts w:ascii="Garamond" w:hAnsi="Garamond" w:cstheme="minorHAnsi"/>
          <w:sz w:val="24"/>
          <w:szCs w:val="24"/>
        </w:rPr>
        <w:t xml:space="preserve"> are not good examples of the kind of political pragmatism, and especially </w:t>
      </w:r>
      <w:r w:rsidR="009F3940">
        <w:rPr>
          <w:rFonts w:ascii="Garamond" w:hAnsi="Garamond" w:cstheme="minorHAnsi"/>
          <w:sz w:val="24"/>
          <w:szCs w:val="24"/>
        </w:rPr>
        <w:t xml:space="preserve">the </w:t>
      </w:r>
      <w:r w:rsidRPr="00461D74">
        <w:rPr>
          <w:rFonts w:ascii="Garamond" w:hAnsi="Garamond" w:cstheme="minorHAnsi"/>
          <w:sz w:val="24"/>
          <w:szCs w:val="24"/>
        </w:rPr>
        <w:t>Deweyan pragmatism, which I look to consider in this chapter. Now, should this alternative political pragmatism prove promising, its consideration potentially offers us new ways of engaging in a constructive dialogue between political pragmatists and the proponents of MacIntyre’s account.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w:t>
      </w:r>
      <w:r w:rsidR="00F5632D" w:rsidRPr="00461D74">
        <w:rPr>
          <w:rFonts w:ascii="Garamond" w:hAnsi="Garamond" w:cstheme="minorHAnsi"/>
          <w:sz w:val="24"/>
          <w:szCs w:val="24"/>
        </w:rPr>
        <w:t>,</w:t>
      </w:r>
      <w:r w:rsidRPr="00461D74">
        <w:rPr>
          <w:rFonts w:ascii="Garamond" w:hAnsi="Garamond" w:cstheme="minorHAnsi"/>
          <w:sz w:val="24"/>
          <w:szCs w:val="24"/>
        </w:rPr>
        <w:t xml:space="preserve"> </w:t>
      </w:r>
      <w:r w:rsidR="007E114B" w:rsidRPr="00461D74">
        <w:rPr>
          <w:rFonts w:ascii="Garamond" w:hAnsi="Garamond" w:cstheme="minorHAnsi"/>
          <w:sz w:val="24"/>
          <w:szCs w:val="24"/>
        </w:rPr>
        <w:t xml:space="preserve">one </w:t>
      </w:r>
      <w:r w:rsidRPr="00461D74">
        <w:rPr>
          <w:rFonts w:ascii="Garamond" w:hAnsi="Garamond" w:cstheme="minorHAnsi"/>
          <w:sz w:val="24"/>
          <w:szCs w:val="24"/>
        </w:rPr>
        <w:t xml:space="preserve">may wonder </w:t>
      </w:r>
      <w:r w:rsidR="007E114B" w:rsidRPr="00461D74">
        <w:rPr>
          <w:rFonts w:ascii="Garamond" w:hAnsi="Garamond" w:cstheme="minorHAnsi"/>
          <w:sz w:val="24"/>
          <w:szCs w:val="24"/>
        </w:rPr>
        <w:t xml:space="preserve">whether </w:t>
      </w:r>
      <w:r w:rsidRPr="00461D74">
        <w:rPr>
          <w:rFonts w:ascii="Garamond" w:hAnsi="Garamond" w:cstheme="minorHAnsi"/>
          <w:sz w:val="24"/>
          <w:szCs w:val="24"/>
        </w:rPr>
        <w:t xml:space="preserve">there is </w:t>
      </w:r>
      <w:r w:rsidR="007E114B" w:rsidRPr="00461D74">
        <w:rPr>
          <w:rFonts w:ascii="Garamond" w:hAnsi="Garamond" w:cstheme="minorHAnsi"/>
          <w:sz w:val="24"/>
          <w:szCs w:val="24"/>
        </w:rPr>
        <w:t xml:space="preserve">a </w:t>
      </w:r>
      <w:r w:rsidRPr="00461D74">
        <w:rPr>
          <w:rFonts w:ascii="Garamond" w:hAnsi="Garamond" w:cstheme="minorHAnsi"/>
          <w:sz w:val="24"/>
          <w:szCs w:val="24"/>
        </w:rPr>
        <w:t>deeper relationship between these particular authors, and more importantly</w:t>
      </w:r>
      <w:r w:rsidR="007E114B" w:rsidRPr="00461D74">
        <w:rPr>
          <w:rFonts w:ascii="Garamond" w:hAnsi="Garamond" w:cstheme="minorHAnsi"/>
          <w:sz w:val="24"/>
          <w:szCs w:val="24"/>
        </w:rPr>
        <w:t xml:space="preserve">, </w:t>
      </w:r>
      <w:r w:rsidRPr="00461D74">
        <w:rPr>
          <w:rFonts w:ascii="Garamond" w:hAnsi="Garamond" w:cstheme="minorHAnsi"/>
          <w:sz w:val="24"/>
          <w:szCs w:val="24"/>
        </w:rPr>
        <w:t xml:space="preserve">their connection to the work of Alasdair MacIntyre. </w:t>
      </w:r>
      <w:r w:rsidR="007E114B" w:rsidRPr="00461D74">
        <w:rPr>
          <w:rFonts w:ascii="Garamond" w:hAnsi="Garamond" w:cstheme="minorHAnsi"/>
          <w:sz w:val="24"/>
          <w:szCs w:val="24"/>
        </w:rPr>
        <w:t>So w</w:t>
      </w:r>
      <w:r w:rsidRPr="00461D74">
        <w:rPr>
          <w:rFonts w:ascii="Garamond" w:hAnsi="Garamond" w:cstheme="minorHAnsi"/>
          <w:sz w:val="24"/>
          <w:szCs w:val="24"/>
        </w:rPr>
        <w:t xml:space="preserve">hat </w:t>
      </w:r>
      <w:r w:rsidR="007E114B" w:rsidRPr="00461D74">
        <w:rPr>
          <w:rFonts w:ascii="Garamond" w:hAnsi="Garamond" w:cstheme="minorHAnsi"/>
          <w:sz w:val="24"/>
          <w:szCs w:val="24"/>
        </w:rPr>
        <w:t xml:space="preserve">is the common thread </w:t>
      </w:r>
      <w:r w:rsidRPr="00461D74">
        <w:rPr>
          <w:rFonts w:ascii="Garamond" w:hAnsi="Garamond" w:cstheme="minorHAnsi"/>
          <w:sz w:val="24"/>
          <w:szCs w:val="24"/>
        </w:rPr>
        <w:t xml:space="preserve">that </w:t>
      </w:r>
      <w:r w:rsidR="007E114B" w:rsidRPr="00461D74">
        <w:rPr>
          <w:rFonts w:ascii="Garamond" w:hAnsi="Garamond" w:cstheme="minorHAnsi"/>
          <w:sz w:val="24"/>
          <w:szCs w:val="24"/>
        </w:rPr>
        <w:t xml:space="preserve">connects </w:t>
      </w:r>
      <w:r w:rsidRPr="00461D74">
        <w:rPr>
          <w:rFonts w:ascii="Garamond" w:hAnsi="Garamond" w:cstheme="minorHAnsi"/>
          <w:sz w:val="24"/>
          <w:szCs w:val="24"/>
        </w:rPr>
        <w:t>these particular authors</w:t>
      </w:r>
      <w:r w:rsidR="007E114B" w:rsidRPr="00461D74">
        <w:rPr>
          <w:rFonts w:ascii="Garamond" w:hAnsi="Garamond" w:cstheme="minorHAnsi"/>
          <w:sz w:val="24"/>
          <w:szCs w:val="24"/>
        </w:rPr>
        <w:t>,</w:t>
      </w:r>
      <w:r w:rsidRPr="00461D74">
        <w:rPr>
          <w:rFonts w:ascii="Garamond" w:hAnsi="Garamond" w:cstheme="minorHAnsi"/>
          <w:sz w:val="24"/>
          <w:szCs w:val="24"/>
        </w:rPr>
        <w:t xml:space="preserve"> and </w:t>
      </w:r>
      <w:r w:rsidR="007E114B" w:rsidRPr="00461D74">
        <w:rPr>
          <w:rFonts w:ascii="Garamond" w:hAnsi="Garamond" w:cstheme="minorHAnsi"/>
          <w:sz w:val="24"/>
          <w:szCs w:val="24"/>
        </w:rPr>
        <w:t xml:space="preserve">what is their </w:t>
      </w:r>
      <w:r w:rsidR="008408CB" w:rsidRPr="00461D74">
        <w:rPr>
          <w:rFonts w:ascii="Garamond" w:hAnsi="Garamond" w:cstheme="minorHAnsi"/>
          <w:sz w:val="24"/>
          <w:szCs w:val="24"/>
        </w:rPr>
        <w:t>c</w:t>
      </w:r>
      <w:r w:rsidR="007E114B" w:rsidRPr="00461D74">
        <w:rPr>
          <w:rFonts w:ascii="Garamond" w:hAnsi="Garamond" w:cstheme="minorHAnsi"/>
          <w:sz w:val="24"/>
          <w:szCs w:val="24"/>
        </w:rPr>
        <w:t xml:space="preserve">onnection to </w:t>
      </w:r>
      <w:r w:rsidRPr="00461D74">
        <w:rPr>
          <w:rFonts w:ascii="Garamond" w:hAnsi="Garamond" w:cstheme="minorHAnsi"/>
          <w:sz w:val="24"/>
          <w:szCs w:val="24"/>
        </w:rPr>
        <w:t xml:space="preserve">MacIntyre? We should also ask how the various </w:t>
      </w:r>
      <w:r w:rsidR="007E114B" w:rsidRPr="00461D74">
        <w:rPr>
          <w:rFonts w:ascii="Garamond" w:hAnsi="Garamond" w:cstheme="minorHAnsi"/>
          <w:sz w:val="24"/>
          <w:szCs w:val="24"/>
        </w:rPr>
        <w:t>strategies</w:t>
      </w:r>
      <w:r w:rsidRPr="00461D74">
        <w:rPr>
          <w:rFonts w:ascii="Garamond" w:hAnsi="Garamond" w:cstheme="minorHAnsi"/>
          <w:sz w:val="24"/>
          <w:szCs w:val="24"/>
        </w:rPr>
        <w:t xml:space="preserve"> offered by these authors can help MacIntyre’s brand of politics – or more pointedly: is their brand of democratic politics immune to the various problems that seemingly plagued MacIntyre’s account? </w:t>
      </w:r>
      <w:r w:rsidR="00EF6D19" w:rsidRPr="00461D74">
        <w:rPr>
          <w:rFonts w:ascii="Garamond" w:hAnsi="Garamond" w:cstheme="minorHAnsi"/>
          <w:sz w:val="24"/>
          <w:szCs w:val="24"/>
        </w:rPr>
        <w:t>Finally, i</w:t>
      </w:r>
      <w:r w:rsidRPr="00461D74">
        <w:rPr>
          <w:rFonts w:ascii="Garamond" w:hAnsi="Garamond" w:cstheme="minorHAnsi"/>
          <w:sz w:val="24"/>
          <w:szCs w:val="24"/>
        </w:rPr>
        <w:t xml:space="preserve">n what ways </w:t>
      </w:r>
      <w:r w:rsidR="00F5632D" w:rsidRPr="00461D74">
        <w:rPr>
          <w:rFonts w:ascii="Garamond" w:hAnsi="Garamond" w:cstheme="minorHAnsi"/>
          <w:sz w:val="24"/>
          <w:szCs w:val="24"/>
        </w:rPr>
        <w:t xml:space="preserve">does </w:t>
      </w:r>
      <w:r w:rsidRPr="00461D74">
        <w:rPr>
          <w:rFonts w:ascii="Garamond" w:hAnsi="Garamond" w:cstheme="minorHAnsi"/>
          <w:sz w:val="24"/>
          <w:szCs w:val="24"/>
        </w:rPr>
        <w:t>the alternative account that may</w:t>
      </w:r>
      <w:r w:rsidR="00F5632D" w:rsidRPr="00461D74">
        <w:rPr>
          <w:rFonts w:ascii="Garamond" w:hAnsi="Garamond" w:cstheme="minorHAnsi"/>
          <w:sz w:val="24"/>
          <w:szCs w:val="24"/>
        </w:rPr>
        <w:t xml:space="preserve"> </w:t>
      </w:r>
      <w:r w:rsidRPr="00461D74">
        <w:rPr>
          <w:rFonts w:ascii="Garamond" w:hAnsi="Garamond" w:cstheme="minorHAnsi"/>
          <w:sz w:val="24"/>
          <w:szCs w:val="24"/>
        </w:rPr>
        <w:t xml:space="preserve">be </w:t>
      </w:r>
      <w:r w:rsidR="00EF6D19" w:rsidRPr="00461D74">
        <w:rPr>
          <w:rFonts w:ascii="Garamond" w:hAnsi="Garamond" w:cstheme="minorHAnsi"/>
          <w:sz w:val="24"/>
          <w:szCs w:val="24"/>
        </w:rPr>
        <w:t xml:space="preserve">shaped </w:t>
      </w:r>
      <w:r w:rsidR="008408CB" w:rsidRPr="00461D74">
        <w:rPr>
          <w:rFonts w:ascii="Garamond" w:hAnsi="Garamond" w:cstheme="minorHAnsi"/>
          <w:sz w:val="24"/>
          <w:szCs w:val="24"/>
        </w:rPr>
        <w:t xml:space="preserve">from </w:t>
      </w:r>
      <w:r w:rsidR="00EF6D19" w:rsidRPr="00461D74">
        <w:rPr>
          <w:rFonts w:ascii="Garamond" w:hAnsi="Garamond" w:cstheme="minorHAnsi"/>
          <w:sz w:val="24"/>
          <w:szCs w:val="24"/>
        </w:rPr>
        <w:t>our engagement</w:t>
      </w:r>
      <w:r w:rsidRPr="00461D74">
        <w:rPr>
          <w:rFonts w:ascii="Garamond" w:hAnsi="Garamond" w:cstheme="minorHAnsi"/>
          <w:sz w:val="24"/>
          <w:szCs w:val="24"/>
        </w:rPr>
        <w:t xml:space="preserve"> with these authors supersede more mainstream liberal accounts</w:t>
      </w:r>
      <w:r w:rsidR="00F5632D" w:rsidRPr="00461D74">
        <w:rPr>
          <w:rFonts w:ascii="Garamond" w:hAnsi="Garamond" w:cstheme="minorHAnsi"/>
          <w:sz w:val="24"/>
          <w:szCs w:val="24"/>
        </w:rPr>
        <w:t>;</w:t>
      </w:r>
      <w:r w:rsidRPr="00461D74">
        <w:rPr>
          <w:rFonts w:ascii="Garamond" w:hAnsi="Garamond" w:cstheme="minorHAnsi"/>
          <w:sz w:val="24"/>
          <w:szCs w:val="24"/>
        </w:rPr>
        <w:t xml:space="preserve"> or </w:t>
      </w:r>
      <w:r w:rsidR="00F5632D" w:rsidRPr="00461D74">
        <w:rPr>
          <w:rFonts w:ascii="Garamond" w:hAnsi="Garamond" w:cstheme="minorHAnsi"/>
          <w:sz w:val="24"/>
          <w:szCs w:val="24"/>
        </w:rPr>
        <w:t xml:space="preserve">to </w:t>
      </w:r>
      <w:r w:rsidRPr="00461D74">
        <w:rPr>
          <w:rFonts w:ascii="Garamond" w:hAnsi="Garamond" w:cstheme="minorHAnsi"/>
          <w:sz w:val="24"/>
          <w:szCs w:val="24"/>
        </w:rPr>
        <w:t xml:space="preserve">put differently, what are the important </w:t>
      </w:r>
      <w:r w:rsidR="008408CB" w:rsidRPr="00461D74">
        <w:rPr>
          <w:rFonts w:ascii="Garamond" w:hAnsi="Garamond" w:cstheme="minorHAnsi"/>
          <w:sz w:val="24"/>
          <w:szCs w:val="24"/>
        </w:rPr>
        <w:t xml:space="preserve">features </w:t>
      </w:r>
      <w:r w:rsidRPr="00461D74">
        <w:rPr>
          <w:rFonts w:ascii="Garamond" w:hAnsi="Garamond" w:cstheme="minorHAnsi"/>
          <w:sz w:val="24"/>
          <w:szCs w:val="24"/>
        </w:rPr>
        <w:t xml:space="preserve">of MacIntyre’s political account – </w:t>
      </w:r>
      <w:r w:rsidR="008408CB" w:rsidRPr="00461D74">
        <w:rPr>
          <w:rFonts w:ascii="Garamond" w:hAnsi="Garamond" w:cstheme="minorHAnsi"/>
          <w:sz w:val="24"/>
          <w:szCs w:val="24"/>
        </w:rPr>
        <w:t xml:space="preserve">features </w:t>
      </w:r>
      <w:r w:rsidRPr="00461D74">
        <w:rPr>
          <w:rFonts w:ascii="Garamond" w:hAnsi="Garamond" w:cstheme="minorHAnsi"/>
          <w:sz w:val="24"/>
          <w:szCs w:val="24"/>
        </w:rPr>
        <w:t xml:space="preserve">that are superior to liberal political theory – </w:t>
      </w:r>
      <w:r w:rsidR="008408CB" w:rsidRPr="00461D74">
        <w:rPr>
          <w:rFonts w:ascii="Garamond" w:hAnsi="Garamond" w:cstheme="minorHAnsi"/>
          <w:sz w:val="24"/>
          <w:szCs w:val="24"/>
        </w:rPr>
        <w:t>that remain valuable to us</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I will try to answer a few of these questions now</w:t>
      </w:r>
      <w:r w:rsidR="00F5632D" w:rsidRPr="00461D74">
        <w:rPr>
          <w:rFonts w:ascii="Garamond" w:hAnsi="Garamond" w:cstheme="minorHAnsi"/>
          <w:sz w:val="24"/>
          <w:szCs w:val="24"/>
        </w:rPr>
        <w:t>,</w:t>
      </w:r>
      <w:r w:rsidRPr="00461D74">
        <w:rPr>
          <w:rFonts w:ascii="Garamond" w:hAnsi="Garamond" w:cstheme="minorHAnsi"/>
          <w:sz w:val="24"/>
          <w:szCs w:val="24"/>
        </w:rPr>
        <w:t xml:space="preserve"> while the answers to the </w:t>
      </w:r>
      <w:r w:rsidR="008B4C95">
        <w:rPr>
          <w:rFonts w:ascii="Garamond" w:hAnsi="Garamond" w:cstheme="minorHAnsi"/>
          <w:sz w:val="24"/>
          <w:szCs w:val="24"/>
        </w:rPr>
        <w:t>balance of these questions will have to wait</w:t>
      </w:r>
      <w:r w:rsidR="008D577A">
        <w:rPr>
          <w:rFonts w:ascii="Garamond" w:hAnsi="Garamond" w:cstheme="minorHAnsi"/>
          <w:sz w:val="24"/>
          <w:szCs w:val="24"/>
        </w:rPr>
        <w:t xml:space="preserve"> a closer engagement with each author’s position, towards the end of this chapter</w:t>
      </w:r>
      <w:r w:rsidRPr="00461D74">
        <w:rPr>
          <w:rFonts w:ascii="Garamond" w:hAnsi="Garamond" w:cstheme="minorHAnsi"/>
          <w:sz w:val="24"/>
          <w:szCs w:val="24"/>
        </w:rPr>
        <w:t xml:space="preserve">. In my view, all these authors belong, without any controversy, to a strain of politics that can be characterised as </w:t>
      </w:r>
      <w:r w:rsidR="008408CB" w:rsidRPr="00461D74">
        <w:rPr>
          <w:rFonts w:ascii="Garamond" w:hAnsi="Garamond" w:cstheme="minorHAnsi"/>
          <w:sz w:val="24"/>
          <w:szCs w:val="24"/>
        </w:rPr>
        <w:t xml:space="preserve">both </w:t>
      </w:r>
      <w:r w:rsidRPr="00461D74">
        <w:rPr>
          <w:rFonts w:ascii="Garamond" w:hAnsi="Garamond" w:cstheme="minorHAnsi"/>
          <w:sz w:val="24"/>
          <w:szCs w:val="24"/>
        </w:rPr>
        <w:t>egalitarian-liberal and democratic-communitarian. What does this actually mean? We can say that their political project supports: (</w:t>
      </w:r>
      <w:proofErr w:type="spellStart"/>
      <w:r w:rsidRPr="00461D74">
        <w:rPr>
          <w:rFonts w:ascii="Garamond" w:hAnsi="Garamond" w:cstheme="minorHAnsi"/>
          <w:sz w:val="24"/>
          <w:szCs w:val="24"/>
        </w:rPr>
        <w:t>i</w:t>
      </w:r>
      <w:proofErr w:type="spellEnd"/>
      <w:r w:rsidRPr="00461D74">
        <w:rPr>
          <w:rFonts w:ascii="Garamond" w:hAnsi="Garamond" w:cstheme="minorHAnsi"/>
          <w:sz w:val="24"/>
          <w:szCs w:val="24"/>
        </w:rPr>
        <w:t xml:space="preserve">) a strengthened democratic politics, that doesn’t involve the wholesale rejection of liberal premises; (ii) they view democratic participation and activity at the level of communities as a way to manage the excesses of liberal politics at the state level; and (iii) that a true participatory democracy at the local level can only be meaningful in a less hierarchical </w:t>
      </w:r>
      <w:r w:rsidR="00F5632D" w:rsidRPr="00461D74">
        <w:rPr>
          <w:rFonts w:ascii="Garamond" w:hAnsi="Garamond" w:cstheme="minorHAnsi"/>
          <w:sz w:val="24"/>
          <w:szCs w:val="24"/>
        </w:rPr>
        <w:t xml:space="preserve">and </w:t>
      </w:r>
      <w:r w:rsidRPr="00461D74">
        <w:rPr>
          <w:rFonts w:ascii="Garamond" w:hAnsi="Garamond" w:cstheme="minorHAnsi"/>
          <w:sz w:val="24"/>
          <w:szCs w:val="24"/>
        </w:rPr>
        <w:t>more egalitarian social context, and so they look to advance a more democratic and egalitarian social ontology.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addition, all of these authors more or less accept the historicist thesis in one form or another. On this thesis, broadly speaking, a liberal-egalitarian-democratic politics can be best served when augmented with a comparative analysis of political history. By </w:t>
      </w:r>
      <w:r w:rsidR="001A74F5">
        <w:rPr>
          <w:rFonts w:ascii="Garamond" w:hAnsi="Garamond" w:cstheme="minorHAnsi"/>
          <w:sz w:val="24"/>
          <w:szCs w:val="24"/>
        </w:rPr>
        <w:t>admitting</w:t>
      </w:r>
      <w:r w:rsidR="001A74F5" w:rsidRPr="00461D74">
        <w:rPr>
          <w:rFonts w:ascii="Garamond" w:hAnsi="Garamond" w:cstheme="minorHAnsi"/>
          <w:sz w:val="24"/>
          <w:szCs w:val="24"/>
        </w:rPr>
        <w:t xml:space="preserve"> </w:t>
      </w:r>
      <w:r w:rsidRPr="00461D74">
        <w:rPr>
          <w:rFonts w:ascii="Garamond" w:hAnsi="Garamond" w:cstheme="minorHAnsi"/>
          <w:sz w:val="24"/>
          <w:szCs w:val="24"/>
        </w:rPr>
        <w:t>the historicist thesis in some form</w:t>
      </w:r>
      <w:r w:rsidR="00EB1653">
        <w:rPr>
          <w:rFonts w:ascii="Garamond" w:hAnsi="Garamond" w:cstheme="minorHAnsi"/>
          <w:sz w:val="24"/>
          <w:szCs w:val="24"/>
        </w:rPr>
        <w:t>,</w:t>
      </w:r>
      <w:r w:rsidRPr="00461D74">
        <w:rPr>
          <w:rFonts w:ascii="Garamond" w:hAnsi="Garamond" w:cstheme="minorHAnsi"/>
          <w:sz w:val="24"/>
          <w:szCs w:val="24"/>
        </w:rPr>
        <w:t xml:space="preserve"> we are </w:t>
      </w:r>
      <w:r w:rsidR="001A74F5">
        <w:rPr>
          <w:rFonts w:ascii="Garamond" w:hAnsi="Garamond" w:cstheme="minorHAnsi"/>
          <w:sz w:val="24"/>
          <w:szCs w:val="24"/>
        </w:rPr>
        <w:t>simultaneously acknowledging</w:t>
      </w:r>
      <w:r w:rsidRPr="00461D74">
        <w:rPr>
          <w:rFonts w:ascii="Garamond" w:hAnsi="Garamond" w:cstheme="minorHAnsi"/>
          <w:sz w:val="24"/>
          <w:szCs w:val="24"/>
        </w:rPr>
        <w:t xml:space="preserve"> that an overly abstract ideal theory in political philosophy is of limited use</w:t>
      </w:r>
      <w:r w:rsidR="001A74F5">
        <w:rPr>
          <w:rFonts w:ascii="Garamond" w:hAnsi="Garamond" w:cstheme="minorHAnsi"/>
          <w:sz w:val="24"/>
          <w:szCs w:val="24"/>
        </w:rPr>
        <w:t xml:space="preserve">, owing to </w:t>
      </w:r>
      <w:r w:rsidR="008B433F">
        <w:rPr>
          <w:rFonts w:ascii="Garamond" w:hAnsi="Garamond" w:cstheme="minorHAnsi"/>
          <w:sz w:val="24"/>
          <w:szCs w:val="24"/>
        </w:rPr>
        <w:t>the limitations of applying</w:t>
      </w:r>
      <w:r w:rsidR="001A74F5">
        <w:rPr>
          <w:rFonts w:ascii="Garamond" w:hAnsi="Garamond" w:cstheme="minorHAnsi"/>
          <w:sz w:val="24"/>
          <w:szCs w:val="24"/>
        </w:rPr>
        <w:t xml:space="preserve"> </w:t>
      </w:r>
      <w:r w:rsidRPr="00461D74">
        <w:rPr>
          <w:rFonts w:ascii="Garamond" w:hAnsi="Garamond" w:cstheme="minorHAnsi"/>
          <w:sz w:val="24"/>
          <w:szCs w:val="24"/>
        </w:rPr>
        <w:t>abstract conceptual analysis</w:t>
      </w:r>
      <w:r w:rsidR="001A74F5">
        <w:rPr>
          <w:rFonts w:ascii="Garamond" w:hAnsi="Garamond" w:cstheme="minorHAnsi"/>
          <w:sz w:val="24"/>
          <w:szCs w:val="24"/>
        </w:rPr>
        <w:t xml:space="preserve"> </w:t>
      </w:r>
      <w:r w:rsidR="008B433F">
        <w:rPr>
          <w:rFonts w:ascii="Garamond" w:hAnsi="Garamond" w:cstheme="minorHAnsi"/>
          <w:sz w:val="24"/>
          <w:szCs w:val="24"/>
        </w:rPr>
        <w:t>and</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generalizable</w:t>
      </w:r>
      <w:proofErr w:type="spellEnd"/>
      <w:r w:rsidRPr="00461D74">
        <w:rPr>
          <w:rFonts w:ascii="Garamond" w:hAnsi="Garamond" w:cstheme="minorHAnsi"/>
          <w:sz w:val="24"/>
          <w:szCs w:val="24"/>
        </w:rPr>
        <w:t xml:space="preserve"> principles</w:t>
      </w:r>
      <w:r w:rsidR="001A74F5">
        <w:rPr>
          <w:rFonts w:ascii="Garamond" w:hAnsi="Garamond" w:cstheme="minorHAnsi"/>
          <w:sz w:val="24"/>
          <w:szCs w:val="24"/>
        </w:rPr>
        <w:t xml:space="preserve"> </w:t>
      </w:r>
      <w:r w:rsidR="008B433F">
        <w:rPr>
          <w:rFonts w:ascii="Garamond" w:hAnsi="Garamond" w:cstheme="minorHAnsi"/>
          <w:sz w:val="24"/>
          <w:szCs w:val="24"/>
        </w:rPr>
        <w:t>to</w:t>
      </w:r>
      <w:r w:rsidR="001A74F5">
        <w:rPr>
          <w:rFonts w:ascii="Garamond" w:hAnsi="Garamond" w:cstheme="minorHAnsi"/>
          <w:sz w:val="24"/>
          <w:szCs w:val="24"/>
        </w:rPr>
        <w:t xml:space="preserve"> real</w:t>
      </w:r>
      <w:r w:rsidRPr="00461D74">
        <w:rPr>
          <w:rFonts w:ascii="Garamond" w:hAnsi="Garamond" w:cstheme="minorHAnsi"/>
          <w:sz w:val="24"/>
          <w:szCs w:val="24"/>
        </w:rPr>
        <w:t xml:space="preserve"> </w:t>
      </w:r>
      <w:r w:rsidR="001A74F5">
        <w:rPr>
          <w:rFonts w:ascii="Garamond" w:hAnsi="Garamond" w:cstheme="minorHAnsi"/>
          <w:sz w:val="24"/>
          <w:szCs w:val="24"/>
        </w:rPr>
        <w:t>life situations</w:t>
      </w:r>
      <w:r w:rsidRPr="00461D74">
        <w:rPr>
          <w:rFonts w:ascii="Garamond" w:hAnsi="Garamond" w:cstheme="minorHAnsi"/>
          <w:sz w:val="24"/>
          <w:szCs w:val="24"/>
        </w:rPr>
        <w:t xml:space="preserve">. </w:t>
      </w:r>
      <w:r w:rsidR="008B433F">
        <w:rPr>
          <w:rFonts w:ascii="Garamond" w:hAnsi="Garamond" w:cstheme="minorHAnsi"/>
          <w:sz w:val="24"/>
          <w:szCs w:val="24"/>
        </w:rPr>
        <w:t>On this view, t</w:t>
      </w:r>
      <w:r w:rsidRPr="00461D74">
        <w:rPr>
          <w:rFonts w:ascii="Garamond" w:hAnsi="Garamond" w:cstheme="minorHAnsi"/>
          <w:sz w:val="24"/>
          <w:szCs w:val="24"/>
        </w:rPr>
        <w:t>he social-political context is neither an unchanging static sphere of human activity, nor a homogenous ontological entity that can be neatly categorised, or classified, under conceptual schemes derived from abstract general principles.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Another important feature of the work of these authors is that they see local democratic politics as a way to limit the excesses of the liberal state, and so they look to create the appropriate space to introduce modifications to the way politics is conducted in the state and local communities. What is perhaps </w:t>
      </w:r>
      <w:r w:rsidR="001C73A6" w:rsidRPr="00461D74">
        <w:rPr>
          <w:rFonts w:ascii="Garamond" w:hAnsi="Garamond" w:cstheme="minorHAnsi"/>
          <w:sz w:val="24"/>
          <w:szCs w:val="24"/>
        </w:rPr>
        <w:t xml:space="preserve">a </w:t>
      </w:r>
      <w:r w:rsidRPr="00461D74">
        <w:rPr>
          <w:rFonts w:ascii="Garamond" w:hAnsi="Garamond" w:cstheme="minorHAnsi"/>
          <w:sz w:val="24"/>
          <w:szCs w:val="24"/>
        </w:rPr>
        <w:t xml:space="preserve">most interesting </w:t>
      </w:r>
      <w:r w:rsidR="001C73A6" w:rsidRPr="00461D74">
        <w:rPr>
          <w:rFonts w:ascii="Garamond" w:hAnsi="Garamond" w:cstheme="minorHAnsi"/>
          <w:sz w:val="24"/>
          <w:szCs w:val="24"/>
        </w:rPr>
        <w:t xml:space="preserve">feature of </w:t>
      </w:r>
      <w:r w:rsidRPr="00461D74">
        <w:rPr>
          <w:rFonts w:ascii="Garamond" w:hAnsi="Garamond" w:cstheme="minorHAnsi"/>
          <w:sz w:val="24"/>
          <w:szCs w:val="24"/>
        </w:rPr>
        <w:t xml:space="preserve">their work is </w:t>
      </w:r>
      <w:r w:rsidR="001C73A6" w:rsidRPr="00461D74">
        <w:rPr>
          <w:rFonts w:ascii="Garamond" w:hAnsi="Garamond" w:cstheme="minorHAnsi"/>
          <w:sz w:val="24"/>
          <w:szCs w:val="24"/>
        </w:rPr>
        <w:t xml:space="preserve">that </w:t>
      </w:r>
      <w:r w:rsidRPr="00461D74">
        <w:rPr>
          <w:rFonts w:ascii="Garamond" w:hAnsi="Garamond" w:cstheme="minorHAnsi"/>
          <w:sz w:val="24"/>
          <w:szCs w:val="24"/>
        </w:rPr>
        <w:t xml:space="preserve">not only </w:t>
      </w:r>
      <w:r w:rsidR="001C73A6" w:rsidRPr="00461D74">
        <w:rPr>
          <w:rFonts w:ascii="Garamond" w:hAnsi="Garamond" w:cstheme="minorHAnsi"/>
          <w:sz w:val="24"/>
          <w:szCs w:val="24"/>
        </w:rPr>
        <w:t>do they</w:t>
      </w:r>
      <w:r w:rsidRPr="00461D74">
        <w:rPr>
          <w:rFonts w:ascii="Garamond" w:hAnsi="Garamond" w:cstheme="minorHAnsi"/>
          <w:sz w:val="24"/>
          <w:szCs w:val="24"/>
        </w:rPr>
        <w:t xml:space="preserve"> view democratic politics at the local level as an </w:t>
      </w:r>
      <w:proofErr w:type="spellStart"/>
      <w:r w:rsidRPr="00461D74">
        <w:rPr>
          <w:rFonts w:ascii="Garamond" w:hAnsi="Garamond" w:cstheme="minorHAnsi"/>
          <w:sz w:val="24"/>
          <w:szCs w:val="24"/>
        </w:rPr>
        <w:t>epistemically</w:t>
      </w:r>
      <w:proofErr w:type="spellEnd"/>
      <w:r w:rsidRPr="00461D74">
        <w:rPr>
          <w:rFonts w:ascii="Garamond" w:hAnsi="Garamond" w:cstheme="minorHAnsi"/>
          <w:sz w:val="24"/>
          <w:szCs w:val="24"/>
        </w:rPr>
        <w:t xml:space="preserve"> important contribution – one that is central to </w:t>
      </w:r>
      <w:r w:rsidRPr="00461D74">
        <w:rPr>
          <w:rFonts w:ascii="Garamond" w:hAnsi="Garamond" w:cstheme="minorHAnsi"/>
          <w:sz w:val="24"/>
          <w:szCs w:val="24"/>
        </w:rPr>
        <w:lastRenderedPageBreak/>
        <w:t xml:space="preserve">the wider aims of a dynamic liberal-democratic society – but they </w:t>
      </w:r>
      <w:r w:rsidR="001C73A6" w:rsidRPr="00461D74">
        <w:rPr>
          <w:rFonts w:ascii="Garamond" w:hAnsi="Garamond" w:cstheme="minorHAnsi"/>
          <w:sz w:val="24"/>
          <w:szCs w:val="24"/>
        </w:rPr>
        <w:t xml:space="preserve">also </w:t>
      </w:r>
      <w:r w:rsidRPr="00461D74">
        <w:rPr>
          <w:rFonts w:ascii="Garamond" w:hAnsi="Garamond" w:cstheme="minorHAnsi"/>
          <w:sz w:val="24"/>
          <w:szCs w:val="24"/>
        </w:rPr>
        <w:t xml:space="preserve">view democratic politics as a reflexive process where procedures </w:t>
      </w:r>
      <w:r w:rsidR="001C73A6" w:rsidRPr="00461D74">
        <w:rPr>
          <w:rFonts w:ascii="Garamond" w:hAnsi="Garamond" w:cstheme="minorHAnsi"/>
          <w:sz w:val="24"/>
          <w:szCs w:val="24"/>
        </w:rPr>
        <w:t xml:space="preserve">and policies </w:t>
      </w:r>
      <w:r w:rsidRPr="00461D74">
        <w:rPr>
          <w:rFonts w:ascii="Garamond" w:hAnsi="Garamond" w:cstheme="minorHAnsi"/>
          <w:sz w:val="24"/>
          <w:szCs w:val="24"/>
        </w:rPr>
        <w:t xml:space="preserve">(inputs) are adjusted in </w:t>
      </w:r>
      <w:r w:rsidR="001C73A6" w:rsidRPr="00461D74">
        <w:rPr>
          <w:rFonts w:ascii="Garamond" w:hAnsi="Garamond" w:cstheme="minorHAnsi"/>
          <w:sz w:val="24"/>
          <w:szCs w:val="24"/>
        </w:rPr>
        <w:t xml:space="preserve">as part of </w:t>
      </w:r>
      <w:r w:rsidRPr="00461D74">
        <w:rPr>
          <w:rFonts w:ascii="Garamond" w:hAnsi="Garamond" w:cstheme="minorHAnsi"/>
          <w:sz w:val="24"/>
          <w:szCs w:val="24"/>
        </w:rPr>
        <w:t>an ongoing process</w:t>
      </w:r>
      <w:r w:rsidR="00F5632D" w:rsidRPr="00461D74">
        <w:rPr>
          <w:rFonts w:ascii="Garamond" w:hAnsi="Garamond" w:cstheme="minorHAnsi"/>
          <w:sz w:val="24"/>
          <w:szCs w:val="24"/>
        </w:rPr>
        <w:t>,</w:t>
      </w:r>
      <w:r w:rsidRPr="00461D74">
        <w:rPr>
          <w:rFonts w:ascii="Garamond" w:hAnsi="Garamond" w:cstheme="minorHAnsi"/>
          <w:sz w:val="24"/>
          <w:szCs w:val="24"/>
        </w:rPr>
        <w:t xml:space="preserve"> </w:t>
      </w:r>
      <w:r w:rsidR="001C73A6" w:rsidRPr="00461D74">
        <w:rPr>
          <w:rFonts w:ascii="Garamond" w:hAnsi="Garamond" w:cstheme="minorHAnsi"/>
          <w:sz w:val="24"/>
          <w:szCs w:val="24"/>
        </w:rPr>
        <w:t xml:space="preserve">in which </w:t>
      </w:r>
      <w:r w:rsidRPr="00461D74">
        <w:rPr>
          <w:rFonts w:ascii="Garamond" w:hAnsi="Garamond" w:cstheme="minorHAnsi"/>
          <w:sz w:val="24"/>
          <w:szCs w:val="24"/>
        </w:rPr>
        <w:t xml:space="preserve">the consequences (outputs) of </w:t>
      </w:r>
      <w:r w:rsidR="001C73A6" w:rsidRPr="00461D74">
        <w:rPr>
          <w:rFonts w:ascii="Garamond" w:hAnsi="Garamond" w:cstheme="minorHAnsi"/>
          <w:sz w:val="24"/>
          <w:szCs w:val="24"/>
        </w:rPr>
        <w:t xml:space="preserve">the same </w:t>
      </w:r>
      <w:r w:rsidRPr="00461D74">
        <w:rPr>
          <w:rFonts w:ascii="Garamond" w:hAnsi="Garamond" w:cstheme="minorHAnsi"/>
          <w:sz w:val="24"/>
          <w:szCs w:val="24"/>
        </w:rPr>
        <w:t>procedures and policies meaningfully help us revise our theories. This epistemic component of local democracy means that most individuals will in principle benefit from a genuine opportunity to contribute to the democratic process in meaningful ways, and the reflexive component will ensure that any empirical/historical knowledge gained from past experience is used to adjust various procedures or policies</w:t>
      </w:r>
      <w:r w:rsidR="00AF3716">
        <w:rPr>
          <w:rFonts w:ascii="Garamond" w:hAnsi="Garamond" w:cstheme="minorHAnsi"/>
          <w:sz w:val="24"/>
          <w:szCs w:val="24"/>
        </w:rPr>
        <w:t>,</w:t>
      </w:r>
      <w:r w:rsidRPr="00461D74">
        <w:rPr>
          <w:rFonts w:ascii="Garamond" w:hAnsi="Garamond" w:cstheme="minorHAnsi"/>
          <w:sz w:val="24"/>
          <w:szCs w:val="24"/>
        </w:rPr>
        <w:t xml:space="preserve"> </w:t>
      </w:r>
      <w:r w:rsidR="00AF3716">
        <w:rPr>
          <w:rFonts w:ascii="Garamond" w:hAnsi="Garamond" w:cstheme="minorHAnsi"/>
          <w:sz w:val="24"/>
          <w:szCs w:val="24"/>
        </w:rPr>
        <w:t>in the hope of realising</w:t>
      </w:r>
      <w:r w:rsidRPr="00461D74">
        <w:rPr>
          <w:rFonts w:ascii="Garamond" w:hAnsi="Garamond" w:cstheme="minorHAnsi"/>
          <w:sz w:val="24"/>
          <w:szCs w:val="24"/>
        </w:rPr>
        <w:t xml:space="preserve"> more desirable outcomes.</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 xml:space="preserve">By now it may seem somewhat obvious how the above approaches connect to MacIntyre’s work. MacIntyre wants to empower democratic politics – that is his criticism isn’t against liberal democracy </w:t>
      </w:r>
      <w:r w:rsidRPr="00461D74">
        <w:rPr>
          <w:rFonts w:ascii="Garamond" w:hAnsi="Garamond" w:cstheme="minorHAnsi"/>
          <w:i/>
          <w:iCs/>
          <w:sz w:val="24"/>
          <w:szCs w:val="24"/>
        </w:rPr>
        <w:t>per se</w:t>
      </w:r>
      <w:r w:rsidRPr="00461D74">
        <w:rPr>
          <w:rFonts w:ascii="Garamond" w:hAnsi="Garamond" w:cstheme="minorHAnsi"/>
          <w:sz w:val="24"/>
          <w:szCs w:val="24"/>
        </w:rPr>
        <w:t xml:space="preserve">, rather that the real aims of liberal democracy are largely unrealized, and that liberal democratic states need to own up to their shortcomings. </w:t>
      </w:r>
      <w:r w:rsidR="001647EE">
        <w:rPr>
          <w:rFonts w:ascii="Garamond" w:hAnsi="Garamond" w:cstheme="minorHAnsi"/>
          <w:sz w:val="24"/>
          <w:szCs w:val="24"/>
        </w:rPr>
        <w:t>Furthermore, they</w:t>
      </w:r>
      <w:r w:rsidRPr="00461D74">
        <w:rPr>
          <w:rFonts w:ascii="Garamond" w:hAnsi="Garamond" w:cstheme="minorHAnsi"/>
          <w:sz w:val="24"/>
          <w:szCs w:val="24"/>
        </w:rPr>
        <w:t xml:space="preserve"> all agree that we need a more robust democracy at the level of local communities</w:t>
      </w:r>
      <w:r w:rsidR="001647EE">
        <w:rPr>
          <w:rFonts w:ascii="Garamond" w:hAnsi="Garamond" w:cstheme="minorHAnsi"/>
          <w:sz w:val="24"/>
          <w:szCs w:val="24"/>
        </w:rPr>
        <w:t>;</w:t>
      </w:r>
      <w:r w:rsidRPr="00461D74">
        <w:rPr>
          <w:rFonts w:ascii="Garamond" w:hAnsi="Garamond" w:cstheme="minorHAnsi"/>
          <w:sz w:val="24"/>
          <w:szCs w:val="24"/>
        </w:rPr>
        <w:t xml:space="preserve"> that local initiatives </w:t>
      </w:r>
      <w:r w:rsidR="001647EE">
        <w:rPr>
          <w:rFonts w:ascii="Garamond" w:hAnsi="Garamond" w:cstheme="minorHAnsi"/>
          <w:sz w:val="24"/>
          <w:szCs w:val="24"/>
        </w:rPr>
        <w:t>ought to be aimed</w:t>
      </w:r>
      <w:r w:rsidR="001647EE" w:rsidRPr="00461D74">
        <w:rPr>
          <w:rFonts w:ascii="Garamond" w:hAnsi="Garamond" w:cstheme="minorHAnsi"/>
          <w:sz w:val="24"/>
          <w:szCs w:val="24"/>
        </w:rPr>
        <w:t xml:space="preserve"> </w:t>
      </w:r>
      <w:r w:rsidRPr="00461D74">
        <w:rPr>
          <w:rFonts w:ascii="Garamond" w:hAnsi="Garamond" w:cstheme="minorHAnsi"/>
          <w:sz w:val="24"/>
          <w:szCs w:val="24"/>
        </w:rPr>
        <w:t xml:space="preserve">at correcting the </w:t>
      </w:r>
      <w:r w:rsidR="001C73A6" w:rsidRPr="00461D74">
        <w:rPr>
          <w:rFonts w:ascii="Garamond" w:hAnsi="Garamond" w:cstheme="minorHAnsi"/>
          <w:sz w:val="24"/>
          <w:szCs w:val="24"/>
        </w:rPr>
        <w:t>undesirable</w:t>
      </w:r>
      <w:r w:rsidRPr="00461D74">
        <w:rPr>
          <w:rFonts w:ascii="Garamond" w:hAnsi="Garamond" w:cstheme="minorHAnsi"/>
          <w:sz w:val="24"/>
          <w:szCs w:val="24"/>
        </w:rPr>
        <w:t xml:space="preserve"> consequences of liberalism</w:t>
      </w:r>
      <w:r w:rsidR="001C73A6" w:rsidRPr="00461D74">
        <w:rPr>
          <w:rFonts w:ascii="Garamond" w:hAnsi="Garamond" w:cstheme="minorHAnsi"/>
          <w:sz w:val="24"/>
          <w:szCs w:val="24"/>
        </w:rPr>
        <w:t>;</w:t>
      </w:r>
      <w:r w:rsidRPr="00461D74">
        <w:rPr>
          <w:rFonts w:ascii="Garamond" w:hAnsi="Garamond" w:cstheme="minorHAnsi"/>
          <w:sz w:val="24"/>
          <w:szCs w:val="24"/>
        </w:rPr>
        <w:t xml:space="preserve"> and that genuine local democratic politics can help curb some of the more problematic consequences</w:t>
      </w:r>
      <w:r w:rsidR="001647EE">
        <w:rPr>
          <w:rFonts w:ascii="Garamond" w:hAnsi="Garamond" w:cstheme="minorHAnsi"/>
          <w:sz w:val="24"/>
          <w:szCs w:val="24"/>
        </w:rPr>
        <w:t xml:space="preserve"> of large-scale (liberal) institutions</w:t>
      </w:r>
      <w:r w:rsidRPr="00461D74">
        <w:rPr>
          <w:rFonts w:ascii="Garamond" w:hAnsi="Garamond" w:cstheme="minorHAnsi"/>
          <w:sz w:val="24"/>
          <w:szCs w:val="24"/>
        </w:rPr>
        <w:t xml:space="preserve">. They all eschew an overly abstract approach to political theory and welcome an historical attitude towards solving socio-political problems. The epistemic approach to democratic politics taken by these authors is allied with MacIntyre’s conception of community-based deliberative democracy. Lastly, these authors and MacIntyre share a preference for viewing politics through an empirical lens – namely, that political procedures and practices need to remain responsive to changes in the social landscape, and to the experiences we gain through understanding </w:t>
      </w:r>
      <w:r w:rsidR="001C73A6" w:rsidRPr="00461D74">
        <w:rPr>
          <w:rFonts w:ascii="Garamond" w:hAnsi="Garamond" w:cstheme="minorHAnsi"/>
          <w:sz w:val="24"/>
          <w:szCs w:val="24"/>
        </w:rPr>
        <w:t>social-</w:t>
      </w:r>
      <w:r w:rsidRPr="00461D74">
        <w:rPr>
          <w:rFonts w:ascii="Garamond" w:hAnsi="Garamond" w:cstheme="minorHAnsi"/>
          <w:sz w:val="24"/>
          <w:szCs w:val="24"/>
        </w:rPr>
        <w:t xml:space="preserve">political history. By engaging with these authors I </w:t>
      </w:r>
      <w:r w:rsidR="00DE7FDF">
        <w:rPr>
          <w:rFonts w:ascii="Garamond" w:hAnsi="Garamond" w:cstheme="minorHAnsi"/>
          <w:sz w:val="24"/>
          <w:szCs w:val="24"/>
        </w:rPr>
        <w:t xml:space="preserve">therefore </w:t>
      </w:r>
      <w:r w:rsidRPr="00461D74">
        <w:rPr>
          <w:rFonts w:ascii="Garamond" w:hAnsi="Garamond" w:cstheme="minorHAnsi"/>
          <w:sz w:val="24"/>
          <w:szCs w:val="24"/>
        </w:rPr>
        <w:t xml:space="preserve">hope to not only </w:t>
      </w:r>
      <w:r w:rsidR="00B86FA5">
        <w:rPr>
          <w:rFonts w:ascii="Garamond" w:hAnsi="Garamond" w:cstheme="minorHAnsi"/>
          <w:sz w:val="24"/>
          <w:szCs w:val="24"/>
        </w:rPr>
        <w:t xml:space="preserve">highlight </w:t>
      </w:r>
      <w:r w:rsidR="00DE7FDF">
        <w:rPr>
          <w:rFonts w:ascii="Garamond" w:hAnsi="Garamond" w:cstheme="minorHAnsi"/>
          <w:sz w:val="24"/>
          <w:szCs w:val="24"/>
        </w:rPr>
        <w:t>some of the</w:t>
      </w:r>
      <w:r w:rsidRPr="00461D74">
        <w:rPr>
          <w:rFonts w:ascii="Garamond" w:hAnsi="Garamond" w:cstheme="minorHAnsi"/>
          <w:sz w:val="24"/>
          <w:szCs w:val="24"/>
        </w:rPr>
        <w:t xml:space="preserve"> ways they connect to, and retain, what is valuable in MacIntyre’s account, but also </w:t>
      </w:r>
      <w:r w:rsidR="00B86FA5">
        <w:rPr>
          <w:rFonts w:ascii="Garamond" w:hAnsi="Garamond" w:cstheme="minorHAnsi"/>
          <w:sz w:val="24"/>
          <w:szCs w:val="24"/>
        </w:rPr>
        <w:t xml:space="preserve">to show </w:t>
      </w:r>
      <w:r w:rsidRPr="00461D74">
        <w:rPr>
          <w:rFonts w:ascii="Garamond" w:hAnsi="Garamond" w:cstheme="minorHAnsi"/>
          <w:sz w:val="24"/>
          <w:szCs w:val="24"/>
        </w:rPr>
        <w:lastRenderedPageBreak/>
        <w:t>how they are able to overcome the various criticisms that we have considered during the course of our discussion</w:t>
      </w:r>
      <w:r w:rsidR="00DE7FDF">
        <w:rPr>
          <w:rFonts w:ascii="Garamond" w:hAnsi="Garamond" w:cstheme="minorHAnsi"/>
          <w:sz w:val="24"/>
          <w:szCs w:val="24"/>
        </w:rPr>
        <w:t xml:space="preserve"> in Chapters Four and Five</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above </w:t>
      </w:r>
      <w:r w:rsidR="00485558">
        <w:rPr>
          <w:rFonts w:ascii="Garamond" w:hAnsi="Garamond" w:cstheme="minorHAnsi"/>
          <w:sz w:val="24"/>
          <w:szCs w:val="24"/>
        </w:rPr>
        <w:t xml:space="preserve">should </w:t>
      </w:r>
      <w:r w:rsidRPr="00461D74">
        <w:rPr>
          <w:rFonts w:ascii="Garamond" w:hAnsi="Garamond" w:cstheme="minorHAnsi"/>
          <w:sz w:val="24"/>
          <w:szCs w:val="24"/>
        </w:rPr>
        <w:t xml:space="preserve">suggest that </w:t>
      </w:r>
      <w:r w:rsidR="00485558">
        <w:rPr>
          <w:rFonts w:ascii="Garamond" w:hAnsi="Garamond" w:cstheme="minorHAnsi"/>
          <w:sz w:val="24"/>
          <w:szCs w:val="24"/>
        </w:rPr>
        <w:t>an</w:t>
      </w:r>
      <w:r w:rsidR="00485558" w:rsidRPr="00461D74">
        <w:rPr>
          <w:rFonts w:ascii="Garamond" w:hAnsi="Garamond" w:cstheme="minorHAnsi"/>
          <w:sz w:val="24"/>
          <w:szCs w:val="24"/>
        </w:rPr>
        <w:t xml:space="preserve"> </w:t>
      </w:r>
      <w:r w:rsidRPr="00461D74">
        <w:rPr>
          <w:rFonts w:ascii="Garamond" w:hAnsi="Garamond" w:cstheme="minorHAnsi"/>
          <w:sz w:val="24"/>
          <w:szCs w:val="24"/>
        </w:rPr>
        <w:t xml:space="preserve">alternative approach to politics, which I hope to elaborate on, is </w:t>
      </w:r>
      <w:r w:rsidR="00F5632D" w:rsidRPr="00461D74">
        <w:rPr>
          <w:rFonts w:ascii="Garamond" w:hAnsi="Garamond" w:cstheme="minorHAnsi"/>
          <w:sz w:val="24"/>
          <w:szCs w:val="24"/>
        </w:rPr>
        <w:t xml:space="preserve">not only </w:t>
      </w:r>
      <w:r w:rsidRPr="00461D74">
        <w:rPr>
          <w:rFonts w:ascii="Garamond" w:hAnsi="Garamond" w:cstheme="minorHAnsi"/>
          <w:sz w:val="24"/>
          <w:szCs w:val="24"/>
        </w:rPr>
        <w:t xml:space="preserve">desirable in the sense that it is more democratic and egalitarian, but it is also more honest with respect to the limits </w:t>
      </w:r>
      <w:r w:rsidR="00435C92">
        <w:rPr>
          <w:rFonts w:ascii="Garamond" w:hAnsi="Garamond" w:cstheme="minorHAnsi"/>
          <w:sz w:val="24"/>
          <w:szCs w:val="24"/>
        </w:rPr>
        <w:t>placed on</w:t>
      </w:r>
      <w:r w:rsidR="00435C92" w:rsidRPr="00461D74">
        <w:rPr>
          <w:rFonts w:ascii="Garamond" w:hAnsi="Garamond" w:cstheme="minorHAnsi"/>
          <w:sz w:val="24"/>
          <w:szCs w:val="24"/>
        </w:rPr>
        <w:t xml:space="preserve"> </w:t>
      </w:r>
      <w:r w:rsidRPr="00461D74">
        <w:rPr>
          <w:rFonts w:ascii="Garamond" w:hAnsi="Garamond" w:cstheme="minorHAnsi"/>
          <w:sz w:val="24"/>
          <w:szCs w:val="24"/>
        </w:rPr>
        <w:t>politics</w:t>
      </w:r>
      <w:r w:rsidR="00D71E8D" w:rsidRPr="00461D74">
        <w:rPr>
          <w:rFonts w:ascii="Garamond" w:hAnsi="Garamond" w:cstheme="minorHAnsi"/>
          <w:sz w:val="24"/>
          <w:szCs w:val="24"/>
        </w:rPr>
        <w:t>,</w:t>
      </w:r>
      <w:r w:rsidRPr="00461D74">
        <w:rPr>
          <w:rFonts w:ascii="Garamond" w:hAnsi="Garamond" w:cstheme="minorHAnsi"/>
          <w:sz w:val="24"/>
          <w:szCs w:val="24"/>
        </w:rPr>
        <w:t xml:space="preserve"> and political philosophy. By eschewing </w:t>
      </w:r>
      <w:proofErr w:type="spellStart"/>
      <w:r w:rsidRPr="00461D74">
        <w:rPr>
          <w:rFonts w:ascii="Garamond" w:hAnsi="Garamond" w:cstheme="minorHAnsi"/>
          <w:sz w:val="24"/>
          <w:szCs w:val="24"/>
        </w:rPr>
        <w:t>generalizable</w:t>
      </w:r>
      <w:proofErr w:type="spellEnd"/>
      <w:r w:rsidRPr="00461D74">
        <w:rPr>
          <w:rFonts w:ascii="Garamond" w:hAnsi="Garamond" w:cstheme="minorHAnsi"/>
          <w:sz w:val="24"/>
          <w:szCs w:val="24"/>
        </w:rPr>
        <w:t xml:space="preserve"> principles in favour of a more empirical context-dependent approach to politics, we accept that our political procedures and practices are fallible</w:t>
      </w:r>
      <w:r w:rsidR="00D71E8D" w:rsidRPr="00461D74">
        <w:rPr>
          <w:rFonts w:ascii="Garamond" w:hAnsi="Garamond" w:cstheme="minorHAnsi"/>
          <w:sz w:val="24"/>
          <w:szCs w:val="24"/>
        </w:rPr>
        <w:t>,</w:t>
      </w:r>
      <w:r w:rsidRPr="00461D74">
        <w:rPr>
          <w:rFonts w:ascii="Garamond" w:hAnsi="Garamond" w:cstheme="minorHAnsi"/>
          <w:sz w:val="24"/>
          <w:szCs w:val="24"/>
        </w:rPr>
        <w:t xml:space="preserve"> and </w:t>
      </w:r>
      <w:r w:rsidR="00D71E8D" w:rsidRPr="00461D74">
        <w:rPr>
          <w:rFonts w:ascii="Garamond" w:hAnsi="Garamond" w:cstheme="minorHAnsi"/>
          <w:sz w:val="24"/>
          <w:szCs w:val="24"/>
        </w:rPr>
        <w:t>therefore remain</w:t>
      </w:r>
      <w:r w:rsidRPr="00461D74">
        <w:rPr>
          <w:rFonts w:ascii="Garamond" w:hAnsi="Garamond" w:cstheme="minorHAnsi"/>
          <w:sz w:val="24"/>
          <w:szCs w:val="24"/>
        </w:rPr>
        <w:t xml:space="preserve"> falsifiable. This is especially </w:t>
      </w:r>
      <w:r w:rsidR="00435C92">
        <w:rPr>
          <w:rFonts w:ascii="Garamond" w:hAnsi="Garamond" w:cstheme="minorHAnsi"/>
          <w:sz w:val="24"/>
          <w:szCs w:val="24"/>
        </w:rPr>
        <w:t>the case</w:t>
      </w:r>
      <w:r w:rsidR="00435C92" w:rsidRPr="00461D74">
        <w:rPr>
          <w:rFonts w:ascii="Garamond" w:hAnsi="Garamond" w:cstheme="minorHAnsi"/>
          <w:sz w:val="24"/>
          <w:szCs w:val="24"/>
        </w:rPr>
        <w:t xml:space="preserve"> </w:t>
      </w:r>
      <w:r w:rsidRPr="00461D74">
        <w:rPr>
          <w:rFonts w:ascii="Garamond" w:hAnsi="Garamond" w:cstheme="minorHAnsi"/>
          <w:sz w:val="24"/>
          <w:szCs w:val="24"/>
        </w:rPr>
        <w:t xml:space="preserve">when for example we </w:t>
      </w:r>
      <w:r w:rsidR="00435C92">
        <w:rPr>
          <w:rFonts w:ascii="Garamond" w:hAnsi="Garamond" w:cstheme="minorHAnsi"/>
          <w:sz w:val="24"/>
          <w:szCs w:val="24"/>
        </w:rPr>
        <w:t>come to recognize</w:t>
      </w:r>
      <w:r w:rsidR="00435C92" w:rsidRPr="00461D74">
        <w:rPr>
          <w:rFonts w:ascii="Garamond" w:hAnsi="Garamond" w:cstheme="minorHAnsi"/>
          <w:sz w:val="24"/>
          <w:szCs w:val="24"/>
        </w:rPr>
        <w:t xml:space="preserve"> </w:t>
      </w:r>
      <w:r w:rsidRPr="00461D74">
        <w:rPr>
          <w:rFonts w:ascii="Garamond" w:hAnsi="Garamond" w:cstheme="minorHAnsi"/>
          <w:sz w:val="24"/>
          <w:szCs w:val="24"/>
        </w:rPr>
        <w:t xml:space="preserve">that past political policies or procedures that were grounded in </w:t>
      </w:r>
      <w:proofErr w:type="spellStart"/>
      <w:r w:rsidRPr="00461D74">
        <w:rPr>
          <w:rFonts w:ascii="Garamond" w:hAnsi="Garamond" w:cstheme="minorHAnsi"/>
          <w:sz w:val="24"/>
          <w:szCs w:val="24"/>
        </w:rPr>
        <w:t>generalizable</w:t>
      </w:r>
      <w:proofErr w:type="spellEnd"/>
      <w:r w:rsidRPr="00461D74">
        <w:rPr>
          <w:rFonts w:ascii="Garamond" w:hAnsi="Garamond" w:cstheme="minorHAnsi"/>
          <w:sz w:val="24"/>
          <w:szCs w:val="24"/>
        </w:rPr>
        <w:t xml:space="preserve"> principles have contributed to engendering a social context that is highly un-egalitarian, and a political context that is for the most part unresponsive to broader democratic demands.</w:t>
      </w:r>
    </w:p>
    <w:p w:rsidR="00435C92" w:rsidRDefault="00016049" w:rsidP="00435C92">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Such an approach suggests to us a form of politics that accepts political activity isn’t always neutral</w:t>
      </w:r>
      <w:r w:rsidR="00AC2D45" w:rsidRPr="00461D74">
        <w:rPr>
          <w:rFonts w:ascii="Garamond" w:hAnsi="Garamond" w:cstheme="minorHAnsi"/>
          <w:sz w:val="24"/>
          <w:szCs w:val="24"/>
        </w:rPr>
        <w:t>,</w:t>
      </w:r>
      <w:r w:rsidR="00BA6A2A" w:rsidRPr="00461D74">
        <w:rPr>
          <w:rFonts w:ascii="Garamond" w:hAnsi="Garamond" w:cstheme="minorHAnsi"/>
          <w:sz w:val="24"/>
          <w:szCs w:val="24"/>
        </w:rPr>
        <w:t xml:space="preserve"> and that a false pretence of neutrality may do more harm than good</w:t>
      </w:r>
      <w:r w:rsidR="00AC2D45" w:rsidRPr="00461D74">
        <w:rPr>
          <w:rFonts w:ascii="Garamond" w:hAnsi="Garamond" w:cstheme="minorHAnsi"/>
          <w:sz w:val="24"/>
          <w:szCs w:val="24"/>
        </w:rPr>
        <w:t>;</w:t>
      </w:r>
      <w:r w:rsidRPr="00461D74">
        <w:rPr>
          <w:rFonts w:ascii="Garamond" w:hAnsi="Garamond" w:cstheme="minorHAnsi"/>
          <w:sz w:val="24"/>
          <w:szCs w:val="24"/>
        </w:rPr>
        <w:t xml:space="preserve"> </w:t>
      </w:r>
      <w:r w:rsidR="00D71E8D" w:rsidRPr="00461D74">
        <w:rPr>
          <w:rFonts w:ascii="Garamond" w:hAnsi="Garamond" w:cstheme="minorHAnsi"/>
          <w:sz w:val="24"/>
          <w:szCs w:val="24"/>
        </w:rPr>
        <w:t xml:space="preserve">yet, </w:t>
      </w:r>
      <w:r w:rsidR="00AC2D45" w:rsidRPr="00461D74">
        <w:rPr>
          <w:rFonts w:ascii="Garamond" w:hAnsi="Garamond" w:cstheme="minorHAnsi"/>
          <w:sz w:val="24"/>
          <w:szCs w:val="24"/>
        </w:rPr>
        <w:t xml:space="preserve">this form of politics </w:t>
      </w:r>
      <w:r w:rsidR="00BA6A2A" w:rsidRPr="00461D74">
        <w:rPr>
          <w:rFonts w:ascii="Garamond" w:hAnsi="Garamond" w:cstheme="minorHAnsi"/>
          <w:sz w:val="24"/>
          <w:szCs w:val="24"/>
        </w:rPr>
        <w:t xml:space="preserve">understands </w:t>
      </w:r>
      <w:r w:rsidR="00AC2D45" w:rsidRPr="00461D74">
        <w:rPr>
          <w:rFonts w:ascii="Garamond" w:hAnsi="Garamond" w:cstheme="minorHAnsi"/>
          <w:sz w:val="24"/>
          <w:szCs w:val="24"/>
        </w:rPr>
        <w:t>the need</w:t>
      </w:r>
      <w:r w:rsidR="00BA6A2A" w:rsidRPr="00461D74">
        <w:rPr>
          <w:rFonts w:ascii="Garamond" w:hAnsi="Garamond" w:cstheme="minorHAnsi"/>
          <w:sz w:val="24"/>
          <w:szCs w:val="24"/>
        </w:rPr>
        <w:t xml:space="preserve"> to </w:t>
      </w:r>
      <w:r w:rsidRPr="00461D74">
        <w:rPr>
          <w:rFonts w:ascii="Garamond" w:hAnsi="Garamond" w:cstheme="minorHAnsi"/>
          <w:sz w:val="24"/>
          <w:szCs w:val="24"/>
        </w:rPr>
        <w:t xml:space="preserve">maintain </w:t>
      </w:r>
      <w:r w:rsidR="00BA6A2A" w:rsidRPr="00461D74">
        <w:rPr>
          <w:rFonts w:ascii="Garamond" w:hAnsi="Garamond" w:cstheme="minorHAnsi"/>
          <w:sz w:val="24"/>
          <w:szCs w:val="24"/>
        </w:rPr>
        <w:t xml:space="preserve">a robust form </w:t>
      </w:r>
      <w:r w:rsidRPr="00461D74">
        <w:rPr>
          <w:rFonts w:ascii="Garamond" w:hAnsi="Garamond" w:cstheme="minorHAnsi"/>
          <w:sz w:val="24"/>
          <w:szCs w:val="24"/>
        </w:rPr>
        <w:t>of neutrality</w:t>
      </w:r>
      <w:r w:rsidR="00BA6A2A" w:rsidRPr="00461D74">
        <w:rPr>
          <w:rFonts w:ascii="Garamond" w:hAnsi="Garamond" w:cstheme="minorHAnsi"/>
          <w:sz w:val="24"/>
          <w:szCs w:val="24"/>
        </w:rPr>
        <w:t xml:space="preserve"> </w:t>
      </w:r>
      <w:r w:rsidR="00435C92">
        <w:rPr>
          <w:rFonts w:ascii="Garamond" w:hAnsi="Garamond" w:cstheme="minorHAnsi"/>
          <w:sz w:val="24"/>
          <w:szCs w:val="24"/>
        </w:rPr>
        <w:t xml:space="preserve">in some areas, </w:t>
      </w:r>
      <w:r w:rsidR="00BA6A2A" w:rsidRPr="00461D74">
        <w:rPr>
          <w:rFonts w:ascii="Garamond" w:hAnsi="Garamond" w:cstheme="minorHAnsi"/>
          <w:sz w:val="24"/>
          <w:szCs w:val="24"/>
        </w:rPr>
        <w:t xml:space="preserve">especially with respect to civil liberties and </w:t>
      </w:r>
      <w:r w:rsidR="00AC2D45" w:rsidRPr="00461D74">
        <w:rPr>
          <w:rFonts w:ascii="Garamond" w:hAnsi="Garamond" w:cstheme="minorHAnsi"/>
          <w:sz w:val="24"/>
          <w:szCs w:val="24"/>
        </w:rPr>
        <w:t xml:space="preserve">other </w:t>
      </w:r>
      <w:r w:rsidR="00BA6A2A" w:rsidRPr="00461D74">
        <w:rPr>
          <w:rFonts w:ascii="Garamond" w:hAnsi="Garamond" w:cstheme="minorHAnsi"/>
          <w:sz w:val="24"/>
          <w:szCs w:val="24"/>
        </w:rPr>
        <w:t>equal protection</w:t>
      </w:r>
      <w:r w:rsidR="00AC2D45" w:rsidRPr="00461D74">
        <w:rPr>
          <w:rFonts w:ascii="Garamond" w:hAnsi="Garamond" w:cstheme="minorHAnsi"/>
          <w:sz w:val="24"/>
          <w:szCs w:val="24"/>
        </w:rPr>
        <w:t xml:space="preserve"> considerations</w:t>
      </w:r>
      <w:r w:rsidR="00BA6A2A" w:rsidRPr="00461D74">
        <w:rPr>
          <w:rFonts w:ascii="Garamond" w:hAnsi="Garamond" w:cstheme="minorHAnsi"/>
          <w:sz w:val="24"/>
          <w:szCs w:val="24"/>
        </w:rPr>
        <w:t>.</w:t>
      </w:r>
      <w:r w:rsidR="00AC2D45" w:rsidRPr="00461D74">
        <w:rPr>
          <w:rFonts w:ascii="Garamond" w:hAnsi="Garamond" w:cstheme="minorHAnsi"/>
          <w:sz w:val="24"/>
          <w:szCs w:val="24"/>
        </w:rPr>
        <w:t xml:space="preserve"> </w:t>
      </w:r>
      <w:r w:rsidR="00BA6A2A" w:rsidRPr="00461D74">
        <w:rPr>
          <w:rFonts w:ascii="Garamond" w:hAnsi="Garamond" w:cstheme="minorHAnsi"/>
          <w:sz w:val="24"/>
          <w:szCs w:val="24"/>
        </w:rPr>
        <w:t>On this view,</w:t>
      </w:r>
      <w:r w:rsidRPr="00461D74">
        <w:rPr>
          <w:rFonts w:ascii="Garamond" w:hAnsi="Garamond" w:cstheme="minorHAnsi"/>
          <w:sz w:val="24"/>
          <w:szCs w:val="24"/>
        </w:rPr>
        <w:t xml:space="preserve"> politics should be procedural insofar as this affords equal opportunity for participation in political activity, and </w:t>
      </w:r>
      <w:r w:rsidR="00435C92">
        <w:rPr>
          <w:rFonts w:ascii="Garamond" w:hAnsi="Garamond" w:cstheme="minorHAnsi"/>
          <w:sz w:val="24"/>
          <w:szCs w:val="24"/>
        </w:rPr>
        <w:t>therefore</w:t>
      </w:r>
      <w:r w:rsidR="00BA6A2A" w:rsidRPr="00461D74">
        <w:rPr>
          <w:rFonts w:ascii="Garamond" w:hAnsi="Garamond" w:cstheme="minorHAnsi"/>
          <w:sz w:val="24"/>
          <w:szCs w:val="24"/>
        </w:rPr>
        <w:t xml:space="preserve">, provides </w:t>
      </w:r>
      <w:r w:rsidRPr="00461D74">
        <w:rPr>
          <w:rFonts w:ascii="Garamond" w:hAnsi="Garamond" w:cstheme="minorHAnsi"/>
          <w:sz w:val="24"/>
          <w:szCs w:val="24"/>
        </w:rPr>
        <w:t xml:space="preserve">a </w:t>
      </w:r>
      <w:r w:rsidR="00435C92">
        <w:rPr>
          <w:rFonts w:ascii="Garamond" w:hAnsi="Garamond" w:cstheme="minorHAnsi"/>
          <w:sz w:val="24"/>
          <w:szCs w:val="24"/>
        </w:rPr>
        <w:t>range</w:t>
      </w:r>
      <w:r w:rsidR="00435C92" w:rsidRPr="00461D74">
        <w:rPr>
          <w:rFonts w:ascii="Garamond" w:hAnsi="Garamond" w:cstheme="minorHAnsi"/>
          <w:sz w:val="24"/>
          <w:szCs w:val="24"/>
        </w:rPr>
        <w:t xml:space="preserve"> </w:t>
      </w:r>
      <w:r w:rsidRPr="00461D74">
        <w:rPr>
          <w:rFonts w:ascii="Garamond" w:hAnsi="Garamond" w:cstheme="minorHAnsi"/>
          <w:sz w:val="24"/>
          <w:szCs w:val="24"/>
        </w:rPr>
        <w:t xml:space="preserve">of background conditions that empower all </w:t>
      </w:r>
      <w:r w:rsidR="00BA6A2A" w:rsidRPr="00461D74">
        <w:rPr>
          <w:rFonts w:ascii="Garamond" w:hAnsi="Garamond" w:cstheme="minorHAnsi"/>
          <w:sz w:val="24"/>
          <w:szCs w:val="24"/>
        </w:rPr>
        <w:t xml:space="preserve">individuals </w:t>
      </w:r>
      <w:r w:rsidRPr="00461D74">
        <w:rPr>
          <w:rFonts w:ascii="Garamond" w:hAnsi="Garamond" w:cstheme="minorHAnsi"/>
          <w:sz w:val="24"/>
          <w:szCs w:val="24"/>
        </w:rPr>
        <w:t xml:space="preserve">with the opportunity to realise </w:t>
      </w:r>
      <w:r w:rsidR="00BA6A2A" w:rsidRPr="00461D74">
        <w:rPr>
          <w:rFonts w:ascii="Garamond" w:hAnsi="Garamond" w:cstheme="minorHAnsi"/>
          <w:sz w:val="24"/>
          <w:szCs w:val="24"/>
        </w:rPr>
        <w:t xml:space="preserve">their potential </w:t>
      </w:r>
      <w:r w:rsidRPr="00461D74">
        <w:rPr>
          <w:rFonts w:ascii="Garamond" w:hAnsi="Garamond" w:cstheme="minorHAnsi"/>
          <w:sz w:val="24"/>
          <w:szCs w:val="24"/>
        </w:rPr>
        <w:t xml:space="preserve">as contributing </w:t>
      </w:r>
      <w:r w:rsidR="00BA6A2A" w:rsidRPr="00461D74">
        <w:rPr>
          <w:rFonts w:ascii="Garamond" w:hAnsi="Garamond" w:cstheme="minorHAnsi"/>
          <w:sz w:val="24"/>
          <w:szCs w:val="24"/>
        </w:rPr>
        <w:t xml:space="preserve">persons </w:t>
      </w:r>
      <w:r w:rsidRPr="00461D74">
        <w:rPr>
          <w:rFonts w:ascii="Garamond" w:hAnsi="Garamond" w:cstheme="minorHAnsi"/>
          <w:sz w:val="24"/>
          <w:szCs w:val="24"/>
        </w:rPr>
        <w:t xml:space="preserve">in </w:t>
      </w:r>
      <w:r w:rsidR="00BA6A2A" w:rsidRPr="00461D74">
        <w:rPr>
          <w:rFonts w:ascii="Garamond" w:hAnsi="Garamond" w:cstheme="minorHAnsi"/>
          <w:sz w:val="24"/>
          <w:szCs w:val="24"/>
        </w:rPr>
        <w:t>meaningful political</w:t>
      </w:r>
      <w:r w:rsidRPr="00461D74">
        <w:rPr>
          <w:rFonts w:ascii="Garamond" w:hAnsi="Garamond" w:cstheme="minorHAnsi"/>
          <w:sz w:val="24"/>
          <w:szCs w:val="24"/>
        </w:rPr>
        <w:t xml:space="preserve"> activity. On the other hand, whenever </w:t>
      </w:r>
      <w:r w:rsidR="00D71E8D" w:rsidRPr="00461D74">
        <w:rPr>
          <w:rFonts w:ascii="Garamond" w:hAnsi="Garamond" w:cstheme="minorHAnsi"/>
          <w:sz w:val="24"/>
          <w:szCs w:val="24"/>
        </w:rPr>
        <w:t xml:space="preserve">it is clear that </w:t>
      </w:r>
      <w:r w:rsidRPr="00461D74">
        <w:rPr>
          <w:rFonts w:ascii="Garamond" w:hAnsi="Garamond" w:cstheme="minorHAnsi"/>
          <w:sz w:val="24"/>
          <w:szCs w:val="24"/>
        </w:rPr>
        <w:t xml:space="preserve">politics or political activity </w:t>
      </w:r>
      <w:r w:rsidR="00D71E8D" w:rsidRPr="00461D74">
        <w:rPr>
          <w:rFonts w:ascii="Garamond" w:hAnsi="Garamond" w:cstheme="minorHAnsi"/>
          <w:sz w:val="24"/>
          <w:szCs w:val="24"/>
        </w:rPr>
        <w:t xml:space="preserve">cannot be </w:t>
      </w:r>
      <w:r w:rsidRPr="00461D74">
        <w:rPr>
          <w:rFonts w:ascii="Garamond" w:hAnsi="Garamond" w:cstheme="minorHAnsi"/>
          <w:sz w:val="24"/>
          <w:szCs w:val="24"/>
        </w:rPr>
        <w:t xml:space="preserve">neutral, politics shouldn’t feign neutrality; </w:t>
      </w:r>
      <w:r w:rsidR="00435C92">
        <w:rPr>
          <w:rFonts w:ascii="Garamond" w:hAnsi="Garamond" w:cstheme="minorHAnsi"/>
          <w:sz w:val="24"/>
          <w:szCs w:val="24"/>
        </w:rPr>
        <w:t>instead</w:t>
      </w:r>
      <w:r w:rsidRPr="00461D74">
        <w:rPr>
          <w:rFonts w:ascii="Garamond" w:hAnsi="Garamond" w:cstheme="minorHAnsi"/>
          <w:sz w:val="24"/>
          <w:szCs w:val="24"/>
        </w:rPr>
        <w:t>, politics should provide well-argued reasons why it isn’t</w:t>
      </w:r>
      <w:r w:rsidR="00435C92">
        <w:rPr>
          <w:rFonts w:ascii="Garamond" w:hAnsi="Garamond" w:cstheme="minorHAnsi"/>
          <w:sz w:val="24"/>
          <w:szCs w:val="24"/>
        </w:rPr>
        <w:t>,</w:t>
      </w:r>
      <w:r w:rsidRPr="00461D74">
        <w:rPr>
          <w:rFonts w:ascii="Garamond" w:hAnsi="Garamond" w:cstheme="minorHAnsi"/>
          <w:sz w:val="24"/>
          <w:szCs w:val="24"/>
        </w:rPr>
        <w:t xml:space="preserve"> or </w:t>
      </w:r>
      <w:r w:rsidR="00435C92">
        <w:rPr>
          <w:rFonts w:ascii="Garamond" w:hAnsi="Garamond" w:cstheme="minorHAnsi"/>
          <w:sz w:val="24"/>
          <w:szCs w:val="24"/>
        </w:rPr>
        <w:t xml:space="preserve">it </w:t>
      </w:r>
      <w:r w:rsidRPr="00461D74">
        <w:rPr>
          <w:rFonts w:ascii="Garamond" w:hAnsi="Garamond" w:cstheme="minorHAnsi"/>
          <w:sz w:val="24"/>
          <w:szCs w:val="24"/>
        </w:rPr>
        <w:t xml:space="preserve">can’t </w:t>
      </w:r>
      <w:r w:rsidR="00435C92">
        <w:rPr>
          <w:rFonts w:ascii="Garamond" w:hAnsi="Garamond" w:cstheme="minorHAnsi"/>
          <w:sz w:val="24"/>
          <w:szCs w:val="24"/>
        </w:rPr>
        <w:t>expect to remain</w:t>
      </w:r>
      <w:r w:rsidR="00435C92" w:rsidRPr="00461D74">
        <w:rPr>
          <w:rFonts w:ascii="Garamond" w:hAnsi="Garamond" w:cstheme="minorHAnsi"/>
          <w:sz w:val="24"/>
          <w:szCs w:val="24"/>
        </w:rPr>
        <w:t xml:space="preserve"> </w:t>
      </w:r>
      <w:r w:rsidRPr="00461D74">
        <w:rPr>
          <w:rFonts w:ascii="Garamond" w:hAnsi="Garamond" w:cstheme="minorHAnsi"/>
          <w:sz w:val="24"/>
          <w:szCs w:val="24"/>
        </w:rPr>
        <w:t xml:space="preserve">neutral in </w:t>
      </w:r>
      <w:r w:rsidR="00D71E8D" w:rsidRPr="00461D74">
        <w:rPr>
          <w:rFonts w:ascii="Garamond" w:hAnsi="Garamond" w:cstheme="minorHAnsi"/>
          <w:sz w:val="24"/>
          <w:szCs w:val="24"/>
        </w:rPr>
        <w:t>some particular</w:t>
      </w:r>
      <w:r w:rsidRPr="00461D74">
        <w:rPr>
          <w:rFonts w:ascii="Garamond" w:hAnsi="Garamond" w:cstheme="minorHAnsi"/>
          <w:sz w:val="24"/>
          <w:szCs w:val="24"/>
        </w:rPr>
        <w:t xml:space="preserve"> context</w:t>
      </w:r>
      <w:r w:rsidR="00B86FA5">
        <w:rPr>
          <w:rFonts w:ascii="Garamond" w:hAnsi="Garamond" w:cstheme="minorHAnsi"/>
          <w:sz w:val="24"/>
          <w:szCs w:val="24"/>
        </w:rPr>
        <w:t xml:space="preserve"> or other</w:t>
      </w:r>
      <w:r w:rsidRPr="00461D74">
        <w:rPr>
          <w:rFonts w:ascii="Garamond" w:hAnsi="Garamond" w:cstheme="minorHAnsi"/>
          <w:sz w:val="24"/>
          <w:szCs w:val="24"/>
        </w:rPr>
        <w:t>.</w:t>
      </w:r>
    </w:p>
    <w:p w:rsidR="00665157" w:rsidRDefault="00113528" w:rsidP="00435C92">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Let us therefore now turn to look at this pragmatist tradition of political theory in more detail, to see whether it can </w:t>
      </w:r>
      <w:r w:rsidR="00435C92">
        <w:rPr>
          <w:rFonts w:ascii="Garamond" w:hAnsi="Garamond" w:cstheme="minorHAnsi"/>
          <w:sz w:val="24"/>
          <w:szCs w:val="24"/>
        </w:rPr>
        <w:t>offer</w:t>
      </w:r>
      <w:r w:rsidR="00435C92" w:rsidRPr="00461D74">
        <w:rPr>
          <w:rFonts w:ascii="Garamond" w:hAnsi="Garamond" w:cstheme="minorHAnsi"/>
          <w:sz w:val="24"/>
          <w:szCs w:val="24"/>
        </w:rPr>
        <w:t xml:space="preserve"> </w:t>
      </w:r>
      <w:r w:rsidRPr="00461D74">
        <w:rPr>
          <w:rFonts w:ascii="Garamond" w:hAnsi="Garamond" w:cstheme="minorHAnsi"/>
          <w:sz w:val="24"/>
          <w:szCs w:val="24"/>
        </w:rPr>
        <w:t xml:space="preserve">MacIntyre a way out of his </w:t>
      </w:r>
      <w:r w:rsidRPr="00461D74">
        <w:rPr>
          <w:rFonts w:ascii="Garamond" w:hAnsi="Garamond" w:cstheme="minorHAnsi"/>
          <w:sz w:val="24"/>
          <w:szCs w:val="24"/>
        </w:rPr>
        <w:lastRenderedPageBreak/>
        <w:t xml:space="preserve">impasse </w:t>
      </w:r>
      <w:r w:rsidR="00435C92">
        <w:rPr>
          <w:rFonts w:ascii="Garamond" w:hAnsi="Garamond" w:cstheme="minorHAnsi"/>
          <w:sz w:val="24"/>
          <w:szCs w:val="24"/>
        </w:rPr>
        <w:t>– namely, that of advancing</w:t>
      </w:r>
      <w:r w:rsidRPr="00461D74">
        <w:rPr>
          <w:rFonts w:ascii="Garamond" w:hAnsi="Garamond" w:cstheme="minorHAnsi"/>
          <w:sz w:val="24"/>
          <w:szCs w:val="24"/>
        </w:rPr>
        <w:t xml:space="preserve"> a meaningful politic</w:t>
      </w:r>
      <w:r w:rsidR="00435C92">
        <w:rPr>
          <w:rFonts w:ascii="Garamond" w:hAnsi="Garamond" w:cstheme="minorHAnsi"/>
          <w:sz w:val="24"/>
          <w:szCs w:val="24"/>
        </w:rPr>
        <w:t xml:space="preserve">al account </w:t>
      </w:r>
      <w:r w:rsidRPr="00461D74">
        <w:rPr>
          <w:rFonts w:ascii="Garamond" w:hAnsi="Garamond" w:cstheme="minorHAnsi"/>
          <w:sz w:val="24"/>
          <w:szCs w:val="24"/>
        </w:rPr>
        <w:t>s</w:t>
      </w:r>
      <w:r w:rsidR="00435C92">
        <w:rPr>
          <w:rFonts w:ascii="Garamond" w:hAnsi="Garamond" w:cstheme="minorHAnsi"/>
          <w:sz w:val="24"/>
          <w:szCs w:val="24"/>
        </w:rPr>
        <w:t>uitable</w:t>
      </w:r>
      <w:r w:rsidRPr="00461D74">
        <w:rPr>
          <w:rFonts w:ascii="Garamond" w:hAnsi="Garamond" w:cstheme="minorHAnsi"/>
          <w:sz w:val="24"/>
          <w:szCs w:val="24"/>
        </w:rPr>
        <w:t xml:space="preserve"> for the modern world.</w:t>
      </w:r>
    </w:p>
    <w:p w:rsidR="00665157" w:rsidRDefault="00665157" w:rsidP="00435C92">
      <w:pPr>
        <w:spacing w:line="360" w:lineRule="auto"/>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62" w:name="_Toc528077839"/>
      <w:r>
        <w:rPr>
          <w:rFonts w:cstheme="majorHAnsi"/>
        </w:rPr>
        <w:t xml:space="preserve">4. </w:t>
      </w:r>
      <w:r w:rsidR="00016049" w:rsidRPr="00F03436">
        <w:rPr>
          <w:rFonts w:cstheme="majorHAnsi"/>
        </w:rPr>
        <w:t>Pragmatist Political Possibilities</w:t>
      </w:r>
      <w:bookmarkEnd w:id="62"/>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Before proceeding, I should clarify some of the ways I plan to engage with these authors. </w:t>
      </w:r>
      <w:r w:rsidR="00B87651">
        <w:rPr>
          <w:rFonts w:ascii="Garamond" w:hAnsi="Garamond" w:cstheme="minorHAnsi"/>
          <w:sz w:val="24"/>
          <w:szCs w:val="24"/>
        </w:rPr>
        <w:t>F</w:t>
      </w:r>
      <w:r w:rsidR="00B87651" w:rsidRPr="00461D74">
        <w:rPr>
          <w:rFonts w:ascii="Garamond" w:hAnsi="Garamond" w:cstheme="minorHAnsi"/>
          <w:sz w:val="24"/>
          <w:szCs w:val="24"/>
        </w:rPr>
        <w:t xml:space="preserve">or the purpose of offering a resolution to the second tension </w:t>
      </w:r>
      <w:r w:rsidR="00F312DE">
        <w:rPr>
          <w:rFonts w:ascii="Garamond" w:hAnsi="Garamond" w:cstheme="minorHAnsi"/>
          <w:sz w:val="24"/>
          <w:szCs w:val="24"/>
        </w:rPr>
        <w:t>in</w:t>
      </w:r>
      <w:r w:rsidR="00B87651" w:rsidRPr="00461D74">
        <w:rPr>
          <w:rFonts w:ascii="Garamond" w:hAnsi="Garamond" w:cstheme="minorHAnsi"/>
          <w:sz w:val="24"/>
          <w:szCs w:val="24"/>
        </w:rPr>
        <w:t xml:space="preserve"> MacIntyre’s </w:t>
      </w:r>
      <w:r w:rsidR="00F312DE">
        <w:rPr>
          <w:rFonts w:ascii="Garamond" w:hAnsi="Garamond" w:cstheme="minorHAnsi"/>
          <w:sz w:val="24"/>
          <w:szCs w:val="24"/>
        </w:rPr>
        <w:t xml:space="preserve">account – and </w:t>
      </w:r>
      <w:r w:rsidR="00B87651" w:rsidRPr="00461D74">
        <w:rPr>
          <w:rFonts w:ascii="Garamond" w:hAnsi="Garamond" w:cstheme="minorHAnsi"/>
          <w:sz w:val="24"/>
          <w:szCs w:val="24"/>
        </w:rPr>
        <w:t>specifically in his politics</w:t>
      </w:r>
      <w:r w:rsidR="00F312DE">
        <w:rPr>
          <w:rFonts w:ascii="Garamond" w:hAnsi="Garamond" w:cstheme="minorHAnsi"/>
          <w:sz w:val="24"/>
          <w:szCs w:val="24"/>
        </w:rPr>
        <w:t xml:space="preserve"> – </w:t>
      </w:r>
      <w:r w:rsidR="00B87651">
        <w:rPr>
          <w:rFonts w:ascii="Garamond" w:hAnsi="Garamond" w:cstheme="minorHAnsi"/>
          <w:sz w:val="24"/>
          <w:szCs w:val="24"/>
        </w:rPr>
        <w:t>it</w:t>
      </w:r>
      <w:r w:rsidRPr="00461D74">
        <w:rPr>
          <w:rFonts w:ascii="Garamond" w:hAnsi="Garamond" w:cstheme="minorHAnsi"/>
          <w:sz w:val="24"/>
          <w:szCs w:val="24"/>
        </w:rPr>
        <w:t xml:space="preserve"> is not my contention that all</w:t>
      </w:r>
      <w:r w:rsidR="0001502B" w:rsidRPr="00461D74">
        <w:rPr>
          <w:rFonts w:ascii="Garamond" w:hAnsi="Garamond" w:cstheme="minorHAnsi"/>
          <w:sz w:val="24"/>
          <w:szCs w:val="24"/>
        </w:rPr>
        <w:t xml:space="preserve"> of</w:t>
      </w:r>
      <w:r w:rsidRPr="00461D74">
        <w:rPr>
          <w:rFonts w:ascii="Garamond" w:hAnsi="Garamond" w:cstheme="minorHAnsi"/>
          <w:sz w:val="24"/>
          <w:szCs w:val="24"/>
        </w:rPr>
        <w:t xml:space="preserve"> these authors are important </w:t>
      </w:r>
      <w:r w:rsidR="0001502B" w:rsidRPr="00461D74">
        <w:rPr>
          <w:rFonts w:ascii="Garamond" w:hAnsi="Garamond" w:cstheme="minorHAnsi"/>
          <w:sz w:val="24"/>
          <w:szCs w:val="24"/>
        </w:rPr>
        <w:t xml:space="preserve">to </w:t>
      </w:r>
      <w:proofErr w:type="gramStart"/>
      <w:r w:rsidRPr="00461D74">
        <w:rPr>
          <w:rFonts w:ascii="Garamond" w:hAnsi="Garamond" w:cstheme="minorHAnsi"/>
          <w:sz w:val="24"/>
          <w:szCs w:val="24"/>
        </w:rPr>
        <w:t>the same degree</w:t>
      </w:r>
      <w:r w:rsidR="00F312DE">
        <w:rPr>
          <w:rFonts w:ascii="Garamond" w:hAnsi="Garamond" w:cstheme="minorHAnsi"/>
          <w:sz w:val="24"/>
          <w:szCs w:val="24"/>
        </w:rPr>
        <w:t>,</w:t>
      </w:r>
      <w:r w:rsidRPr="00461D74">
        <w:rPr>
          <w:rFonts w:ascii="Garamond" w:hAnsi="Garamond" w:cstheme="minorHAnsi"/>
          <w:sz w:val="24"/>
          <w:szCs w:val="24"/>
        </w:rPr>
        <w:t xml:space="preserve"> nor</w:t>
      </w:r>
      <w:proofErr w:type="gramEnd"/>
      <w:r w:rsidRPr="00461D74">
        <w:rPr>
          <w:rFonts w:ascii="Garamond" w:hAnsi="Garamond" w:cstheme="minorHAnsi"/>
          <w:sz w:val="24"/>
          <w:szCs w:val="24"/>
        </w:rPr>
        <w:t xml:space="preserve"> that all of them equally contribute to resolving </w:t>
      </w:r>
      <w:r w:rsidR="00F312DE">
        <w:rPr>
          <w:rFonts w:ascii="Garamond" w:hAnsi="Garamond" w:cstheme="minorHAnsi"/>
          <w:sz w:val="24"/>
          <w:szCs w:val="24"/>
        </w:rPr>
        <w:t>our</w:t>
      </w:r>
      <w:r w:rsidR="00F312DE" w:rsidRPr="00461D74">
        <w:rPr>
          <w:rFonts w:ascii="Garamond" w:hAnsi="Garamond" w:cstheme="minorHAnsi"/>
          <w:sz w:val="24"/>
          <w:szCs w:val="24"/>
        </w:rPr>
        <w:t xml:space="preserve"> </w:t>
      </w:r>
      <w:r w:rsidRPr="00461D74">
        <w:rPr>
          <w:rFonts w:ascii="Garamond" w:hAnsi="Garamond" w:cstheme="minorHAnsi"/>
          <w:sz w:val="24"/>
          <w:szCs w:val="24"/>
        </w:rPr>
        <w:t xml:space="preserve">puzzle. In considering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and </w:t>
      </w:r>
      <w:proofErr w:type="spellStart"/>
      <w:r w:rsidRPr="00461D74">
        <w:rPr>
          <w:rFonts w:ascii="Garamond" w:hAnsi="Garamond" w:cstheme="minorHAnsi"/>
          <w:sz w:val="24"/>
          <w:szCs w:val="24"/>
        </w:rPr>
        <w:t>Honneth’s</w:t>
      </w:r>
      <w:proofErr w:type="spellEnd"/>
      <w:r w:rsidRPr="00461D74">
        <w:rPr>
          <w:rFonts w:ascii="Garamond" w:hAnsi="Garamond" w:cstheme="minorHAnsi"/>
          <w:sz w:val="24"/>
          <w:szCs w:val="24"/>
        </w:rPr>
        <w:t xml:space="preserve"> Dewey in the following sections I hope to outline a trajectory that moves from some broad or general – and hence less determinate – ways of addressing the problems </w:t>
      </w:r>
      <w:r w:rsidR="00B86FA5">
        <w:rPr>
          <w:rFonts w:ascii="Garamond" w:hAnsi="Garamond" w:cstheme="minorHAnsi"/>
          <w:sz w:val="24"/>
          <w:szCs w:val="24"/>
        </w:rPr>
        <w:t>involved in</w:t>
      </w:r>
      <w:r w:rsidRPr="00461D74">
        <w:rPr>
          <w:rFonts w:ascii="Garamond" w:hAnsi="Garamond" w:cstheme="minorHAnsi"/>
          <w:sz w:val="24"/>
          <w:szCs w:val="24"/>
        </w:rPr>
        <w:t xml:space="preserve"> MacIntyre’s account, to a more determinate set of both conceptual and practical tools that can enrich MacIntyre’s politics. Placing my analysis within this trajectory is important because it will help us uncover the strengths and limitations of the various approaches in ways that will ultimately </w:t>
      </w:r>
      <w:proofErr w:type="spellStart"/>
      <w:r w:rsidRPr="00461D74">
        <w:rPr>
          <w:rFonts w:ascii="Garamond" w:hAnsi="Garamond" w:cstheme="minorHAnsi"/>
          <w:sz w:val="24"/>
          <w:szCs w:val="24"/>
        </w:rPr>
        <w:t>crystalize</w:t>
      </w:r>
      <w:proofErr w:type="spellEnd"/>
      <w:r w:rsidRPr="00461D74">
        <w:rPr>
          <w:rFonts w:ascii="Garamond" w:hAnsi="Garamond" w:cstheme="minorHAnsi"/>
          <w:sz w:val="24"/>
          <w:szCs w:val="24"/>
        </w:rPr>
        <w:t xml:space="preserve"> the shape of our alternative politics.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will start now with considering some </w:t>
      </w:r>
      <w:r w:rsidR="0001502B" w:rsidRPr="00461D74">
        <w:rPr>
          <w:rFonts w:ascii="Garamond" w:hAnsi="Garamond" w:cstheme="minorHAnsi"/>
          <w:sz w:val="24"/>
          <w:szCs w:val="24"/>
        </w:rPr>
        <w:t>features from the political account of</w:t>
      </w:r>
      <w:r w:rsidRPr="00461D74">
        <w:rPr>
          <w:rFonts w:ascii="Garamond" w:hAnsi="Garamond" w:cstheme="minorHAnsi"/>
          <w:sz w:val="24"/>
          <w:szCs w:val="24"/>
        </w:rPr>
        <w:t xml:space="preserve"> Cheryl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w:t>
      </w:r>
      <w:r w:rsidR="00B86FA5">
        <w:rPr>
          <w:rFonts w:ascii="Garamond" w:hAnsi="Garamond" w:cstheme="minorHAnsi"/>
          <w:sz w:val="24"/>
          <w:szCs w:val="24"/>
        </w:rPr>
        <w:t xml:space="preserve"> </w:t>
      </w:r>
    </w:p>
    <w:p w:rsidR="00665157" w:rsidRDefault="00665157">
      <w:pPr>
        <w:spacing w:line="360" w:lineRule="auto"/>
        <w:ind w:firstLine="720"/>
        <w:jc w:val="both"/>
        <w:rPr>
          <w:rFonts w:ascii="Garamond" w:hAnsi="Garamond" w:cstheme="minorHAnsi"/>
          <w:sz w:val="24"/>
          <w:szCs w:val="24"/>
        </w:rPr>
      </w:pPr>
    </w:p>
    <w:p w:rsidR="00665157" w:rsidRDefault="00990477" w:rsidP="00990477">
      <w:pPr>
        <w:pStyle w:val="Heading3"/>
        <w:spacing w:before="200" w:line="360" w:lineRule="auto"/>
        <w:jc w:val="both"/>
        <w:rPr>
          <w:rFonts w:cstheme="majorHAnsi"/>
        </w:rPr>
      </w:pPr>
      <w:bookmarkStart w:id="63" w:name="_Toc528077840"/>
      <w:r>
        <w:rPr>
          <w:rFonts w:cstheme="majorHAnsi"/>
        </w:rPr>
        <w:t xml:space="preserve">4.1 </w:t>
      </w:r>
      <w:r w:rsidR="00016049" w:rsidRPr="00F03436">
        <w:rPr>
          <w:rFonts w:cstheme="majorHAnsi"/>
        </w:rPr>
        <w:t xml:space="preserve">Cheryl </w:t>
      </w:r>
      <w:proofErr w:type="spellStart"/>
      <w:r w:rsidR="00016049" w:rsidRPr="00F03436">
        <w:rPr>
          <w:rFonts w:cstheme="majorHAnsi"/>
        </w:rPr>
        <w:t>Misak</w:t>
      </w:r>
      <w:bookmarkEnd w:id="63"/>
      <w:proofErr w:type="spellEnd"/>
      <w:r w:rsidR="00985CD1" w:rsidRPr="00F03436">
        <w:rPr>
          <w:rFonts w:cstheme="majorHAnsi"/>
        </w:rPr>
        <w:t xml:space="preserve"> </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On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view, Rawls</w:t>
      </w:r>
      <w:r w:rsidR="006C2F38">
        <w:rPr>
          <w:rFonts w:ascii="Garamond" w:hAnsi="Garamond" w:cstheme="minorHAnsi"/>
          <w:sz w:val="24"/>
          <w:szCs w:val="24"/>
        </w:rPr>
        <w:t>’ account</w:t>
      </w:r>
      <w:r w:rsidRPr="00461D74">
        <w:rPr>
          <w:rFonts w:ascii="Garamond" w:hAnsi="Garamond" w:cstheme="minorHAnsi"/>
          <w:sz w:val="24"/>
          <w:szCs w:val="24"/>
        </w:rPr>
        <w:t xml:space="preserve"> treats our starting point – that of a democratic society with free and equal citizens arranged around social cooperation – as substantive. Here, Rawls’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view presupposes a substantive view of the good, namely, justice as fairness. The advantage of </w:t>
      </w:r>
      <w:proofErr w:type="spellStart"/>
      <w:r w:rsidR="00225F43">
        <w:rPr>
          <w:rFonts w:ascii="Garamond" w:hAnsi="Garamond" w:cstheme="minorHAnsi"/>
          <w:sz w:val="24"/>
          <w:szCs w:val="24"/>
        </w:rPr>
        <w:t>Misak’s</w:t>
      </w:r>
      <w:proofErr w:type="spellEnd"/>
      <w:r w:rsidR="00225F43" w:rsidRPr="00461D74">
        <w:rPr>
          <w:rFonts w:ascii="Garamond" w:hAnsi="Garamond" w:cstheme="minorHAnsi"/>
          <w:sz w:val="24"/>
          <w:szCs w:val="24"/>
        </w:rPr>
        <w:t xml:space="preserve"> </w:t>
      </w:r>
      <w:r w:rsidRPr="00461D74">
        <w:rPr>
          <w:rFonts w:ascii="Garamond" w:hAnsi="Garamond" w:cstheme="minorHAnsi"/>
          <w:sz w:val="24"/>
          <w:szCs w:val="24"/>
        </w:rPr>
        <w:t xml:space="preserve">pragmatist position is that while a pragmatist can agree on the contingency and significance of our </w:t>
      </w:r>
      <w:r w:rsidRPr="00461D74">
        <w:rPr>
          <w:rFonts w:ascii="Garamond" w:hAnsi="Garamond" w:cstheme="minorHAnsi"/>
          <w:sz w:val="24"/>
          <w:szCs w:val="24"/>
        </w:rPr>
        <w:lastRenderedPageBreak/>
        <w:t>starting point, she does not take it to be privileged. It is only a set of revisable backgrounds that are currently justified and susceptible to revision as inquiry progresses.</w:t>
      </w:r>
      <w:r w:rsidR="0009683F" w:rsidRPr="00461D74">
        <w:rPr>
          <w:rStyle w:val="FootnoteReference"/>
          <w:rFonts w:ascii="Garamond" w:hAnsi="Garamond" w:cstheme="minorHAnsi"/>
          <w:sz w:val="24"/>
          <w:szCs w:val="24"/>
        </w:rPr>
        <w:t xml:space="preserve"> </w:t>
      </w:r>
      <w:r w:rsidR="0009683F" w:rsidRPr="00461D74">
        <w:rPr>
          <w:rStyle w:val="FootnoteReference"/>
          <w:rFonts w:ascii="Garamond" w:hAnsi="Garamond" w:cstheme="minorHAnsi"/>
          <w:sz w:val="24"/>
          <w:szCs w:val="24"/>
        </w:rPr>
        <w:footnoteReference w:id="396"/>
      </w:r>
      <w:r w:rsidRPr="00461D74">
        <w:rPr>
          <w:rFonts w:ascii="Garamond" w:hAnsi="Garamond" w:cstheme="minorHAnsi"/>
          <w:sz w:val="24"/>
          <w:szCs w:val="24"/>
        </w:rPr>
        <w:t xml:space="preserve"> But Rawls’ implicit normative claim is that they are the fundamental facts of society.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argues that despite Rawls’ claim</w:t>
      </w:r>
      <w:r w:rsidR="0009683F" w:rsidRPr="00461D74">
        <w:rPr>
          <w:rFonts w:ascii="Garamond" w:hAnsi="Garamond" w:cstheme="minorHAnsi"/>
          <w:sz w:val="24"/>
          <w:szCs w:val="24"/>
        </w:rPr>
        <w:t>s</w:t>
      </w:r>
      <w:r w:rsidRPr="00461D74">
        <w:rPr>
          <w:rFonts w:ascii="Garamond" w:hAnsi="Garamond" w:cstheme="minorHAnsi"/>
          <w:sz w:val="24"/>
          <w:szCs w:val="24"/>
        </w:rPr>
        <w:t xml:space="preserve"> to the contrary, </w:t>
      </w:r>
      <w:r w:rsidR="0009683F" w:rsidRPr="00461D74">
        <w:rPr>
          <w:rFonts w:ascii="Garamond" w:hAnsi="Garamond" w:cstheme="minorHAnsi"/>
          <w:sz w:val="24"/>
          <w:szCs w:val="24"/>
        </w:rPr>
        <w:t xml:space="preserve">his </w:t>
      </w:r>
      <w:r w:rsidRPr="00461D74">
        <w:rPr>
          <w:rFonts w:ascii="Garamond" w:hAnsi="Garamond" w:cstheme="minorHAnsi"/>
          <w:sz w:val="24"/>
          <w:szCs w:val="24"/>
        </w:rPr>
        <w:t xml:space="preserve">account of justice as fairness </w:t>
      </w:r>
      <w:r w:rsidR="0009683F" w:rsidRPr="00461D74">
        <w:rPr>
          <w:rFonts w:ascii="Garamond" w:hAnsi="Garamond" w:cstheme="minorHAnsi"/>
          <w:sz w:val="24"/>
          <w:szCs w:val="24"/>
        </w:rPr>
        <w:t>is grounded i</w:t>
      </w:r>
      <w:r w:rsidRPr="00461D74">
        <w:rPr>
          <w:rFonts w:ascii="Garamond" w:hAnsi="Garamond" w:cstheme="minorHAnsi"/>
          <w:sz w:val="24"/>
          <w:szCs w:val="24"/>
        </w:rPr>
        <w:t xml:space="preserve">n a </w:t>
      </w:r>
      <w:r w:rsidR="0009683F" w:rsidRPr="00461D74">
        <w:rPr>
          <w:rFonts w:ascii="Garamond" w:hAnsi="Garamond" w:cstheme="minorHAnsi"/>
          <w:sz w:val="24"/>
          <w:szCs w:val="24"/>
        </w:rPr>
        <w:t xml:space="preserve">substantive </w:t>
      </w:r>
      <w:r w:rsidRPr="00461D74">
        <w:rPr>
          <w:rFonts w:ascii="Garamond" w:hAnsi="Garamond" w:cstheme="minorHAnsi"/>
          <w:sz w:val="24"/>
          <w:szCs w:val="24"/>
        </w:rPr>
        <w:t xml:space="preserve">conception of the good. On her view, </w:t>
      </w:r>
      <w:r w:rsidR="009B06C0" w:rsidRPr="00461D74">
        <w:rPr>
          <w:rFonts w:ascii="Garamond" w:hAnsi="Garamond" w:cstheme="minorHAnsi"/>
          <w:sz w:val="24"/>
          <w:szCs w:val="24"/>
        </w:rPr>
        <w:t xml:space="preserve">it would be best for </w:t>
      </w:r>
      <w:r w:rsidRPr="00461D74">
        <w:rPr>
          <w:rFonts w:ascii="Garamond" w:hAnsi="Garamond" w:cstheme="minorHAnsi"/>
          <w:sz w:val="24"/>
          <w:szCs w:val="24"/>
        </w:rPr>
        <w:t xml:space="preserve">Rawls </w:t>
      </w:r>
      <w:r w:rsidR="009B06C0" w:rsidRPr="00461D74">
        <w:rPr>
          <w:rFonts w:ascii="Garamond" w:hAnsi="Garamond" w:cstheme="minorHAnsi"/>
          <w:sz w:val="24"/>
          <w:szCs w:val="24"/>
        </w:rPr>
        <w:t xml:space="preserve">not </w:t>
      </w:r>
      <w:r w:rsidRPr="00461D74">
        <w:rPr>
          <w:rFonts w:ascii="Garamond" w:hAnsi="Garamond" w:cstheme="minorHAnsi"/>
          <w:sz w:val="24"/>
          <w:szCs w:val="24"/>
        </w:rPr>
        <w:t xml:space="preserve">to deny that justice as fairness is grounded in a substantive notion of the good. For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the idea that we should abstract from our beliefs about the good is neither feasible nor attractive.</w:t>
      </w:r>
      <w:r w:rsidRPr="00461D74">
        <w:rPr>
          <w:rStyle w:val="FootnoteReference"/>
          <w:rFonts w:ascii="Garamond" w:hAnsi="Garamond" w:cstheme="minorHAnsi"/>
          <w:sz w:val="24"/>
          <w:szCs w:val="24"/>
        </w:rPr>
        <w:footnoteReference w:id="397"/>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On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view, in addition to obfuscating the matter – namely, surreptitiously holding onto a substantive notion of the good, under a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veneer – the</w:t>
      </w:r>
      <w:r w:rsidR="0009683F" w:rsidRPr="00461D74">
        <w:rPr>
          <w:rFonts w:ascii="Garamond" w:hAnsi="Garamond" w:cstheme="minorHAnsi"/>
          <w:sz w:val="24"/>
          <w:szCs w:val="24"/>
        </w:rPr>
        <w:t xml:space="preserve"> more</w:t>
      </w:r>
      <w:r w:rsidRPr="00461D74">
        <w:rPr>
          <w:rFonts w:ascii="Garamond" w:hAnsi="Garamond" w:cstheme="minorHAnsi"/>
          <w:sz w:val="24"/>
          <w:szCs w:val="24"/>
        </w:rPr>
        <w:t xml:space="preserve"> rigid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position of across the board neutrality,</w:t>
      </w:r>
      <w:r w:rsidR="0009683F" w:rsidRPr="00461D74">
        <w:rPr>
          <w:rFonts w:ascii="Garamond" w:hAnsi="Garamond" w:cstheme="minorHAnsi"/>
          <w:sz w:val="24"/>
          <w:szCs w:val="24"/>
        </w:rPr>
        <w:t xml:space="preserve"> potentially rules out all first-order appeals, even those that </w:t>
      </w:r>
      <w:r w:rsidR="00320477">
        <w:rPr>
          <w:rFonts w:ascii="Garamond" w:hAnsi="Garamond" w:cstheme="minorHAnsi"/>
          <w:sz w:val="24"/>
          <w:szCs w:val="24"/>
        </w:rPr>
        <w:t>c</w:t>
      </w:r>
      <w:r w:rsidR="00320477" w:rsidRPr="00461D74">
        <w:rPr>
          <w:rFonts w:ascii="Garamond" w:hAnsi="Garamond" w:cstheme="minorHAnsi"/>
          <w:sz w:val="24"/>
          <w:szCs w:val="24"/>
        </w:rPr>
        <w:t xml:space="preserve">ould </w:t>
      </w:r>
      <w:r w:rsidR="00320477">
        <w:rPr>
          <w:rFonts w:ascii="Garamond" w:hAnsi="Garamond" w:cstheme="minorHAnsi"/>
          <w:sz w:val="24"/>
          <w:szCs w:val="24"/>
        </w:rPr>
        <w:t>prospectively</w:t>
      </w:r>
      <w:r w:rsidR="00320477" w:rsidRPr="00461D74">
        <w:rPr>
          <w:rFonts w:ascii="Garamond" w:hAnsi="Garamond" w:cstheme="minorHAnsi"/>
          <w:sz w:val="24"/>
          <w:szCs w:val="24"/>
        </w:rPr>
        <w:t xml:space="preserve"> </w:t>
      </w:r>
      <w:r w:rsidR="00320477">
        <w:rPr>
          <w:rFonts w:ascii="Garamond" w:hAnsi="Garamond" w:cstheme="minorHAnsi"/>
          <w:sz w:val="24"/>
          <w:szCs w:val="24"/>
        </w:rPr>
        <w:t>occasion a</w:t>
      </w:r>
      <w:r w:rsidR="0009683F" w:rsidRPr="00461D74">
        <w:rPr>
          <w:rFonts w:ascii="Garamond" w:hAnsi="Garamond" w:cstheme="minorHAnsi"/>
          <w:sz w:val="24"/>
          <w:szCs w:val="24"/>
        </w:rPr>
        <w:t xml:space="preserve"> reconfigur</w:t>
      </w:r>
      <w:r w:rsidR="00320477">
        <w:rPr>
          <w:rFonts w:ascii="Garamond" w:hAnsi="Garamond" w:cstheme="minorHAnsi"/>
          <w:sz w:val="24"/>
          <w:szCs w:val="24"/>
        </w:rPr>
        <w:t>ation of</w:t>
      </w:r>
      <w:r w:rsidR="00320477" w:rsidRPr="00461D74">
        <w:rPr>
          <w:rFonts w:ascii="Garamond" w:hAnsi="Garamond" w:cstheme="minorHAnsi"/>
          <w:sz w:val="24"/>
          <w:szCs w:val="24"/>
        </w:rPr>
        <w:t xml:space="preserve"> </w:t>
      </w:r>
      <w:r w:rsidR="0009683F" w:rsidRPr="00461D74">
        <w:rPr>
          <w:rFonts w:ascii="Garamond" w:hAnsi="Garamond" w:cstheme="minorHAnsi"/>
          <w:sz w:val="24"/>
          <w:szCs w:val="24"/>
        </w:rPr>
        <w:t xml:space="preserve">social-political policy in ways that resolve longstanding injustices.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uses the example of the US treatment of Native Americans to show how colour-blind laws that </w:t>
      </w:r>
      <w:r w:rsidR="0009683F" w:rsidRPr="00461D74">
        <w:rPr>
          <w:rFonts w:ascii="Garamond" w:hAnsi="Garamond" w:cstheme="minorHAnsi"/>
          <w:sz w:val="24"/>
          <w:szCs w:val="24"/>
        </w:rPr>
        <w:t xml:space="preserve">appear to be </w:t>
      </w:r>
      <w:r w:rsidRPr="00461D74">
        <w:rPr>
          <w:rFonts w:ascii="Garamond" w:hAnsi="Garamond" w:cstheme="minorHAnsi"/>
          <w:sz w:val="24"/>
          <w:szCs w:val="24"/>
        </w:rPr>
        <w:t>neutral</w:t>
      </w:r>
      <w:r w:rsidR="0009683F" w:rsidRPr="00461D74">
        <w:rPr>
          <w:rFonts w:ascii="Garamond" w:hAnsi="Garamond" w:cstheme="minorHAnsi"/>
          <w:sz w:val="24"/>
          <w:szCs w:val="24"/>
        </w:rPr>
        <w:t>,</w:t>
      </w:r>
      <w:r w:rsidRPr="00461D74">
        <w:rPr>
          <w:rFonts w:ascii="Garamond" w:hAnsi="Garamond" w:cstheme="minorHAnsi"/>
          <w:sz w:val="24"/>
          <w:szCs w:val="24"/>
        </w:rPr>
        <w:t xml:space="preserve"> can </w:t>
      </w:r>
      <w:r w:rsidR="0009683F" w:rsidRPr="00461D74">
        <w:rPr>
          <w:rFonts w:ascii="Garamond" w:hAnsi="Garamond" w:cstheme="minorHAnsi"/>
          <w:sz w:val="24"/>
          <w:szCs w:val="24"/>
        </w:rPr>
        <w:t xml:space="preserve">in fact lead to </w:t>
      </w:r>
      <w:r w:rsidRPr="00461D74">
        <w:rPr>
          <w:rFonts w:ascii="Garamond" w:hAnsi="Garamond" w:cstheme="minorHAnsi"/>
          <w:sz w:val="24"/>
          <w:szCs w:val="24"/>
        </w:rPr>
        <w:t>institutionalize</w:t>
      </w:r>
      <w:r w:rsidR="0009683F" w:rsidRPr="00461D74">
        <w:rPr>
          <w:rFonts w:ascii="Garamond" w:hAnsi="Garamond" w:cstheme="minorHAnsi"/>
          <w:sz w:val="24"/>
          <w:szCs w:val="24"/>
        </w:rPr>
        <w:t>d</w:t>
      </w:r>
      <w:r w:rsidRPr="00461D74">
        <w:rPr>
          <w:rFonts w:ascii="Garamond" w:hAnsi="Garamond" w:cstheme="minorHAnsi"/>
          <w:sz w:val="24"/>
          <w:szCs w:val="24"/>
        </w:rPr>
        <w:t xml:space="preserve"> oppression.</w:t>
      </w:r>
      <w:r w:rsidRPr="00461D74">
        <w:rPr>
          <w:rStyle w:val="FootnoteReference"/>
          <w:rFonts w:ascii="Garamond" w:hAnsi="Garamond" w:cstheme="minorHAnsi"/>
          <w:sz w:val="24"/>
          <w:szCs w:val="24"/>
        </w:rPr>
        <w:footnoteReference w:id="398"/>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agrees with MacIntyre and argues that the principle of strict neutrality is a convenient myth:</w:t>
      </w:r>
    </w:p>
    <w:p w:rsidR="00665157" w:rsidRDefault="00016049">
      <w:pPr>
        <w:spacing w:line="360" w:lineRule="auto"/>
        <w:ind w:left="1440"/>
        <w:jc w:val="both"/>
        <w:rPr>
          <w:rFonts w:ascii="Garamond" w:hAnsi="Garamond" w:cstheme="minorHAnsi"/>
        </w:rPr>
      </w:pPr>
      <w:r w:rsidRPr="00461D74">
        <w:rPr>
          <w:rFonts w:ascii="Garamond" w:hAnsi="Garamond" w:cstheme="minorHAnsi"/>
        </w:rPr>
        <w:t>“Governments in pluralistic societies…cannot in fact be neutral towards ethnic and national groups within their boundaries, since just about every policy or law promotes some conception of the good. A crucial requirement for the survival of a culture, for example, is that its language is the language of the government and its institutions.”</w:t>
      </w:r>
      <w:r w:rsidRPr="00461D74">
        <w:rPr>
          <w:rStyle w:val="FootnoteReference"/>
          <w:rFonts w:ascii="Garamond" w:hAnsi="Garamond" w:cstheme="minorHAnsi"/>
        </w:rPr>
        <w:footnoteReference w:id="399"/>
      </w:r>
    </w:p>
    <w:p w:rsidR="00274AB8" w:rsidRDefault="00016049" w:rsidP="00274AB8">
      <w:pPr>
        <w:spacing w:line="360" w:lineRule="auto"/>
        <w:jc w:val="both"/>
        <w:rPr>
          <w:rFonts w:ascii="Garamond" w:hAnsi="Garamond" w:cstheme="minorHAnsi"/>
          <w:sz w:val="24"/>
          <w:szCs w:val="24"/>
        </w:rPr>
      </w:pPr>
      <w:r w:rsidRPr="00461D74">
        <w:rPr>
          <w:rFonts w:ascii="Garamond" w:hAnsi="Garamond" w:cstheme="minorHAnsi"/>
          <w:sz w:val="24"/>
          <w:szCs w:val="24"/>
        </w:rPr>
        <w:t xml:space="preserve">It follows that both the liberal and the communitarian would have to agree that there is a very large space between the highly idealized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view of </w:t>
      </w:r>
      <w:r w:rsidRPr="00461D74">
        <w:rPr>
          <w:rFonts w:ascii="Garamond" w:hAnsi="Garamond" w:cstheme="minorHAnsi"/>
          <w:sz w:val="24"/>
          <w:szCs w:val="24"/>
        </w:rPr>
        <w:lastRenderedPageBreak/>
        <w:t>government as strictly neutral, and the type of totalitarian government that interferes with every action of the citizenry.</w:t>
      </w:r>
      <w:r w:rsidRPr="00461D74">
        <w:rPr>
          <w:rStyle w:val="FootnoteReference"/>
          <w:rFonts w:ascii="Garamond" w:hAnsi="Garamond" w:cstheme="minorHAnsi"/>
          <w:sz w:val="24"/>
          <w:szCs w:val="24"/>
        </w:rPr>
        <w:footnoteReference w:id="400"/>
      </w:r>
      <w:r w:rsidRPr="00461D74">
        <w:rPr>
          <w:rFonts w:ascii="Garamond" w:hAnsi="Garamond" w:cstheme="minorHAnsi"/>
          <w:sz w:val="24"/>
          <w:szCs w:val="24"/>
        </w:rPr>
        <w:t xml:space="preserve"> </w:t>
      </w:r>
      <w:r w:rsidR="00274AB8" w:rsidRPr="00461D74">
        <w:rPr>
          <w:rFonts w:ascii="Garamond" w:hAnsi="Garamond" w:cstheme="minorHAnsi"/>
          <w:sz w:val="24"/>
          <w:szCs w:val="24"/>
        </w:rPr>
        <w:t>Yet, public deliberation about the good in no way entails that we interfere with the activity of others.</w:t>
      </w:r>
      <w:r w:rsidR="00274AB8" w:rsidRPr="00461D74">
        <w:rPr>
          <w:rStyle w:val="FootnoteReference"/>
          <w:rFonts w:ascii="Garamond" w:hAnsi="Garamond" w:cstheme="minorHAnsi"/>
          <w:sz w:val="24"/>
          <w:szCs w:val="24"/>
        </w:rPr>
        <w:footnoteReference w:id="401"/>
      </w:r>
    </w:p>
    <w:p w:rsidR="00274AB8"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Here, we </w:t>
      </w:r>
      <w:r w:rsidR="00274AB8">
        <w:rPr>
          <w:rFonts w:ascii="Garamond" w:hAnsi="Garamond" w:cstheme="minorHAnsi"/>
          <w:sz w:val="24"/>
          <w:szCs w:val="24"/>
        </w:rPr>
        <w:t xml:space="preserve">can </w:t>
      </w:r>
      <w:r w:rsidRPr="00461D74">
        <w:rPr>
          <w:rFonts w:ascii="Garamond" w:hAnsi="Garamond" w:cstheme="minorHAnsi"/>
          <w:sz w:val="24"/>
          <w:szCs w:val="24"/>
        </w:rPr>
        <w:t xml:space="preserve">see that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adopts a holistic view and therefore dispenses with any hard distinction </w:t>
      </w:r>
      <w:r w:rsidR="00274AB8">
        <w:rPr>
          <w:rFonts w:ascii="Garamond" w:hAnsi="Garamond" w:cstheme="minorHAnsi"/>
          <w:sz w:val="24"/>
          <w:szCs w:val="24"/>
        </w:rPr>
        <w:t>between</w:t>
      </w:r>
      <w:r w:rsidRPr="00461D74">
        <w:rPr>
          <w:rFonts w:ascii="Garamond" w:hAnsi="Garamond" w:cstheme="minorHAnsi"/>
          <w:sz w:val="24"/>
          <w:szCs w:val="24"/>
        </w:rPr>
        <w:t xml:space="preserve"> public </w:t>
      </w:r>
      <w:r w:rsidR="00274AB8">
        <w:rPr>
          <w:rFonts w:ascii="Garamond" w:hAnsi="Garamond" w:cstheme="minorHAnsi"/>
          <w:sz w:val="24"/>
          <w:szCs w:val="24"/>
        </w:rPr>
        <w:t>and</w:t>
      </w:r>
      <w:r w:rsidRPr="00461D74">
        <w:rPr>
          <w:rFonts w:ascii="Garamond" w:hAnsi="Garamond" w:cstheme="minorHAnsi"/>
          <w:sz w:val="24"/>
          <w:szCs w:val="24"/>
        </w:rPr>
        <w:t xml:space="preserve"> private sphere</w:t>
      </w:r>
      <w:r w:rsidR="00274AB8">
        <w:rPr>
          <w:rFonts w:ascii="Garamond" w:hAnsi="Garamond" w:cstheme="minorHAnsi"/>
          <w:sz w:val="24"/>
          <w:szCs w:val="24"/>
        </w:rPr>
        <w:t>s</w:t>
      </w:r>
      <w:r w:rsidRPr="00461D74">
        <w:rPr>
          <w:rFonts w:ascii="Garamond" w:hAnsi="Garamond" w:cstheme="minorHAnsi"/>
          <w:sz w:val="24"/>
          <w:szCs w:val="24"/>
        </w:rPr>
        <w:t xml:space="preserve">. In contrast to Rawls’ proscription against public debate on substantive notions of the good, she argues that adopting a </w:t>
      </w:r>
      <w:r w:rsidR="00274AB8">
        <w:rPr>
          <w:rFonts w:ascii="Garamond" w:hAnsi="Garamond" w:cstheme="minorHAnsi"/>
          <w:sz w:val="24"/>
          <w:szCs w:val="24"/>
        </w:rPr>
        <w:t>strong</w:t>
      </w:r>
      <w:r w:rsidR="00274AB8" w:rsidRPr="00461D74">
        <w:rPr>
          <w:rFonts w:ascii="Garamond" w:hAnsi="Garamond" w:cstheme="minorHAnsi"/>
          <w:sz w:val="24"/>
          <w:szCs w:val="24"/>
        </w:rPr>
        <w:t xml:space="preserve"> </w:t>
      </w:r>
      <w:r w:rsidRPr="00461D74">
        <w:rPr>
          <w:rFonts w:ascii="Garamond" w:hAnsi="Garamond" w:cstheme="minorHAnsi"/>
          <w:sz w:val="24"/>
          <w:szCs w:val="24"/>
        </w:rPr>
        <w:t xml:space="preserve">distinction </w:t>
      </w:r>
      <w:r w:rsidR="00274AB8">
        <w:rPr>
          <w:rFonts w:ascii="Garamond" w:hAnsi="Garamond" w:cstheme="minorHAnsi"/>
          <w:sz w:val="24"/>
          <w:szCs w:val="24"/>
        </w:rPr>
        <w:t>between</w:t>
      </w:r>
      <w:r w:rsidRPr="00461D74">
        <w:rPr>
          <w:rFonts w:ascii="Garamond" w:hAnsi="Garamond" w:cstheme="minorHAnsi"/>
          <w:sz w:val="24"/>
          <w:szCs w:val="24"/>
        </w:rPr>
        <w:t xml:space="preserve"> public </w:t>
      </w:r>
      <w:r w:rsidR="00274AB8">
        <w:rPr>
          <w:rFonts w:ascii="Garamond" w:hAnsi="Garamond" w:cstheme="minorHAnsi"/>
          <w:sz w:val="24"/>
          <w:szCs w:val="24"/>
        </w:rPr>
        <w:t>and</w:t>
      </w:r>
      <w:r w:rsidRPr="00461D74">
        <w:rPr>
          <w:rFonts w:ascii="Garamond" w:hAnsi="Garamond" w:cstheme="minorHAnsi"/>
          <w:sz w:val="24"/>
          <w:szCs w:val="24"/>
        </w:rPr>
        <w:t xml:space="preserve"> private</w:t>
      </w:r>
      <w:r w:rsidR="00274AB8">
        <w:rPr>
          <w:rFonts w:ascii="Garamond" w:hAnsi="Garamond" w:cstheme="minorHAnsi"/>
          <w:sz w:val="24"/>
          <w:szCs w:val="24"/>
        </w:rPr>
        <w:t xml:space="preserve"> spheres</w:t>
      </w:r>
      <w:r w:rsidRPr="00461D74">
        <w:rPr>
          <w:rFonts w:ascii="Garamond" w:hAnsi="Garamond" w:cstheme="minorHAnsi"/>
          <w:sz w:val="24"/>
          <w:szCs w:val="24"/>
        </w:rPr>
        <w:t xml:space="preserve"> – and </w:t>
      </w:r>
      <w:r w:rsidR="00274AB8">
        <w:rPr>
          <w:rFonts w:ascii="Garamond" w:hAnsi="Garamond" w:cstheme="minorHAnsi"/>
          <w:sz w:val="24"/>
          <w:szCs w:val="24"/>
        </w:rPr>
        <w:t>hence,</w:t>
      </w:r>
      <w:r w:rsidR="00274AB8" w:rsidRPr="00461D74">
        <w:rPr>
          <w:rFonts w:ascii="Garamond" w:hAnsi="Garamond" w:cstheme="minorHAnsi"/>
          <w:sz w:val="24"/>
          <w:szCs w:val="24"/>
        </w:rPr>
        <w:t xml:space="preserve"> </w:t>
      </w:r>
      <w:r w:rsidRPr="00461D74">
        <w:rPr>
          <w:rFonts w:ascii="Garamond" w:hAnsi="Garamond" w:cstheme="minorHAnsi"/>
          <w:sz w:val="24"/>
          <w:szCs w:val="24"/>
        </w:rPr>
        <w:t>proscribing all public deliberation about good –</w:t>
      </w:r>
      <w:r w:rsidR="00274AB8">
        <w:rPr>
          <w:rFonts w:ascii="Garamond" w:hAnsi="Garamond" w:cstheme="minorHAnsi"/>
          <w:sz w:val="24"/>
          <w:szCs w:val="24"/>
        </w:rPr>
        <w:t xml:space="preserve"> at best, </w:t>
      </w:r>
      <w:r w:rsidRPr="00461D74">
        <w:rPr>
          <w:rFonts w:ascii="Garamond" w:hAnsi="Garamond" w:cstheme="minorHAnsi"/>
          <w:sz w:val="24"/>
          <w:szCs w:val="24"/>
        </w:rPr>
        <w:t>limits our capacity to develop solutions to particular social problems, and at worst, tends to further marginalize minority views in the wider social sphere.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On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pragmatist account, it is neither necessary, nor desirable, that we converge on one answer with respect to substantive competing conceptions of the good. Her view takes into account that value pluralism is a social fact with the </w:t>
      </w:r>
      <w:r w:rsidR="00204127" w:rsidRPr="00461D74">
        <w:rPr>
          <w:rFonts w:ascii="Garamond" w:hAnsi="Garamond" w:cstheme="minorHAnsi"/>
          <w:sz w:val="24"/>
          <w:szCs w:val="24"/>
        </w:rPr>
        <w:t xml:space="preserve">following </w:t>
      </w:r>
      <w:r w:rsidRPr="00461D74">
        <w:rPr>
          <w:rFonts w:ascii="Garamond" w:hAnsi="Garamond" w:cstheme="minorHAnsi"/>
          <w:sz w:val="24"/>
          <w:szCs w:val="24"/>
        </w:rPr>
        <w:t>two caveats</w:t>
      </w:r>
      <w:r w:rsidR="00204127" w:rsidRPr="00461D74">
        <w:rPr>
          <w:rFonts w:ascii="Garamond" w:hAnsi="Garamond" w:cstheme="minorHAnsi"/>
          <w:sz w:val="24"/>
          <w:szCs w:val="24"/>
        </w:rPr>
        <w:t>:</w:t>
      </w:r>
      <w:r w:rsidRPr="00461D74">
        <w:rPr>
          <w:rFonts w:ascii="Garamond" w:hAnsi="Garamond" w:cstheme="minorHAnsi"/>
          <w:sz w:val="24"/>
          <w:szCs w:val="24"/>
        </w:rPr>
        <w:t xml:space="preserve"> that (</w:t>
      </w:r>
      <w:proofErr w:type="spellStart"/>
      <w:r w:rsidRPr="00461D74">
        <w:rPr>
          <w:rFonts w:ascii="Garamond" w:hAnsi="Garamond" w:cstheme="minorHAnsi"/>
          <w:sz w:val="24"/>
          <w:szCs w:val="24"/>
        </w:rPr>
        <w:t>i</w:t>
      </w:r>
      <w:proofErr w:type="spellEnd"/>
      <w:r w:rsidRPr="00461D74">
        <w:rPr>
          <w:rFonts w:ascii="Garamond" w:hAnsi="Garamond" w:cstheme="minorHAnsi"/>
          <w:sz w:val="24"/>
          <w:szCs w:val="24"/>
        </w:rPr>
        <w:t>) social facts are empirical and so like all empirical facts are revisable; and (ii) we needn’t deny that some judgments are more ‘truth-apt’ than others.</w:t>
      </w:r>
      <w:r w:rsidRPr="00461D74">
        <w:rPr>
          <w:rStyle w:val="FootnoteReference"/>
          <w:rFonts w:ascii="Garamond" w:hAnsi="Garamond" w:cstheme="minorHAnsi"/>
          <w:sz w:val="24"/>
          <w:szCs w:val="24"/>
        </w:rPr>
        <w:footnoteReference w:id="402"/>
      </w:r>
      <w:r w:rsidRPr="00461D74">
        <w:rPr>
          <w:rFonts w:ascii="Garamond" w:hAnsi="Garamond" w:cstheme="minorHAnsi"/>
          <w:sz w:val="24"/>
          <w:szCs w:val="24"/>
        </w:rPr>
        <w:t xml:space="preserve"> While we can sometimes find the right answers to particular problems, it doesn’t follow from this that all, or even most, protracted differences are reconciled.</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this sense, the pragmatic account offered by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is allied with </w:t>
      </w:r>
      <w:proofErr w:type="spellStart"/>
      <w:r w:rsidRPr="00461D74">
        <w:rPr>
          <w:rFonts w:ascii="Garamond" w:hAnsi="Garamond" w:cstheme="minorHAnsi"/>
          <w:sz w:val="24"/>
          <w:szCs w:val="24"/>
        </w:rPr>
        <w:t>communitarianism</w:t>
      </w:r>
      <w:proofErr w:type="spellEnd"/>
      <w:r w:rsidR="009B06C0" w:rsidRPr="00461D74">
        <w:rPr>
          <w:rFonts w:ascii="Garamond" w:hAnsi="Garamond" w:cstheme="minorHAnsi"/>
          <w:sz w:val="24"/>
          <w:szCs w:val="24"/>
        </w:rPr>
        <w:t>,</w:t>
      </w:r>
      <w:r w:rsidRPr="00461D74">
        <w:rPr>
          <w:rFonts w:ascii="Garamond" w:hAnsi="Garamond" w:cstheme="minorHAnsi"/>
          <w:sz w:val="24"/>
          <w:szCs w:val="24"/>
        </w:rPr>
        <w:t xml:space="preserve"> </w:t>
      </w:r>
      <w:r w:rsidR="00DC234A" w:rsidRPr="00461D74">
        <w:rPr>
          <w:rFonts w:ascii="Garamond" w:hAnsi="Garamond" w:cstheme="minorHAnsi"/>
          <w:sz w:val="24"/>
          <w:szCs w:val="24"/>
        </w:rPr>
        <w:t>if</w:t>
      </w:r>
      <w:r w:rsidRPr="00461D74">
        <w:rPr>
          <w:rFonts w:ascii="Garamond" w:hAnsi="Garamond" w:cstheme="minorHAnsi"/>
          <w:sz w:val="24"/>
          <w:szCs w:val="24"/>
        </w:rPr>
        <w:t xml:space="preserve"> we accept that many questions about right or wrong are better answered by those </w:t>
      </w:r>
      <w:r w:rsidR="00DC234A" w:rsidRPr="00461D74">
        <w:rPr>
          <w:rFonts w:ascii="Garamond" w:hAnsi="Garamond" w:cstheme="minorHAnsi"/>
          <w:sz w:val="24"/>
          <w:szCs w:val="24"/>
        </w:rPr>
        <w:t xml:space="preserve">who are active </w:t>
      </w:r>
      <w:r w:rsidRPr="00461D74">
        <w:rPr>
          <w:rFonts w:ascii="Garamond" w:hAnsi="Garamond" w:cstheme="minorHAnsi"/>
          <w:sz w:val="24"/>
          <w:szCs w:val="24"/>
        </w:rPr>
        <w:t>participa</w:t>
      </w:r>
      <w:r w:rsidR="00DC234A" w:rsidRPr="00461D74">
        <w:rPr>
          <w:rFonts w:ascii="Garamond" w:hAnsi="Garamond" w:cstheme="minorHAnsi"/>
          <w:sz w:val="24"/>
          <w:szCs w:val="24"/>
        </w:rPr>
        <w:t>n</w:t>
      </w:r>
      <w:r w:rsidRPr="00461D74">
        <w:rPr>
          <w:rFonts w:ascii="Garamond" w:hAnsi="Garamond" w:cstheme="minorHAnsi"/>
          <w:sz w:val="24"/>
          <w:szCs w:val="24"/>
        </w:rPr>
        <w:t>t</w:t>
      </w:r>
      <w:r w:rsidR="00DC234A" w:rsidRPr="00461D74">
        <w:rPr>
          <w:rFonts w:ascii="Garamond" w:hAnsi="Garamond" w:cstheme="minorHAnsi"/>
          <w:sz w:val="24"/>
          <w:szCs w:val="24"/>
        </w:rPr>
        <w:t xml:space="preserve">s </w:t>
      </w:r>
      <w:r w:rsidRPr="00461D74">
        <w:rPr>
          <w:rFonts w:ascii="Garamond" w:hAnsi="Garamond" w:cstheme="minorHAnsi"/>
          <w:sz w:val="24"/>
          <w:szCs w:val="24"/>
        </w:rPr>
        <w:t xml:space="preserve">in </w:t>
      </w:r>
      <w:r w:rsidR="00DC234A" w:rsidRPr="00461D74">
        <w:rPr>
          <w:rFonts w:ascii="Garamond" w:hAnsi="Garamond" w:cstheme="minorHAnsi"/>
          <w:sz w:val="24"/>
          <w:szCs w:val="24"/>
        </w:rPr>
        <w:t xml:space="preserve">a </w:t>
      </w:r>
      <w:r w:rsidRPr="00461D74">
        <w:rPr>
          <w:rFonts w:ascii="Garamond" w:hAnsi="Garamond" w:cstheme="minorHAnsi"/>
          <w:sz w:val="24"/>
          <w:szCs w:val="24"/>
        </w:rPr>
        <w:t xml:space="preserve">particular way of life. Yet, against the communitarian, the pragmatist will </w:t>
      </w:r>
      <w:r w:rsidR="004F40EC">
        <w:rPr>
          <w:rFonts w:ascii="Garamond" w:hAnsi="Garamond" w:cstheme="minorHAnsi"/>
          <w:sz w:val="24"/>
          <w:szCs w:val="24"/>
        </w:rPr>
        <w:t>argue</w:t>
      </w:r>
      <w:r w:rsidR="004F40EC" w:rsidRPr="00461D74">
        <w:rPr>
          <w:rFonts w:ascii="Garamond" w:hAnsi="Garamond" w:cstheme="minorHAnsi"/>
          <w:sz w:val="24"/>
          <w:szCs w:val="24"/>
        </w:rPr>
        <w:t xml:space="preserve"> </w:t>
      </w:r>
      <w:r w:rsidRPr="00461D74">
        <w:rPr>
          <w:rFonts w:ascii="Garamond" w:hAnsi="Garamond" w:cstheme="minorHAnsi"/>
          <w:sz w:val="24"/>
          <w:szCs w:val="24"/>
        </w:rPr>
        <w:t xml:space="preserve">that the participants within some tradition </w:t>
      </w:r>
      <w:r w:rsidR="004F40EC">
        <w:rPr>
          <w:rFonts w:ascii="Garamond" w:hAnsi="Garamond" w:cstheme="minorHAnsi"/>
          <w:sz w:val="24"/>
          <w:szCs w:val="24"/>
        </w:rPr>
        <w:t>do</w:t>
      </w:r>
      <w:r w:rsidR="004F40EC" w:rsidRPr="00461D74">
        <w:rPr>
          <w:rFonts w:ascii="Garamond" w:hAnsi="Garamond" w:cstheme="minorHAnsi"/>
          <w:sz w:val="24"/>
          <w:szCs w:val="24"/>
        </w:rPr>
        <w:t xml:space="preserve"> </w:t>
      </w:r>
      <w:r w:rsidRPr="00461D74">
        <w:rPr>
          <w:rFonts w:ascii="Garamond" w:hAnsi="Garamond" w:cstheme="minorHAnsi"/>
          <w:sz w:val="24"/>
          <w:szCs w:val="24"/>
        </w:rPr>
        <w:t xml:space="preserve">not </w:t>
      </w:r>
      <w:r w:rsidR="004F40EC">
        <w:rPr>
          <w:rFonts w:ascii="Garamond" w:hAnsi="Garamond" w:cstheme="minorHAnsi"/>
          <w:sz w:val="24"/>
          <w:szCs w:val="24"/>
        </w:rPr>
        <w:t>necessarily hold</w:t>
      </w:r>
      <w:r w:rsidR="004F40EC" w:rsidRPr="00461D74">
        <w:rPr>
          <w:rFonts w:ascii="Garamond" w:hAnsi="Garamond" w:cstheme="minorHAnsi"/>
          <w:sz w:val="24"/>
          <w:szCs w:val="24"/>
        </w:rPr>
        <w:t xml:space="preserve"> </w:t>
      </w:r>
      <w:r w:rsidRPr="00461D74">
        <w:rPr>
          <w:rFonts w:ascii="Garamond" w:hAnsi="Garamond" w:cstheme="minorHAnsi"/>
          <w:sz w:val="24"/>
          <w:szCs w:val="24"/>
        </w:rPr>
        <w:t xml:space="preserve">a monopoly </w:t>
      </w:r>
      <w:r w:rsidR="00DC234A" w:rsidRPr="00461D74">
        <w:rPr>
          <w:rFonts w:ascii="Garamond" w:hAnsi="Garamond" w:cstheme="minorHAnsi"/>
          <w:sz w:val="24"/>
          <w:szCs w:val="24"/>
        </w:rPr>
        <w:t xml:space="preserve">with respect </w:t>
      </w:r>
      <w:r w:rsidRPr="00461D74">
        <w:rPr>
          <w:rFonts w:ascii="Garamond" w:hAnsi="Garamond" w:cstheme="minorHAnsi"/>
          <w:sz w:val="24"/>
          <w:szCs w:val="24"/>
        </w:rPr>
        <w:t xml:space="preserve">to the truth-value of all relevant experience </w:t>
      </w:r>
      <w:r w:rsidR="004F40EC">
        <w:rPr>
          <w:rFonts w:ascii="Garamond" w:hAnsi="Garamond" w:cstheme="minorHAnsi"/>
          <w:sz w:val="24"/>
          <w:szCs w:val="24"/>
        </w:rPr>
        <w:t xml:space="preserve">afforded </w:t>
      </w:r>
      <w:r w:rsidR="000846DA">
        <w:rPr>
          <w:rFonts w:ascii="Garamond" w:hAnsi="Garamond" w:cstheme="minorHAnsi"/>
          <w:sz w:val="24"/>
          <w:szCs w:val="24"/>
        </w:rPr>
        <w:t>by</w:t>
      </w:r>
      <w:r w:rsidR="000846DA" w:rsidRPr="00461D74">
        <w:rPr>
          <w:rFonts w:ascii="Garamond" w:hAnsi="Garamond" w:cstheme="minorHAnsi"/>
          <w:sz w:val="24"/>
          <w:szCs w:val="24"/>
        </w:rPr>
        <w:t xml:space="preserve"> </w:t>
      </w:r>
      <w:r w:rsidRPr="00461D74">
        <w:rPr>
          <w:rFonts w:ascii="Garamond" w:hAnsi="Garamond" w:cstheme="minorHAnsi"/>
          <w:sz w:val="24"/>
          <w:szCs w:val="24"/>
        </w:rPr>
        <w:t xml:space="preserve">that tradition. This means </w:t>
      </w:r>
      <w:r w:rsidR="00DC234A" w:rsidRPr="00461D74">
        <w:rPr>
          <w:rFonts w:ascii="Garamond" w:hAnsi="Garamond" w:cstheme="minorHAnsi"/>
          <w:sz w:val="24"/>
          <w:szCs w:val="24"/>
        </w:rPr>
        <w:t xml:space="preserve">that </w:t>
      </w:r>
      <w:r w:rsidRPr="00461D74">
        <w:rPr>
          <w:rFonts w:ascii="Garamond" w:hAnsi="Garamond" w:cstheme="minorHAnsi"/>
          <w:sz w:val="24"/>
          <w:szCs w:val="24"/>
        </w:rPr>
        <w:t xml:space="preserve">it is likely that different traditions share </w:t>
      </w:r>
      <w:r w:rsidR="00F77412" w:rsidRPr="00461D74">
        <w:rPr>
          <w:rFonts w:ascii="Garamond" w:hAnsi="Garamond" w:cstheme="minorHAnsi"/>
          <w:sz w:val="24"/>
          <w:szCs w:val="24"/>
        </w:rPr>
        <w:t xml:space="preserve">at least some </w:t>
      </w:r>
      <w:r w:rsidR="00DC234A" w:rsidRPr="00461D74">
        <w:rPr>
          <w:rFonts w:ascii="Garamond" w:hAnsi="Garamond" w:cstheme="minorHAnsi"/>
          <w:sz w:val="24"/>
          <w:szCs w:val="24"/>
        </w:rPr>
        <w:t xml:space="preserve">common </w:t>
      </w:r>
      <w:r w:rsidRPr="00461D74">
        <w:rPr>
          <w:rFonts w:ascii="Garamond" w:hAnsi="Garamond" w:cstheme="minorHAnsi"/>
          <w:sz w:val="24"/>
          <w:szCs w:val="24"/>
        </w:rPr>
        <w:t xml:space="preserve">elements with respect to their </w:t>
      </w:r>
      <w:r w:rsidRPr="00461D74">
        <w:rPr>
          <w:rFonts w:ascii="Garamond" w:hAnsi="Garamond" w:cstheme="minorHAnsi"/>
          <w:sz w:val="24"/>
          <w:szCs w:val="24"/>
        </w:rPr>
        <w:lastRenderedPageBreak/>
        <w:t>social life in way</w:t>
      </w:r>
      <w:r w:rsidR="00DC234A" w:rsidRPr="00461D74">
        <w:rPr>
          <w:rFonts w:ascii="Garamond" w:hAnsi="Garamond" w:cstheme="minorHAnsi"/>
          <w:sz w:val="24"/>
          <w:szCs w:val="24"/>
        </w:rPr>
        <w:t>s</w:t>
      </w:r>
      <w:r w:rsidRPr="00461D74">
        <w:rPr>
          <w:rFonts w:ascii="Garamond" w:hAnsi="Garamond" w:cstheme="minorHAnsi"/>
          <w:sz w:val="24"/>
          <w:szCs w:val="24"/>
        </w:rPr>
        <w:t xml:space="preserve"> that </w:t>
      </w:r>
      <w:r w:rsidR="00DC234A" w:rsidRPr="00461D74">
        <w:rPr>
          <w:rFonts w:ascii="Garamond" w:hAnsi="Garamond" w:cstheme="minorHAnsi"/>
          <w:sz w:val="24"/>
          <w:szCs w:val="24"/>
        </w:rPr>
        <w:t xml:space="preserve">potentially allows the adherents of one tradition to </w:t>
      </w:r>
      <w:r w:rsidRPr="00461D74">
        <w:rPr>
          <w:rFonts w:ascii="Garamond" w:hAnsi="Garamond" w:cstheme="minorHAnsi"/>
          <w:sz w:val="24"/>
          <w:szCs w:val="24"/>
        </w:rPr>
        <w:t xml:space="preserve">speak </w:t>
      </w:r>
      <w:r w:rsidR="00DC234A" w:rsidRPr="00461D74">
        <w:rPr>
          <w:rFonts w:ascii="Garamond" w:hAnsi="Garamond" w:cstheme="minorHAnsi"/>
          <w:sz w:val="24"/>
          <w:szCs w:val="24"/>
        </w:rPr>
        <w:t xml:space="preserve">intelligibly in regards to </w:t>
      </w:r>
      <w:r w:rsidRPr="00461D74">
        <w:rPr>
          <w:rFonts w:ascii="Garamond" w:hAnsi="Garamond" w:cstheme="minorHAnsi"/>
          <w:sz w:val="24"/>
          <w:szCs w:val="24"/>
        </w:rPr>
        <w:t xml:space="preserve">the truth-value of claims </w:t>
      </w:r>
      <w:r w:rsidR="00F77412" w:rsidRPr="00461D74">
        <w:rPr>
          <w:rFonts w:ascii="Garamond" w:hAnsi="Garamond" w:cstheme="minorHAnsi"/>
          <w:sz w:val="24"/>
          <w:szCs w:val="24"/>
        </w:rPr>
        <w:t xml:space="preserve">presented </w:t>
      </w:r>
      <w:r w:rsidRPr="00461D74">
        <w:rPr>
          <w:rFonts w:ascii="Garamond" w:hAnsi="Garamond" w:cstheme="minorHAnsi"/>
          <w:sz w:val="24"/>
          <w:szCs w:val="24"/>
        </w:rPr>
        <w:t xml:space="preserve">in </w:t>
      </w:r>
      <w:r w:rsidR="00F77412" w:rsidRPr="00461D74">
        <w:rPr>
          <w:rFonts w:ascii="Garamond" w:hAnsi="Garamond" w:cstheme="minorHAnsi"/>
          <w:sz w:val="24"/>
          <w:szCs w:val="24"/>
        </w:rPr>
        <w:t>an</w:t>
      </w:r>
      <w:r w:rsidRPr="00461D74">
        <w:rPr>
          <w:rFonts w:ascii="Garamond" w:hAnsi="Garamond" w:cstheme="minorHAnsi"/>
          <w:sz w:val="24"/>
          <w:szCs w:val="24"/>
        </w:rPr>
        <w:t>other tradition. Second, because communities and traditions are dynamic entities whose boundaries are always in flux, it becomes very difficult to draw sharp divisions between culture</w:t>
      </w:r>
      <w:r w:rsidR="00DC234A" w:rsidRPr="00461D74">
        <w:rPr>
          <w:rFonts w:ascii="Garamond" w:hAnsi="Garamond" w:cstheme="minorHAnsi"/>
          <w:sz w:val="24"/>
          <w:szCs w:val="24"/>
        </w:rPr>
        <w:t>s</w:t>
      </w:r>
      <w:r w:rsidRPr="00461D74">
        <w:rPr>
          <w:rFonts w:ascii="Garamond" w:hAnsi="Garamond" w:cstheme="minorHAnsi"/>
          <w:sz w:val="24"/>
          <w:szCs w:val="24"/>
        </w:rPr>
        <w:t xml:space="preserve">, communities, or </w:t>
      </w:r>
      <w:r w:rsidR="00DC234A" w:rsidRPr="00461D74">
        <w:rPr>
          <w:rFonts w:ascii="Garamond" w:hAnsi="Garamond" w:cstheme="minorHAnsi"/>
          <w:sz w:val="24"/>
          <w:szCs w:val="24"/>
        </w:rPr>
        <w:t xml:space="preserve">even, </w:t>
      </w:r>
      <w:r w:rsidRPr="00461D74">
        <w:rPr>
          <w:rFonts w:ascii="Garamond" w:hAnsi="Garamond" w:cstheme="minorHAnsi"/>
          <w:sz w:val="24"/>
          <w:szCs w:val="24"/>
        </w:rPr>
        <w:t>differ</w:t>
      </w:r>
      <w:r w:rsidR="00DC234A" w:rsidRPr="00461D74">
        <w:rPr>
          <w:rFonts w:ascii="Garamond" w:hAnsi="Garamond" w:cstheme="minorHAnsi"/>
          <w:sz w:val="24"/>
          <w:szCs w:val="24"/>
        </w:rPr>
        <w:t xml:space="preserve">ent </w:t>
      </w:r>
      <w:r w:rsidRPr="00461D74">
        <w:rPr>
          <w:rFonts w:ascii="Garamond" w:hAnsi="Garamond" w:cstheme="minorHAnsi"/>
          <w:sz w:val="24"/>
          <w:szCs w:val="24"/>
        </w:rPr>
        <w:t>conceptions of the good.</w:t>
      </w:r>
      <w:r w:rsidRPr="00461D74">
        <w:rPr>
          <w:rStyle w:val="FootnoteReference"/>
          <w:rFonts w:ascii="Garamond" w:hAnsi="Garamond" w:cstheme="minorHAnsi"/>
          <w:sz w:val="24"/>
          <w:szCs w:val="24"/>
        </w:rPr>
        <w:footnoteReference w:id="403"/>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w:t>
      </w:r>
      <w:r w:rsidR="00DC234A" w:rsidRPr="00461D74">
        <w:rPr>
          <w:rFonts w:ascii="Garamond" w:hAnsi="Garamond" w:cstheme="minorHAnsi"/>
          <w:sz w:val="24"/>
          <w:szCs w:val="24"/>
        </w:rPr>
        <w:t xml:space="preserve">argues </w:t>
      </w:r>
      <w:r w:rsidRPr="00461D74">
        <w:rPr>
          <w:rFonts w:ascii="Garamond" w:hAnsi="Garamond" w:cstheme="minorHAnsi"/>
          <w:sz w:val="24"/>
          <w:szCs w:val="24"/>
        </w:rPr>
        <w:t>that the upshot of the pragmatist position is that:</w:t>
      </w:r>
    </w:p>
    <w:p w:rsidR="00665157" w:rsidRDefault="00016049">
      <w:pPr>
        <w:spacing w:line="360" w:lineRule="auto"/>
        <w:ind w:left="1440"/>
        <w:jc w:val="both"/>
        <w:rPr>
          <w:rFonts w:ascii="Garamond" w:hAnsi="Garamond" w:cstheme="minorHAnsi"/>
        </w:rPr>
      </w:pPr>
      <w:r w:rsidRPr="00461D74">
        <w:rPr>
          <w:rFonts w:ascii="Garamond" w:hAnsi="Garamond" w:cstheme="minorHAnsi"/>
        </w:rPr>
        <w:t>“</w:t>
      </w:r>
      <w:proofErr w:type="gramStart"/>
      <w:r w:rsidRPr="00461D74">
        <w:rPr>
          <w:rFonts w:ascii="Garamond" w:hAnsi="Garamond" w:cstheme="minorHAnsi"/>
        </w:rPr>
        <w:t>in</w:t>
      </w:r>
      <w:proofErr w:type="gramEnd"/>
      <w:r w:rsidRPr="00461D74">
        <w:rPr>
          <w:rFonts w:ascii="Garamond" w:hAnsi="Garamond" w:cstheme="minorHAnsi"/>
        </w:rPr>
        <w:t xml:space="preserve"> advance of the specific debates with their own set of historical, political, and cultural circumstances, that we must promote the flourishing minority ways of life. But we must not make the mistake, in commending difference, of thinking that any practice is good just because it belongs to a community. Well established practices are not immune to internal criticism and they are not immune to critical reasons given by outsiders.”</w:t>
      </w:r>
      <w:r w:rsidRPr="00461D74">
        <w:rPr>
          <w:rStyle w:val="FootnoteReference"/>
          <w:rFonts w:ascii="Garamond" w:hAnsi="Garamond" w:cstheme="minorHAnsi"/>
        </w:rPr>
        <w:footnoteReference w:id="404"/>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this way, the pragmatist retains </w:t>
      </w:r>
      <w:r w:rsidR="003F13AF" w:rsidRPr="00461D74">
        <w:rPr>
          <w:rFonts w:ascii="Garamond" w:hAnsi="Garamond" w:cstheme="minorHAnsi"/>
          <w:sz w:val="24"/>
          <w:szCs w:val="24"/>
        </w:rPr>
        <w:t>the</w:t>
      </w:r>
      <w:r w:rsidRPr="00461D74">
        <w:rPr>
          <w:rFonts w:ascii="Garamond" w:hAnsi="Garamond" w:cstheme="minorHAnsi"/>
          <w:sz w:val="24"/>
          <w:szCs w:val="24"/>
        </w:rPr>
        <w:t xml:space="preserve"> liberal theorist’s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outlook, but this </w:t>
      </w:r>
      <w:r w:rsidR="003F13AF" w:rsidRPr="00461D74">
        <w:rPr>
          <w:rFonts w:ascii="Garamond" w:hAnsi="Garamond" w:cstheme="minorHAnsi"/>
          <w:sz w:val="24"/>
          <w:szCs w:val="24"/>
        </w:rPr>
        <w:t xml:space="preserve">form of </w:t>
      </w:r>
      <w:proofErr w:type="spellStart"/>
      <w:r w:rsidRPr="00461D74">
        <w:rPr>
          <w:rFonts w:ascii="Garamond" w:hAnsi="Garamond" w:cstheme="minorHAnsi"/>
          <w:sz w:val="24"/>
          <w:szCs w:val="24"/>
        </w:rPr>
        <w:t>proceduralism</w:t>
      </w:r>
      <w:proofErr w:type="spellEnd"/>
      <w:r w:rsidRPr="00461D74">
        <w:rPr>
          <w:rFonts w:ascii="Garamond" w:hAnsi="Garamond" w:cstheme="minorHAnsi"/>
          <w:sz w:val="24"/>
          <w:szCs w:val="24"/>
        </w:rPr>
        <w:t xml:space="preserve"> only admits that </w:t>
      </w:r>
      <w:r w:rsidR="003F13AF" w:rsidRPr="00461D74">
        <w:rPr>
          <w:rFonts w:ascii="Garamond" w:hAnsi="Garamond" w:cstheme="minorHAnsi"/>
          <w:sz w:val="24"/>
          <w:szCs w:val="24"/>
        </w:rPr>
        <w:t xml:space="preserve">our </w:t>
      </w:r>
      <w:r w:rsidRPr="00461D74">
        <w:rPr>
          <w:rFonts w:ascii="Garamond" w:hAnsi="Garamond" w:cstheme="minorHAnsi"/>
          <w:sz w:val="24"/>
          <w:szCs w:val="24"/>
        </w:rPr>
        <w:t>procedures are formulations that are currently justified</w:t>
      </w:r>
      <w:r w:rsidR="003F13AF" w:rsidRPr="00461D74">
        <w:rPr>
          <w:rFonts w:ascii="Garamond" w:hAnsi="Garamond" w:cstheme="minorHAnsi"/>
          <w:sz w:val="24"/>
          <w:szCs w:val="24"/>
        </w:rPr>
        <w:t xml:space="preserve">; and that </w:t>
      </w:r>
      <w:r w:rsidRPr="00461D74">
        <w:rPr>
          <w:rFonts w:ascii="Garamond" w:hAnsi="Garamond" w:cstheme="minorHAnsi"/>
          <w:sz w:val="24"/>
          <w:szCs w:val="24"/>
        </w:rPr>
        <w:t>they ultimately derive their strength in</w:t>
      </w:r>
      <w:r w:rsidR="003F13AF" w:rsidRPr="00461D74">
        <w:rPr>
          <w:rFonts w:ascii="Garamond" w:hAnsi="Garamond" w:cstheme="minorHAnsi"/>
          <w:sz w:val="24"/>
          <w:szCs w:val="24"/>
        </w:rPr>
        <w:t>sofar as they</w:t>
      </w:r>
      <w:r w:rsidRPr="00461D74">
        <w:rPr>
          <w:rFonts w:ascii="Garamond" w:hAnsi="Garamond" w:cstheme="minorHAnsi"/>
          <w:sz w:val="24"/>
          <w:szCs w:val="24"/>
        </w:rPr>
        <w:t xml:space="preserve"> help</w:t>
      </w:r>
      <w:r w:rsidR="003F13AF" w:rsidRPr="00461D74">
        <w:rPr>
          <w:rFonts w:ascii="Garamond" w:hAnsi="Garamond" w:cstheme="minorHAnsi"/>
          <w:sz w:val="24"/>
          <w:szCs w:val="24"/>
        </w:rPr>
        <w:t xml:space="preserve"> in advancing</w:t>
      </w:r>
      <w:r w:rsidRPr="00461D74">
        <w:rPr>
          <w:rFonts w:ascii="Garamond" w:hAnsi="Garamond" w:cstheme="minorHAnsi"/>
          <w:sz w:val="24"/>
          <w:szCs w:val="24"/>
        </w:rPr>
        <w:t xml:space="preserve"> conceptions of the good that engender social progress</w:t>
      </w:r>
      <w:r w:rsidR="003F13AF" w:rsidRPr="00461D74">
        <w:rPr>
          <w:rFonts w:ascii="Garamond" w:hAnsi="Garamond" w:cstheme="minorHAnsi"/>
          <w:sz w:val="24"/>
          <w:szCs w:val="24"/>
        </w:rPr>
        <w:t xml:space="preserve"> and </w:t>
      </w:r>
      <w:r w:rsidR="00D43EFD" w:rsidRPr="00461D74">
        <w:rPr>
          <w:rFonts w:ascii="Garamond" w:hAnsi="Garamond" w:cstheme="minorHAnsi"/>
          <w:sz w:val="24"/>
          <w:szCs w:val="24"/>
        </w:rPr>
        <w:t>human flourishing</w:t>
      </w:r>
      <w:r w:rsidRPr="00461D74">
        <w:rPr>
          <w:rFonts w:ascii="Garamond" w:hAnsi="Garamond" w:cstheme="minorHAnsi"/>
          <w:sz w:val="24"/>
          <w:szCs w:val="24"/>
        </w:rPr>
        <w:t>. Thus, the procedures that we develop to arrange our democratic politics must be subjected to empirical forces</w:t>
      </w:r>
      <w:r w:rsidR="003F13AF" w:rsidRPr="00461D74">
        <w:rPr>
          <w:rFonts w:ascii="Garamond" w:hAnsi="Garamond" w:cstheme="minorHAnsi"/>
          <w:sz w:val="24"/>
          <w:szCs w:val="24"/>
        </w:rPr>
        <w:t xml:space="preserve"> which</w:t>
      </w:r>
      <w:r w:rsidRPr="00461D74">
        <w:rPr>
          <w:rFonts w:ascii="Garamond" w:hAnsi="Garamond" w:cstheme="minorHAnsi"/>
          <w:sz w:val="24"/>
          <w:szCs w:val="24"/>
        </w:rPr>
        <w:t xml:space="preserve"> justif</w:t>
      </w:r>
      <w:r w:rsidR="009B06C0" w:rsidRPr="00461D74">
        <w:rPr>
          <w:rFonts w:ascii="Garamond" w:hAnsi="Garamond" w:cstheme="minorHAnsi"/>
          <w:sz w:val="24"/>
          <w:szCs w:val="24"/>
        </w:rPr>
        <w:t>y</w:t>
      </w:r>
      <w:r w:rsidR="003F13AF" w:rsidRPr="00461D74">
        <w:rPr>
          <w:rFonts w:ascii="Garamond" w:hAnsi="Garamond" w:cstheme="minorHAnsi"/>
          <w:sz w:val="24"/>
          <w:szCs w:val="24"/>
        </w:rPr>
        <w:t>,</w:t>
      </w:r>
      <w:r w:rsidRPr="00461D74">
        <w:rPr>
          <w:rFonts w:ascii="Garamond" w:hAnsi="Garamond" w:cstheme="minorHAnsi"/>
          <w:sz w:val="24"/>
          <w:szCs w:val="24"/>
        </w:rPr>
        <w:t xml:space="preserve"> or falsif</w:t>
      </w:r>
      <w:r w:rsidR="009B06C0" w:rsidRPr="00461D74">
        <w:rPr>
          <w:rFonts w:ascii="Garamond" w:hAnsi="Garamond" w:cstheme="minorHAnsi"/>
          <w:sz w:val="24"/>
          <w:szCs w:val="24"/>
        </w:rPr>
        <w:t>y</w:t>
      </w:r>
      <w:r w:rsidR="003F13AF" w:rsidRPr="00461D74">
        <w:rPr>
          <w:rFonts w:ascii="Garamond" w:hAnsi="Garamond" w:cstheme="minorHAnsi"/>
          <w:sz w:val="24"/>
          <w:szCs w:val="24"/>
        </w:rPr>
        <w:t xml:space="preserve">, their continued (in)-adequacy </w:t>
      </w:r>
      <w:r w:rsidRPr="00461D74">
        <w:rPr>
          <w:rFonts w:ascii="Garamond" w:hAnsi="Garamond" w:cstheme="minorHAnsi"/>
          <w:sz w:val="24"/>
          <w:szCs w:val="24"/>
        </w:rPr>
        <w:t>in the long run.</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At this point I will briefly </w:t>
      </w:r>
      <w:r w:rsidR="003F13AF" w:rsidRPr="00461D74">
        <w:rPr>
          <w:rFonts w:ascii="Garamond" w:hAnsi="Garamond" w:cstheme="minorHAnsi"/>
          <w:sz w:val="24"/>
          <w:szCs w:val="24"/>
        </w:rPr>
        <w:t>re</w:t>
      </w:r>
      <w:r w:rsidRPr="00461D74">
        <w:rPr>
          <w:rFonts w:ascii="Garamond" w:hAnsi="Garamond" w:cstheme="minorHAnsi"/>
          <w:sz w:val="24"/>
          <w:szCs w:val="24"/>
        </w:rPr>
        <w:t>state the</w:t>
      </w:r>
      <w:r w:rsidR="003F13AF" w:rsidRPr="00461D74">
        <w:rPr>
          <w:rFonts w:ascii="Garamond" w:hAnsi="Garamond" w:cstheme="minorHAnsi"/>
          <w:sz w:val="24"/>
          <w:szCs w:val="24"/>
        </w:rPr>
        <w:t xml:space="preserve"> insights found in</w:t>
      </w:r>
      <w:r w:rsidRPr="00461D74">
        <w:rPr>
          <w:rFonts w:ascii="Garamond" w:hAnsi="Garamond" w:cstheme="minorHAnsi"/>
          <w:sz w:val="24"/>
          <w:szCs w:val="24"/>
        </w:rPr>
        <w:t xml:space="preserve"> </w:t>
      </w:r>
      <w:proofErr w:type="spellStart"/>
      <w:r w:rsidR="003F13AF" w:rsidRPr="00461D74">
        <w:rPr>
          <w:rFonts w:ascii="Garamond" w:hAnsi="Garamond" w:cstheme="minorHAnsi"/>
          <w:sz w:val="24"/>
          <w:szCs w:val="24"/>
        </w:rPr>
        <w:t>M</w:t>
      </w:r>
      <w:r w:rsidRPr="00461D74">
        <w:rPr>
          <w:rFonts w:ascii="Garamond" w:hAnsi="Garamond" w:cstheme="minorHAnsi"/>
          <w:sz w:val="24"/>
          <w:szCs w:val="24"/>
        </w:rPr>
        <w:t>isak’s</w:t>
      </w:r>
      <w:proofErr w:type="spellEnd"/>
      <w:r w:rsidRPr="00461D74">
        <w:rPr>
          <w:rFonts w:ascii="Garamond" w:hAnsi="Garamond" w:cstheme="minorHAnsi"/>
          <w:sz w:val="24"/>
          <w:szCs w:val="24"/>
        </w:rPr>
        <w:t xml:space="preserve"> account. We observe</w:t>
      </w:r>
      <w:r w:rsidR="00E807E7" w:rsidRPr="00461D74">
        <w:rPr>
          <w:rFonts w:ascii="Garamond" w:hAnsi="Garamond" w:cstheme="minorHAnsi"/>
          <w:sz w:val="24"/>
          <w:szCs w:val="24"/>
        </w:rPr>
        <w:t>d</w:t>
      </w:r>
      <w:r w:rsidRPr="00461D74">
        <w:rPr>
          <w:rFonts w:ascii="Garamond" w:hAnsi="Garamond" w:cstheme="minorHAnsi"/>
          <w:sz w:val="24"/>
          <w:szCs w:val="24"/>
        </w:rPr>
        <w:t xml:space="preserve"> that her account</w:t>
      </w:r>
      <w:r w:rsidR="00E807E7" w:rsidRPr="00461D74">
        <w:rPr>
          <w:rFonts w:ascii="Garamond" w:hAnsi="Garamond" w:cstheme="minorHAnsi"/>
          <w:sz w:val="24"/>
          <w:szCs w:val="24"/>
        </w:rPr>
        <w:t xml:space="preserve"> attempts</w:t>
      </w:r>
      <w:r w:rsidRPr="00461D74">
        <w:rPr>
          <w:rFonts w:ascii="Garamond" w:hAnsi="Garamond" w:cstheme="minorHAnsi"/>
          <w:sz w:val="24"/>
          <w:szCs w:val="24"/>
        </w:rPr>
        <w:t xml:space="preserve"> to nudge the standard liberal position characterised by Rawls towards a </w:t>
      </w:r>
      <w:r w:rsidR="00654364" w:rsidRPr="00461D74">
        <w:rPr>
          <w:rFonts w:ascii="Garamond" w:hAnsi="Garamond" w:cstheme="minorHAnsi"/>
          <w:i/>
          <w:sz w:val="24"/>
          <w:szCs w:val="24"/>
        </w:rPr>
        <w:t>via media</w:t>
      </w:r>
      <w:r w:rsidRPr="00461D74">
        <w:rPr>
          <w:rFonts w:ascii="Garamond" w:hAnsi="Garamond" w:cstheme="minorHAnsi"/>
          <w:sz w:val="24"/>
          <w:szCs w:val="24"/>
        </w:rPr>
        <w:t xml:space="preserve"> that balances </w:t>
      </w:r>
      <w:proofErr w:type="spellStart"/>
      <w:r w:rsidR="003D12B5" w:rsidRPr="00461D74">
        <w:rPr>
          <w:rFonts w:ascii="Garamond" w:hAnsi="Garamond" w:cstheme="minorHAnsi"/>
          <w:sz w:val="24"/>
          <w:szCs w:val="24"/>
        </w:rPr>
        <w:t>proceduralism</w:t>
      </w:r>
      <w:proofErr w:type="spellEnd"/>
      <w:r w:rsidRPr="00461D74">
        <w:rPr>
          <w:rFonts w:ascii="Garamond" w:hAnsi="Garamond" w:cstheme="minorHAnsi"/>
          <w:sz w:val="24"/>
          <w:szCs w:val="24"/>
        </w:rPr>
        <w:t xml:space="preserve"> </w:t>
      </w:r>
      <w:r w:rsidR="00E807E7" w:rsidRPr="00461D74">
        <w:rPr>
          <w:rFonts w:ascii="Garamond" w:hAnsi="Garamond" w:cstheme="minorHAnsi"/>
          <w:sz w:val="24"/>
          <w:szCs w:val="24"/>
        </w:rPr>
        <w:t xml:space="preserve">against more </w:t>
      </w:r>
      <w:r w:rsidR="003D12B5" w:rsidRPr="00461D74">
        <w:rPr>
          <w:rFonts w:ascii="Garamond" w:hAnsi="Garamond" w:cstheme="minorHAnsi"/>
          <w:sz w:val="24"/>
          <w:szCs w:val="24"/>
        </w:rPr>
        <w:t>substantive</w:t>
      </w:r>
      <w:r w:rsidR="00654364" w:rsidRPr="00461D74">
        <w:rPr>
          <w:rFonts w:ascii="Garamond" w:hAnsi="Garamond" w:cstheme="minorHAnsi"/>
          <w:i/>
          <w:sz w:val="24"/>
          <w:szCs w:val="24"/>
        </w:rPr>
        <w:t xml:space="preserve"> </w:t>
      </w:r>
      <w:r w:rsidRPr="00461D74">
        <w:rPr>
          <w:rFonts w:ascii="Garamond" w:hAnsi="Garamond" w:cstheme="minorHAnsi"/>
          <w:sz w:val="24"/>
          <w:szCs w:val="24"/>
        </w:rPr>
        <w:t xml:space="preserve">conceptions of the good. What is </w:t>
      </w:r>
      <w:r w:rsidR="00A702E7">
        <w:rPr>
          <w:rFonts w:ascii="Garamond" w:hAnsi="Garamond" w:cstheme="minorHAnsi"/>
          <w:sz w:val="24"/>
          <w:szCs w:val="24"/>
        </w:rPr>
        <w:t xml:space="preserve">also </w:t>
      </w:r>
      <w:r w:rsidR="00E807E7" w:rsidRPr="00461D74">
        <w:rPr>
          <w:rFonts w:ascii="Garamond" w:hAnsi="Garamond" w:cstheme="minorHAnsi"/>
          <w:sz w:val="24"/>
          <w:szCs w:val="24"/>
        </w:rPr>
        <w:t xml:space="preserve">relevant to our purposes </w:t>
      </w:r>
      <w:r w:rsidRPr="00461D74">
        <w:rPr>
          <w:rFonts w:ascii="Garamond" w:hAnsi="Garamond" w:cstheme="minorHAnsi"/>
          <w:sz w:val="24"/>
          <w:szCs w:val="24"/>
        </w:rPr>
        <w:t xml:space="preserve">is that </w:t>
      </w:r>
      <w:r w:rsidR="00A702E7">
        <w:rPr>
          <w:rFonts w:ascii="Garamond" w:hAnsi="Garamond" w:cstheme="minorHAnsi"/>
          <w:sz w:val="24"/>
          <w:szCs w:val="24"/>
        </w:rPr>
        <w:t>there is a</w:t>
      </w:r>
      <w:r w:rsidR="00E807E7" w:rsidRPr="00461D74">
        <w:rPr>
          <w:rFonts w:ascii="Garamond" w:hAnsi="Garamond" w:cstheme="minorHAnsi"/>
          <w:sz w:val="24"/>
          <w:szCs w:val="24"/>
        </w:rPr>
        <w:t xml:space="preserve"> level of </w:t>
      </w:r>
      <w:r w:rsidRPr="00461D74">
        <w:rPr>
          <w:rFonts w:ascii="Garamond" w:hAnsi="Garamond" w:cstheme="minorHAnsi"/>
          <w:sz w:val="24"/>
          <w:szCs w:val="24"/>
        </w:rPr>
        <w:t xml:space="preserve">agreement between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and MacIntyre, </w:t>
      </w:r>
      <w:r w:rsidR="00E807E7" w:rsidRPr="00461D74">
        <w:rPr>
          <w:rFonts w:ascii="Garamond" w:hAnsi="Garamond" w:cstheme="minorHAnsi"/>
          <w:sz w:val="24"/>
          <w:szCs w:val="24"/>
        </w:rPr>
        <w:t xml:space="preserve">in which both argue </w:t>
      </w:r>
      <w:r w:rsidRPr="00461D74">
        <w:rPr>
          <w:rFonts w:ascii="Garamond" w:hAnsi="Garamond" w:cstheme="minorHAnsi"/>
          <w:sz w:val="24"/>
          <w:szCs w:val="24"/>
        </w:rPr>
        <w:t xml:space="preserve">that the type of neutrality in the standard liberal </w:t>
      </w:r>
      <w:r w:rsidR="00E807E7" w:rsidRPr="00461D74">
        <w:rPr>
          <w:rFonts w:ascii="Garamond" w:hAnsi="Garamond" w:cstheme="minorHAnsi"/>
          <w:sz w:val="24"/>
          <w:szCs w:val="24"/>
        </w:rPr>
        <w:t xml:space="preserve">account </w:t>
      </w:r>
      <w:r w:rsidRPr="00461D74">
        <w:rPr>
          <w:rFonts w:ascii="Garamond" w:hAnsi="Garamond" w:cstheme="minorHAnsi"/>
          <w:sz w:val="24"/>
          <w:szCs w:val="24"/>
        </w:rPr>
        <w:t xml:space="preserve">is not only </w:t>
      </w:r>
      <w:r w:rsidRPr="00461D74">
        <w:rPr>
          <w:rFonts w:ascii="Garamond" w:hAnsi="Garamond" w:cstheme="minorHAnsi"/>
          <w:sz w:val="24"/>
          <w:szCs w:val="24"/>
        </w:rPr>
        <w:lastRenderedPageBreak/>
        <w:t xml:space="preserve">impossible, but that any position that feigns neutrality as a principle in politics is bound to be defective. Both </w:t>
      </w:r>
      <w:r w:rsidR="00E807E7" w:rsidRPr="00461D74">
        <w:rPr>
          <w:rFonts w:ascii="Garamond" w:hAnsi="Garamond" w:cstheme="minorHAnsi"/>
          <w:sz w:val="24"/>
          <w:szCs w:val="24"/>
        </w:rPr>
        <w:t xml:space="preserve">authors </w:t>
      </w:r>
      <w:r w:rsidRPr="00461D74">
        <w:rPr>
          <w:rFonts w:ascii="Garamond" w:hAnsi="Garamond" w:cstheme="minorHAnsi"/>
          <w:sz w:val="24"/>
          <w:szCs w:val="24"/>
        </w:rPr>
        <w:t xml:space="preserve">also agree that neutrality realized in this </w:t>
      </w:r>
      <w:r w:rsidR="00E807E7" w:rsidRPr="00461D74">
        <w:rPr>
          <w:rFonts w:ascii="Garamond" w:hAnsi="Garamond" w:cstheme="minorHAnsi"/>
          <w:sz w:val="24"/>
          <w:szCs w:val="24"/>
        </w:rPr>
        <w:t xml:space="preserve">sense, </w:t>
      </w:r>
      <w:r w:rsidRPr="00461D74">
        <w:rPr>
          <w:rFonts w:ascii="Garamond" w:hAnsi="Garamond" w:cstheme="minorHAnsi"/>
          <w:sz w:val="24"/>
          <w:szCs w:val="24"/>
        </w:rPr>
        <w:t>only amounts to a surreptitious introduction of a particular conception of the good under the guise of neutrality</w:t>
      </w:r>
      <w:r w:rsidR="00E807E7" w:rsidRPr="00461D74">
        <w:rPr>
          <w:rFonts w:ascii="Garamond" w:hAnsi="Garamond" w:cstheme="minorHAnsi"/>
          <w:sz w:val="24"/>
          <w:szCs w:val="24"/>
        </w:rPr>
        <w:t xml:space="preserve">, one that potentially rules out </w:t>
      </w:r>
      <w:r w:rsidRPr="00461D74">
        <w:rPr>
          <w:rFonts w:ascii="Garamond" w:hAnsi="Garamond" w:cstheme="minorHAnsi"/>
          <w:sz w:val="24"/>
          <w:szCs w:val="24"/>
        </w:rPr>
        <w:t xml:space="preserve">the genuine possibility for a democratic deliberative process </w:t>
      </w:r>
      <w:r w:rsidR="00E807E7" w:rsidRPr="00461D74">
        <w:rPr>
          <w:rFonts w:ascii="Garamond" w:hAnsi="Garamond" w:cstheme="minorHAnsi"/>
          <w:sz w:val="24"/>
          <w:szCs w:val="24"/>
        </w:rPr>
        <w:t xml:space="preserve">of considering, or rejecting, different </w:t>
      </w:r>
      <w:r w:rsidRPr="00461D74">
        <w:rPr>
          <w:rFonts w:ascii="Garamond" w:hAnsi="Garamond" w:cstheme="minorHAnsi"/>
          <w:sz w:val="24"/>
          <w:szCs w:val="24"/>
        </w:rPr>
        <w:t xml:space="preserve">conceptions of the good. </w:t>
      </w:r>
      <w:r w:rsidR="00E807E7" w:rsidRPr="00461D74">
        <w:rPr>
          <w:rFonts w:ascii="Garamond" w:hAnsi="Garamond" w:cstheme="minorHAnsi"/>
          <w:sz w:val="24"/>
          <w:szCs w:val="24"/>
        </w:rPr>
        <w:t xml:space="preserve">On the view I am proposing,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position stands as a </w:t>
      </w:r>
      <w:r w:rsidR="00E807E7" w:rsidRPr="00BB7994">
        <w:rPr>
          <w:rFonts w:ascii="Garamond" w:hAnsi="Garamond" w:cstheme="minorHAnsi"/>
          <w:i/>
          <w:sz w:val="24"/>
          <w:szCs w:val="24"/>
        </w:rPr>
        <w:t>via media</w:t>
      </w:r>
      <w:r w:rsidRPr="00461D74">
        <w:rPr>
          <w:rFonts w:ascii="Garamond" w:hAnsi="Garamond" w:cstheme="minorHAnsi"/>
          <w:sz w:val="24"/>
          <w:szCs w:val="24"/>
        </w:rPr>
        <w:t xml:space="preserve"> between that of MacIntyre and the liberal in an important </w:t>
      </w:r>
      <w:r w:rsidR="00E807E7" w:rsidRPr="00461D74">
        <w:rPr>
          <w:rFonts w:ascii="Garamond" w:hAnsi="Garamond" w:cstheme="minorHAnsi"/>
          <w:sz w:val="24"/>
          <w:szCs w:val="24"/>
        </w:rPr>
        <w:t xml:space="preserve">sense. While </w:t>
      </w:r>
      <w:proofErr w:type="spellStart"/>
      <w:r w:rsidR="00E807E7" w:rsidRPr="00461D74">
        <w:rPr>
          <w:rFonts w:ascii="Garamond" w:hAnsi="Garamond" w:cstheme="minorHAnsi"/>
          <w:sz w:val="24"/>
          <w:szCs w:val="24"/>
        </w:rPr>
        <w:t>Misak</w:t>
      </w:r>
      <w:proofErr w:type="spellEnd"/>
      <w:r w:rsidR="00E807E7" w:rsidRPr="00461D74">
        <w:rPr>
          <w:rFonts w:ascii="Garamond" w:hAnsi="Garamond" w:cstheme="minorHAnsi"/>
          <w:sz w:val="24"/>
          <w:szCs w:val="24"/>
        </w:rPr>
        <w:t xml:space="preserve"> appears to admit that</w:t>
      </w:r>
      <w:r w:rsidRPr="00461D74">
        <w:rPr>
          <w:rFonts w:ascii="Garamond" w:hAnsi="Garamond" w:cstheme="minorHAnsi"/>
          <w:sz w:val="24"/>
          <w:szCs w:val="24"/>
        </w:rPr>
        <w:t xml:space="preserve"> we can </w:t>
      </w:r>
      <w:r w:rsidR="00E807E7" w:rsidRPr="00461D74">
        <w:rPr>
          <w:rFonts w:ascii="Garamond" w:hAnsi="Garamond" w:cstheme="minorHAnsi"/>
          <w:sz w:val="24"/>
          <w:szCs w:val="24"/>
        </w:rPr>
        <w:t xml:space="preserve">indeed </w:t>
      </w:r>
      <w:r w:rsidRPr="00461D74">
        <w:rPr>
          <w:rFonts w:ascii="Garamond" w:hAnsi="Garamond" w:cstheme="minorHAnsi"/>
          <w:sz w:val="24"/>
          <w:szCs w:val="24"/>
        </w:rPr>
        <w:t xml:space="preserve">converge on a more or less stable </w:t>
      </w:r>
      <w:r w:rsidR="00E807E7" w:rsidRPr="00461D74">
        <w:rPr>
          <w:rFonts w:ascii="Garamond" w:hAnsi="Garamond" w:cstheme="minorHAnsi"/>
          <w:sz w:val="24"/>
          <w:szCs w:val="24"/>
        </w:rPr>
        <w:t xml:space="preserve">set of </w:t>
      </w:r>
      <w:r w:rsidRPr="00461D74">
        <w:rPr>
          <w:rFonts w:ascii="Garamond" w:hAnsi="Garamond" w:cstheme="minorHAnsi"/>
          <w:sz w:val="24"/>
          <w:szCs w:val="24"/>
        </w:rPr>
        <w:t>answer</w:t>
      </w:r>
      <w:r w:rsidR="00E807E7" w:rsidRPr="00461D74">
        <w:rPr>
          <w:rFonts w:ascii="Garamond" w:hAnsi="Garamond" w:cstheme="minorHAnsi"/>
          <w:sz w:val="24"/>
          <w:szCs w:val="24"/>
        </w:rPr>
        <w:t>s,</w:t>
      </w:r>
      <w:r w:rsidRPr="00461D74">
        <w:rPr>
          <w:rFonts w:ascii="Garamond" w:hAnsi="Garamond" w:cstheme="minorHAnsi"/>
          <w:sz w:val="24"/>
          <w:szCs w:val="24"/>
        </w:rPr>
        <w:t xml:space="preserve"> with respect to </w:t>
      </w:r>
      <w:r w:rsidR="00E807E7" w:rsidRPr="00461D74">
        <w:rPr>
          <w:rFonts w:ascii="Garamond" w:hAnsi="Garamond" w:cstheme="minorHAnsi"/>
          <w:sz w:val="24"/>
          <w:szCs w:val="24"/>
        </w:rPr>
        <w:t xml:space="preserve">at least some </w:t>
      </w:r>
      <w:r w:rsidRPr="00461D74">
        <w:rPr>
          <w:rFonts w:ascii="Garamond" w:hAnsi="Garamond" w:cstheme="minorHAnsi"/>
          <w:sz w:val="24"/>
          <w:szCs w:val="24"/>
        </w:rPr>
        <w:t>ethical-political questions, we need not converge on all answers. In fact, she realizes that</w:t>
      </w:r>
      <w:r w:rsidR="00F870BC" w:rsidRPr="00461D74">
        <w:rPr>
          <w:rFonts w:ascii="Garamond" w:hAnsi="Garamond" w:cstheme="minorHAnsi"/>
          <w:sz w:val="24"/>
          <w:szCs w:val="24"/>
        </w:rPr>
        <w:t xml:space="preserve"> different</w:t>
      </w:r>
      <w:r w:rsidRPr="00461D74">
        <w:rPr>
          <w:rFonts w:ascii="Garamond" w:hAnsi="Garamond" w:cstheme="minorHAnsi"/>
          <w:sz w:val="24"/>
          <w:szCs w:val="24"/>
        </w:rPr>
        <w:t xml:space="preserve"> conceptions of the good are not </w:t>
      </w:r>
      <w:r w:rsidR="00F870BC" w:rsidRPr="00461D74">
        <w:rPr>
          <w:rFonts w:ascii="Garamond" w:hAnsi="Garamond" w:cstheme="minorHAnsi"/>
          <w:sz w:val="24"/>
          <w:szCs w:val="24"/>
        </w:rPr>
        <w:t xml:space="preserve">as </w:t>
      </w:r>
      <w:r w:rsidRPr="00461D74">
        <w:rPr>
          <w:rFonts w:ascii="Garamond" w:hAnsi="Garamond" w:cstheme="minorHAnsi"/>
          <w:sz w:val="24"/>
          <w:szCs w:val="24"/>
        </w:rPr>
        <w:t>homogenous</w:t>
      </w:r>
      <w:r w:rsidR="00F870BC" w:rsidRPr="00461D74">
        <w:rPr>
          <w:rFonts w:ascii="Garamond" w:hAnsi="Garamond" w:cstheme="minorHAnsi"/>
          <w:sz w:val="24"/>
          <w:szCs w:val="24"/>
        </w:rPr>
        <w:t xml:space="preserve"> as is often assumed, and that</w:t>
      </w:r>
      <w:r w:rsidRPr="00461D74">
        <w:rPr>
          <w:rFonts w:ascii="Garamond" w:hAnsi="Garamond" w:cstheme="minorHAnsi"/>
          <w:sz w:val="24"/>
          <w:szCs w:val="24"/>
        </w:rPr>
        <w:t xml:space="preserve"> the boundaries dividing various conceptions of the good are contestable. </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w:t>
      </w:r>
      <w:r w:rsidR="00F870BC" w:rsidRPr="00461D74">
        <w:rPr>
          <w:rFonts w:ascii="Garamond" w:hAnsi="Garamond" w:cstheme="minorHAnsi"/>
          <w:sz w:val="24"/>
          <w:szCs w:val="24"/>
        </w:rPr>
        <w:t xml:space="preserve">can observe </w:t>
      </w:r>
      <w:r w:rsidRPr="00461D74">
        <w:rPr>
          <w:rFonts w:ascii="Garamond" w:hAnsi="Garamond" w:cstheme="minorHAnsi"/>
          <w:sz w:val="24"/>
          <w:szCs w:val="24"/>
        </w:rPr>
        <w:t xml:space="preserve">that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account offers us some of the conceptual resources to correct the various defects in the standard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liberal account, </w:t>
      </w:r>
      <w:r w:rsidR="00F870BC" w:rsidRPr="00461D74">
        <w:rPr>
          <w:rFonts w:ascii="Garamond" w:hAnsi="Garamond" w:cstheme="minorHAnsi"/>
          <w:sz w:val="24"/>
          <w:szCs w:val="24"/>
        </w:rPr>
        <w:t>yet, at the same time, her positions can be seen as an intermediate position between the liberal, and MacIntyre.</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Misak’s</w:t>
      </w:r>
      <w:proofErr w:type="spellEnd"/>
      <w:r w:rsidRPr="00461D74">
        <w:rPr>
          <w:rFonts w:ascii="Garamond" w:hAnsi="Garamond" w:cstheme="minorHAnsi"/>
          <w:sz w:val="24"/>
          <w:szCs w:val="24"/>
        </w:rPr>
        <w:t xml:space="preserve"> account is also rich in the type of conceptual resources that help us bridge important issues like problem of neutrality in the liberal state, and how we can converge meaningfully on answers in the domain of politics.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 what remains unanswered is a systematic consideration of the overall debate between liberals on the one hand</w:t>
      </w:r>
      <w:r w:rsidR="00F870BC" w:rsidRPr="00461D74">
        <w:rPr>
          <w:rFonts w:ascii="Garamond" w:hAnsi="Garamond" w:cstheme="minorHAnsi"/>
          <w:sz w:val="24"/>
          <w:szCs w:val="24"/>
        </w:rPr>
        <w:t>,</w:t>
      </w:r>
      <w:r w:rsidRPr="00461D74">
        <w:rPr>
          <w:rFonts w:ascii="Garamond" w:hAnsi="Garamond" w:cstheme="minorHAnsi"/>
          <w:sz w:val="24"/>
          <w:szCs w:val="24"/>
        </w:rPr>
        <w:t xml:space="preserve"> who</w:t>
      </w:r>
      <w:r w:rsidR="00F870BC" w:rsidRPr="00461D74">
        <w:rPr>
          <w:rFonts w:ascii="Garamond" w:hAnsi="Garamond" w:cstheme="minorHAnsi"/>
          <w:sz w:val="24"/>
          <w:szCs w:val="24"/>
        </w:rPr>
        <w:t xml:space="preserve"> would</w:t>
      </w:r>
      <w:r w:rsidRPr="00461D74">
        <w:rPr>
          <w:rFonts w:ascii="Garamond" w:hAnsi="Garamond" w:cstheme="minorHAnsi"/>
          <w:sz w:val="24"/>
          <w:szCs w:val="24"/>
        </w:rPr>
        <w:t xml:space="preserve"> like to exclude </w:t>
      </w:r>
      <w:r w:rsidR="00F870BC" w:rsidRPr="00461D74">
        <w:rPr>
          <w:rFonts w:ascii="Garamond" w:hAnsi="Garamond" w:cstheme="minorHAnsi"/>
          <w:sz w:val="24"/>
          <w:szCs w:val="24"/>
        </w:rPr>
        <w:t xml:space="preserve">first-order appeals from </w:t>
      </w:r>
      <w:r w:rsidRPr="00461D74">
        <w:rPr>
          <w:rFonts w:ascii="Garamond" w:hAnsi="Garamond" w:cstheme="minorHAnsi"/>
          <w:sz w:val="24"/>
          <w:szCs w:val="24"/>
        </w:rPr>
        <w:t xml:space="preserve">political consideration, and those </w:t>
      </w:r>
      <w:r w:rsidR="00F870BC" w:rsidRPr="00461D74">
        <w:rPr>
          <w:rFonts w:ascii="Garamond" w:hAnsi="Garamond" w:cstheme="minorHAnsi"/>
          <w:sz w:val="24"/>
          <w:szCs w:val="24"/>
        </w:rPr>
        <w:t xml:space="preserve">thinkers </w:t>
      </w:r>
      <w:r w:rsidRPr="00461D74">
        <w:rPr>
          <w:rFonts w:ascii="Garamond" w:hAnsi="Garamond" w:cstheme="minorHAnsi"/>
          <w:sz w:val="24"/>
          <w:szCs w:val="24"/>
        </w:rPr>
        <w:t xml:space="preserve">like MacIntyre (and communitarians) who insist that politics free of any serious public evaluation of substantive conceptions of the good can only be self-deceiving. I will now turn my attention to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to see </w:t>
      </w:r>
      <w:r w:rsidR="00F870BC" w:rsidRPr="00461D74">
        <w:rPr>
          <w:rFonts w:ascii="Garamond" w:hAnsi="Garamond" w:cstheme="minorHAnsi"/>
          <w:sz w:val="24"/>
          <w:szCs w:val="24"/>
        </w:rPr>
        <w:t xml:space="preserve">whether </w:t>
      </w:r>
      <w:r w:rsidRPr="00461D74">
        <w:rPr>
          <w:rFonts w:ascii="Garamond" w:hAnsi="Garamond" w:cstheme="minorHAnsi"/>
          <w:sz w:val="24"/>
          <w:szCs w:val="24"/>
        </w:rPr>
        <w:t xml:space="preserve">his analysis can help us </w:t>
      </w:r>
      <w:r w:rsidR="00F870BC" w:rsidRPr="00461D74">
        <w:rPr>
          <w:rFonts w:ascii="Garamond" w:hAnsi="Garamond" w:cstheme="minorHAnsi"/>
          <w:sz w:val="24"/>
          <w:szCs w:val="24"/>
        </w:rPr>
        <w:t>bridge this gap</w:t>
      </w:r>
      <w:r w:rsidRPr="00461D74">
        <w:rPr>
          <w:rFonts w:ascii="Garamond" w:hAnsi="Garamond" w:cstheme="minorHAnsi"/>
          <w:sz w:val="24"/>
          <w:szCs w:val="24"/>
        </w:rPr>
        <w:t>.</w:t>
      </w:r>
    </w:p>
    <w:p w:rsidR="00665157" w:rsidRDefault="00665157">
      <w:pPr>
        <w:spacing w:line="360" w:lineRule="auto"/>
        <w:ind w:firstLine="720"/>
        <w:jc w:val="both"/>
        <w:rPr>
          <w:rFonts w:ascii="Garamond" w:hAnsi="Garamond" w:cstheme="minorHAnsi"/>
          <w:sz w:val="24"/>
          <w:szCs w:val="24"/>
        </w:rPr>
      </w:pPr>
    </w:p>
    <w:p w:rsidR="00665157" w:rsidRDefault="00990477" w:rsidP="00990477">
      <w:pPr>
        <w:pStyle w:val="Heading3"/>
        <w:spacing w:before="200" w:line="360" w:lineRule="auto"/>
        <w:jc w:val="both"/>
        <w:rPr>
          <w:rFonts w:cstheme="majorHAnsi"/>
        </w:rPr>
      </w:pPr>
      <w:bookmarkStart w:id="64" w:name="_Toc528077841"/>
      <w:r>
        <w:rPr>
          <w:rFonts w:cstheme="majorHAnsi"/>
        </w:rPr>
        <w:lastRenderedPageBreak/>
        <w:t xml:space="preserve">4.2 </w:t>
      </w:r>
      <w:r w:rsidR="00016049" w:rsidRPr="00F03436">
        <w:rPr>
          <w:rFonts w:cstheme="majorHAnsi"/>
        </w:rPr>
        <w:t xml:space="preserve">Michael </w:t>
      </w:r>
      <w:proofErr w:type="spellStart"/>
      <w:r w:rsidR="00016049" w:rsidRPr="00F03436">
        <w:rPr>
          <w:rFonts w:cstheme="majorHAnsi"/>
        </w:rPr>
        <w:t>Walzer</w:t>
      </w:r>
      <w:bookmarkEnd w:id="64"/>
      <w:proofErr w:type="spellEnd"/>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Michael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advances what I </w:t>
      </w:r>
      <w:r w:rsidR="008216D7">
        <w:rPr>
          <w:rFonts w:ascii="Garamond" w:hAnsi="Garamond" w:cstheme="minorHAnsi"/>
          <w:sz w:val="24"/>
          <w:szCs w:val="24"/>
        </w:rPr>
        <w:t xml:space="preserve">also </w:t>
      </w:r>
      <w:r w:rsidRPr="00461D74">
        <w:rPr>
          <w:rFonts w:ascii="Garamond" w:hAnsi="Garamond" w:cstheme="minorHAnsi"/>
          <w:sz w:val="24"/>
          <w:szCs w:val="24"/>
        </w:rPr>
        <w:t xml:space="preserve">take to be a </w:t>
      </w:r>
      <w:r w:rsidRPr="00461D74">
        <w:rPr>
          <w:rFonts w:ascii="Garamond" w:hAnsi="Garamond" w:cstheme="minorHAnsi"/>
          <w:i/>
          <w:iCs/>
          <w:sz w:val="24"/>
          <w:szCs w:val="24"/>
        </w:rPr>
        <w:t>via media</w:t>
      </w:r>
      <w:r w:rsidRPr="00461D74">
        <w:rPr>
          <w:rFonts w:ascii="Garamond" w:hAnsi="Garamond" w:cstheme="minorHAnsi"/>
          <w:sz w:val="24"/>
          <w:szCs w:val="24"/>
        </w:rPr>
        <w:t xml:space="preserve"> position </w:t>
      </w:r>
      <w:r w:rsidR="00567DA4" w:rsidRPr="00461D74">
        <w:rPr>
          <w:rFonts w:ascii="Garamond" w:hAnsi="Garamond" w:cstheme="minorHAnsi"/>
          <w:sz w:val="24"/>
          <w:szCs w:val="24"/>
        </w:rPr>
        <w:t xml:space="preserve">– one </w:t>
      </w:r>
      <w:r w:rsidRPr="00461D74">
        <w:rPr>
          <w:rFonts w:ascii="Garamond" w:hAnsi="Garamond" w:cstheme="minorHAnsi"/>
          <w:sz w:val="24"/>
          <w:szCs w:val="24"/>
        </w:rPr>
        <w:t xml:space="preserve">that stands somewhere between a non-ideal communitarian views found in </w:t>
      </w:r>
      <w:r w:rsidR="00567DA4" w:rsidRPr="00461D74">
        <w:rPr>
          <w:rFonts w:ascii="Garamond" w:hAnsi="Garamond" w:cstheme="minorHAnsi"/>
          <w:sz w:val="24"/>
          <w:szCs w:val="24"/>
        </w:rPr>
        <w:t xml:space="preserve">the work of Michael </w:t>
      </w:r>
      <w:proofErr w:type="spellStart"/>
      <w:r w:rsidRPr="00461D74">
        <w:rPr>
          <w:rFonts w:ascii="Garamond" w:hAnsi="Garamond" w:cstheme="minorHAnsi"/>
          <w:sz w:val="24"/>
          <w:szCs w:val="24"/>
        </w:rPr>
        <w:t>Sandel</w:t>
      </w:r>
      <w:proofErr w:type="spellEnd"/>
      <w:r w:rsidRPr="00461D74">
        <w:rPr>
          <w:rFonts w:ascii="Garamond" w:hAnsi="Garamond" w:cstheme="minorHAnsi"/>
          <w:sz w:val="24"/>
          <w:szCs w:val="24"/>
        </w:rPr>
        <w:t>, and a more ideal liberal theory</w:t>
      </w:r>
      <w:r w:rsidR="00567DA4" w:rsidRPr="00461D74">
        <w:rPr>
          <w:rFonts w:ascii="Garamond" w:hAnsi="Garamond" w:cstheme="minorHAnsi"/>
          <w:sz w:val="24"/>
          <w:szCs w:val="24"/>
        </w:rPr>
        <w:t xml:space="preserve"> found in the work of </w:t>
      </w:r>
      <w:r w:rsidRPr="00461D74">
        <w:rPr>
          <w:rFonts w:ascii="Garamond" w:hAnsi="Garamond" w:cstheme="minorHAnsi"/>
          <w:sz w:val="24"/>
          <w:szCs w:val="24"/>
        </w:rPr>
        <w:t xml:space="preserve">Rawls and his followers. According to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the problem with the strict communitarian critique (which under his account includes those </w:t>
      </w:r>
      <w:r w:rsidR="009B06C0" w:rsidRPr="00461D74">
        <w:rPr>
          <w:rFonts w:ascii="Garamond" w:hAnsi="Garamond" w:cstheme="minorHAnsi"/>
          <w:sz w:val="24"/>
          <w:szCs w:val="24"/>
        </w:rPr>
        <w:t>views</w:t>
      </w:r>
      <w:r w:rsidRPr="00461D74">
        <w:rPr>
          <w:rFonts w:ascii="Garamond" w:hAnsi="Garamond" w:cstheme="minorHAnsi"/>
          <w:sz w:val="24"/>
          <w:szCs w:val="24"/>
        </w:rPr>
        <w:t xml:space="preserve"> advanced by MacIntyre), is that it </w:t>
      </w:r>
      <w:r w:rsidR="00AA50E1">
        <w:rPr>
          <w:rFonts w:ascii="Garamond" w:hAnsi="Garamond" w:cstheme="minorHAnsi"/>
          <w:sz w:val="24"/>
          <w:szCs w:val="24"/>
        </w:rPr>
        <w:t>advances</w:t>
      </w:r>
      <w:r w:rsidR="00AA50E1" w:rsidRPr="00461D74">
        <w:rPr>
          <w:rFonts w:ascii="Garamond" w:hAnsi="Garamond" w:cstheme="minorHAnsi"/>
          <w:sz w:val="24"/>
          <w:szCs w:val="24"/>
        </w:rPr>
        <w:t xml:space="preserve"> </w:t>
      </w:r>
      <w:r w:rsidRPr="00461D74">
        <w:rPr>
          <w:rFonts w:ascii="Garamond" w:hAnsi="Garamond" w:cstheme="minorHAnsi"/>
          <w:sz w:val="24"/>
          <w:szCs w:val="24"/>
        </w:rPr>
        <w:t xml:space="preserve">two </w:t>
      </w:r>
      <w:r w:rsidR="00567DA4" w:rsidRPr="00461D74">
        <w:rPr>
          <w:rFonts w:ascii="Garamond" w:hAnsi="Garamond" w:cstheme="minorHAnsi"/>
          <w:sz w:val="24"/>
          <w:szCs w:val="24"/>
        </w:rPr>
        <w:t xml:space="preserve">separate </w:t>
      </w:r>
      <w:r w:rsidR="00AA50E1">
        <w:rPr>
          <w:rFonts w:ascii="Garamond" w:hAnsi="Garamond" w:cstheme="minorHAnsi"/>
          <w:sz w:val="24"/>
          <w:szCs w:val="24"/>
        </w:rPr>
        <w:t>arguments</w:t>
      </w:r>
      <w:r w:rsidR="00AA50E1" w:rsidRPr="00461D74">
        <w:rPr>
          <w:rFonts w:ascii="Garamond" w:hAnsi="Garamond" w:cstheme="minorHAnsi"/>
          <w:sz w:val="24"/>
          <w:szCs w:val="24"/>
        </w:rPr>
        <w:t xml:space="preserve"> </w:t>
      </w:r>
      <w:r w:rsidRPr="00461D74">
        <w:rPr>
          <w:rFonts w:ascii="Garamond" w:hAnsi="Garamond" w:cstheme="minorHAnsi"/>
          <w:sz w:val="24"/>
          <w:szCs w:val="24"/>
        </w:rPr>
        <w:t xml:space="preserve">that </w:t>
      </w:r>
      <w:r w:rsidR="00567DA4" w:rsidRPr="00461D74">
        <w:rPr>
          <w:rFonts w:ascii="Garamond" w:hAnsi="Garamond" w:cstheme="minorHAnsi"/>
          <w:sz w:val="24"/>
          <w:szCs w:val="24"/>
        </w:rPr>
        <w:t xml:space="preserve">appear to </w:t>
      </w:r>
      <w:r w:rsidRPr="00461D74">
        <w:rPr>
          <w:rFonts w:ascii="Garamond" w:hAnsi="Garamond" w:cstheme="minorHAnsi"/>
          <w:sz w:val="24"/>
          <w:szCs w:val="24"/>
        </w:rPr>
        <w:t xml:space="preserve">contradict </w:t>
      </w:r>
      <w:r w:rsidR="00AA50E1">
        <w:rPr>
          <w:rFonts w:ascii="Garamond" w:hAnsi="Garamond" w:cstheme="minorHAnsi"/>
          <w:sz w:val="24"/>
          <w:szCs w:val="24"/>
        </w:rPr>
        <w:t>each</w:t>
      </w:r>
      <w:r w:rsidR="00AA50E1" w:rsidRPr="00461D74">
        <w:rPr>
          <w:rFonts w:ascii="Garamond" w:hAnsi="Garamond" w:cstheme="minorHAnsi"/>
          <w:sz w:val="24"/>
          <w:szCs w:val="24"/>
        </w:rPr>
        <w:t xml:space="preserve"> </w:t>
      </w:r>
      <w:r w:rsidRPr="00461D74">
        <w:rPr>
          <w:rFonts w:ascii="Garamond" w:hAnsi="Garamond" w:cstheme="minorHAnsi"/>
          <w:sz w:val="24"/>
          <w:szCs w:val="24"/>
        </w:rPr>
        <w:t xml:space="preserve">other. The first </w:t>
      </w:r>
      <w:r w:rsidR="00AA50E1">
        <w:rPr>
          <w:rFonts w:ascii="Garamond" w:hAnsi="Garamond" w:cstheme="minorHAnsi"/>
          <w:sz w:val="24"/>
          <w:szCs w:val="24"/>
        </w:rPr>
        <w:t>argument</w:t>
      </w:r>
      <w:r w:rsidR="00AA50E1" w:rsidRPr="00461D74">
        <w:rPr>
          <w:rFonts w:ascii="Garamond" w:hAnsi="Garamond" w:cstheme="minorHAnsi"/>
          <w:sz w:val="24"/>
          <w:szCs w:val="24"/>
        </w:rPr>
        <w:t xml:space="preserve"> </w:t>
      </w:r>
      <w:r w:rsidRPr="00461D74">
        <w:rPr>
          <w:rFonts w:ascii="Garamond" w:hAnsi="Garamond" w:cstheme="minorHAnsi"/>
          <w:sz w:val="24"/>
          <w:szCs w:val="24"/>
        </w:rPr>
        <w:t xml:space="preserve">is primarily aimed at liberal </w:t>
      </w:r>
      <w:r w:rsidR="00932A32" w:rsidRPr="00461D74">
        <w:rPr>
          <w:rFonts w:ascii="Garamond" w:hAnsi="Garamond" w:cstheme="minorHAnsi"/>
          <w:sz w:val="24"/>
          <w:szCs w:val="24"/>
        </w:rPr>
        <w:t xml:space="preserve">social </w:t>
      </w:r>
      <w:r w:rsidRPr="00461D74">
        <w:rPr>
          <w:rFonts w:ascii="Garamond" w:hAnsi="Garamond" w:cstheme="minorHAnsi"/>
          <w:sz w:val="24"/>
          <w:szCs w:val="24"/>
        </w:rPr>
        <w:t>practice</w:t>
      </w:r>
      <w:r w:rsidR="008E2361">
        <w:rPr>
          <w:rFonts w:ascii="Garamond" w:hAnsi="Garamond" w:cstheme="minorHAnsi"/>
          <w:sz w:val="24"/>
          <w:szCs w:val="24"/>
        </w:rPr>
        <w:t>,</w:t>
      </w:r>
      <w:r w:rsidRPr="00461D74">
        <w:rPr>
          <w:rFonts w:ascii="Garamond" w:hAnsi="Garamond" w:cstheme="minorHAnsi"/>
          <w:sz w:val="24"/>
          <w:szCs w:val="24"/>
        </w:rPr>
        <w:t xml:space="preserve"> and the second against liberal theory.</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first </w:t>
      </w:r>
      <w:r w:rsidR="00AA50E1">
        <w:rPr>
          <w:rFonts w:ascii="Garamond" w:hAnsi="Garamond" w:cstheme="minorHAnsi"/>
          <w:sz w:val="24"/>
          <w:szCs w:val="24"/>
        </w:rPr>
        <w:t xml:space="preserve">argument claims </w:t>
      </w:r>
      <w:r w:rsidRPr="00461D74">
        <w:rPr>
          <w:rFonts w:ascii="Garamond" w:hAnsi="Garamond" w:cstheme="minorHAnsi"/>
          <w:sz w:val="24"/>
          <w:szCs w:val="24"/>
        </w:rPr>
        <w:t xml:space="preserve">that liberal politics accurately represents liberal social practice. </w:t>
      </w:r>
      <w:r w:rsidR="00F62AB9" w:rsidRPr="00461D74">
        <w:rPr>
          <w:rFonts w:ascii="Garamond" w:hAnsi="Garamond" w:cstheme="minorHAnsi"/>
          <w:sz w:val="24"/>
          <w:szCs w:val="24"/>
        </w:rPr>
        <w:t>On this view, individuals in</w:t>
      </w:r>
      <w:r w:rsidRPr="00461D74">
        <w:rPr>
          <w:rFonts w:ascii="Garamond" w:hAnsi="Garamond" w:cstheme="minorHAnsi"/>
          <w:sz w:val="24"/>
          <w:szCs w:val="24"/>
        </w:rPr>
        <w:t xml:space="preserve"> </w:t>
      </w:r>
      <w:r w:rsidR="00F62AB9" w:rsidRPr="00461D74">
        <w:rPr>
          <w:rFonts w:ascii="Garamond" w:hAnsi="Garamond" w:cstheme="minorHAnsi"/>
          <w:sz w:val="24"/>
          <w:szCs w:val="24"/>
        </w:rPr>
        <w:t xml:space="preserve">a </w:t>
      </w:r>
      <w:r w:rsidRPr="00461D74">
        <w:rPr>
          <w:rFonts w:ascii="Garamond" w:hAnsi="Garamond" w:cstheme="minorHAnsi"/>
          <w:sz w:val="24"/>
          <w:szCs w:val="24"/>
        </w:rPr>
        <w:t>liberal society</w:t>
      </w:r>
      <w:r w:rsidR="00F62AB9" w:rsidRPr="00461D74">
        <w:rPr>
          <w:rFonts w:ascii="Garamond" w:hAnsi="Garamond" w:cstheme="minorHAnsi"/>
          <w:sz w:val="24"/>
          <w:szCs w:val="24"/>
        </w:rPr>
        <w:t>,</w:t>
      </w:r>
      <w:r w:rsidRPr="00461D74">
        <w:rPr>
          <w:rFonts w:ascii="Garamond" w:hAnsi="Garamond" w:cstheme="minorHAnsi"/>
          <w:sz w:val="24"/>
          <w:szCs w:val="24"/>
        </w:rPr>
        <w:t xml:space="preserve"> sharing </w:t>
      </w:r>
      <w:r w:rsidR="00F62AB9" w:rsidRPr="00461D74">
        <w:rPr>
          <w:rFonts w:ascii="Garamond" w:hAnsi="Garamond" w:cstheme="minorHAnsi"/>
          <w:sz w:val="24"/>
          <w:szCs w:val="24"/>
        </w:rPr>
        <w:t xml:space="preserve">little in terms of </w:t>
      </w:r>
      <w:r w:rsidRPr="00461D74">
        <w:rPr>
          <w:rFonts w:ascii="Garamond" w:hAnsi="Garamond" w:cstheme="minorHAnsi"/>
          <w:sz w:val="24"/>
          <w:szCs w:val="24"/>
        </w:rPr>
        <w:t xml:space="preserve">political/religious </w:t>
      </w:r>
      <w:r w:rsidR="00F62AB9" w:rsidRPr="00461D74">
        <w:rPr>
          <w:rFonts w:ascii="Garamond" w:hAnsi="Garamond" w:cstheme="minorHAnsi"/>
          <w:sz w:val="24"/>
          <w:szCs w:val="24"/>
        </w:rPr>
        <w:t xml:space="preserve">convictions, </w:t>
      </w:r>
      <w:r w:rsidRPr="00461D74">
        <w:rPr>
          <w:rFonts w:ascii="Garamond" w:hAnsi="Garamond" w:cstheme="minorHAnsi"/>
          <w:sz w:val="24"/>
          <w:szCs w:val="24"/>
        </w:rPr>
        <w:t xml:space="preserve">can only tell </w:t>
      </w:r>
      <w:r w:rsidR="00F62AB9" w:rsidRPr="00461D74">
        <w:rPr>
          <w:rFonts w:ascii="Garamond" w:hAnsi="Garamond" w:cstheme="minorHAnsi"/>
          <w:sz w:val="24"/>
          <w:szCs w:val="24"/>
        </w:rPr>
        <w:t xml:space="preserve">a </w:t>
      </w:r>
      <w:r w:rsidRPr="00461D74">
        <w:rPr>
          <w:rFonts w:ascii="Garamond" w:hAnsi="Garamond" w:cstheme="minorHAnsi"/>
          <w:sz w:val="24"/>
          <w:szCs w:val="24"/>
        </w:rPr>
        <w:t>story about themselves as isolated atomistic individuals, free and unencumbered. The fact that individual life is described in both the language of rights and utilities means that “Men and women in liberal society no longer have access to a single moral culture within which they can learn how they ought to live</w:t>
      </w:r>
      <w:r w:rsidR="00AA50E1">
        <w:rPr>
          <w:rFonts w:ascii="Garamond" w:hAnsi="Garamond" w:cstheme="minorHAnsi"/>
          <w:sz w:val="24"/>
          <w:szCs w:val="24"/>
        </w:rPr>
        <w:t>.</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405"/>
      </w:r>
      <w:r w:rsidRPr="00461D74">
        <w:rPr>
          <w:rFonts w:ascii="Garamond" w:hAnsi="Garamond" w:cstheme="minorHAnsi"/>
          <w:sz w:val="24"/>
          <w:szCs w:val="24"/>
        </w:rPr>
        <w:t xml:space="preserve"> </w:t>
      </w:r>
      <w:r w:rsidR="00F62AB9" w:rsidRPr="00461D74">
        <w:rPr>
          <w:rFonts w:ascii="Garamond" w:hAnsi="Garamond" w:cstheme="minorHAnsi"/>
          <w:sz w:val="24"/>
          <w:szCs w:val="24"/>
        </w:rPr>
        <w:t>Therefore</w:t>
      </w:r>
      <w:r w:rsidRPr="00461D74">
        <w:rPr>
          <w:rFonts w:ascii="Garamond" w:hAnsi="Garamond" w:cstheme="minorHAnsi"/>
          <w:sz w:val="24"/>
          <w:szCs w:val="24"/>
        </w:rPr>
        <w:t xml:space="preserve">, there is </w:t>
      </w:r>
      <w:r w:rsidR="00F62AB9" w:rsidRPr="00461D74">
        <w:rPr>
          <w:rFonts w:ascii="Garamond" w:hAnsi="Garamond" w:cstheme="minorHAnsi"/>
          <w:sz w:val="24"/>
          <w:szCs w:val="24"/>
        </w:rPr>
        <w:t xml:space="preserve">little </w:t>
      </w:r>
      <w:r w:rsidRPr="00461D74">
        <w:rPr>
          <w:rFonts w:ascii="Garamond" w:hAnsi="Garamond" w:cstheme="minorHAnsi"/>
          <w:sz w:val="24"/>
          <w:szCs w:val="24"/>
        </w:rPr>
        <w:t>consensus on the nature of the good, and so liberal society viewed from th</w:t>
      </w:r>
      <w:r w:rsidR="001A143B" w:rsidRPr="00461D74">
        <w:rPr>
          <w:rFonts w:ascii="Garamond" w:hAnsi="Garamond" w:cstheme="minorHAnsi"/>
          <w:sz w:val="24"/>
          <w:szCs w:val="24"/>
        </w:rPr>
        <w:t>e communitarian</w:t>
      </w:r>
      <w:r w:rsidRPr="00461D74">
        <w:rPr>
          <w:rFonts w:ascii="Garamond" w:hAnsi="Garamond" w:cstheme="minorHAnsi"/>
          <w:sz w:val="24"/>
          <w:szCs w:val="24"/>
        </w:rPr>
        <w:t xml:space="preserve"> standpoint</w:t>
      </w:r>
      <w:r w:rsidR="001A143B" w:rsidRPr="00461D74">
        <w:rPr>
          <w:rFonts w:ascii="Garamond" w:hAnsi="Garamond" w:cstheme="minorHAnsi"/>
          <w:sz w:val="24"/>
          <w:szCs w:val="24"/>
        </w:rPr>
        <w:t>,</w:t>
      </w:r>
      <w:r w:rsidRPr="00461D74">
        <w:rPr>
          <w:rFonts w:ascii="Garamond" w:hAnsi="Garamond" w:cstheme="minorHAnsi"/>
          <w:sz w:val="24"/>
          <w:szCs w:val="24"/>
        </w:rPr>
        <w:t xml:space="preserve"> is “fragmentation in practice.”</w:t>
      </w:r>
      <w:r w:rsidRPr="00461D74">
        <w:rPr>
          <w:rStyle w:val="FootnoteReference"/>
          <w:rFonts w:ascii="Garamond" w:hAnsi="Garamond" w:cstheme="minorHAnsi"/>
          <w:sz w:val="24"/>
          <w:szCs w:val="24"/>
        </w:rPr>
        <w:footnoteReference w:id="406"/>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 second </w:t>
      </w:r>
      <w:r w:rsidR="00AA50E1">
        <w:rPr>
          <w:rFonts w:ascii="Garamond" w:hAnsi="Garamond" w:cstheme="minorHAnsi"/>
          <w:sz w:val="24"/>
          <w:szCs w:val="24"/>
        </w:rPr>
        <w:t>argument asserts</w:t>
      </w:r>
      <w:r w:rsidRPr="00461D74">
        <w:rPr>
          <w:rFonts w:ascii="Garamond" w:hAnsi="Garamond" w:cstheme="minorHAnsi"/>
          <w:sz w:val="24"/>
          <w:szCs w:val="24"/>
        </w:rPr>
        <w:t xml:space="preserve"> that liberal political theory seriously misrepresents real life. On this view, human beings</w:t>
      </w:r>
      <w:r w:rsidR="00283A93" w:rsidRPr="00461D74">
        <w:rPr>
          <w:rFonts w:ascii="Garamond" w:hAnsi="Garamond" w:cstheme="minorHAnsi"/>
          <w:sz w:val="24"/>
          <w:szCs w:val="24"/>
        </w:rPr>
        <w:t>,</w:t>
      </w:r>
      <w:r w:rsidRPr="00461D74">
        <w:rPr>
          <w:rFonts w:ascii="Garamond" w:hAnsi="Garamond" w:cstheme="minorHAnsi"/>
          <w:sz w:val="24"/>
          <w:szCs w:val="24"/>
        </w:rPr>
        <w:t xml:space="preserve"> </w:t>
      </w:r>
      <w:r w:rsidR="00283A93" w:rsidRPr="00461D74">
        <w:rPr>
          <w:rFonts w:ascii="Garamond" w:hAnsi="Garamond" w:cstheme="minorHAnsi"/>
          <w:sz w:val="24"/>
          <w:szCs w:val="24"/>
        </w:rPr>
        <w:t xml:space="preserve">as social creatures, are bound by </w:t>
      </w:r>
      <w:r w:rsidRPr="00461D74">
        <w:rPr>
          <w:rFonts w:ascii="Garamond" w:hAnsi="Garamond" w:cstheme="minorHAnsi"/>
          <w:sz w:val="24"/>
          <w:szCs w:val="24"/>
        </w:rPr>
        <w:t xml:space="preserve">social and communal ties. </w:t>
      </w:r>
      <w:r w:rsidR="00AA50E1">
        <w:rPr>
          <w:rFonts w:ascii="Garamond" w:hAnsi="Garamond" w:cstheme="minorHAnsi"/>
          <w:sz w:val="24"/>
          <w:szCs w:val="24"/>
        </w:rPr>
        <w:t>Now, i</w:t>
      </w:r>
      <w:r w:rsidR="00AA50E1" w:rsidRPr="00461D74">
        <w:rPr>
          <w:rFonts w:ascii="Garamond" w:hAnsi="Garamond" w:cstheme="minorHAnsi"/>
          <w:sz w:val="24"/>
          <w:szCs w:val="24"/>
        </w:rPr>
        <w:t xml:space="preserve">t </w:t>
      </w:r>
      <w:r w:rsidRPr="00461D74">
        <w:rPr>
          <w:rFonts w:ascii="Garamond" w:hAnsi="Garamond" w:cstheme="minorHAnsi"/>
          <w:sz w:val="24"/>
          <w:szCs w:val="24"/>
        </w:rPr>
        <w:t>is difficult to see how th</w:t>
      </w:r>
      <w:r w:rsidR="00AA50E1">
        <w:rPr>
          <w:rFonts w:ascii="Garamond" w:hAnsi="Garamond" w:cstheme="minorHAnsi"/>
          <w:sz w:val="24"/>
          <w:szCs w:val="24"/>
        </w:rPr>
        <w:t>is</w:t>
      </w:r>
      <w:r w:rsidRPr="00461D74">
        <w:rPr>
          <w:rFonts w:ascii="Garamond" w:hAnsi="Garamond" w:cstheme="minorHAnsi"/>
          <w:sz w:val="24"/>
          <w:szCs w:val="24"/>
        </w:rPr>
        <w:t xml:space="preserve"> </w:t>
      </w:r>
      <w:r w:rsidR="00AA50E1">
        <w:rPr>
          <w:rFonts w:ascii="Garamond" w:hAnsi="Garamond" w:cstheme="minorHAnsi"/>
          <w:sz w:val="24"/>
          <w:szCs w:val="24"/>
        </w:rPr>
        <w:t>(</w:t>
      </w:r>
      <w:r w:rsidRPr="00461D74">
        <w:rPr>
          <w:rFonts w:ascii="Garamond" w:hAnsi="Garamond" w:cstheme="minorHAnsi"/>
          <w:sz w:val="24"/>
          <w:szCs w:val="24"/>
        </w:rPr>
        <w:t>liberal</w:t>
      </w:r>
      <w:r w:rsidR="00AA50E1">
        <w:rPr>
          <w:rFonts w:ascii="Garamond" w:hAnsi="Garamond" w:cstheme="minorHAnsi"/>
          <w:sz w:val="24"/>
          <w:szCs w:val="24"/>
        </w:rPr>
        <w:t>)</w:t>
      </w:r>
      <w:r w:rsidRPr="00461D74">
        <w:rPr>
          <w:rFonts w:ascii="Garamond" w:hAnsi="Garamond" w:cstheme="minorHAnsi"/>
          <w:sz w:val="24"/>
          <w:szCs w:val="24"/>
        </w:rPr>
        <w:t xml:space="preserve"> </w:t>
      </w:r>
      <w:r w:rsidR="00283A93" w:rsidRPr="00461D74">
        <w:rPr>
          <w:rFonts w:ascii="Garamond" w:hAnsi="Garamond" w:cstheme="minorHAnsi"/>
          <w:sz w:val="24"/>
          <w:szCs w:val="24"/>
        </w:rPr>
        <w:t xml:space="preserve">abstraction – namely, </w:t>
      </w:r>
      <w:r w:rsidR="00AA50E1">
        <w:rPr>
          <w:rFonts w:ascii="Garamond" w:hAnsi="Garamond" w:cstheme="minorHAnsi"/>
          <w:sz w:val="24"/>
          <w:szCs w:val="24"/>
        </w:rPr>
        <w:t>the idea</w:t>
      </w:r>
      <w:r w:rsidR="00AA50E1" w:rsidRPr="00461D74">
        <w:rPr>
          <w:rFonts w:ascii="Garamond" w:hAnsi="Garamond" w:cstheme="minorHAnsi"/>
          <w:sz w:val="24"/>
          <w:szCs w:val="24"/>
        </w:rPr>
        <w:t xml:space="preserve"> </w:t>
      </w:r>
      <w:r w:rsidRPr="00461D74">
        <w:rPr>
          <w:rFonts w:ascii="Garamond" w:hAnsi="Garamond" w:cstheme="minorHAnsi"/>
          <w:sz w:val="24"/>
          <w:szCs w:val="24"/>
        </w:rPr>
        <w:t>of an unencumbered individual</w:t>
      </w:r>
      <w:r w:rsidR="00283A93" w:rsidRPr="00461D74">
        <w:rPr>
          <w:rFonts w:ascii="Garamond" w:hAnsi="Garamond" w:cstheme="minorHAnsi"/>
          <w:sz w:val="24"/>
          <w:szCs w:val="24"/>
        </w:rPr>
        <w:t xml:space="preserve"> without social bonds –</w:t>
      </w:r>
      <w:r w:rsidRPr="00461D74">
        <w:rPr>
          <w:rFonts w:ascii="Garamond" w:hAnsi="Garamond" w:cstheme="minorHAnsi"/>
          <w:sz w:val="24"/>
          <w:szCs w:val="24"/>
        </w:rPr>
        <w:t xml:space="preserve"> makes any sense when </w:t>
      </w:r>
      <w:r w:rsidR="00AA50E1">
        <w:rPr>
          <w:rFonts w:ascii="Garamond" w:hAnsi="Garamond" w:cstheme="minorHAnsi"/>
          <w:sz w:val="24"/>
          <w:szCs w:val="24"/>
        </w:rPr>
        <w:t>we consider the</w:t>
      </w:r>
      <w:r w:rsidR="00283A93" w:rsidRPr="00461D74">
        <w:rPr>
          <w:rFonts w:ascii="Garamond" w:hAnsi="Garamond" w:cstheme="minorHAnsi"/>
          <w:sz w:val="24"/>
          <w:szCs w:val="24"/>
        </w:rPr>
        <w:t xml:space="preserve"> actual conditions </w:t>
      </w:r>
      <w:r w:rsidR="00AA50E1">
        <w:rPr>
          <w:rFonts w:ascii="Garamond" w:hAnsi="Garamond" w:cstheme="minorHAnsi"/>
          <w:sz w:val="24"/>
          <w:szCs w:val="24"/>
        </w:rPr>
        <w:t>of social life</w:t>
      </w:r>
      <w:r w:rsidRPr="00461D74">
        <w:rPr>
          <w:rFonts w:ascii="Garamond" w:hAnsi="Garamond" w:cstheme="minorHAnsi"/>
          <w:sz w:val="24"/>
          <w:szCs w:val="24"/>
        </w:rPr>
        <w:t xml:space="preserve">. The upshot of the second critique is that the realized structure of liberal society is in fact communitarian. </w:t>
      </w:r>
      <w:r w:rsidR="00283A93" w:rsidRPr="00461D74">
        <w:rPr>
          <w:rFonts w:ascii="Garamond" w:hAnsi="Garamond" w:cstheme="minorHAnsi"/>
          <w:sz w:val="24"/>
          <w:szCs w:val="24"/>
        </w:rPr>
        <w:t>Therefore</w:t>
      </w:r>
      <w:r w:rsidRPr="00461D74">
        <w:rPr>
          <w:rFonts w:ascii="Garamond" w:hAnsi="Garamond" w:cstheme="minorHAnsi"/>
          <w:sz w:val="24"/>
          <w:szCs w:val="24"/>
        </w:rPr>
        <w:t xml:space="preserve">, liberal theory </w:t>
      </w:r>
      <w:r w:rsidR="00283A93" w:rsidRPr="00461D74">
        <w:rPr>
          <w:rFonts w:ascii="Garamond" w:hAnsi="Garamond" w:cstheme="minorHAnsi"/>
          <w:sz w:val="24"/>
          <w:szCs w:val="24"/>
        </w:rPr>
        <w:t xml:space="preserve">in effect </w:t>
      </w:r>
      <w:r w:rsidRPr="00461D74">
        <w:rPr>
          <w:rFonts w:ascii="Garamond" w:hAnsi="Garamond" w:cstheme="minorHAnsi"/>
          <w:sz w:val="24"/>
          <w:szCs w:val="24"/>
        </w:rPr>
        <w:t>distorts this reality</w:t>
      </w:r>
      <w:r w:rsidR="00283A93" w:rsidRPr="00461D74">
        <w:rPr>
          <w:rFonts w:ascii="Garamond" w:hAnsi="Garamond" w:cstheme="minorHAnsi"/>
          <w:sz w:val="24"/>
          <w:szCs w:val="24"/>
        </w:rPr>
        <w:t>,</w:t>
      </w:r>
      <w:r w:rsidRPr="00461D74">
        <w:rPr>
          <w:rFonts w:ascii="Garamond" w:hAnsi="Garamond" w:cstheme="minorHAnsi"/>
          <w:sz w:val="24"/>
          <w:szCs w:val="24"/>
        </w:rPr>
        <w:t xml:space="preserve"> and </w:t>
      </w:r>
      <w:r w:rsidRPr="00461D74">
        <w:rPr>
          <w:rFonts w:ascii="Garamond" w:hAnsi="Garamond" w:cstheme="minorHAnsi"/>
          <w:sz w:val="24"/>
          <w:szCs w:val="24"/>
        </w:rPr>
        <w:lastRenderedPageBreak/>
        <w:t xml:space="preserve">cuts us off from </w:t>
      </w:r>
      <w:r w:rsidR="00AA50E1">
        <w:rPr>
          <w:rFonts w:ascii="Garamond" w:hAnsi="Garamond" w:cstheme="minorHAnsi"/>
          <w:sz w:val="24"/>
          <w:szCs w:val="24"/>
        </w:rPr>
        <w:t xml:space="preserve">a more realistic understanding which admits </w:t>
      </w:r>
      <w:r w:rsidRPr="00461D74">
        <w:rPr>
          <w:rFonts w:ascii="Garamond" w:hAnsi="Garamond" w:cstheme="minorHAnsi"/>
          <w:sz w:val="24"/>
          <w:szCs w:val="24"/>
        </w:rPr>
        <w:t>the embedded nature of our experience.</w:t>
      </w:r>
    </w:p>
    <w:p w:rsidR="00665157" w:rsidRDefault="005E0B74">
      <w:pPr>
        <w:spacing w:line="360" w:lineRule="auto"/>
        <w:ind w:firstLine="720"/>
        <w:jc w:val="both"/>
        <w:rPr>
          <w:rFonts w:ascii="Garamond" w:hAnsi="Garamond" w:cstheme="minorHAnsi"/>
          <w:sz w:val="24"/>
          <w:szCs w:val="24"/>
        </w:rPr>
      </w:pPr>
      <w:r>
        <w:rPr>
          <w:rFonts w:ascii="Garamond" w:hAnsi="Garamond" w:cstheme="minorHAnsi"/>
          <w:sz w:val="24"/>
          <w:szCs w:val="24"/>
        </w:rPr>
        <w:t xml:space="preserve">However, </w:t>
      </w:r>
      <w:proofErr w:type="spellStart"/>
      <w:r w:rsidR="009B06C0" w:rsidRPr="00461D74">
        <w:rPr>
          <w:rFonts w:ascii="Garamond" w:hAnsi="Garamond" w:cstheme="minorHAnsi"/>
          <w:sz w:val="24"/>
          <w:szCs w:val="24"/>
        </w:rPr>
        <w:t>Walzer</w:t>
      </w:r>
      <w:proofErr w:type="spellEnd"/>
      <w:r>
        <w:rPr>
          <w:rFonts w:ascii="Garamond" w:hAnsi="Garamond" w:cstheme="minorHAnsi"/>
          <w:sz w:val="24"/>
          <w:szCs w:val="24"/>
        </w:rPr>
        <w:t xml:space="preserve"> argues that</w:t>
      </w:r>
      <w:r w:rsidR="00016049" w:rsidRPr="00461D74">
        <w:rPr>
          <w:rFonts w:ascii="Garamond" w:hAnsi="Garamond" w:cstheme="minorHAnsi"/>
          <w:sz w:val="24"/>
          <w:szCs w:val="24"/>
        </w:rPr>
        <w:t xml:space="preserve"> it is difficult to </w:t>
      </w:r>
      <w:r w:rsidR="004561ED" w:rsidRPr="00461D74">
        <w:rPr>
          <w:rFonts w:ascii="Garamond" w:hAnsi="Garamond" w:cstheme="minorHAnsi"/>
          <w:sz w:val="24"/>
          <w:szCs w:val="24"/>
        </w:rPr>
        <w:t xml:space="preserve">hold onto both </w:t>
      </w:r>
      <w:r w:rsidR="00016049" w:rsidRPr="00461D74">
        <w:rPr>
          <w:rFonts w:ascii="Garamond" w:hAnsi="Garamond" w:cstheme="minorHAnsi"/>
          <w:sz w:val="24"/>
          <w:szCs w:val="24"/>
        </w:rPr>
        <w:t>of these criticisms</w:t>
      </w:r>
      <w:r w:rsidR="004561ED" w:rsidRPr="00461D74">
        <w:rPr>
          <w:rFonts w:ascii="Garamond" w:hAnsi="Garamond" w:cstheme="minorHAnsi"/>
          <w:sz w:val="24"/>
          <w:szCs w:val="24"/>
        </w:rPr>
        <w:t xml:space="preserve"> and remain</w:t>
      </w:r>
      <w:r w:rsidR="00016049" w:rsidRPr="00461D74">
        <w:rPr>
          <w:rFonts w:ascii="Garamond" w:hAnsi="Garamond" w:cstheme="minorHAnsi"/>
          <w:sz w:val="24"/>
          <w:szCs w:val="24"/>
        </w:rPr>
        <w:t xml:space="preserve"> consistent. </w:t>
      </w:r>
      <w:r w:rsidR="004561ED" w:rsidRPr="00461D74">
        <w:rPr>
          <w:rFonts w:ascii="Garamond" w:hAnsi="Garamond" w:cstheme="minorHAnsi"/>
          <w:sz w:val="24"/>
          <w:szCs w:val="24"/>
        </w:rPr>
        <w:t>So h</w:t>
      </w:r>
      <w:r w:rsidR="00016049" w:rsidRPr="00461D74">
        <w:rPr>
          <w:rFonts w:ascii="Garamond" w:hAnsi="Garamond" w:cstheme="minorHAnsi"/>
          <w:sz w:val="24"/>
          <w:szCs w:val="24"/>
        </w:rPr>
        <w:t xml:space="preserve">ow </w:t>
      </w:r>
      <w:r w:rsidR="004561ED" w:rsidRPr="00461D74">
        <w:rPr>
          <w:rFonts w:ascii="Garamond" w:hAnsi="Garamond" w:cstheme="minorHAnsi"/>
          <w:sz w:val="24"/>
          <w:szCs w:val="24"/>
        </w:rPr>
        <w:t xml:space="preserve">can </w:t>
      </w:r>
      <w:r w:rsidR="00016049" w:rsidRPr="00461D74">
        <w:rPr>
          <w:rFonts w:ascii="Garamond" w:hAnsi="Garamond" w:cstheme="minorHAnsi"/>
          <w:sz w:val="24"/>
          <w:szCs w:val="24"/>
        </w:rPr>
        <w:t xml:space="preserve">we </w:t>
      </w:r>
      <w:r w:rsidR="004561ED" w:rsidRPr="00461D74">
        <w:rPr>
          <w:rFonts w:ascii="Garamond" w:hAnsi="Garamond" w:cstheme="minorHAnsi"/>
          <w:sz w:val="24"/>
          <w:szCs w:val="24"/>
        </w:rPr>
        <w:t>make sense of the two diverging charges raised by the communitarian critique of liberalism</w:t>
      </w:r>
      <w:r w:rsidR="00016049" w:rsidRPr="00461D74">
        <w:rPr>
          <w:rFonts w:ascii="Garamond" w:hAnsi="Garamond" w:cstheme="minorHAnsi"/>
          <w:sz w:val="24"/>
          <w:szCs w:val="24"/>
        </w:rPr>
        <w:t xml:space="preserve">? </w:t>
      </w:r>
      <w:r w:rsidR="004561ED" w:rsidRPr="00461D74">
        <w:rPr>
          <w:rFonts w:ascii="Garamond" w:hAnsi="Garamond" w:cstheme="minorHAnsi"/>
          <w:sz w:val="24"/>
          <w:szCs w:val="24"/>
        </w:rPr>
        <w:t xml:space="preserve">On the one hand, </w:t>
      </w:r>
      <w:r w:rsidR="00016049" w:rsidRPr="00461D74">
        <w:rPr>
          <w:rFonts w:ascii="Garamond" w:hAnsi="Garamond" w:cstheme="minorHAnsi"/>
          <w:sz w:val="24"/>
          <w:szCs w:val="24"/>
        </w:rPr>
        <w:t xml:space="preserve">liberal social </w:t>
      </w:r>
      <w:r w:rsidR="004561ED" w:rsidRPr="00461D74">
        <w:rPr>
          <w:rFonts w:ascii="Garamond" w:hAnsi="Garamond" w:cstheme="minorHAnsi"/>
          <w:sz w:val="24"/>
          <w:szCs w:val="24"/>
        </w:rPr>
        <w:t xml:space="preserve">and cultural </w:t>
      </w:r>
      <w:r w:rsidR="00016049" w:rsidRPr="00461D74">
        <w:rPr>
          <w:rFonts w:ascii="Garamond" w:hAnsi="Garamond" w:cstheme="minorHAnsi"/>
          <w:sz w:val="24"/>
          <w:szCs w:val="24"/>
        </w:rPr>
        <w:t>practice</w:t>
      </w:r>
      <w:r w:rsidR="004561ED"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4561ED" w:rsidRPr="00461D74">
        <w:rPr>
          <w:rFonts w:ascii="Garamond" w:hAnsi="Garamond" w:cstheme="minorHAnsi"/>
          <w:sz w:val="24"/>
          <w:szCs w:val="24"/>
        </w:rPr>
        <w:t>support the view of</w:t>
      </w:r>
      <w:r w:rsidR="00016049" w:rsidRPr="00461D74">
        <w:rPr>
          <w:rFonts w:ascii="Garamond" w:hAnsi="Garamond" w:cstheme="minorHAnsi"/>
          <w:sz w:val="24"/>
          <w:szCs w:val="24"/>
        </w:rPr>
        <w:t xml:space="preserve"> </w:t>
      </w:r>
      <w:r w:rsidR="004561ED" w:rsidRPr="00461D74">
        <w:rPr>
          <w:rFonts w:ascii="Garamond" w:hAnsi="Garamond" w:cstheme="minorHAnsi"/>
          <w:sz w:val="24"/>
          <w:szCs w:val="24"/>
        </w:rPr>
        <w:t xml:space="preserve">human beings as isolated </w:t>
      </w:r>
      <w:r w:rsidR="00016049" w:rsidRPr="00461D74">
        <w:rPr>
          <w:rFonts w:ascii="Garamond" w:hAnsi="Garamond" w:cstheme="minorHAnsi"/>
          <w:sz w:val="24"/>
          <w:szCs w:val="24"/>
        </w:rPr>
        <w:t>individual</w:t>
      </w:r>
      <w:r w:rsidR="004561ED" w:rsidRPr="00461D74">
        <w:rPr>
          <w:rFonts w:ascii="Garamond" w:hAnsi="Garamond" w:cstheme="minorHAnsi"/>
          <w:sz w:val="24"/>
          <w:szCs w:val="24"/>
        </w:rPr>
        <w:t>s</w:t>
      </w:r>
      <w:r w:rsidR="00016049" w:rsidRPr="00461D74">
        <w:rPr>
          <w:rFonts w:ascii="Garamond" w:hAnsi="Garamond" w:cstheme="minorHAnsi"/>
          <w:sz w:val="24"/>
          <w:szCs w:val="24"/>
        </w:rPr>
        <w:t xml:space="preserve"> unencumbered and cut off from their communities</w:t>
      </w:r>
      <w:r w:rsidR="004561ED" w:rsidRPr="00461D74">
        <w:rPr>
          <w:rFonts w:ascii="Garamond" w:hAnsi="Garamond" w:cstheme="minorHAnsi"/>
          <w:sz w:val="24"/>
          <w:szCs w:val="24"/>
        </w:rPr>
        <w:t xml:space="preserve">, while on the other hand, </w:t>
      </w:r>
      <w:r w:rsidR="00016049" w:rsidRPr="00461D74">
        <w:rPr>
          <w:rFonts w:ascii="Garamond" w:hAnsi="Garamond" w:cstheme="minorHAnsi"/>
          <w:sz w:val="24"/>
          <w:szCs w:val="24"/>
        </w:rPr>
        <w:t xml:space="preserve">liberal theory </w:t>
      </w:r>
      <w:r w:rsidR="004561ED" w:rsidRPr="00461D74">
        <w:rPr>
          <w:rFonts w:ascii="Garamond" w:hAnsi="Garamond" w:cstheme="minorHAnsi"/>
          <w:sz w:val="24"/>
          <w:szCs w:val="24"/>
        </w:rPr>
        <w:t xml:space="preserve">seemingly </w:t>
      </w:r>
      <w:r w:rsidR="00016049" w:rsidRPr="00461D74">
        <w:rPr>
          <w:rFonts w:ascii="Garamond" w:hAnsi="Garamond" w:cstheme="minorHAnsi"/>
          <w:sz w:val="24"/>
          <w:szCs w:val="24"/>
        </w:rPr>
        <w:t>mischaracterizes our actual lived experience</w:t>
      </w:r>
      <w:r w:rsidR="004561ED" w:rsidRPr="00461D74">
        <w:rPr>
          <w:rFonts w:ascii="Garamond" w:hAnsi="Garamond" w:cstheme="minorHAnsi"/>
          <w:sz w:val="24"/>
          <w:szCs w:val="24"/>
        </w:rPr>
        <w:t xml:space="preserve">, since </w:t>
      </w:r>
      <w:r w:rsidR="009B06C0" w:rsidRPr="00461D74">
        <w:rPr>
          <w:rFonts w:ascii="Garamond" w:hAnsi="Garamond" w:cstheme="minorHAnsi"/>
          <w:sz w:val="24"/>
          <w:szCs w:val="24"/>
        </w:rPr>
        <w:t xml:space="preserve">(according to the communitarian) </w:t>
      </w:r>
      <w:r w:rsidR="004561ED" w:rsidRPr="00461D74">
        <w:rPr>
          <w:rFonts w:ascii="Garamond" w:hAnsi="Garamond" w:cstheme="minorHAnsi"/>
          <w:sz w:val="24"/>
          <w:szCs w:val="24"/>
        </w:rPr>
        <w:t>our lived experience is in fact</w:t>
      </w:r>
      <w:r w:rsidR="00016049" w:rsidRPr="00461D74">
        <w:rPr>
          <w:rFonts w:ascii="Garamond" w:hAnsi="Garamond" w:cstheme="minorHAnsi"/>
          <w:sz w:val="24"/>
          <w:szCs w:val="24"/>
        </w:rPr>
        <w:t xml:space="preserve"> socially embedded </w:t>
      </w:r>
      <w:r w:rsidR="004561ED" w:rsidRPr="00461D74">
        <w:rPr>
          <w:rFonts w:ascii="Garamond" w:hAnsi="Garamond" w:cstheme="minorHAnsi"/>
          <w:sz w:val="24"/>
          <w:szCs w:val="24"/>
        </w:rPr>
        <w:t xml:space="preserve">and encumbered – namely, that </w:t>
      </w:r>
      <w:r w:rsidR="009B79D9" w:rsidRPr="00461D74">
        <w:rPr>
          <w:rFonts w:ascii="Garamond" w:hAnsi="Garamond" w:cstheme="minorHAnsi"/>
          <w:sz w:val="24"/>
          <w:szCs w:val="24"/>
        </w:rPr>
        <w:t xml:space="preserve">human </w:t>
      </w:r>
      <w:r w:rsidR="00016049" w:rsidRPr="00461D74">
        <w:rPr>
          <w:rFonts w:ascii="Garamond" w:hAnsi="Garamond" w:cstheme="minorHAnsi"/>
          <w:sz w:val="24"/>
          <w:szCs w:val="24"/>
        </w:rPr>
        <w:t xml:space="preserve">life is </w:t>
      </w:r>
      <w:r w:rsidR="009B79D9" w:rsidRPr="00461D74">
        <w:rPr>
          <w:rFonts w:ascii="Garamond" w:hAnsi="Garamond" w:cstheme="minorHAnsi"/>
          <w:sz w:val="24"/>
          <w:szCs w:val="24"/>
        </w:rPr>
        <w:t xml:space="preserve">irreducibly social (or </w:t>
      </w:r>
      <w:r w:rsidR="00016049" w:rsidRPr="00461D74">
        <w:rPr>
          <w:rFonts w:ascii="Garamond" w:hAnsi="Garamond" w:cstheme="minorHAnsi"/>
          <w:sz w:val="24"/>
          <w:szCs w:val="24"/>
        </w:rPr>
        <w:t>communal</w:t>
      </w:r>
      <w:r w:rsidR="009B79D9" w:rsidRPr="00461D74">
        <w:rPr>
          <w:rFonts w:ascii="Garamond" w:hAnsi="Garamond" w:cstheme="minorHAnsi"/>
          <w:sz w:val="24"/>
          <w:szCs w:val="24"/>
        </w:rPr>
        <w:t>)</w:t>
      </w:r>
      <w:r w:rsidR="00016049" w:rsidRPr="00461D74">
        <w:rPr>
          <w:rFonts w:ascii="Garamond" w:hAnsi="Garamond" w:cstheme="minorHAnsi"/>
          <w:sz w:val="24"/>
          <w:szCs w:val="24"/>
        </w:rPr>
        <w:t xml:space="preserve">. While the first claim </w:t>
      </w:r>
      <w:r w:rsidR="009B79D9" w:rsidRPr="00461D74">
        <w:rPr>
          <w:rFonts w:ascii="Garamond" w:hAnsi="Garamond" w:cstheme="minorHAnsi"/>
          <w:sz w:val="24"/>
          <w:szCs w:val="24"/>
        </w:rPr>
        <w:t xml:space="preserve">wants to maintain </w:t>
      </w:r>
      <w:r w:rsidR="00016049" w:rsidRPr="00461D74">
        <w:rPr>
          <w:rFonts w:ascii="Garamond" w:hAnsi="Garamond" w:cstheme="minorHAnsi"/>
          <w:sz w:val="24"/>
          <w:szCs w:val="24"/>
        </w:rPr>
        <w:t xml:space="preserve">that </w:t>
      </w:r>
      <w:r w:rsidR="009B79D9" w:rsidRPr="00461D74">
        <w:rPr>
          <w:rFonts w:ascii="Garamond" w:hAnsi="Garamond" w:cstheme="minorHAnsi"/>
          <w:sz w:val="24"/>
          <w:szCs w:val="24"/>
        </w:rPr>
        <w:t xml:space="preserve">our individual </w:t>
      </w:r>
      <w:r w:rsidR="00016049" w:rsidRPr="00461D74">
        <w:rPr>
          <w:rFonts w:ascii="Garamond" w:hAnsi="Garamond" w:cstheme="minorHAnsi"/>
          <w:sz w:val="24"/>
          <w:szCs w:val="24"/>
        </w:rPr>
        <w:t xml:space="preserve">social life under liberalism is cut off from </w:t>
      </w:r>
      <w:r w:rsidR="009B79D9" w:rsidRPr="00461D74">
        <w:rPr>
          <w:rFonts w:ascii="Garamond" w:hAnsi="Garamond" w:cstheme="minorHAnsi"/>
          <w:sz w:val="24"/>
          <w:szCs w:val="24"/>
        </w:rPr>
        <w:t>the wider social (or communal) context,</w:t>
      </w:r>
      <w:r w:rsidR="00016049" w:rsidRPr="00461D74">
        <w:rPr>
          <w:rFonts w:ascii="Garamond" w:hAnsi="Garamond" w:cstheme="minorHAnsi"/>
          <w:sz w:val="24"/>
          <w:szCs w:val="24"/>
        </w:rPr>
        <w:t xml:space="preserve"> the second claim </w:t>
      </w:r>
      <w:r w:rsidR="009B79D9" w:rsidRPr="00461D74">
        <w:rPr>
          <w:rFonts w:ascii="Garamond" w:hAnsi="Garamond" w:cstheme="minorHAnsi"/>
          <w:sz w:val="24"/>
          <w:szCs w:val="24"/>
        </w:rPr>
        <w:t xml:space="preserve">argues in the opposite direction and suggests </w:t>
      </w:r>
      <w:r w:rsidR="00016049" w:rsidRPr="00461D74">
        <w:rPr>
          <w:rFonts w:ascii="Garamond" w:hAnsi="Garamond" w:cstheme="minorHAnsi"/>
          <w:sz w:val="24"/>
          <w:szCs w:val="24"/>
        </w:rPr>
        <w:t>that all social life can only be understood communally.</w:t>
      </w:r>
      <w:r w:rsidR="00016049" w:rsidRPr="00461D74">
        <w:rPr>
          <w:rStyle w:val="FootnoteReference"/>
          <w:rFonts w:ascii="Garamond" w:hAnsi="Garamond" w:cstheme="minorHAnsi"/>
          <w:sz w:val="24"/>
          <w:szCs w:val="24"/>
        </w:rPr>
        <w:footnoteReference w:id="407"/>
      </w:r>
    </w:p>
    <w:p w:rsidR="00665157" w:rsidRDefault="00016049">
      <w:pPr>
        <w:spacing w:line="360" w:lineRule="auto"/>
        <w:ind w:firstLine="720"/>
        <w:jc w:val="both"/>
        <w:rPr>
          <w:rFonts w:ascii="Garamond" w:hAnsi="Garamond" w:cstheme="minorHAnsi"/>
          <w:sz w:val="24"/>
          <w:szCs w:val="24"/>
        </w:rPr>
      </w:pP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concludes that there are </w:t>
      </w:r>
      <w:r w:rsidR="009B79D9" w:rsidRPr="00461D74">
        <w:rPr>
          <w:rFonts w:ascii="Garamond" w:hAnsi="Garamond" w:cstheme="minorHAnsi"/>
          <w:sz w:val="24"/>
          <w:szCs w:val="24"/>
        </w:rPr>
        <w:t xml:space="preserve">features </w:t>
      </w:r>
      <w:r w:rsidRPr="00461D74">
        <w:rPr>
          <w:rFonts w:ascii="Garamond" w:hAnsi="Garamond" w:cstheme="minorHAnsi"/>
          <w:sz w:val="24"/>
          <w:szCs w:val="24"/>
        </w:rPr>
        <w:t xml:space="preserve">in both </w:t>
      </w:r>
      <w:r w:rsidR="009B79D9" w:rsidRPr="00461D74">
        <w:rPr>
          <w:rFonts w:ascii="Garamond" w:hAnsi="Garamond" w:cstheme="minorHAnsi"/>
          <w:sz w:val="24"/>
          <w:szCs w:val="24"/>
        </w:rPr>
        <w:t xml:space="preserve">accounts that </w:t>
      </w:r>
      <w:r w:rsidRPr="00461D74">
        <w:rPr>
          <w:rFonts w:ascii="Garamond" w:hAnsi="Garamond" w:cstheme="minorHAnsi"/>
          <w:sz w:val="24"/>
          <w:szCs w:val="24"/>
        </w:rPr>
        <w:t xml:space="preserve">are </w:t>
      </w:r>
      <w:r w:rsidR="009B79D9" w:rsidRPr="00461D74">
        <w:rPr>
          <w:rFonts w:ascii="Garamond" w:hAnsi="Garamond" w:cstheme="minorHAnsi"/>
          <w:sz w:val="24"/>
          <w:szCs w:val="24"/>
        </w:rPr>
        <w:t xml:space="preserve">accurate </w:t>
      </w:r>
      <w:r w:rsidRPr="00461D74">
        <w:rPr>
          <w:rFonts w:ascii="Garamond" w:hAnsi="Garamond" w:cstheme="minorHAnsi"/>
          <w:sz w:val="24"/>
          <w:szCs w:val="24"/>
        </w:rPr>
        <w:t>to some degree. To advance his argument</w:t>
      </w:r>
      <w:r w:rsidR="008E2361">
        <w:rPr>
          <w:rFonts w:ascii="Garamond" w:hAnsi="Garamond" w:cstheme="minorHAnsi"/>
          <w:sz w:val="24"/>
          <w:szCs w:val="24"/>
        </w:rPr>
        <w:t>,</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outlines an account of </w:t>
      </w:r>
      <w:r w:rsidR="002C06B1" w:rsidRPr="00461D74">
        <w:rPr>
          <w:rFonts w:ascii="Garamond" w:hAnsi="Garamond" w:cstheme="minorHAnsi"/>
          <w:sz w:val="24"/>
          <w:szCs w:val="24"/>
        </w:rPr>
        <w:t xml:space="preserve">what he identifies as the </w:t>
      </w:r>
      <w:r w:rsidRPr="00461D74">
        <w:rPr>
          <w:rFonts w:ascii="Garamond" w:hAnsi="Garamond" w:cstheme="minorHAnsi"/>
          <w:sz w:val="24"/>
          <w:szCs w:val="24"/>
        </w:rPr>
        <w:t xml:space="preserve">four </w:t>
      </w:r>
      <w:proofErr w:type="spellStart"/>
      <w:r w:rsidRPr="00461D74">
        <w:rPr>
          <w:rFonts w:ascii="Garamond" w:hAnsi="Garamond" w:cstheme="minorHAnsi"/>
          <w:sz w:val="24"/>
          <w:szCs w:val="24"/>
        </w:rPr>
        <w:t>mobilities</w:t>
      </w:r>
      <w:proofErr w:type="spellEnd"/>
      <w:r w:rsidRPr="00461D74">
        <w:rPr>
          <w:rFonts w:ascii="Garamond" w:hAnsi="Garamond" w:cstheme="minorHAnsi"/>
          <w:sz w:val="24"/>
          <w:szCs w:val="24"/>
        </w:rPr>
        <w:t xml:space="preserve">: geographic, social, marital, and political mobility. On </w:t>
      </w:r>
      <w:proofErr w:type="spellStart"/>
      <w:r w:rsidRPr="00461D74">
        <w:rPr>
          <w:rFonts w:ascii="Garamond" w:hAnsi="Garamond" w:cstheme="minorHAnsi"/>
          <w:sz w:val="24"/>
          <w:szCs w:val="24"/>
        </w:rPr>
        <w:t>Walzer’s</w:t>
      </w:r>
      <w:proofErr w:type="spellEnd"/>
      <w:r w:rsidRPr="00461D74">
        <w:rPr>
          <w:rFonts w:ascii="Garamond" w:hAnsi="Garamond" w:cstheme="minorHAnsi"/>
          <w:sz w:val="24"/>
          <w:szCs w:val="24"/>
        </w:rPr>
        <w:t xml:space="preserve"> view, liberalism is “the theoretical endorsement and justification” of the mobility we observe across geographic spaces, social hierarchies, marital obligation, and political loyalties, which together form an important</w:t>
      </w:r>
      <w:r w:rsidR="002C06B1" w:rsidRPr="00461D74">
        <w:rPr>
          <w:rFonts w:ascii="Garamond" w:hAnsi="Garamond" w:cstheme="minorHAnsi"/>
          <w:sz w:val="24"/>
          <w:szCs w:val="24"/>
        </w:rPr>
        <w:t>,</w:t>
      </w:r>
      <w:r w:rsidRPr="00461D74">
        <w:rPr>
          <w:rFonts w:ascii="Garamond" w:hAnsi="Garamond" w:cstheme="minorHAnsi"/>
          <w:sz w:val="24"/>
          <w:szCs w:val="24"/>
        </w:rPr>
        <w:t xml:space="preserve"> and distinctive</w:t>
      </w:r>
      <w:r w:rsidR="002C06B1" w:rsidRPr="00461D74">
        <w:rPr>
          <w:rFonts w:ascii="Garamond" w:hAnsi="Garamond" w:cstheme="minorHAnsi"/>
          <w:sz w:val="24"/>
          <w:szCs w:val="24"/>
        </w:rPr>
        <w:t>,</w:t>
      </w:r>
      <w:r w:rsidRPr="00461D74">
        <w:rPr>
          <w:rFonts w:ascii="Garamond" w:hAnsi="Garamond" w:cstheme="minorHAnsi"/>
          <w:sz w:val="24"/>
          <w:szCs w:val="24"/>
        </w:rPr>
        <w:t xml:space="preserve"> feature of modern liberal society.</w:t>
      </w:r>
      <w:r w:rsidRPr="00461D74">
        <w:rPr>
          <w:rStyle w:val="FootnoteReference"/>
          <w:rFonts w:ascii="Garamond" w:hAnsi="Garamond" w:cstheme="minorHAnsi"/>
          <w:sz w:val="24"/>
          <w:szCs w:val="24"/>
        </w:rPr>
        <w:t xml:space="preserve"> </w:t>
      </w:r>
      <w:r w:rsidRPr="00461D74">
        <w:rPr>
          <w:rStyle w:val="FootnoteReference"/>
          <w:rFonts w:ascii="Garamond" w:hAnsi="Garamond" w:cstheme="minorHAnsi"/>
          <w:sz w:val="24"/>
          <w:szCs w:val="24"/>
        </w:rPr>
        <w:footnoteReference w:id="408"/>
      </w:r>
      <w:r w:rsidRPr="00461D74">
        <w:rPr>
          <w:rFonts w:ascii="Garamond" w:hAnsi="Garamond" w:cstheme="minorHAnsi"/>
          <w:sz w:val="24"/>
          <w:szCs w:val="24"/>
        </w:rPr>
        <w:t xml:space="preserve"> In a sense the increased mobility of individuals in the sphere of the four </w:t>
      </w:r>
      <w:proofErr w:type="spellStart"/>
      <w:r w:rsidRPr="00461D74">
        <w:rPr>
          <w:rFonts w:ascii="Garamond" w:hAnsi="Garamond" w:cstheme="minorHAnsi"/>
          <w:sz w:val="24"/>
          <w:szCs w:val="24"/>
        </w:rPr>
        <w:t>mobilities</w:t>
      </w:r>
      <w:proofErr w:type="spellEnd"/>
      <w:r w:rsidRPr="00461D74">
        <w:rPr>
          <w:rFonts w:ascii="Garamond" w:hAnsi="Garamond" w:cstheme="minorHAnsi"/>
          <w:sz w:val="24"/>
          <w:szCs w:val="24"/>
        </w:rPr>
        <w:t xml:space="preserve"> is a </w:t>
      </w:r>
      <w:r w:rsidR="00795465" w:rsidRPr="00461D74">
        <w:rPr>
          <w:rFonts w:ascii="Garamond" w:hAnsi="Garamond" w:cstheme="minorHAnsi"/>
          <w:sz w:val="24"/>
          <w:szCs w:val="24"/>
        </w:rPr>
        <w:t xml:space="preserve">salient </w:t>
      </w:r>
      <w:r w:rsidRPr="00461D74">
        <w:rPr>
          <w:rFonts w:ascii="Garamond" w:hAnsi="Garamond" w:cstheme="minorHAnsi"/>
          <w:sz w:val="24"/>
          <w:szCs w:val="24"/>
        </w:rPr>
        <w:t xml:space="preserve">fact </w:t>
      </w:r>
      <w:r w:rsidR="00795465" w:rsidRPr="00461D74">
        <w:rPr>
          <w:rFonts w:ascii="Garamond" w:hAnsi="Garamond" w:cstheme="minorHAnsi"/>
          <w:sz w:val="24"/>
          <w:szCs w:val="24"/>
        </w:rPr>
        <w:t xml:space="preserve">in </w:t>
      </w:r>
      <w:r w:rsidRPr="00461D74">
        <w:rPr>
          <w:rFonts w:ascii="Garamond" w:hAnsi="Garamond" w:cstheme="minorHAnsi"/>
          <w:sz w:val="24"/>
          <w:szCs w:val="24"/>
        </w:rPr>
        <w:t>liberal</w:t>
      </w:r>
      <w:r w:rsidR="00795465" w:rsidRPr="00461D74">
        <w:rPr>
          <w:rFonts w:ascii="Garamond" w:hAnsi="Garamond" w:cstheme="minorHAnsi"/>
          <w:sz w:val="24"/>
          <w:szCs w:val="24"/>
        </w:rPr>
        <w:t xml:space="preserve"> society</w:t>
      </w:r>
      <w:r w:rsidRPr="00461D74">
        <w:rPr>
          <w:rFonts w:ascii="Garamond" w:hAnsi="Garamond" w:cstheme="minorHAnsi"/>
          <w:sz w:val="24"/>
          <w:szCs w:val="24"/>
        </w:rPr>
        <w:t xml:space="preserve">, and all efforts to curtail mobility will require massive and certainly </w:t>
      </w:r>
      <w:r w:rsidR="002314A7">
        <w:rPr>
          <w:rFonts w:ascii="Garamond" w:hAnsi="Garamond" w:cstheme="minorHAnsi"/>
          <w:sz w:val="24"/>
          <w:szCs w:val="24"/>
        </w:rPr>
        <w:t xml:space="preserve">an </w:t>
      </w:r>
      <w:r w:rsidRPr="00461D74">
        <w:rPr>
          <w:rFonts w:ascii="Garamond" w:hAnsi="Garamond" w:cstheme="minorHAnsi"/>
          <w:sz w:val="24"/>
          <w:szCs w:val="24"/>
        </w:rPr>
        <w:t>undesir</w:t>
      </w:r>
      <w:r w:rsidR="002314A7">
        <w:rPr>
          <w:rFonts w:ascii="Garamond" w:hAnsi="Garamond" w:cstheme="minorHAnsi"/>
          <w:sz w:val="24"/>
          <w:szCs w:val="24"/>
        </w:rPr>
        <w:t>able</w:t>
      </w:r>
      <w:r w:rsidRPr="00461D74">
        <w:rPr>
          <w:rFonts w:ascii="Garamond" w:hAnsi="Garamond" w:cstheme="minorHAnsi"/>
          <w:sz w:val="24"/>
          <w:szCs w:val="24"/>
        </w:rPr>
        <w:t xml:space="preserve"> application of coercive power</w:t>
      </w:r>
      <w:r w:rsidR="002314A7">
        <w:rPr>
          <w:rFonts w:ascii="Garamond" w:hAnsi="Garamond" w:cstheme="minorHAnsi"/>
          <w:sz w:val="24"/>
          <w:szCs w:val="24"/>
        </w:rPr>
        <w:t xml:space="preserve"> by the state</w:t>
      </w:r>
      <w:r w:rsidRPr="00461D74">
        <w:rPr>
          <w:rFonts w:ascii="Garamond" w:hAnsi="Garamond" w:cstheme="minorHAnsi"/>
          <w:sz w:val="24"/>
          <w:szCs w:val="24"/>
        </w:rPr>
        <w:t>.</w:t>
      </w:r>
    </w:p>
    <w:p w:rsidR="00665157" w:rsidRDefault="00795465">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T</w:t>
      </w:r>
      <w:r w:rsidR="00016049" w:rsidRPr="00461D74">
        <w:rPr>
          <w:rFonts w:ascii="Garamond" w:hAnsi="Garamond" w:cstheme="minorHAnsi"/>
          <w:sz w:val="24"/>
          <w:szCs w:val="24"/>
        </w:rPr>
        <w:t xml:space="preserve">he first critique </w:t>
      </w:r>
      <w:r w:rsidRPr="00461D74">
        <w:rPr>
          <w:rFonts w:ascii="Garamond" w:hAnsi="Garamond" w:cstheme="minorHAnsi"/>
          <w:sz w:val="24"/>
          <w:szCs w:val="24"/>
        </w:rPr>
        <w:t xml:space="preserve">correctly describes the following fact: </w:t>
      </w:r>
      <w:r w:rsidR="00016049" w:rsidRPr="00461D74">
        <w:rPr>
          <w:rFonts w:ascii="Garamond" w:hAnsi="Garamond" w:cstheme="minorHAnsi"/>
          <w:sz w:val="24"/>
          <w:szCs w:val="24"/>
        </w:rPr>
        <w:t xml:space="preserve">that we </w:t>
      </w:r>
      <w:r w:rsidRPr="00461D74">
        <w:rPr>
          <w:rFonts w:ascii="Garamond" w:hAnsi="Garamond" w:cstheme="minorHAnsi"/>
          <w:sz w:val="24"/>
          <w:szCs w:val="24"/>
        </w:rPr>
        <w:t xml:space="preserve">find ourselves more </w:t>
      </w:r>
      <w:r w:rsidR="00016049" w:rsidRPr="00461D74">
        <w:rPr>
          <w:rFonts w:ascii="Garamond" w:hAnsi="Garamond" w:cstheme="minorHAnsi"/>
          <w:sz w:val="24"/>
          <w:szCs w:val="24"/>
        </w:rPr>
        <w:t>often alone than people have generally been in earlier historical periods</w:t>
      </w:r>
      <w:r w:rsidRPr="00461D74">
        <w:rPr>
          <w:rFonts w:ascii="Garamond" w:hAnsi="Garamond" w:cstheme="minorHAnsi"/>
          <w:sz w:val="24"/>
          <w:szCs w:val="24"/>
        </w:rPr>
        <w:t xml:space="preserve">; and that we rely to a much lesser degree </w:t>
      </w:r>
      <w:r w:rsidR="00016049" w:rsidRPr="00461D74">
        <w:rPr>
          <w:rFonts w:ascii="Garamond" w:hAnsi="Garamond" w:cstheme="minorHAnsi"/>
          <w:sz w:val="24"/>
          <w:szCs w:val="24"/>
        </w:rPr>
        <w:t>on neighbours who are close by, on relatives who live in our vicinity, or colleagues who are often in transition moving from one place to another.</w:t>
      </w:r>
      <w:r w:rsidR="00016049" w:rsidRPr="00461D74">
        <w:rPr>
          <w:rStyle w:val="FootnoteReference"/>
          <w:rFonts w:ascii="Garamond" w:hAnsi="Garamond" w:cstheme="minorHAnsi"/>
          <w:sz w:val="24"/>
          <w:szCs w:val="24"/>
        </w:rPr>
        <w:footnoteReference w:id="409"/>
      </w:r>
      <w:r w:rsidR="00016049" w:rsidRPr="00461D74">
        <w:rPr>
          <w:rFonts w:ascii="Garamond" w:hAnsi="Garamond" w:cstheme="minorHAnsi"/>
          <w:sz w:val="24"/>
          <w:szCs w:val="24"/>
        </w:rPr>
        <w:t xml:space="preserve"> The second critique is also true</w:t>
      </w:r>
      <w:r w:rsidR="008E2361">
        <w:rPr>
          <w:rFonts w:ascii="Garamond" w:hAnsi="Garamond" w:cstheme="minorHAnsi"/>
          <w:sz w:val="24"/>
          <w:szCs w:val="24"/>
        </w:rPr>
        <w:t>,</w:t>
      </w:r>
      <w:r w:rsidR="00016049" w:rsidRPr="00461D74">
        <w:rPr>
          <w:rFonts w:ascii="Garamond" w:hAnsi="Garamond" w:cstheme="minorHAnsi"/>
          <w:sz w:val="24"/>
          <w:szCs w:val="24"/>
        </w:rPr>
        <w:t xml:space="preserve"> since human beings </w:t>
      </w:r>
      <w:r w:rsidR="00434037" w:rsidRPr="00461D74">
        <w:rPr>
          <w:rFonts w:ascii="Garamond" w:hAnsi="Garamond" w:cstheme="minorHAnsi"/>
          <w:sz w:val="24"/>
          <w:szCs w:val="24"/>
        </w:rPr>
        <w:t xml:space="preserve">generally </w:t>
      </w:r>
      <w:r w:rsidR="00434037">
        <w:rPr>
          <w:rFonts w:ascii="Garamond" w:hAnsi="Garamond" w:cstheme="minorHAnsi"/>
          <w:sz w:val="24"/>
          <w:szCs w:val="24"/>
        </w:rPr>
        <w:t>remain</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social creatures, and even if the four </w:t>
      </w:r>
      <w:proofErr w:type="spellStart"/>
      <w:r w:rsidR="00016049" w:rsidRPr="00461D74">
        <w:rPr>
          <w:rFonts w:ascii="Garamond" w:hAnsi="Garamond" w:cstheme="minorHAnsi"/>
          <w:sz w:val="24"/>
          <w:szCs w:val="24"/>
        </w:rPr>
        <w:t>mobilities</w:t>
      </w:r>
      <w:proofErr w:type="spellEnd"/>
      <w:r w:rsidR="00016049" w:rsidRPr="00461D74">
        <w:rPr>
          <w:rFonts w:ascii="Garamond" w:hAnsi="Garamond" w:cstheme="minorHAnsi"/>
          <w:sz w:val="24"/>
          <w:szCs w:val="24"/>
        </w:rPr>
        <w:t xml:space="preserve"> tend to increase our isolation and independence, </w:t>
      </w:r>
      <w:r w:rsidRPr="00461D74">
        <w:rPr>
          <w:rFonts w:ascii="Garamond" w:hAnsi="Garamond" w:cstheme="minorHAnsi"/>
          <w:sz w:val="24"/>
          <w:szCs w:val="24"/>
        </w:rPr>
        <w:t xml:space="preserve">they </w:t>
      </w:r>
      <w:r w:rsidR="00016049" w:rsidRPr="00461D74">
        <w:rPr>
          <w:rFonts w:ascii="Garamond" w:hAnsi="Garamond" w:cstheme="minorHAnsi"/>
          <w:sz w:val="24"/>
          <w:szCs w:val="24"/>
        </w:rPr>
        <w:t xml:space="preserve">nonetheless do not </w:t>
      </w:r>
      <w:r w:rsidRPr="00461D74">
        <w:rPr>
          <w:rFonts w:ascii="Garamond" w:hAnsi="Garamond" w:cstheme="minorHAnsi"/>
          <w:sz w:val="24"/>
          <w:szCs w:val="24"/>
        </w:rPr>
        <w:t xml:space="preserve">place </w:t>
      </w:r>
      <w:r w:rsidR="00016049" w:rsidRPr="00461D74">
        <w:rPr>
          <w:rFonts w:ascii="Garamond" w:hAnsi="Garamond" w:cstheme="minorHAnsi"/>
          <w:sz w:val="24"/>
          <w:szCs w:val="24"/>
        </w:rPr>
        <w:t>us so far from each other that we stop communicating altogether. If we agree with the second critique</w:t>
      </w:r>
      <w:r w:rsidRPr="00461D74">
        <w:rPr>
          <w:rFonts w:ascii="Garamond" w:hAnsi="Garamond" w:cstheme="minorHAnsi"/>
          <w:sz w:val="24"/>
          <w:szCs w:val="24"/>
        </w:rPr>
        <w:t xml:space="preserve"> – namely, </w:t>
      </w:r>
      <w:r w:rsidR="00016049" w:rsidRPr="00461D74">
        <w:rPr>
          <w:rFonts w:ascii="Garamond" w:hAnsi="Garamond" w:cstheme="minorHAnsi"/>
          <w:sz w:val="24"/>
          <w:szCs w:val="24"/>
        </w:rPr>
        <w:t>that we are situated human beings</w:t>
      </w:r>
      <w:r w:rsidRPr="00461D74">
        <w:rPr>
          <w:rFonts w:ascii="Garamond" w:hAnsi="Garamond" w:cstheme="minorHAnsi"/>
          <w:sz w:val="24"/>
          <w:szCs w:val="24"/>
        </w:rPr>
        <w:t xml:space="preserve"> tied to our social context – </w:t>
      </w:r>
      <w:r w:rsidR="00016049" w:rsidRPr="00461D74">
        <w:rPr>
          <w:rFonts w:ascii="Garamond" w:hAnsi="Garamond" w:cstheme="minorHAnsi"/>
          <w:sz w:val="24"/>
          <w:szCs w:val="24"/>
        </w:rPr>
        <w:t xml:space="preserve">then it does not make sense to say that liberalism </w:t>
      </w:r>
      <w:r w:rsidRPr="00461D74">
        <w:rPr>
          <w:rFonts w:ascii="Garamond" w:hAnsi="Garamond" w:cstheme="minorHAnsi"/>
          <w:sz w:val="24"/>
          <w:szCs w:val="24"/>
        </w:rPr>
        <w:t xml:space="preserve">altogether preclude </w:t>
      </w:r>
      <w:r w:rsidR="00016049" w:rsidRPr="00461D74">
        <w:rPr>
          <w:rFonts w:ascii="Garamond" w:hAnsi="Garamond" w:cstheme="minorHAnsi"/>
          <w:sz w:val="24"/>
          <w:szCs w:val="24"/>
        </w:rPr>
        <w:t xml:space="preserve">us from maintaining </w:t>
      </w:r>
      <w:r w:rsidRPr="00461D74">
        <w:rPr>
          <w:rFonts w:ascii="Garamond" w:hAnsi="Garamond" w:cstheme="minorHAnsi"/>
          <w:sz w:val="24"/>
          <w:szCs w:val="24"/>
        </w:rPr>
        <w:t>our social bonds</w:t>
      </w:r>
      <w:r w:rsidR="00016049"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It may be that liberalism </w:t>
      </w:r>
      <w:r w:rsidR="00FB017C" w:rsidRPr="00461D74">
        <w:rPr>
          <w:rFonts w:ascii="Garamond" w:hAnsi="Garamond" w:cstheme="minorHAnsi"/>
          <w:sz w:val="24"/>
          <w:szCs w:val="24"/>
        </w:rPr>
        <w:t xml:space="preserve">and liberal society more generally display </w:t>
      </w:r>
      <w:r w:rsidRPr="00461D74">
        <w:rPr>
          <w:rFonts w:ascii="Garamond" w:hAnsi="Garamond" w:cstheme="minorHAnsi"/>
          <w:sz w:val="24"/>
          <w:szCs w:val="24"/>
        </w:rPr>
        <w:t xml:space="preserve">characteristics that </w:t>
      </w:r>
      <w:r w:rsidR="00FB017C" w:rsidRPr="00461D74">
        <w:rPr>
          <w:rFonts w:ascii="Garamond" w:hAnsi="Garamond" w:cstheme="minorHAnsi"/>
          <w:sz w:val="24"/>
          <w:szCs w:val="24"/>
        </w:rPr>
        <w:t xml:space="preserve">render them </w:t>
      </w:r>
      <w:r w:rsidRPr="00461D74">
        <w:rPr>
          <w:rFonts w:ascii="Garamond" w:hAnsi="Garamond" w:cstheme="minorHAnsi"/>
          <w:sz w:val="24"/>
          <w:szCs w:val="24"/>
        </w:rPr>
        <w:t>unstable in the long run</w:t>
      </w:r>
      <w:r w:rsidR="001462D6" w:rsidRPr="00461D74">
        <w:rPr>
          <w:rFonts w:ascii="Garamond" w:hAnsi="Garamond" w:cstheme="minorHAnsi"/>
          <w:sz w:val="24"/>
          <w:szCs w:val="24"/>
        </w:rPr>
        <w:t>,</w:t>
      </w:r>
      <w:r w:rsidRPr="00461D74">
        <w:rPr>
          <w:rFonts w:ascii="Garamond" w:hAnsi="Garamond" w:cstheme="minorHAnsi"/>
          <w:sz w:val="24"/>
          <w:szCs w:val="24"/>
        </w:rPr>
        <w:t xml:space="preserve"> </w:t>
      </w:r>
      <w:r w:rsidR="001462D6" w:rsidRPr="00461D74">
        <w:rPr>
          <w:rFonts w:ascii="Garamond" w:hAnsi="Garamond" w:cstheme="minorHAnsi"/>
          <w:sz w:val="24"/>
          <w:szCs w:val="24"/>
        </w:rPr>
        <w:t xml:space="preserve">which </w:t>
      </w:r>
      <w:r w:rsidR="00B90470">
        <w:rPr>
          <w:rFonts w:ascii="Garamond" w:hAnsi="Garamond" w:cstheme="minorHAnsi"/>
          <w:sz w:val="24"/>
          <w:szCs w:val="24"/>
        </w:rPr>
        <w:t>then necessitates</w:t>
      </w:r>
      <w:r w:rsidR="00B90470" w:rsidRPr="00461D74">
        <w:rPr>
          <w:rFonts w:ascii="Garamond" w:hAnsi="Garamond" w:cstheme="minorHAnsi"/>
          <w:sz w:val="24"/>
          <w:szCs w:val="24"/>
        </w:rPr>
        <w:t xml:space="preserve"> </w:t>
      </w:r>
      <w:r w:rsidR="001462D6" w:rsidRPr="00461D74">
        <w:rPr>
          <w:rFonts w:ascii="Garamond" w:hAnsi="Garamond" w:cstheme="minorHAnsi"/>
          <w:sz w:val="24"/>
          <w:szCs w:val="24"/>
        </w:rPr>
        <w:t xml:space="preserve">a </w:t>
      </w:r>
      <w:r w:rsidR="00B90470">
        <w:rPr>
          <w:rFonts w:ascii="Garamond" w:hAnsi="Garamond" w:cstheme="minorHAnsi"/>
          <w:sz w:val="24"/>
          <w:szCs w:val="24"/>
        </w:rPr>
        <w:t>degree</w:t>
      </w:r>
      <w:r w:rsidR="00B90470" w:rsidRPr="00461D74">
        <w:rPr>
          <w:rFonts w:ascii="Garamond" w:hAnsi="Garamond" w:cstheme="minorHAnsi"/>
          <w:sz w:val="24"/>
          <w:szCs w:val="24"/>
        </w:rPr>
        <w:t xml:space="preserve"> </w:t>
      </w:r>
      <w:r w:rsidR="001462D6" w:rsidRPr="00461D74">
        <w:rPr>
          <w:rFonts w:ascii="Garamond" w:hAnsi="Garamond" w:cstheme="minorHAnsi"/>
          <w:sz w:val="24"/>
          <w:szCs w:val="24"/>
        </w:rPr>
        <w:t xml:space="preserve">of </w:t>
      </w:r>
      <w:r w:rsidRPr="00461D74">
        <w:rPr>
          <w:rFonts w:ascii="Garamond" w:hAnsi="Garamond" w:cstheme="minorHAnsi"/>
          <w:sz w:val="24"/>
          <w:szCs w:val="24"/>
        </w:rPr>
        <w:t>correcti</w:t>
      </w:r>
      <w:r w:rsidR="001462D6" w:rsidRPr="00461D74">
        <w:rPr>
          <w:rFonts w:ascii="Garamond" w:hAnsi="Garamond" w:cstheme="minorHAnsi"/>
          <w:sz w:val="24"/>
          <w:szCs w:val="24"/>
        </w:rPr>
        <w:t>ve action</w:t>
      </w:r>
      <w:r w:rsidRPr="00461D74">
        <w:rPr>
          <w:rFonts w:ascii="Garamond" w:hAnsi="Garamond" w:cstheme="minorHAnsi"/>
          <w:sz w:val="24"/>
          <w:szCs w:val="24"/>
        </w:rPr>
        <w:t xml:space="preserve"> at different points in time</w:t>
      </w:r>
      <w:r w:rsidR="00B90470">
        <w:rPr>
          <w:rFonts w:ascii="Garamond" w:hAnsi="Garamond" w:cstheme="minorHAnsi"/>
          <w:sz w:val="24"/>
          <w:szCs w:val="24"/>
        </w:rPr>
        <w:t>;</w:t>
      </w:r>
      <w:r w:rsidRPr="00461D74">
        <w:rPr>
          <w:rFonts w:ascii="Garamond" w:hAnsi="Garamond" w:cstheme="minorHAnsi"/>
          <w:sz w:val="24"/>
          <w:szCs w:val="24"/>
        </w:rPr>
        <w:t xml:space="preserve"> </w:t>
      </w:r>
      <w:r w:rsidR="001462D6" w:rsidRPr="00461D74">
        <w:rPr>
          <w:rFonts w:ascii="Garamond" w:hAnsi="Garamond" w:cstheme="minorHAnsi"/>
          <w:sz w:val="24"/>
          <w:szCs w:val="24"/>
        </w:rPr>
        <w:t xml:space="preserve">nevertheless </w:t>
      </w:r>
      <w:r w:rsidRPr="00461D74">
        <w:rPr>
          <w:rFonts w:ascii="Garamond" w:hAnsi="Garamond" w:cstheme="minorHAnsi"/>
          <w:sz w:val="24"/>
          <w:szCs w:val="24"/>
        </w:rPr>
        <w:t xml:space="preserve">it </w:t>
      </w:r>
      <w:r w:rsidR="001462D6" w:rsidRPr="00461D74">
        <w:rPr>
          <w:rFonts w:ascii="Garamond" w:hAnsi="Garamond" w:cstheme="minorHAnsi"/>
          <w:sz w:val="24"/>
          <w:szCs w:val="24"/>
        </w:rPr>
        <w:t>seems</w:t>
      </w:r>
      <w:r w:rsidRPr="00461D74">
        <w:rPr>
          <w:rFonts w:ascii="Garamond" w:hAnsi="Garamond" w:cstheme="minorHAnsi"/>
          <w:sz w:val="24"/>
          <w:szCs w:val="24"/>
        </w:rPr>
        <w:t xml:space="preserve"> </w:t>
      </w:r>
      <w:r w:rsidR="001462D6" w:rsidRPr="00461D74">
        <w:rPr>
          <w:rFonts w:ascii="Garamond" w:hAnsi="Garamond" w:cstheme="minorHAnsi"/>
          <w:sz w:val="24"/>
          <w:szCs w:val="24"/>
        </w:rPr>
        <w:t>un</w:t>
      </w:r>
      <w:r w:rsidRPr="00461D74">
        <w:rPr>
          <w:rFonts w:ascii="Garamond" w:hAnsi="Garamond" w:cstheme="minorHAnsi"/>
          <w:sz w:val="24"/>
          <w:szCs w:val="24"/>
        </w:rPr>
        <w:t xml:space="preserve">helpful to </w:t>
      </w:r>
      <w:r w:rsidR="001462D6" w:rsidRPr="00461D74">
        <w:rPr>
          <w:rFonts w:ascii="Garamond" w:hAnsi="Garamond" w:cstheme="minorHAnsi"/>
          <w:sz w:val="24"/>
          <w:szCs w:val="24"/>
        </w:rPr>
        <w:t xml:space="preserve">claim </w:t>
      </w:r>
      <w:r w:rsidRPr="00461D74">
        <w:rPr>
          <w:rFonts w:ascii="Garamond" w:hAnsi="Garamond" w:cstheme="minorHAnsi"/>
          <w:sz w:val="24"/>
          <w:szCs w:val="24"/>
        </w:rPr>
        <w:t>that liberal politics is completely incoherent or that it should be replaced by some pre-modern form of community.</w:t>
      </w:r>
      <w:r w:rsidRPr="00461D74">
        <w:rPr>
          <w:rStyle w:val="FootnoteReference"/>
          <w:rFonts w:ascii="Garamond" w:hAnsi="Garamond" w:cstheme="minorHAnsi"/>
          <w:sz w:val="24"/>
          <w:szCs w:val="24"/>
        </w:rPr>
        <w:footnoteReference w:id="410"/>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argues that it is </w:t>
      </w:r>
      <w:r w:rsidR="001462D6" w:rsidRPr="00461D74">
        <w:rPr>
          <w:rFonts w:ascii="Garamond" w:hAnsi="Garamond" w:cstheme="minorHAnsi"/>
          <w:sz w:val="24"/>
          <w:szCs w:val="24"/>
        </w:rPr>
        <w:t xml:space="preserve">much </w:t>
      </w:r>
      <w:r w:rsidRPr="00461D74">
        <w:rPr>
          <w:rFonts w:ascii="Garamond" w:hAnsi="Garamond" w:cstheme="minorHAnsi"/>
          <w:sz w:val="24"/>
          <w:szCs w:val="24"/>
        </w:rPr>
        <w:t xml:space="preserve">more plausible to describe liberalism as a “social union of social unions” that brings us together and is inclusive of a large variety of social unions. </w:t>
      </w:r>
      <w:r w:rsidR="001462D6" w:rsidRPr="00461D74">
        <w:rPr>
          <w:rFonts w:ascii="Garamond" w:hAnsi="Garamond" w:cstheme="minorHAnsi"/>
          <w:sz w:val="24"/>
          <w:szCs w:val="24"/>
        </w:rPr>
        <w:t>On this view, liberalism as a social union, in</w:t>
      </w:r>
      <w:r w:rsidRPr="00461D74">
        <w:rPr>
          <w:rFonts w:ascii="Garamond" w:hAnsi="Garamond" w:cstheme="minorHAnsi"/>
          <w:sz w:val="24"/>
          <w:szCs w:val="24"/>
        </w:rPr>
        <w:t xml:space="preserve"> addition to its associative tendencies, </w:t>
      </w:r>
      <w:r w:rsidR="001462D6" w:rsidRPr="00461D74">
        <w:rPr>
          <w:rFonts w:ascii="Garamond" w:hAnsi="Garamond" w:cstheme="minorHAnsi"/>
          <w:sz w:val="24"/>
          <w:szCs w:val="24"/>
        </w:rPr>
        <w:t>exhibits</w:t>
      </w:r>
      <w:r w:rsidRPr="00461D74">
        <w:rPr>
          <w:rFonts w:ascii="Garamond" w:hAnsi="Garamond" w:cstheme="minorHAnsi"/>
          <w:sz w:val="24"/>
          <w:szCs w:val="24"/>
        </w:rPr>
        <w:t xml:space="preserve"> dissociative tendencies </w:t>
      </w:r>
      <w:r w:rsidR="001462D6" w:rsidRPr="00461D74">
        <w:rPr>
          <w:rFonts w:ascii="Garamond" w:hAnsi="Garamond" w:cstheme="minorHAnsi"/>
          <w:sz w:val="24"/>
          <w:szCs w:val="24"/>
        </w:rPr>
        <w:t xml:space="preserve">which </w:t>
      </w:r>
      <w:r w:rsidRPr="00461D74">
        <w:rPr>
          <w:rFonts w:ascii="Garamond" w:hAnsi="Garamond" w:cstheme="minorHAnsi"/>
          <w:sz w:val="24"/>
          <w:szCs w:val="24"/>
        </w:rPr>
        <w:t xml:space="preserve">require </w:t>
      </w:r>
      <w:r w:rsidR="00B90470">
        <w:rPr>
          <w:rFonts w:ascii="Garamond" w:hAnsi="Garamond" w:cstheme="minorHAnsi"/>
          <w:sz w:val="24"/>
          <w:szCs w:val="24"/>
        </w:rPr>
        <w:t xml:space="preserve">a range of </w:t>
      </w:r>
      <w:r w:rsidRPr="00461D74">
        <w:rPr>
          <w:rFonts w:ascii="Garamond" w:hAnsi="Garamond" w:cstheme="minorHAnsi"/>
          <w:sz w:val="24"/>
          <w:szCs w:val="24"/>
        </w:rPr>
        <w:t>correcti</w:t>
      </w:r>
      <w:r w:rsidR="00B90470">
        <w:rPr>
          <w:rFonts w:ascii="Garamond" w:hAnsi="Garamond" w:cstheme="minorHAnsi"/>
          <w:sz w:val="24"/>
          <w:szCs w:val="24"/>
        </w:rPr>
        <w:t>ve acti</w:t>
      </w:r>
      <w:r w:rsidRPr="00461D74">
        <w:rPr>
          <w:rFonts w:ascii="Garamond" w:hAnsi="Garamond" w:cstheme="minorHAnsi"/>
          <w:sz w:val="24"/>
          <w:szCs w:val="24"/>
        </w:rPr>
        <w:t>on</w:t>
      </w:r>
      <w:r w:rsidR="00B90470">
        <w:rPr>
          <w:rFonts w:ascii="Garamond" w:hAnsi="Garamond" w:cstheme="minorHAnsi"/>
          <w:sz w:val="24"/>
          <w:szCs w:val="24"/>
        </w:rPr>
        <w:t>s</w:t>
      </w:r>
      <w:r w:rsidRPr="00461D74">
        <w:rPr>
          <w:rFonts w:ascii="Garamond" w:hAnsi="Garamond" w:cstheme="minorHAnsi"/>
          <w:sz w:val="24"/>
          <w:szCs w:val="24"/>
        </w:rPr>
        <w:t xml:space="preserve"> at different intervals.</w:t>
      </w:r>
      <w:r w:rsidRPr="00461D74">
        <w:rPr>
          <w:rStyle w:val="FootnoteReference"/>
          <w:rFonts w:ascii="Garamond" w:hAnsi="Garamond" w:cstheme="minorHAnsi"/>
          <w:sz w:val="24"/>
          <w:szCs w:val="24"/>
        </w:rPr>
        <w:footnoteReference w:id="411"/>
      </w:r>
    </w:p>
    <w:p w:rsidR="00665157" w:rsidRDefault="00DB1BD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Now</w:t>
      </w:r>
      <w:r w:rsidR="008E2361">
        <w:rPr>
          <w:rFonts w:ascii="Garamond" w:hAnsi="Garamond" w:cstheme="minorHAnsi"/>
          <w:sz w:val="24"/>
          <w:szCs w:val="24"/>
        </w:rPr>
        <w:t>,</w:t>
      </w:r>
      <w:r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Walzer</w:t>
      </w:r>
      <w:proofErr w:type="spellEnd"/>
      <w:r w:rsidR="00016049" w:rsidRPr="00461D74">
        <w:rPr>
          <w:rFonts w:ascii="Garamond" w:hAnsi="Garamond" w:cstheme="minorHAnsi"/>
          <w:sz w:val="24"/>
          <w:szCs w:val="24"/>
        </w:rPr>
        <w:t xml:space="preserve"> offers the example of </w:t>
      </w:r>
      <w:r w:rsidRPr="00461D74">
        <w:rPr>
          <w:rFonts w:ascii="Garamond" w:hAnsi="Garamond" w:cstheme="minorHAnsi"/>
          <w:sz w:val="24"/>
          <w:szCs w:val="24"/>
        </w:rPr>
        <w:t xml:space="preserve">legislations </w:t>
      </w:r>
      <w:r w:rsidR="00016049" w:rsidRPr="00461D74">
        <w:rPr>
          <w:rFonts w:ascii="Garamond" w:hAnsi="Garamond" w:cstheme="minorHAnsi"/>
          <w:sz w:val="24"/>
          <w:szCs w:val="24"/>
        </w:rPr>
        <w:t>designed to afford protection to local communities</w:t>
      </w:r>
      <w:r w:rsidRPr="00461D74">
        <w:rPr>
          <w:rFonts w:ascii="Garamond" w:hAnsi="Garamond" w:cstheme="minorHAnsi"/>
          <w:sz w:val="24"/>
          <w:szCs w:val="24"/>
        </w:rPr>
        <w:t>, against the closure of manufacturing plants</w:t>
      </w:r>
      <w:r w:rsidR="00016049" w:rsidRPr="00461D74">
        <w:rPr>
          <w:rFonts w:ascii="Garamond" w:hAnsi="Garamond" w:cstheme="minorHAnsi"/>
          <w:sz w:val="24"/>
          <w:szCs w:val="24"/>
        </w:rPr>
        <w:t>. Here</w:t>
      </w:r>
      <w:r w:rsidRPr="00461D74">
        <w:rPr>
          <w:rFonts w:ascii="Garamond" w:hAnsi="Garamond" w:cstheme="minorHAnsi"/>
          <w:sz w:val="24"/>
          <w:szCs w:val="24"/>
        </w:rPr>
        <w:t>,</w:t>
      </w:r>
      <w:r w:rsidR="00016049" w:rsidRPr="00461D74">
        <w:rPr>
          <w:rFonts w:ascii="Garamond" w:hAnsi="Garamond" w:cstheme="minorHAnsi"/>
          <w:sz w:val="24"/>
          <w:szCs w:val="24"/>
        </w:rPr>
        <w:t xml:space="preserve"> members of the community and their way of life are temporarily protected from the vicissitudes of market</w:t>
      </w:r>
      <w:r w:rsidRPr="00461D74">
        <w:rPr>
          <w:rFonts w:ascii="Garamond" w:hAnsi="Garamond" w:cstheme="minorHAnsi"/>
          <w:sz w:val="24"/>
          <w:szCs w:val="24"/>
        </w:rPr>
        <w:t xml:space="preserve"> forces</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Yet, </w:t>
      </w:r>
      <w:r w:rsidR="00016049" w:rsidRPr="00461D74">
        <w:rPr>
          <w:rFonts w:ascii="Garamond" w:hAnsi="Garamond" w:cstheme="minorHAnsi"/>
          <w:sz w:val="24"/>
          <w:szCs w:val="24"/>
        </w:rPr>
        <w:t xml:space="preserve">the state cannot </w:t>
      </w:r>
      <w:r w:rsidR="004F02DE" w:rsidRPr="00461D74">
        <w:rPr>
          <w:rFonts w:ascii="Garamond" w:hAnsi="Garamond" w:cstheme="minorHAnsi"/>
          <w:sz w:val="24"/>
          <w:szCs w:val="24"/>
        </w:rPr>
        <w:t xml:space="preserve">in principle </w:t>
      </w:r>
      <w:r w:rsidR="004F02DE">
        <w:rPr>
          <w:rFonts w:ascii="Garamond" w:hAnsi="Garamond" w:cstheme="minorHAnsi"/>
          <w:sz w:val="24"/>
          <w:szCs w:val="24"/>
        </w:rPr>
        <w:t>commit itself</w:t>
      </w:r>
      <w:r w:rsidR="00016049" w:rsidRPr="00461D74">
        <w:rPr>
          <w:rFonts w:ascii="Garamond" w:hAnsi="Garamond" w:cstheme="minorHAnsi"/>
          <w:sz w:val="24"/>
          <w:szCs w:val="24"/>
        </w:rPr>
        <w:t xml:space="preserve"> to</w:t>
      </w:r>
      <w:r w:rsidR="004F02DE">
        <w:rPr>
          <w:rFonts w:ascii="Garamond" w:hAnsi="Garamond" w:cstheme="minorHAnsi"/>
          <w:sz w:val="24"/>
          <w:szCs w:val="24"/>
        </w:rPr>
        <w:t>,</w:t>
      </w:r>
      <w:r w:rsidRPr="00461D74">
        <w:rPr>
          <w:rFonts w:ascii="Garamond" w:hAnsi="Garamond" w:cstheme="minorHAnsi"/>
          <w:sz w:val="24"/>
          <w:szCs w:val="24"/>
        </w:rPr>
        <w:t xml:space="preserve"> </w:t>
      </w:r>
      <w:r w:rsidRPr="00461D74">
        <w:rPr>
          <w:rFonts w:ascii="Garamond" w:hAnsi="Garamond" w:cstheme="minorHAnsi"/>
          <w:sz w:val="24"/>
          <w:szCs w:val="24"/>
        </w:rPr>
        <w:lastRenderedPageBreak/>
        <w:t xml:space="preserve">nor </w:t>
      </w:r>
      <w:r w:rsidR="004F02DE">
        <w:rPr>
          <w:rFonts w:ascii="Garamond" w:hAnsi="Garamond" w:cstheme="minorHAnsi"/>
          <w:sz w:val="24"/>
          <w:szCs w:val="24"/>
        </w:rPr>
        <w:t xml:space="preserve">does it </w:t>
      </w:r>
      <w:r w:rsidRPr="00461D74">
        <w:rPr>
          <w:rFonts w:ascii="Garamond" w:hAnsi="Garamond" w:cstheme="minorHAnsi"/>
          <w:sz w:val="24"/>
          <w:szCs w:val="24"/>
        </w:rPr>
        <w:t xml:space="preserve">possess </w:t>
      </w:r>
      <w:r w:rsidR="000F5AFA" w:rsidRPr="00461D74">
        <w:rPr>
          <w:rFonts w:ascii="Garamond" w:hAnsi="Garamond" w:cstheme="minorHAnsi"/>
          <w:sz w:val="24"/>
          <w:szCs w:val="24"/>
        </w:rPr>
        <w:t>adequate</w:t>
      </w:r>
      <w:r w:rsidRPr="00461D74">
        <w:rPr>
          <w:rFonts w:ascii="Garamond" w:hAnsi="Garamond" w:cstheme="minorHAnsi"/>
          <w:sz w:val="24"/>
          <w:szCs w:val="24"/>
        </w:rPr>
        <w:t xml:space="preserve"> resources for</w:t>
      </w:r>
      <w:r w:rsidR="004F02DE">
        <w:rPr>
          <w:rFonts w:ascii="Garamond" w:hAnsi="Garamond" w:cstheme="minorHAnsi"/>
          <w:sz w:val="24"/>
          <w:szCs w:val="24"/>
        </w:rPr>
        <w:t>,</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preservation of every community. </w:t>
      </w:r>
      <w:r w:rsidR="00936835" w:rsidRPr="00461D74">
        <w:rPr>
          <w:rFonts w:ascii="Garamond" w:hAnsi="Garamond" w:cstheme="minorHAnsi"/>
          <w:sz w:val="24"/>
          <w:szCs w:val="24"/>
        </w:rPr>
        <w:t>Still</w:t>
      </w:r>
      <w:r w:rsidR="005361A1">
        <w:rPr>
          <w:rFonts w:ascii="Garamond" w:hAnsi="Garamond" w:cstheme="minorHAnsi"/>
          <w:sz w:val="24"/>
          <w:szCs w:val="24"/>
        </w:rPr>
        <w:t>,</w:t>
      </w:r>
      <w:r w:rsidR="00936835" w:rsidRPr="00461D74">
        <w:rPr>
          <w:rFonts w:ascii="Garamond" w:hAnsi="Garamond" w:cstheme="minorHAnsi"/>
          <w:sz w:val="24"/>
          <w:szCs w:val="24"/>
        </w:rPr>
        <w:t xml:space="preserve"> i</w:t>
      </w:r>
      <w:r w:rsidR="00016049" w:rsidRPr="00461D74">
        <w:rPr>
          <w:rFonts w:ascii="Garamond" w:hAnsi="Garamond" w:cstheme="minorHAnsi"/>
          <w:sz w:val="24"/>
          <w:szCs w:val="24"/>
        </w:rPr>
        <w:t xml:space="preserve">n this example we have a conception of the good </w:t>
      </w:r>
      <w:r w:rsidRPr="00461D74">
        <w:rPr>
          <w:rFonts w:ascii="Garamond" w:hAnsi="Garamond" w:cstheme="minorHAnsi"/>
          <w:sz w:val="24"/>
          <w:szCs w:val="24"/>
        </w:rPr>
        <w:t xml:space="preserve">– namely, </w:t>
      </w:r>
      <w:r w:rsidR="00016049" w:rsidRPr="00461D74">
        <w:rPr>
          <w:rFonts w:ascii="Garamond" w:hAnsi="Garamond" w:cstheme="minorHAnsi"/>
          <w:sz w:val="24"/>
          <w:szCs w:val="24"/>
        </w:rPr>
        <w:t xml:space="preserve">the good </w:t>
      </w:r>
      <w:r w:rsidRPr="00461D74">
        <w:rPr>
          <w:rFonts w:ascii="Garamond" w:hAnsi="Garamond" w:cstheme="minorHAnsi"/>
          <w:sz w:val="24"/>
          <w:szCs w:val="24"/>
        </w:rPr>
        <w:t>which is advanced by</w:t>
      </w:r>
      <w:r w:rsidR="00016049" w:rsidRPr="00461D74">
        <w:rPr>
          <w:rFonts w:ascii="Garamond" w:hAnsi="Garamond" w:cstheme="minorHAnsi"/>
          <w:sz w:val="24"/>
          <w:szCs w:val="24"/>
        </w:rPr>
        <w:t xml:space="preserve"> retaining the way of life </w:t>
      </w:r>
      <w:r w:rsidRPr="00461D74">
        <w:rPr>
          <w:rFonts w:ascii="Garamond" w:hAnsi="Garamond" w:cstheme="minorHAnsi"/>
          <w:sz w:val="24"/>
          <w:szCs w:val="24"/>
        </w:rPr>
        <w:t xml:space="preserve">in </w:t>
      </w:r>
      <w:r w:rsidR="00016049" w:rsidRPr="00461D74">
        <w:rPr>
          <w:rFonts w:ascii="Garamond" w:hAnsi="Garamond" w:cstheme="minorHAnsi"/>
          <w:sz w:val="24"/>
          <w:szCs w:val="24"/>
        </w:rPr>
        <w:t xml:space="preserve">a particular community </w:t>
      </w:r>
      <w:r w:rsidRPr="00461D74">
        <w:rPr>
          <w:rFonts w:ascii="Garamond" w:hAnsi="Garamond" w:cstheme="minorHAnsi"/>
          <w:sz w:val="24"/>
          <w:szCs w:val="24"/>
        </w:rPr>
        <w:t xml:space="preserve">– which </w:t>
      </w:r>
      <w:r w:rsidR="00016049" w:rsidRPr="00461D74">
        <w:rPr>
          <w:rFonts w:ascii="Garamond" w:hAnsi="Garamond" w:cstheme="minorHAnsi"/>
          <w:sz w:val="24"/>
          <w:szCs w:val="24"/>
        </w:rPr>
        <w:t>can trump the procedural right for all communities to be treated the same.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For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politics must </w:t>
      </w:r>
      <w:r w:rsidR="00936835" w:rsidRPr="00461D74">
        <w:rPr>
          <w:rFonts w:ascii="Garamond" w:hAnsi="Garamond" w:cstheme="minorHAnsi"/>
          <w:sz w:val="24"/>
          <w:szCs w:val="24"/>
        </w:rPr>
        <w:t xml:space="preserve">therefore </w:t>
      </w:r>
      <w:r w:rsidR="008E5B93">
        <w:rPr>
          <w:rFonts w:ascii="Garamond" w:hAnsi="Garamond" w:cstheme="minorHAnsi"/>
          <w:sz w:val="24"/>
          <w:szCs w:val="24"/>
        </w:rPr>
        <w:t>occasion</w:t>
      </w:r>
      <w:r w:rsidRPr="00461D74">
        <w:rPr>
          <w:rFonts w:ascii="Garamond" w:hAnsi="Garamond" w:cstheme="minorHAnsi"/>
          <w:sz w:val="24"/>
          <w:szCs w:val="24"/>
        </w:rPr>
        <w:t xml:space="preserve"> a diverse range of fully voluntary associations (dissociative</w:t>
      </w:r>
      <w:r w:rsidR="008E5B93">
        <w:rPr>
          <w:rFonts w:ascii="Garamond" w:hAnsi="Garamond" w:cstheme="minorHAnsi"/>
          <w:sz w:val="24"/>
          <w:szCs w:val="24"/>
        </w:rPr>
        <w:t xml:space="preserve"> tendencies</w:t>
      </w:r>
      <w:r w:rsidR="005361A1">
        <w:rPr>
          <w:rFonts w:ascii="Garamond" w:hAnsi="Garamond" w:cstheme="minorHAnsi"/>
          <w:sz w:val="24"/>
          <w:szCs w:val="24"/>
        </w:rPr>
        <w:t>)</w:t>
      </w:r>
      <w:r w:rsidR="008E5B93">
        <w:rPr>
          <w:rFonts w:ascii="Garamond" w:hAnsi="Garamond" w:cstheme="minorHAnsi"/>
          <w:sz w:val="24"/>
          <w:szCs w:val="24"/>
        </w:rPr>
        <w:t>;</w:t>
      </w:r>
      <w:r w:rsidRPr="00461D74">
        <w:rPr>
          <w:rFonts w:ascii="Garamond" w:hAnsi="Garamond" w:cstheme="minorHAnsi"/>
          <w:sz w:val="24"/>
          <w:szCs w:val="24"/>
        </w:rPr>
        <w:t xml:space="preserve"> yet </w:t>
      </w:r>
      <w:r w:rsidR="000F5AFA" w:rsidRPr="00461D74">
        <w:rPr>
          <w:rFonts w:ascii="Garamond" w:hAnsi="Garamond" w:cstheme="minorHAnsi"/>
          <w:sz w:val="24"/>
          <w:szCs w:val="24"/>
        </w:rPr>
        <w:t>it can</w:t>
      </w:r>
      <w:r w:rsidRPr="00461D74">
        <w:rPr>
          <w:rFonts w:ascii="Garamond" w:hAnsi="Garamond" w:cstheme="minorHAnsi"/>
          <w:sz w:val="24"/>
          <w:szCs w:val="24"/>
        </w:rPr>
        <w:t>not</w:t>
      </w:r>
      <w:r w:rsidR="000F5AFA" w:rsidRPr="00461D74">
        <w:rPr>
          <w:rFonts w:ascii="Garamond" w:hAnsi="Garamond" w:cstheme="minorHAnsi"/>
          <w:sz w:val="24"/>
          <w:szCs w:val="24"/>
        </w:rPr>
        <w:t>,</w:t>
      </w:r>
      <w:r w:rsidRPr="00461D74">
        <w:rPr>
          <w:rFonts w:ascii="Garamond" w:hAnsi="Garamond" w:cstheme="minorHAnsi"/>
          <w:sz w:val="24"/>
          <w:szCs w:val="24"/>
        </w:rPr>
        <w:t xml:space="preserve"> </w:t>
      </w:r>
      <w:r w:rsidR="000F5AFA" w:rsidRPr="00461D74">
        <w:rPr>
          <w:rFonts w:ascii="Garamond" w:hAnsi="Garamond" w:cstheme="minorHAnsi"/>
          <w:sz w:val="24"/>
          <w:szCs w:val="24"/>
        </w:rPr>
        <w:t xml:space="preserve">simultaneously, permit </w:t>
      </w:r>
      <w:r w:rsidRPr="00461D74">
        <w:rPr>
          <w:rFonts w:ascii="Garamond" w:hAnsi="Garamond" w:cstheme="minorHAnsi"/>
          <w:sz w:val="24"/>
          <w:szCs w:val="24"/>
        </w:rPr>
        <w:t xml:space="preserve">all </w:t>
      </w:r>
      <w:r w:rsidR="000F5AFA" w:rsidRPr="00461D74">
        <w:rPr>
          <w:rFonts w:ascii="Garamond" w:hAnsi="Garamond" w:cstheme="minorHAnsi"/>
          <w:sz w:val="24"/>
          <w:szCs w:val="24"/>
        </w:rPr>
        <w:t xml:space="preserve">of </w:t>
      </w:r>
      <w:r w:rsidRPr="00461D74">
        <w:rPr>
          <w:rFonts w:ascii="Garamond" w:hAnsi="Garamond" w:cstheme="minorHAnsi"/>
          <w:sz w:val="24"/>
          <w:szCs w:val="24"/>
        </w:rPr>
        <w:t xml:space="preserve">our relationships </w:t>
      </w:r>
      <w:r w:rsidR="000F5AFA" w:rsidRPr="00461D74">
        <w:rPr>
          <w:rFonts w:ascii="Garamond" w:hAnsi="Garamond" w:cstheme="minorHAnsi"/>
          <w:sz w:val="24"/>
          <w:szCs w:val="24"/>
        </w:rPr>
        <w:t xml:space="preserve">to be </w:t>
      </w:r>
      <w:r w:rsidRPr="00461D74">
        <w:rPr>
          <w:rFonts w:ascii="Garamond" w:hAnsi="Garamond" w:cstheme="minorHAnsi"/>
          <w:sz w:val="24"/>
          <w:szCs w:val="24"/>
        </w:rPr>
        <w:t>subject</w:t>
      </w:r>
      <w:r w:rsidR="000F5AFA" w:rsidRPr="00461D74">
        <w:rPr>
          <w:rFonts w:ascii="Garamond" w:hAnsi="Garamond" w:cstheme="minorHAnsi"/>
          <w:sz w:val="24"/>
          <w:szCs w:val="24"/>
        </w:rPr>
        <w:t>ed</w:t>
      </w:r>
      <w:r w:rsidRPr="00461D74">
        <w:rPr>
          <w:rFonts w:ascii="Garamond" w:hAnsi="Garamond" w:cstheme="minorHAnsi"/>
          <w:sz w:val="24"/>
          <w:szCs w:val="24"/>
        </w:rPr>
        <w:t xml:space="preserve"> to frequent instability (associative</w:t>
      </w:r>
      <w:r w:rsidR="008E5B93" w:rsidRPr="008E5B93">
        <w:rPr>
          <w:rFonts w:ascii="Garamond" w:hAnsi="Garamond" w:cstheme="minorHAnsi"/>
          <w:sz w:val="24"/>
          <w:szCs w:val="24"/>
        </w:rPr>
        <w:t xml:space="preserve"> </w:t>
      </w:r>
      <w:r w:rsidR="008E5B93">
        <w:rPr>
          <w:rFonts w:ascii="Garamond" w:hAnsi="Garamond" w:cstheme="minorHAnsi"/>
          <w:sz w:val="24"/>
          <w:szCs w:val="24"/>
        </w:rPr>
        <w:t>tendencies</w:t>
      </w:r>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argues that insofar as liberal politics is dissociative and </w:t>
      </w:r>
      <w:r w:rsidR="000F5AFA" w:rsidRPr="00461D74">
        <w:rPr>
          <w:rFonts w:ascii="Garamond" w:hAnsi="Garamond" w:cstheme="minorHAnsi"/>
          <w:sz w:val="24"/>
          <w:szCs w:val="24"/>
        </w:rPr>
        <w:t xml:space="preserve">generates </w:t>
      </w:r>
      <w:r w:rsidRPr="00461D74">
        <w:rPr>
          <w:rFonts w:ascii="Garamond" w:hAnsi="Garamond" w:cstheme="minorHAnsi"/>
          <w:sz w:val="24"/>
          <w:szCs w:val="24"/>
        </w:rPr>
        <w:t xml:space="preserve">frequent instabilities, it is in need of associative (or communitarian) correction. Given the </w:t>
      </w:r>
      <w:r w:rsidR="000F5AFA" w:rsidRPr="00461D74">
        <w:rPr>
          <w:rFonts w:ascii="Garamond" w:hAnsi="Garamond" w:cstheme="minorHAnsi"/>
          <w:sz w:val="24"/>
          <w:szCs w:val="24"/>
        </w:rPr>
        <w:t xml:space="preserve">existence </w:t>
      </w:r>
      <w:r w:rsidRPr="00461D74">
        <w:rPr>
          <w:rFonts w:ascii="Garamond" w:hAnsi="Garamond" w:cstheme="minorHAnsi"/>
          <w:sz w:val="24"/>
          <w:szCs w:val="24"/>
        </w:rPr>
        <w:t xml:space="preserve">of the four </w:t>
      </w:r>
      <w:proofErr w:type="spellStart"/>
      <w:r w:rsidR="000F5AFA" w:rsidRPr="00461D74">
        <w:rPr>
          <w:rFonts w:ascii="Garamond" w:hAnsi="Garamond" w:cstheme="minorHAnsi"/>
          <w:sz w:val="24"/>
          <w:szCs w:val="24"/>
        </w:rPr>
        <w:t>mobilit</w:t>
      </w:r>
      <w:r w:rsidR="00940926" w:rsidRPr="00461D74">
        <w:rPr>
          <w:rFonts w:ascii="Garamond" w:hAnsi="Garamond" w:cstheme="minorHAnsi"/>
          <w:sz w:val="24"/>
          <w:szCs w:val="24"/>
        </w:rPr>
        <w:t>ie</w:t>
      </w:r>
      <w:r w:rsidR="000F5AFA" w:rsidRPr="00461D74">
        <w:rPr>
          <w:rFonts w:ascii="Garamond" w:hAnsi="Garamond" w:cstheme="minorHAnsi"/>
          <w:sz w:val="24"/>
          <w:szCs w:val="24"/>
        </w:rPr>
        <w:t>s</w:t>
      </w:r>
      <w:proofErr w:type="spellEnd"/>
      <w:r w:rsidR="000F5AFA" w:rsidRPr="00461D74">
        <w:rPr>
          <w:rFonts w:ascii="Garamond" w:hAnsi="Garamond" w:cstheme="minorHAnsi"/>
          <w:sz w:val="24"/>
          <w:szCs w:val="24"/>
        </w:rPr>
        <w:t xml:space="preserve"> described by </w:t>
      </w:r>
      <w:proofErr w:type="spellStart"/>
      <w:r w:rsidR="000F5AFA" w:rsidRPr="00461D74">
        <w:rPr>
          <w:rFonts w:ascii="Garamond" w:hAnsi="Garamond" w:cstheme="minorHAnsi"/>
          <w:sz w:val="24"/>
          <w:szCs w:val="24"/>
        </w:rPr>
        <w:t>Walzer</w:t>
      </w:r>
      <w:proofErr w:type="spellEnd"/>
      <w:r w:rsidRPr="00461D74">
        <w:rPr>
          <w:rFonts w:ascii="Garamond" w:hAnsi="Garamond" w:cstheme="minorHAnsi"/>
          <w:sz w:val="24"/>
          <w:szCs w:val="24"/>
        </w:rPr>
        <w:t>, short of taking drastic anti-liberal measure</w:t>
      </w:r>
      <w:r w:rsidR="000F5AFA" w:rsidRPr="00461D74">
        <w:rPr>
          <w:rFonts w:ascii="Garamond" w:hAnsi="Garamond" w:cstheme="minorHAnsi"/>
          <w:sz w:val="24"/>
          <w:szCs w:val="24"/>
        </w:rPr>
        <w:t>s</w:t>
      </w:r>
      <w:r w:rsidRPr="00461D74">
        <w:rPr>
          <w:rFonts w:ascii="Garamond" w:hAnsi="Garamond" w:cstheme="minorHAnsi"/>
          <w:sz w:val="24"/>
          <w:szCs w:val="24"/>
        </w:rPr>
        <w:t xml:space="preserve"> and applying the coercive power of the state, there is no permanent remedy for </w:t>
      </w:r>
      <w:r w:rsidR="000F5AFA" w:rsidRPr="00461D74">
        <w:rPr>
          <w:rFonts w:ascii="Garamond" w:hAnsi="Garamond" w:cstheme="minorHAnsi"/>
          <w:sz w:val="24"/>
          <w:szCs w:val="24"/>
        </w:rPr>
        <w:t xml:space="preserve">completely </w:t>
      </w:r>
      <w:r w:rsidRPr="00461D74">
        <w:rPr>
          <w:rFonts w:ascii="Garamond" w:hAnsi="Garamond" w:cstheme="minorHAnsi"/>
          <w:sz w:val="24"/>
          <w:szCs w:val="24"/>
        </w:rPr>
        <w:t xml:space="preserve">removing </w:t>
      </w:r>
      <w:r w:rsidR="000F5AFA" w:rsidRPr="00461D74">
        <w:rPr>
          <w:rFonts w:ascii="Garamond" w:hAnsi="Garamond" w:cstheme="minorHAnsi"/>
          <w:sz w:val="24"/>
          <w:szCs w:val="24"/>
        </w:rPr>
        <w:t xml:space="preserve">the </w:t>
      </w:r>
      <w:r w:rsidRPr="00461D74">
        <w:rPr>
          <w:rFonts w:ascii="Garamond" w:hAnsi="Garamond" w:cstheme="minorHAnsi"/>
          <w:sz w:val="24"/>
          <w:szCs w:val="24"/>
        </w:rPr>
        <w:t xml:space="preserve">instability </w:t>
      </w:r>
      <w:r w:rsidR="000F5AFA" w:rsidRPr="00461D74">
        <w:rPr>
          <w:rFonts w:ascii="Garamond" w:hAnsi="Garamond" w:cstheme="minorHAnsi"/>
          <w:sz w:val="24"/>
          <w:szCs w:val="24"/>
        </w:rPr>
        <w:t xml:space="preserve">characteristic of </w:t>
      </w:r>
      <w:r w:rsidRPr="00461D74">
        <w:rPr>
          <w:rFonts w:ascii="Garamond" w:hAnsi="Garamond" w:cstheme="minorHAnsi"/>
          <w:sz w:val="24"/>
          <w:szCs w:val="24"/>
        </w:rPr>
        <w:t xml:space="preserve">liberal society, save and except periodic </w:t>
      </w:r>
      <w:r w:rsidR="000F5AFA" w:rsidRPr="00461D74">
        <w:rPr>
          <w:rFonts w:ascii="Garamond" w:hAnsi="Garamond" w:cstheme="minorHAnsi"/>
          <w:sz w:val="24"/>
          <w:szCs w:val="24"/>
        </w:rPr>
        <w:t xml:space="preserve">corrective action aimed at ameliorating </w:t>
      </w:r>
      <w:r w:rsidR="005361A1">
        <w:rPr>
          <w:rFonts w:ascii="Garamond" w:hAnsi="Garamond" w:cstheme="minorHAnsi"/>
          <w:sz w:val="24"/>
          <w:szCs w:val="24"/>
        </w:rPr>
        <w:t xml:space="preserve">the </w:t>
      </w:r>
      <w:r w:rsidRPr="00461D74">
        <w:rPr>
          <w:rFonts w:ascii="Garamond" w:hAnsi="Garamond" w:cstheme="minorHAnsi"/>
          <w:sz w:val="24"/>
          <w:szCs w:val="24"/>
        </w:rPr>
        <w:t>social instabilities</w:t>
      </w:r>
      <w:r w:rsidR="005361A1">
        <w:rPr>
          <w:rFonts w:ascii="Garamond" w:hAnsi="Garamond" w:cstheme="minorHAnsi"/>
          <w:sz w:val="24"/>
          <w:szCs w:val="24"/>
        </w:rPr>
        <w:t xml:space="preserve"> that are</w:t>
      </w:r>
      <w:r w:rsidRPr="00461D74">
        <w:rPr>
          <w:rFonts w:ascii="Garamond" w:hAnsi="Garamond" w:cstheme="minorHAnsi"/>
          <w:sz w:val="24"/>
          <w:szCs w:val="24"/>
        </w:rPr>
        <w:t xml:space="preserve"> </w:t>
      </w:r>
      <w:r w:rsidR="008E5B93">
        <w:rPr>
          <w:rFonts w:ascii="Garamond" w:hAnsi="Garamond" w:cstheme="minorHAnsi"/>
          <w:sz w:val="24"/>
          <w:szCs w:val="24"/>
        </w:rPr>
        <w:t>generated in all liberal</w:t>
      </w:r>
      <w:r w:rsidR="000F5AFA" w:rsidRPr="00461D74">
        <w:rPr>
          <w:rFonts w:ascii="Garamond" w:hAnsi="Garamond" w:cstheme="minorHAnsi"/>
          <w:sz w:val="24"/>
          <w:szCs w:val="24"/>
        </w:rPr>
        <w:t xml:space="preserve"> </w:t>
      </w:r>
      <w:r w:rsidRPr="00461D74">
        <w:rPr>
          <w:rFonts w:ascii="Garamond" w:hAnsi="Garamond" w:cstheme="minorHAnsi"/>
          <w:sz w:val="24"/>
          <w:szCs w:val="24"/>
        </w:rPr>
        <w:t>societies.</w:t>
      </w:r>
      <w:r w:rsidRPr="00461D74">
        <w:rPr>
          <w:rStyle w:val="FootnoteReference"/>
          <w:rFonts w:ascii="Garamond" w:hAnsi="Garamond" w:cstheme="minorHAnsi"/>
          <w:sz w:val="24"/>
          <w:szCs w:val="24"/>
        </w:rPr>
        <w:footnoteReference w:id="412"/>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At this point</w:t>
      </w:r>
      <w:r w:rsidR="006168C9" w:rsidRPr="00461D74">
        <w:rPr>
          <w:rFonts w:ascii="Garamond" w:hAnsi="Garamond" w:cstheme="minorHAnsi"/>
          <w:sz w:val="24"/>
          <w:szCs w:val="24"/>
        </w:rPr>
        <w:t>, I</w:t>
      </w:r>
      <w:r w:rsidRPr="00461D74">
        <w:rPr>
          <w:rFonts w:ascii="Garamond" w:hAnsi="Garamond" w:cstheme="minorHAnsi"/>
          <w:sz w:val="24"/>
          <w:szCs w:val="24"/>
        </w:rPr>
        <w:t xml:space="preserve"> should </w:t>
      </w:r>
      <w:r w:rsidR="006168C9" w:rsidRPr="00461D74">
        <w:rPr>
          <w:rFonts w:ascii="Garamond" w:hAnsi="Garamond" w:cstheme="minorHAnsi"/>
          <w:sz w:val="24"/>
          <w:szCs w:val="24"/>
        </w:rPr>
        <w:t xml:space="preserve">emphasize </w:t>
      </w:r>
      <w:r w:rsidRPr="00461D74">
        <w:rPr>
          <w:rFonts w:ascii="Garamond" w:hAnsi="Garamond" w:cstheme="minorHAnsi"/>
          <w:sz w:val="24"/>
          <w:szCs w:val="24"/>
        </w:rPr>
        <w:t xml:space="preserve">that </w:t>
      </w:r>
      <w:proofErr w:type="spellStart"/>
      <w:r w:rsidRPr="00461D74">
        <w:rPr>
          <w:rFonts w:ascii="Garamond" w:hAnsi="Garamond" w:cstheme="minorHAnsi"/>
          <w:sz w:val="24"/>
          <w:szCs w:val="24"/>
        </w:rPr>
        <w:t>Walzer’s</w:t>
      </w:r>
      <w:proofErr w:type="spellEnd"/>
      <w:r w:rsidRPr="00461D74">
        <w:rPr>
          <w:rFonts w:ascii="Garamond" w:hAnsi="Garamond" w:cstheme="minorHAnsi"/>
          <w:sz w:val="24"/>
          <w:szCs w:val="24"/>
        </w:rPr>
        <w:t xml:space="preserve"> analysis reveals to us two important claims. First, that the political debate between </w:t>
      </w:r>
      <w:r w:rsidR="005361A1">
        <w:rPr>
          <w:rFonts w:ascii="Garamond" w:hAnsi="Garamond" w:cstheme="minorHAnsi"/>
          <w:sz w:val="24"/>
          <w:szCs w:val="24"/>
        </w:rPr>
        <w:t xml:space="preserve">the </w:t>
      </w:r>
      <w:r w:rsidRPr="00461D74">
        <w:rPr>
          <w:rFonts w:ascii="Garamond" w:hAnsi="Garamond" w:cstheme="minorHAnsi"/>
          <w:sz w:val="24"/>
          <w:szCs w:val="24"/>
        </w:rPr>
        <w:t>communitarian and the liberal, in which many read MacIntyre as a communitarian, albeit incorrectly, is one that on the one hand exists because of the misunderstanding among communitarians about the nature of liberalism as realized in contemporary society, and on the other hand, the misunderstanding that has taken shape on both sides by the mischaracterization of their opponent</w:t>
      </w:r>
      <w:r w:rsidR="005361A1">
        <w:rPr>
          <w:rFonts w:ascii="Garamond" w:hAnsi="Garamond" w:cstheme="minorHAnsi"/>
          <w:sz w:val="24"/>
          <w:szCs w:val="24"/>
        </w:rPr>
        <w:t>’</w:t>
      </w:r>
      <w:r w:rsidR="006168C9" w:rsidRPr="00461D74">
        <w:rPr>
          <w:rFonts w:ascii="Garamond" w:hAnsi="Garamond" w:cstheme="minorHAnsi"/>
          <w:sz w:val="24"/>
          <w:szCs w:val="24"/>
        </w:rPr>
        <w:t>s</w:t>
      </w:r>
      <w:r w:rsidRPr="00461D74">
        <w:rPr>
          <w:rFonts w:ascii="Garamond" w:hAnsi="Garamond" w:cstheme="minorHAnsi"/>
          <w:sz w:val="24"/>
          <w:szCs w:val="24"/>
        </w:rPr>
        <w:t xml:space="preserve"> position. Second, in order to fruitfully advance the debate, political theory should turn its attention to managing the dissociative nature of liberal politics </w:t>
      </w:r>
      <w:r w:rsidR="005B3A86" w:rsidRPr="00461D74">
        <w:rPr>
          <w:rFonts w:ascii="Garamond" w:hAnsi="Garamond" w:cstheme="minorHAnsi"/>
          <w:sz w:val="24"/>
          <w:szCs w:val="24"/>
        </w:rPr>
        <w:t>thr</w:t>
      </w:r>
      <w:r w:rsidR="00940926" w:rsidRPr="00461D74">
        <w:rPr>
          <w:rFonts w:ascii="Garamond" w:hAnsi="Garamond" w:cstheme="minorHAnsi"/>
          <w:sz w:val="24"/>
          <w:szCs w:val="24"/>
        </w:rPr>
        <w:t>ough</w:t>
      </w:r>
      <w:r w:rsidR="005B3A86" w:rsidRPr="00461D74">
        <w:rPr>
          <w:rFonts w:ascii="Garamond" w:hAnsi="Garamond" w:cstheme="minorHAnsi"/>
          <w:sz w:val="24"/>
          <w:szCs w:val="24"/>
        </w:rPr>
        <w:t xml:space="preserve"> </w:t>
      </w:r>
      <w:r w:rsidRPr="00461D74">
        <w:rPr>
          <w:rFonts w:ascii="Garamond" w:hAnsi="Garamond" w:cstheme="minorHAnsi"/>
          <w:sz w:val="24"/>
          <w:szCs w:val="24"/>
        </w:rPr>
        <w:t xml:space="preserve">the adoption of </w:t>
      </w:r>
      <w:r w:rsidR="005B3A86" w:rsidRPr="00461D74">
        <w:rPr>
          <w:rFonts w:ascii="Garamond" w:hAnsi="Garamond" w:cstheme="minorHAnsi"/>
          <w:sz w:val="24"/>
          <w:szCs w:val="24"/>
        </w:rPr>
        <w:t xml:space="preserve">particular </w:t>
      </w:r>
      <w:r w:rsidRPr="00461D74">
        <w:rPr>
          <w:rFonts w:ascii="Garamond" w:hAnsi="Garamond" w:cstheme="minorHAnsi"/>
          <w:sz w:val="24"/>
          <w:szCs w:val="24"/>
        </w:rPr>
        <w:t>associative remedies.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We can see that </w:t>
      </w:r>
      <w:proofErr w:type="spellStart"/>
      <w:r w:rsidRPr="00461D74">
        <w:rPr>
          <w:rFonts w:ascii="Garamond" w:hAnsi="Garamond" w:cstheme="minorHAnsi"/>
          <w:sz w:val="24"/>
          <w:szCs w:val="24"/>
        </w:rPr>
        <w:t>Walzer’s</w:t>
      </w:r>
      <w:proofErr w:type="spellEnd"/>
      <w:r w:rsidRPr="00461D74">
        <w:rPr>
          <w:rFonts w:ascii="Garamond" w:hAnsi="Garamond" w:cstheme="minorHAnsi"/>
          <w:sz w:val="24"/>
          <w:szCs w:val="24"/>
        </w:rPr>
        <w:t xml:space="preserve"> account bridges the gap between MacIntyre and the liberal by </w:t>
      </w:r>
      <w:r w:rsidR="00DA21CB">
        <w:rPr>
          <w:rFonts w:ascii="Garamond" w:hAnsi="Garamond" w:cstheme="minorHAnsi"/>
          <w:sz w:val="24"/>
          <w:szCs w:val="24"/>
        </w:rPr>
        <w:t>admitting</w:t>
      </w:r>
      <w:r w:rsidR="00DA21CB" w:rsidRPr="00461D74">
        <w:rPr>
          <w:rFonts w:ascii="Garamond" w:hAnsi="Garamond" w:cstheme="minorHAnsi"/>
          <w:sz w:val="24"/>
          <w:szCs w:val="24"/>
        </w:rPr>
        <w:t xml:space="preserve"> </w:t>
      </w:r>
      <w:r w:rsidR="00DA21CB">
        <w:rPr>
          <w:rFonts w:ascii="Garamond" w:hAnsi="Garamond" w:cstheme="minorHAnsi"/>
          <w:sz w:val="24"/>
          <w:szCs w:val="24"/>
        </w:rPr>
        <w:t>that</w:t>
      </w:r>
      <w:r w:rsidRPr="00461D74">
        <w:rPr>
          <w:rFonts w:ascii="Garamond" w:hAnsi="Garamond" w:cstheme="minorHAnsi"/>
          <w:sz w:val="24"/>
          <w:szCs w:val="24"/>
        </w:rPr>
        <w:t xml:space="preserve"> liberal state and society are central facts </w:t>
      </w:r>
      <w:r w:rsidR="00940926" w:rsidRPr="00461D74">
        <w:rPr>
          <w:rFonts w:ascii="Garamond" w:hAnsi="Garamond" w:cstheme="minorHAnsi"/>
          <w:sz w:val="24"/>
          <w:szCs w:val="24"/>
        </w:rPr>
        <w:t>for</w:t>
      </w:r>
      <w:r w:rsidRPr="00461D74">
        <w:rPr>
          <w:rFonts w:ascii="Garamond" w:hAnsi="Garamond" w:cstheme="minorHAnsi"/>
          <w:sz w:val="24"/>
          <w:szCs w:val="24"/>
        </w:rPr>
        <w:t xml:space="preserve"> any </w:t>
      </w:r>
      <w:r w:rsidRPr="00461D74">
        <w:rPr>
          <w:rFonts w:ascii="Garamond" w:hAnsi="Garamond" w:cstheme="minorHAnsi"/>
          <w:sz w:val="24"/>
          <w:szCs w:val="24"/>
        </w:rPr>
        <w:lastRenderedPageBreak/>
        <w:t xml:space="preserve">serious attempt at a viable political philosophy. Yet,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would also chide the </w:t>
      </w:r>
      <w:r w:rsidR="006168C9" w:rsidRPr="00461D74">
        <w:rPr>
          <w:rFonts w:ascii="Garamond" w:hAnsi="Garamond" w:cstheme="minorHAnsi"/>
          <w:sz w:val="24"/>
          <w:szCs w:val="24"/>
        </w:rPr>
        <w:t xml:space="preserve">standard </w:t>
      </w:r>
      <w:r w:rsidRPr="00461D74">
        <w:rPr>
          <w:rFonts w:ascii="Garamond" w:hAnsi="Garamond" w:cstheme="minorHAnsi"/>
          <w:sz w:val="24"/>
          <w:szCs w:val="24"/>
        </w:rPr>
        <w:t xml:space="preserve">liberal </w:t>
      </w:r>
      <w:r w:rsidR="006168C9" w:rsidRPr="00461D74">
        <w:rPr>
          <w:rFonts w:ascii="Garamond" w:hAnsi="Garamond" w:cstheme="minorHAnsi"/>
          <w:sz w:val="24"/>
          <w:szCs w:val="24"/>
        </w:rPr>
        <w:t xml:space="preserve">view </w:t>
      </w:r>
      <w:r w:rsidRPr="00461D74">
        <w:rPr>
          <w:rFonts w:ascii="Garamond" w:hAnsi="Garamond" w:cstheme="minorHAnsi"/>
          <w:sz w:val="24"/>
          <w:szCs w:val="24"/>
        </w:rPr>
        <w:t xml:space="preserve">for holding fast to the principle of neutrality and refraining from any interference on behalf of one or another conception of the good. On his view, the state should enact policies to relieve the social and political problems that </w:t>
      </w:r>
      <w:r w:rsidR="00FC09F1" w:rsidRPr="00461D74">
        <w:rPr>
          <w:rFonts w:ascii="Garamond" w:hAnsi="Garamond" w:cstheme="minorHAnsi"/>
          <w:sz w:val="24"/>
          <w:szCs w:val="24"/>
        </w:rPr>
        <w:t xml:space="preserve">emerge </w:t>
      </w:r>
      <w:r w:rsidRPr="00461D74">
        <w:rPr>
          <w:rFonts w:ascii="Garamond" w:hAnsi="Garamond" w:cstheme="minorHAnsi"/>
          <w:sz w:val="24"/>
          <w:szCs w:val="24"/>
        </w:rPr>
        <w:t xml:space="preserve">from the dissociative nature of liberalism. Here,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encourages the introduction of associative remedies</w:t>
      </w:r>
      <w:r w:rsidR="00E81481" w:rsidRPr="00461D74">
        <w:rPr>
          <w:rFonts w:ascii="Garamond" w:hAnsi="Garamond" w:cstheme="minorHAnsi"/>
          <w:sz w:val="24"/>
          <w:szCs w:val="24"/>
        </w:rPr>
        <w:t xml:space="preserve"> that are grounded in some substantive conception of the good,</w:t>
      </w:r>
      <w:r w:rsidRPr="00461D74">
        <w:rPr>
          <w:rFonts w:ascii="Garamond" w:hAnsi="Garamond" w:cstheme="minorHAnsi"/>
          <w:sz w:val="24"/>
          <w:szCs w:val="24"/>
        </w:rPr>
        <w:t xml:space="preserve"> </w:t>
      </w:r>
      <w:r w:rsidR="00E81481" w:rsidRPr="00461D74">
        <w:rPr>
          <w:rFonts w:ascii="Garamond" w:hAnsi="Garamond" w:cstheme="minorHAnsi"/>
          <w:sz w:val="24"/>
          <w:szCs w:val="24"/>
        </w:rPr>
        <w:t>which in turn</w:t>
      </w:r>
      <w:r w:rsidRPr="00461D74">
        <w:rPr>
          <w:rFonts w:ascii="Garamond" w:hAnsi="Garamond" w:cstheme="minorHAnsi"/>
          <w:sz w:val="24"/>
          <w:szCs w:val="24"/>
        </w:rPr>
        <w:t xml:space="preserve"> </w:t>
      </w:r>
      <w:r w:rsidR="00E81481" w:rsidRPr="00461D74">
        <w:rPr>
          <w:rFonts w:ascii="Garamond" w:hAnsi="Garamond" w:cstheme="minorHAnsi"/>
          <w:sz w:val="24"/>
          <w:szCs w:val="24"/>
        </w:rPr>
        <w:t xml:space="preserve">enables </w:t>
      </w:r>
      <w:r w:rsidRPr="00461D74">
        <w:rPr>
          <w:rFonts w:ascii="Garamond" w:hAnsi="Garamond" w:cstheme="minorHAnsi"/>
          <w:sz w:val="24"/>
          <w:szCs w:val="24"/>
        </w:rPr>
        <w:t xml:space="preserve">communities to </w:t>
      </w:r>
      <w:r w:rsidR="00E81481" w:rsidRPr="00461D74">
        <w:rPr>
          <w:rFonts w:ascii="Garamond" w:hAnsi="Garamond" w:cstheme="minorHAnsi"/>
          <w:sz w:val="24"/>
          <w:szCs w:val="24"/>
        </w:rPr>
        <w:t xml:space="preserve">deal with the problems posed by </w:t>
      </w:r>
      <w:r w:rsidRPr="00461D74">
        <w:rPr>
          <w:rFonts w:ascii="Garamond" w:hAnsi="Garamond" w:cstheme="minorHAnsi"/>
          <w:sz w:val="24"/>
          <w:szCs w:val="24"/>
        </w:rPr>
        <w:t>the dissociative tendencies</w:t>
      </w:r>
      <w:r w:rsidR="00E81481" w:rsidRPr="00461D74">
        <w:rPr>
          <w:rFonts w:ascii="Garamond" w:hAnsi="Garamond" w:cstheme="minorHAnsi"/>
          <w:sz w:val="24"/>
          <w:szCs w:val="24"/>
        </w:rPr>
        <w:t xml:space="preserve"> present in liberal society.</w:t>
      </w:r>
    </w:p>
    <w:p w:rsidR="00665157" w:rsidRDefault="00016049">
      <w:pPr>
        <w:spacing w:line="360" w:lineRule="auto"/>
        <w:ind w:firstLine="720"/>
        <w:jc w:val="both"/>
        <w:rPr>
          <w:rFonts w:ascii="Garamond" w:hAnsi="Garamond" w:cstheme="minorHAnsi"/>
          <w:sz w:val="24"/>
          <w:szCs w:val="24"/>
        </w:rPr>
      </w:pP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concludes that, “a good liberal state…enhances the possibilities for cooperative coping.”</w:t>
      </w:r>
      <w:r w:rsidRPr="00461D74">
        <w:rPr>
          <w:rStyle w:val="FootnoteReference"/>
          <w:rFonts w:ascii="Garamond" w:hAnsi="Garamond" w:cstheme="minorHAnsi"/>
          <w:sz w:val="24"/>
          <w:szCs w:val="24"/>
        </w:rPr>
        <w:footnoteReference w:id="413"/>
      </w:r>
      <w:r w:rsidRPr="00461D74">
        <w:rPr>
          <w:rFonts w:ascii="Garamond" w:hAnsi="Garamond" w:cstheme="minorHAnsi"/>
          <w:sz w:val="24"/>
          <w:szCs w:val="24"/>
        </w:rPr>
        <w:t xml:space="preserve"> Interestingly we find just such a view of the state </w:t>
      </w:r>
      <w:r w:rsidR="00E81481" w:rsidRPr="00461D74">
        <w:rPr>
          <w:rFonts w:ascii="Garamond" w:hAnsi="Garamond" w:cstheme="minorHAnsi"/>
          <w:sz w:val="24"/>
          <w:szCs w:val="24"/>
        </w:rPr>
        <w:t xml:space="preserve">is </w:t>
      </w:r>
      <w:r w:rsidRPr="00461D74">
        <w:rPr>
          <w:rFonts w:ascii="Garamond" w:hAnsi="Garamond" w:cstheme="minorHAnsi"/>
          <w:sz w:val="24"/>
          <w:szCs w:val="24"/>
        </w:rPr>
        <w:t xml:space="preserve">provided by Dewey in </w:t>
      </w:r>
      <w:r w:rsidRPr="00461D74">
        <w:rPr>
          <w:rFonts w:ascii="Garamond" w:hAnsi="Garamond" w:cstheme="minorHAnsi"/>
          <w:i/>
          <w:iCs/>
          <w:sz w:val="24"/>
          <w:szCs w:val="24"/>
        </w:rPr>
        <w:t>The Public and Its Problems</w:t>
      </w:r>
      <w:r w:rsidRPr="00461D74">
        <w:rPr>
          <w:rFonts w:ascii="Garamond" w:hAnsi="Garamond" w:cstheme="minorHAnsi"/>
          <w:sz w:val="24"/>
          <w:szCs w:val="24"/>
        </w:rPr>
        <w:t xml:space="preserve">. </w:t>
      </w:r>
    </w:p>
    <w:p w:rsidR="00665157" w:rsidRDefault="00016049">
      <w:pPr>
        <w:spacing w:line="360" w:lineRule="auto"/>
        <w:ind w:left="1440"/>
        <w:jc w:val="both"/>
        <w:rPr>
          <w:rFonts w:ascii="Garamond" w:hAnsi="Garamond" w:cstheme="minorHAnsi"/>
        </w:rPr>
      </w:pPr>
      <w:r w:rsidRPr="00461D74">
        <w:rPr>
          <w:rFonts w:ascii="Garamond" w:hAnsi="Garamond" w:cstheme="minorHAnsi"/>
        </w:rPr>
        <w:t>“</w:t>
      </w:r>
      <w:r w:rsidR="0038244E" w:rsidRPr="0038244E">
        <w:rPr>
          <w:rFonts w:ascii="Garamond" w:hAnsi="Garamond" w:cstheme="minorHAnsi"/>
        </w:rPr>
        <w:t xml:space="preserve">When a state is a good state, when the officers of the public genuinely serve the public interests, this reflex effect is of great importance. It renders the desirable associations solider and more coherent; indirectly it clarifies their aims and purges their activities. It places a discount upon injurious groupings and renders their tenure of life precarious. In performing these services, it gives the individual members of valued associations greater liberty and security: it relieves them of hampering conditions which if they had to cope with personally would absorb their energies in mere negative struggle against evils. It enables individual members to count with reasonable certainty upon what others will do, and thus facilitates mutually helpful </w:t>
      </w:r>
      <w:proofErr w:type="spellStart"/>
      <w:r w:rsidR="0038244E" w:rsidRPr="0038244E">
        <w:rPr>
          <w:rFonts w:ascii="Garamond" w:hAnsi="Garamond" w:cstheme="minorHAnsi"/>
        </w:rPr>
        <w:t>cooperations</w:t>
      </w:r>
      <w:proofErr w:type="spellEnd"/>
      <w:r w:rsidR="0038244E" w:rsidRPr="0038244E">
        <w:rPr>
          <w:rFonts w:ascii="Garamond" w:hAnsi="Garamond" w:cstheme="minorHAnsi"/>
        </w:rPr>
        <w:t xml:space="preserve">. It creates respect for others and for one's self. A measure of the goodness of a state is the degree in which it relieves individuals from the waste of negative struggle and needless conflict and confers upon him positive assurance and </w:t>
      </w:r>
      <w:proofErr w:type="spellStart"/>
      <w:r w:rsidR="0038244E" w:rsidRPr="0038244E">
        <w:rPr>
          <w:rFonts w:ascii="Garamond" w:hAnsi="Garamond" w:cstheme="minorHAnsi"/>
        </w:rPr>
        <w:t>reenforcement</w:t>
      </w:r>
      <w:proofErr w:type="spellEnd"/>
      <w:r w:rsidR="0038244E" w:rsidRPr="0038244E">
        <w:rPr>
          <w:rFonts w:ascii="Garamond" w:hAnsi="Garamond" w:cstheme="minorHAnsi"/>
        </w:rPr>
        <w:t xml:space="preserve"> in what he undertakes.</w:t>
      </w:r>
      <w:r w:rsidRPr="00461D74">
        <w:rPr>
          <w:rFonts w:ascii="Garamond" w:hAnsi="Garamond" w:cstheme="minorHAnsi"/>
        </w:rPr>
        <w:t>”</w:t>
      </w:r>
      <w:r w:rsidRPr="00461D74">
        <w:rPr>
          <w:rStyle w:val="FootnoteReference"/>
          <w:rFonts w:ascii="Garamond" w:hAnsi="Garamond" w:cstheme="minorHAnsi"/>
        </w:rPr>
        <w:footnoteReference w:id="414"/>
      </w:r>
    </w:p>
    <w:p w:rsidR="00665157" w:rsidRDefault="00E81481">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I will now move to consider</w:t>
      </w:r>
      <w:r w:rsidR="00016049" w:rsidRPr="00461D74">
        <w:rPr>
          <w:rFonts w:ascii="Garamond" w:hAnsi="Garamond" w:cstheme="minorHAnsi"/>
          <w:sz w:val="24"/>
          <w:szCs w:val="24"/>
        </w:rPr>
        <w:t xml:space="preserve"> the attractiveness of Dewey</w:t>
      </w:r>
      <w:r w:rsidRPr="00461D74">
        <w:rPr>
          <w:rFonts w:ascii="Garamond" w:hAnsi="Garamond" w:cstheme="minorHAnsi"/>
          <w:sz w:val="24"/>
          <w:szCs w:val="24"/>
        </w:rPr>
        <w:t>’s account, because</w:t>
      </w:r>
      <w:r w:rsidR="00016049" w:rsidRPr="00461D74">
        <w:rPr>
          <w:rFonts w:ascii="Garamond" w:hAnsi="Garamond" w:cstheme="minorHAnsi"/>
          <w:sz w:val="24"/>
          <w:szCs w:val="24"/>
        </w:rPr>
        <w:t xml:space="preserve"> it </w:t>
      </w:r>
      <w:r w:rsidRPr="00461D74">
        <w:rPr>
          <w:rFonts w:ascii="Garamond" w:hAnsi="Garamond" w:cstheme="minorHAnsi"/>
          <w:sz w:val="24"/>
          <w:szCs w:val="24"/>
        </w:rPr>
        <w:t xml:space="preserve">seems to </w:t>
      </w:r>
      <w:r w:rsidR="00016049" w:rsidRPr="00461D74">
        <w:rPr>
          <w:rFonts w:ascii="Garamond" w:hAnsi="Garamond" w:cstheme="minorHAnsi"/>
          <w:sz w:val="24"/>
          <w:szCs w:val="24"/>
        </w:rPr>
        <w:t xml:space="preserve">offer not only some important general conceptual tools that bridge the differences between MacIntyre and the </w:t>
      </w:r>
      <w:r w:rsidRPr="00461D74">
        <w:rPr>
          <w:rFonts w:ascii="Garamond" w:hAnsi="Garamond" w:cstheme="minorHAnsi"/>
          <w:sz w:val="24"/>
          <w:szCs w:val="24"/>
        </w:rPr>
        <w:t xml:space="preserve">standard </w:t>
      </w:r>
      <w:r w:rsidR="00016049" w:rsidRPr="00461D74">
        <w:rPr>
          <w:rFonts w:ascii="Garamond" w:hAnsi="Garamond" w:cstheme="minorHAnsi"/>
          <w:sz w:val="24"/>
          <w:szCs w:val="24"/>
        </w:rPr>
        <w:t xml:space="preserve">liberal position </w:t>
      </w:r>
      <w:r w:rsidRPr="00461D74">
        <w:rPr>
          <w:rFonts w:ascii="Garamond" w:hAnsi="Garamond" w:cstheme="minorHAnsi"/>
          <w:sz w:val="24"/>
          <w:szCs w:val="24"/>
        </w:rPr>
        <w:t>(</w:t>
      </w:r>
      <w:r w:rsidR="0038244E">
        <w:rPr>
          <w:rFonts w:ascii="Garamond" w:hAnsi="Garamond" w:cstheme="minorHAnsi"/>
          <w:sz w:val="24"/>
          <w:szCs w:val="24"/>
        </w:rPr>
        <w:t>as do</w:t>
      </w:r>
      <w:r w:rsidR="00016049"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Misak</w:t>
      </w:r>
      <w:proofErr w:type="spellEnd"/>
      <w:r w:rsidR="00016049" w:rsidRPr="00461D74">
        <w:rPr>
          <w:rFonts w:ascii="Garamond" w:hAnsi="Garamond" w:cstheme="minorHAnsi"/>
          <w:sz w:val="24"/>
          <w:szCs w:val="24"/>
        </w:rPr>
        <w:t xml:space="preserve"> and </w:t>
      </w:r>
      <w:proofErr w:type="spellStart"/>
      <w:r w:rsidR="00016049" w:rsidRPr="00461D74">
        <w:rPr>
          <w:rFonts w:ascii="Garamond" w:hAnsi="Garamond" w:cstheme="minorHAnsi"/>
          <w:sz w:val="24"/>
          <w:szCs w:val="24"/>
        </w:rPr>
        <w:t>Walzer</w:t>
      </w:r>
      <w:proofErr w:type="spellEnd"/>
      <w:r w:rsidRPr="00461D74">
        <w:rPr>
          <w:rFonts w:ascii="Garamond" w:hAnsi="Garamond" w:cstheme="minorHAnsi"/>
          <w:sz w:val="24"/>
          <w:szCs w:val="24"/>
        </w:rPr>
        <w:t>)</w:t>
      </w:r>
      <w:r w:rsidR="00770F46" w:rsidRPr="00461D74">
        <w:rPr>
          <w:rFonts w:ascii="Garamond" w:hAnsi="Garamond" w:cstheme="minorHAnsi"/>
          <w:sz w:val="24"/>
          <w:szCs w:val="24"/>
        </w:rPr>
        <w:t>,</w:t>
      </w:r>
      <w:r w:rsidR="00016049" w:rsidRPr="00461D74">
        <w:rPr>
          <w:rFonts w:ascii="Garamond" w:hAnsi="Garamond" w:cstheme="minorHAnsi"/>
          <w:sz w:val="24"/>
          <w:szCs w:val="24"/>
        </w:rPr>
        <w:t xml:space="preserve"> but </w:t>
      </w:r>
      <w:r w:rsidR="00770F46" w:rsidRPr="00461D74">
        <w:rPr>
          <w:rFonts w:ascii="Garamond" w:hAnsi="Garamond" w:cstheme="minorHAnsi"/>
          <w:sz w:val="24"/>
          <w:szCs w:val="24"/>
        </w:rPr>
        <w:t xml:space="preserve">also affords us </w:t>
      </w:r>
      <w:r w:rsidR="00016049" w:rsidRPr="00461D74">
        <w:rPr>
          <w:rFonts w:ascii="Garamond" w:hAnsi="Garamond" w:cstheme="minorHAnsi"/>
          <w:sz w:val="24"/>
          <w:szCs w:val="24"/>
        </w:rPr>
        <w:t xml:space="preserve">the resources to develop the type of political account that combines community-based politics with politics at the </w:t>
      </w:r>
      <w:r w:rsidR="00770F46" w:rsidRPr="00461D74">
        <w:rPr>
          <w:rFonts w:ascii="Garamond" w:hAnsi="Garamond" w:cstheme="minorHAnsi"/>
          <w:sz w:val="24"/>
          <w:szCs w:val="24"/>
        </w:rPr>
        <w:t xml:space="preserve">state </w:t>
      </w:r>
      <w:r w:rsidR="00016049" w:rsidRPr="00461D74">
        <w:rPr>
          <w:rFonts w:ascii="Garamond" w:hAnsi="Garamond" w:cstheme="minorHAnsi"/>
          <w:sz w:val="24"/>
          <w:szCs w:val="24"/>
        </w:rPr>
        <w:t xml:space="preserve">level. Recall that in order for us to resolve the tension in MacIntyre’s politics we need to </w:t>
      </w:r>
      <w:r w:rsidR="0011283E" w:rsidRPr="00461D74">
        <w:rPr>
          <w:rFonts w:ascii="Garamond" w:hAnsi="Garamond" w:cstheme="minorHAnsi"/>
          <w:sz w:val="24"/>
          <w:szCs w:val="24"/>
        </w:rPr>
        <w:t>formulate the kind of</w:t>
      </w:r>
      <w:r w:rsidR="00016049" w:rsidRPr="00461D74">
        <w:rPr>
          <w:rFonts w:ascii="Garamond" w:hAnsi="Garamond" w:cstheme="minorHAnsi"/>
          <w:sz w:val="24"/>
          <w:szCs w:val="24"/>
        </w:rPr>
        <w:t xml:space="preserve"> alternative politics</w:t>
      </w:r>
      <w:r w:rsidR="0011283E"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11283E" w:rsidRPr="00461D74">
        <w:rPr>
          <w:rFonts w:ascii="Garamond" w:hAnsi="Garamond" w:cstheme="minorHAnsi"/>
          <w:sz w:val="24"/>
          <w:szCs w:val="24"/>
        </w:rPr>
        <w:t xml:space="preserve">which provides a </w:t>
      </w:r>
      <w:r w:rsidR="00016049" w:rsidRPr="00461D74">
        <w:rPr>
          <w:rFonts w:ascii="Garamond" w:hAnsi="Garamond" w:cstheme="minorHAnsi"/>
          <w:sz w:val="24"/>
          <w:szCs w:val="24"/>
        </w:rPr>
        <w:t>space for both a community-based local politics</w:t>
      </w:r>
      <w:r w:rsidR="0011283E" w:rsidRPr="00461D74">
        <w:rPr>
          <w:rFonts w:ascii="Garamond" w:hAnsi="Garamond" w:cstheme="minorHAnsi"/>
          <w:sz w:val="24"/>
          <w:szCs w:val="24"/>
        </w:rPr>
        <w:t>,</w:t>
      </w:r>
      <w:r w:rsidR="00016049" w:rsidRPr="00461D74">
        <w:rPr>
          <w:rFonts w:ascii="Garamond" w:hAnsi="Garamond" w:cstheme="minorHAnsi"/>
          <w:sz w:val="24"/>
          <w:szCs w:val="24"/>
        </w:rPr>
        <w:t xml:space="preserve"> and politics </w:t>
      </w:r>
      <w:r w:rsidR="0011283E" w:rsidRPr="00461D74">
        <w:rPr>
          <w:rFonts w:ascii="Garamond" w:hAnsi="Garamond" w:cstheme="minorHAnsi"/>
          <w:sz w:val="24"/>
          <w:szCs w:val="24"/>
        </w:rPr>
        <w:t>dealing with large-scale political considerations normally taken up by</w:t>
      </w:r>
      <w:r w:rsidR="00016049" w:rsidRPr="00461D74">
        <w:rPr>
          <w:rFonts w:ascii="Garamond" w:hAnsi="Garamond" w:cstheme="minorHAnsi"/>
          <w:sz w:val="24"/>
          <w:szCs w:val="24"/>
        </w:rPr>
        <w:t xml:space="preserve"> the state. What is </w:t>
      </w:r>
      <w:r w:rsidR="0011283E" w:rsidRPr="00461D74">
        <w:rPr>
          <w:rFonts w:ascii="Garamond" w:hAnsi="Garamond" w:cstheme="minorHAnsi"/>
          <w:sz w:val="24"/>
          <w:szCs w:val="24"/>
        </w:rPr>
        <w:t>relevant to</w:t>
      </w:r>
      <w:r w:rsidR="00016049" w:rsidRPr="00461D74">
        <w:rPr>
          <w:rFonts w:ascii="Garamond" w:hAnsi="Garamond" w:cstheme="minorHAnsi"/>
          <w:sz w:val="24"/>
          <w:szCs w:val="24"/>
        </w:rPr>
        <w:t xml:space="preserve"> our </w:t>
      </w:r>
      <w:r w:rsidR="0011283E" w:rsidRPr="00461D74">
        <w:rPr>
          <w:rFonts w:ascii="Garamond" w:hAnsi="Garamond" w:cstheme="minorHAnsi"/>
          <w:sz w:val="24"/>
          <w:szCs w:val="24"/>
        </w:rPr>
        <w:t xml:space="preserve">ongoing </w:t>
      </w:r>
      <w:r w:rsidR="00016049" w:rsidRPr="00461D74">
        <w:rPr>
          <w:rFonts w:ascii="Garamond" w:hAnsi="Garamond" w:cstheme="minorHAnsi"/>
          <w:sz w:val="24"/>
          <w:szCs w:val="24"/>
        </w:rPr>
        <w:t xml:space="preserve">discussion is that </w:t>
      </w:r>
      <w:r w:rsidR="005361A1">
        <w:rPr>
          <w:rFonts w:ascii="Garamond" w:hAnsi="Garamond" w:cstheme="minorHAnsi"/>
          <w:sz w:val="24"/>
          <w:szCs w:val="24"/>
        </w:rPr>
        <w:t xml:space="preserve">Axel </w:t>
      </w:r>
      <w:proofErr w:type="spellStart"/>
      <w:r w:rsidR="00016049" w:rsidRPr="00461D74">
        <w:rPr>
          <w:rFonts w:ascii="Garamond" w:hAnsi="Garamond" w:cstheme="minorHAnsi"/>
          <w:sz w:val="24"/>
          <w:szCs w:val="24"/>
        </w:rPr>
        <w:t>Honneth’s</w:t>
      </w:r>
      <w:proofErr w:type="spellEnd"/>
      <w:r w:rsidR="00016049" w:rsidRPr="00461D74">
        <w:rPr>
          <w:rFonts w:ascii="Garamond" w:hAnsi="Garamond" w:cstheme="minorHAnsi"/>
          <w:sz w:val="24"/>
          <w:szCs w:val="24"/>
        </w:rPr>
        <w:t xml:space="preserve"> </w:t>
      </w:r>
      <w:r w:rsidR="0011283E" w:rsidRPr="00461D74">
        <w:rPr>
          <w:rFonts w:ascii="Garamond" w:hAnsi="Garamond" w:cstheme="minorHAnsi"/>
          <w:sz w:val="24"/>
          <w:szCs w:val="24"/>
        </w:rPr>
        <w:t xml:space="preserve">reading of </w:t>
      </w:r>
      <w:r w:rsidR="00016049" w:rsidRPr="00461D74">
        <w:rPr>
          <w:rFonts w:ascii="Garamond" w:hAnsi="Garamond" w:cstheme="minorHAnsi"/>
          <w:sz w:val="24"/>
          <w:szCs w:val="24"/>
        </w:rPr>
        <w:t xml:space="preserve">Dewey </w:t>
      </w:r>
      <w:r w:rsidR="0011283E" w:rsidRPr="00461D74">
        <w:rPr>
          <w:rFonts w:ascii="Garamond" w:hAnsi="Garamond" w:cstheme="minorHAnsi"/>
          <w:sz w:val="24"/>
          <w:szCs w:val="24"/>
        </w:rPr>
        <w:t xml:space="preserve">seems to possess </w:t>
      </w:r>
      <w:r w:rsidR="00016049" w:rsidRPr="00461D74">
        <w:rPr>
          <w:rFonts w:ascii="Garamond" w:hAnsi="Garamond" w:cstheme="minorHAnsi"/>
          <w:sz w:val="24"/>
          <w:szCs w:val="24"/>
        </w:rPr>
        <w:t xml:space="preserve">the conceptual resource in understanding the relationship between </w:t>
      </w:r>
      <w:r w:rsidR="0011283E" w:rsidRPr="00461D74">
        <w:rPr>
          <w:rFonts w:ascii="Garamond" w:hAnsi="Garamond" w:cstheme="minorHAnsi"/>
          <w:sz w:val="24"/>
          <w:szCs w:val="24"/>
        </w:rPr>
        <w:t xml:space="preserve">local </w:t>
      </w:r>
      <w:r w:rsidR="00016049" w:rsidRPr="00461D74">
        <w:rPr>
          <w:rFonts w:ascii="Garamond" w:hAnsi="Garamond" w:cstheme="minorHAnsi"/>
          <w:sz w:val="24"/>
          <w:szCs w:val="24"/>
        </w:rPr>
        <w:t xml:space="preserve">communities and </w:t>
      </w:r>
      <w:r w:rsidR="0011283E"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state, and </w:t>
      </w:r>
      <w:r w:rsidR="0011283E" w:rsidRPr="00461D74">
        <w:rPr>
          <w:rFonts w:ascii="Garamond" w:hAnsi="Garamond" w:cstheme="minorHAnsi"/>
          <w:sz w:val="24"/>
          <w:szCs w:val="24"/>
        </w:rPr>
        <w:t xml:space="preserve">by realising </w:t>
      </w:r>
      <w:proofErr w:type="gramStart"/>
      <w:r w:rsidR="0011283E" w:rsidRPr="00461D74">
        <w:rPr>
          <w:rFonts w:ascii="Garamond" w:hAnsi="Garamond" w:cstheme="minorHAnsi"/>
          <w:sz w:val="24"/>
          <w:szCs w:val="24"/>
        </w:rPr>
        <w:t>this,</w:t>
      </w:r>
      <w:proofErr w:type="gramEnd"/>
      <w:r w:rsidR="0011283E"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individual could </w:t>
      </w:r>
      <w:r w:rsidR="0011283E" w:rsidRPr="00461D74">
        <w:rPr>
          <w:rFonts w:ascii="Garamond" w:hAnsi="Garamond" w:cstheme="minorHAnsi"/>
          <w:sz w:val="24"/>
          <w:szCs w:val="24"/>
        </w:rPr>
        <w:t xml:space="preserve">come to understand </w:t>
      </w:r>
      <w:r w:rsidR="00016049" w:rsidRPr="00461D74">
        <w:rPr>
          <w:rFonts w:ascii="Garamond" w:hAnsi="Garamond" w:cstheme="minorHAnsi"/>
          <w:sz w:val="24"/>
          <w:szCs w:val="24"/>
        </w:rPr>
        <w:t xml:space="preserve">herself as </w:t>
      </w:r>
      <w:r w:rsidR="0011283E" w:rsidRPr="00461D74">
        <w:rPr>
          <w:rFonts w:ascii="Garamond" w:hAnsi="Garamond" w:cstheme="minorHAnsi"/>
          <w:sz w:val="24"/>
          <w:szCs w:val="24"/>
        </w:rPr>
        <w:t xml:space="preserve">a member </w:t>
      </w:r>
      <w:r w:rsidR="00016049" w:rsidRPr="00461D74">
        <w:rPr>
          <w:rFonts w:ascii="Garamond" w:hAnsi="Garamond" w:cstheme="minorHAnsi"/>
          <w:sz w:val="24"/>
          <w:szCs w:val="24"/>
        </w:rPr>
        <w:t>of both forms of associations.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will now consider </w:t>
      </w:r>
      <w:r w:rsidR="0011283E" w:rsidRPr="00461D74">
        <w:rPr>
          <w:rFonts w:ascii="Garamond" w:hAnsi="Garamond" w:cstheme="minorHAnsi"/>
          <w:sz w:val="24"/>
          <w:szCs w:val="24"/>
        </w:rPr>
        <w:t xml:space="preserve">some of </w:t>
      </w:r>
      <w:r w:rsidRPr="00461D74">
        <w:rPr>
          <w:rFonts w:ascii="Garamond" w:hAnsi="Garamond" w:cstheme="minorHAnsi"/>
          <w:sz w:val="24"/>
          <w:szCs w:val="24"/>
        </w:rPr>
        <w:t xml:space="preserve">the </w:t>
      </w:r>
      <w:r w:rsidR="0011283E" w:rsidRPr="00461D74">
        <w:rPr>
          <w:rFonts w:ascii="Garamond" w:hAnsi="Garamond" w:cstheme="minorHAnsi"/>
          <w:sz w:val="24"/>
          <w:szCs w:val="24"/>
        </w:rPr>
        <w:t xml:space="preserve">interesting </w:t>
      </w:r>
      <w:r w:rsidRPr="00461D74">
        <w:rPr>
          <w:rFonts w:ascii="Garamond" w:hAnsi="Garamond" w:cstheme="minorHAnsi"/>
          <w:sz w:val="24"/>
          <w:szCs w:val="24"/>
        </w:rPr>
        <w:t xml:space="preserve">possibilities </w:t>
      </w:r>
      <w:r w:rsidR="0011283E" w:rsidRPr="00461D74">
        <w:rPr>
          <w:rFonts w:ascii="Garamond" w:hAnsi="Garamond" w:cstheme="minorHAnsi"/>
          <w:sz w:val="24"/>
          <w:szCs w:val="24"/>
        </w:rPr>
        <w:t xml:space="preserve">present in </w:t>
      </w:r>
      <w:proofErr w:type="spellStart"/>
      <w:proofErr w:type="gramStart"/>
      <w:r w:rsidRPr="00461D74">
        <w:rPr>
          <w:rFonts w:ascii="Garamond" w:hAnsi="Garamond" w:cstheme="minorHAnsi"/>
          <w:sz w:val="24"/>
          <w:szCs w:val="24"/>
        </w:rPr>
        <w:t>Honneth’s</w:t>
      </w:r>
      <w:proofErr w:type="spellEnd"/>
      <w:proofErr w:type="gramEnd"/>
      <w:r w:rsidRPr="00461D74">
        <w:rPr>
          <w:rFonts w:ascii="Garamond" w:hAnsi="Garamond" w:cstheme="minorHAnsi"/>
          <w:sz w:val="24"/>
          <w:szCs w:val="24"/>
        </w:rPr>
        <w:t xml:space="preserve"> </w:t>
      </w:r>
      <w:r w:rsidR="0011283E" w:rsidRPr="00461D74">
        <w:rPr>
          <w:rFonts w:ascii="Garamond" w:hAnsi="Garamond" w:cstheme="minorHAnsi"/>
          <w:sz w:val="24"/>
          <w:szCs w:val="24"/>
        </w:rPr>
        <w:t xml:space="preserve">reading </w:t>
      </w:r>
      <w:r w:rsidRPr="00461D74">
        <w:rPr>
          <w:rFonts w:ascii="Garamond" w:hAnsi="Garamond" w:cstheme="minorHAnsi"/>
          <w:sz w:val="24"/>
          <w:szCs w:val="24"/>
        </w:rPr>
        <w:t>of Dewey</w:t>
      </w:r>
      <w:r w:rsidR="0011283E"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990477" w:rsidP="00990477">
      <w:pPr>
        <w:pStyle w:val="Heading3"/>
        <w:spacing w:before="200" w:line="360" w:lineRule="auto"/>
        <w:jc w:val="both"/>
        <w:rPr>
          <w:rFonts w:cstheme="majorHAnsi"/>
        </w:rPr>
      </w:pPr>
      <w:bookmarkStart w:id="65" w:name="_Toc318424045"/>
      <w:bookmarkStart w:id="66" w:name="_Toc528077842"/>
      <w:r>
        <w:rPr>
          <w:rFonts w:cstheme="majorHAnsi"/>
        </w:rPr>
        <w:t xml:space="preserve">4.3 </w:t>
      </w:r>
      <w:proofErr w:type="spellStart"/>
      <w:r w:rsidR="00016049" w:rsidRPr="00F03436">
        <w:rPr>
          <w:rFonts w:cstheme="majorHAnsi"/>
        </w:rPr>
        <w:t>Honneth’s</w:t>
      </w:r>
      <w:proofErr w:type="spellEnd"/>
      <w:r w:rsidR="00016049" w:rsidRPr="00F03436">
        <w:rPr>
          <w:rFonts w:cstheme="majorHAnsi"/>
        </w:rPr>
        <w:t xml:space="preserve"> Dewey</w:t>
      </w:r>
      <w:bookmarkEnd w:id="65"/>
      <w:bookmarkEnd w:id="66"/>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On </w:t>
      </w:r>
      <w:proofErr w:type="spellStart"/>
      <w:r w:rsidRPr="00461D74">
        <w:rPr>
          <w:rFonts w:ascii="Garamond" w:hAnsi="Garamond" w:cstheme="minorHAnsi"/>
          <w:sz w:val="24"/>
          <w:szCs w:val="24"/>
        </w:rPr>
        <w:t>Honneth</w:t>
      </w:r>
      <w:proofErr w:type="spellEnd"/>
      <w:r w:rsidRPr="00461D74">
        <w:rPr>
          <w:rFonts w:ascii="Garamond" w:hAnsi="Garamond" w:cstheme="minorHAnsi"/>
          <w:sz w:val="24"/>
          <w:szCs w:val="24"/>
        </w:rPr>
        <w:t xml:space="preserve"> view, the </w:t>
      </w:r>
      <w:r w:rsidR="00BE4477" w:rsidRPr="00461D74">
        <w:rPr>
          <w:rFonts w:ascii="Garamond" w:hAnsi="Garamond" w:cstheme="minorHAnsi"/>
          <w:sz w:val="24"/>
          <w:szCs w:val="24"/>
        </w:rPr>
        <w:t xml:space="preserve">main </w:t>
      </w:r>
      <w:r w:rsidRPr="00461D74">
        <w:rPr>
          <w:rFonts w:ascii="Garamond" w:hAnsi="Garamond" w:cstheme="minorHAnsi"/>
          <w:sz w:val="24"/>
          <w:szCs w:val="24"/>
        </w:rPr>
        <w:t xml:space="preserve">contenders </w:t>
      </w:r>
      <w:r w:rsidR="00BE4477" w:rsidRPr="00461D74">
        <w:rPr>
          <w:rFonts w:ascii="Garamond" w:hAnsi="Garamond" w:cstheme="minorHAnsi"/>
          <w:sz w:val="24"/>
          <w:szCs w:val="24"/>
        </w:rPr>
        <w:t xml:space="preserve">that advance </w:t>
      </w:r>
      <w:r w:rsidRPr="00461D74">
        <w:rPr>
          <w:rFonts w:ascii="Garamond" w:hAnsi="Garamond" w:cstheme="minorHAnsi"/>
          <w:sz w:val="24"/>
          <w:szCs w:val="24"/>
        </w:rPr>
        <w:t>an alternative politics to standard liberal theory</w:t>
      </w:r>
      <w:r w:rsidR="00940926" w:rsidRPr="00461D74">
        <w:rPr>
          <w:rFonts w:ascii="Garamond" w:hAnsi="Garamond" w:cstheme="minorHAnsi"/>
          <w:sz w:val="24"/>
          <w:szCs w:val="24"/>
        </w:rPr>
        <w:t xml:space="preserve"> are</w:t>
      </w:r>
      <w:r w:rsidRPr="00461D74">
        <w:rPr>
          <w:rFonts w:ascii="Garamond" w:hAnsi="Garamond" w:cstheme="minorHAnsi"/>
          <w:sz w:val="24"/>
          <w:szCs w:val="24"/>
        </w:rPr>
        <w:t xml:space="preserve"> republican </w:t>
      </w:r>
      <w:r w:rsidR="00BE4477" w:rsidRPr="00461D74">
        <w:rPr>
          <w:rFonts w:ascii="Garamond" w:hAnsi="Garamond" w:cstheme="minorHAnsi"/>
          <w:sz w:val="24"/>
          <w:szCs w:val="24"/>
        </w:rPr>
        <w:t>views that</w:t>
      </w:r>
      <w:r w:rsidRPr="00461D74">
        <w:rPr>
          <w:rFonts w:ascii="Garamond" w:hAnsi="Garamond" w:cstheme="minorHAnsi"/>
          <w:sz w:val="24"/>
          <w:szCs w:val="24"/>
        </w:rPr>
        <w:t xml:space="preserve"> focus on </w:t>
      </w:r>
      <w:r w:rsidR="0052290E" w:rsidRPr="00461D74">
        <w:rPr>
          <w:rFonts w:ascii="Garamond" w:hAnsi="Garamond" w:cstheme="minorHAnsi"/>
          <w:sz w:val="24"/>
          <w:szCs w:val="24"/>
        </w:rPr>
        <w:t>substantive conception</w:t>
      </w:r>
      <w:r w:rsidR="00940926" w:rsidRPr="00461D74">
        <w:rPr>
          <w:rFonts w:ascii="Garamond" w:hAnsi="Garamond" w:cstheme="minorHAnsi"/>
          <w:sz w:val="24"/>
          <w:szCs w:val="24"/>
        </w:rPr>
        <w:t>s</w:t>
      </w:r>
      <w:r w:rsidR="0052290E" w:rsidRPr="00461D74">
        <w:rPr>
          <w:rFonts w:ascii="Garamond" w:hAnsi="Garamond" w:cstheme="minorHAnsi"/>
          <w:sz w:val="24"/>
          <w:szCs w:val="24"/>
        </w:rPr>
        <w:t xml:space="preserve"> of the good such as </w:t>
      </w:r>
      <w:r w:rsidRPr="00461D74">
        <w:rPr>
          <w:rFonts w:ascii="Garamond" w:hAnsi="Garamond" w:cstheme="minorHAnsi"/>
          <w:sz w:val="24"/>
          <w:szCs w:val="24"/>
        </w:rPr>
        <w:t xml:space="preserve">citizen virtues and civic duties, and those </w:t>
      </w:r>
      <w:r w:rsidR="00BE4477" w:rsidRPr="00461D74">
        <w:rPr>
          <w:rFonts w:ascii="Garamond" w:hAnsi="Garamond" w:cstheme="minorHAnsi"/>
          <w:sz w:val="24"/>
          <w:szCs w:val="24"/>
        </w:rPr>
        <w:t xml:space="preserve">views </w:t>
      </w:r>
      <w:r w:rsidRPr="00461D74">
        <w:rPr>
          <w:rFonts w:ascii="Garamond" w:hAnsi="Garamond" w:cstheme="minorHAnsi"/>
          <w:sz w:val="24"/>
          <w:szCs w:val="24"/>
        </w:rPr>
        <w:t xml:space="preserve">that are </w:t>
      </w:r>
      <w:r w:rsidR="00BE4477" w:rsidRPr="00461D74">
        <w:rPr>
          <w:rFonts w:ascii="Garamond" w:hAnsi="Garamond" w:cstheme="minorHAnsi"/>
          <w:sz w:val="24"/>
          <w:szCs w:val="24"/>
        </w:rPr>
        <w:t xml:space="preserve">more strictly </w:t>
      </w:r>
      <w:r w:rsidRPr="00461D74">
        <w:rPr>
          <w:rFonts w:ascii="Garamond" w:hAnsi="Garamond" w:cstheme="minorHAnsi"/>
          <w:sz w:val="24"/>
          <w:szCs w:val="24"/>
        </w:rPr>
        <w:t xml:space="preserve">procedural. He argues that Dewey’s theory of democracy </w:t>
      </w:r>
      <w:r w:rsidR="00BE4477" w:rsidRPr="00461D74">
        <w:rPr>
          <w:rFonts w:ascii="Garamond" w:hAnsi="Garamond" w:cstheme="minorHAnsi"/>
          <w:sz w:val="24"/>
          <w:szCs w:val="24"/>
        </w:rPr>
        <w:t xml:space="preserve">offers </w:t>
      </w:r>
      <w:r w:rsidRPr="00461D74">
        <w:rPr>
          <w:rFonts w:ascii="Garamond" w:hAnsi="Garamond" w:cstheme="minorHAnsi"/>
          <w:sz w:val="24"/>
          <w:szCs w:val="24"/>
        </w:rPr>
        <w:t xml:space="preserve">a viable </w:t>
      </w:r>
      <w:r w:rsidR="00BE4477" w:rsidRPr="00461D74">
        <w:rPr>
          <w:rFonts w:ascii="Garamond" w:hAnsi="Garamond" w:cstheme="minorHAnsi"/>
          <w:sz w:val="24"/>
          <w:szCs w:val="24"/>
        </w:rPr>
        <w:t xml:space="preserve">political </w:t>
      </w:r>
      <w:r w:rsidRPr="00461D74">
        <w:rPr>
          <w:rFonts w:ascii="Garamond" w:hAnsi="Garamond" w:cstheme="minorHAnsi"/>
          <w:sz w:val="24"/>
          <w:szCs w:val="24"/>
        </w:rPr>
        <w:t>alternative</w:t>
      </w:r>
      <w:r w:rsidR="00BE4477" w:rsidRPr="00461D74">
        <w:rPr>
          <w:rFonts w:ascii="Garamond" w:hAnsi="Garamond" w:cstheme="minorHAnsi"/>
          <w:sz w:val="24"/>
          <w:szCs w:val="24"/>
        </w:rPr>
        <w:t xml:space="preserve"> to standard liberal theory, because </w:t>
      </w:r>
      <w:r w:rsidRPr="00461D74">
        <w:rPr>
          <w:rFonts w:ascii="Garamond" w:hAnsi="Garamond" w:cstheme="minorHAnsi"/>
          <w:sz w:val="24"/>
          <w:szCs w:val="24"/>
        </w:rPr>
        <w:t xml:space="preserve">Dewey’s position </w:t>
      </w:r>
      <w:r w:rsidR="00BE4477" w:rsidRPr="00461D74">
        <w:rPr>
          <w:rFonts w:ascii="Garamond" w:hAnsi="Garamond" w:cstheme="minorHAnsi"/>
          <w:sz w:val="24"/>
          <w:szCs w:val="24"/>
        </w:rPr>
        <w:t>effectively</w:t>
      </w:r>
      <w:r w:rsidRPr="00461D74">
        <w:rPr>
          <w:rFonts w:ascii="Garamond" w:hAnsi="Garamond" w:cstheme="minorHAnsi"/>
          <w:sz w:val="24"/>
          <w:szCs w:val="24"/>
        </w:rPr>
        <w:t xml:space="preserve"> synthesizes these two approaches into a </w:t>
      </w:r>
      <w:r w:rsidR="00BE4477" w:rsidRPr="00461D74">
        <w:rPr>
          <w:rFonts w:ascii="Garamond" w:hAnsi="Garamond" w:cstheme="minorHAnsi"/>
          <w:sz w:val="24"/>
          <w:szCs w:val="24"/>
        </w:rPr>
        <w:t>politics that is</w:t>
      </w:r>
      <w:r w:rsidRPr="00461D74">
        <w:rPr>
          <w:rFonts w:ascii="Garamond" w:hAnsi="Garamond" w:cstheme="minorHAnsi"/>
          <w:sz w:val="24"/>
          <w:szCs w:val="24"/>
        </w:rPr>
        <w:t xml:space="preserve"> superior to both </w:t>
      </w:r>
      <w:r w:rsidR="00BE4477" w:rsidRPr="00461D74">
        <w:rPr>
          <w:rFonts w:ascii="Garamond" w:hAnsi="Garamond" w:cstheme="minorHAnsi"/>
          <w:sz w:val="24"/>
          <w:szCs w:val="24"/>
        </w:rPr>
        <w:t>views.</w:t>
      </w:r>
    </w:p>
    <w:p w:rsidR="00665157" w:rsidRDefault="000C350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Now, b</w:t>
      </w:r>
      <w:r w:rsidR="00016049" w:rsidRPr="00461D74">
        <w:rPr>
          <w:rFonts w:ascii="Garamond" w:hAnsi="Garamond" w:cstheme="minorHAnsi"/>
          <w:sz w:val="24"/>
          <w:szCs w:val="24"/>
        </w:rPr>
        <w:t xml:space="preserve">oth republicanism and </w:t>
      </w:r>
      <w:proofErr w:type="spellStart"/>
      <w:r w:rsidR="00016049" w:rsidRPr="00461D74">
        <w:rPr>
          <w:rFonts w:ascii="Garamond" w:hAnsi="Garamond" w:cstheme="minorHAnsi"/>
          <w:sz w:val="24"/>
          <w:szCs w:val="24"/>
        </w:rPr>
        <w:t>proceduralism</w:t>
      </w:r>
      <w:proofErr w:type="spellEnd"/>
      <w:r w:rsidR="00016049" w:rsidRPr="00461D74">
        <w:rPr>
          <w:rFonts w:ascii="Garamond" w:hAnsi="Garamond" w:cstheme="minorHAnsi"/>
          <w:sz w:val="24"/>
          <w:szCs w:val="24"/>
        </w:rPr>
        <w:t xml:space="preserve"> </w:t>
      </w:r>
      <w:r w:rsidR="008E2198" w:rsidRPr="00461D74">
        <w:rPr>
          <w:rFonts w:ascii="Garamond" w:hAnsi="Garamond" w:cstheme="minorHAnsi"/>
          <w:sz w:val="24"/>
          <w:szCs w:val="24"/>
        </w:rPr>
        <w:t xml:space="preserve">argue that </w:t>
      </w:r>
      <w:r w:rsidR="00016049" w:rsidRPr="00461D74">
        <w:rPr>
          <w:rFonts w:ascii="Garamond" w:hAnsi="Garamond" w:cstheme="minorHAnsi"/>
          <w:sz w:val="24"/>
          <w:szCs w:val="24"/>
        </w:rPr>
        <w:t xml:space="preserve">freedom is only attained in the acts of engaging in communicative relations with others, free from coercive influence. On Arendt’s and </w:t>
      </w:r>
      <w:proofErr w:type="spellStart"/>
      <w:r w:rsidR="00016049" w:rsidRPr="00461D74">
        <w:rPr>
          <w:rFonts w:ascii="Garamond" w:hAnsi="Garamond" w:cstheme="minorHAnsi"/>
          <w:sz w:val="24"/>
          <w:szCs w:val="24"/>
        </w:rPr>
        <w:t>Habermas</w:t>
      </w:r>
      <w:proofErr w:type="spellEnd"/>
      <w:r w:rsidR="00016049" w:rsidRPr="00461D74">
        <w:rPr>
          <w:rFonts w:ascii="Garamond" w:hAnsi="Garamond" w:cstheme="minorHAnsi"/>
          <w:sz w:val="24"/>
          <w:szCs w:val="24"/>
        </w:rPr>
        <w:t xml:space="preserve">’ republicanism and </w:t>
      </w:r>
      <w:proofErr w:type="spellStart"/>
      <w:r w:rsidR="00016049" w:rsidRPr="00461D74">
        <w:rPr>
          <w:rFonts w:ascii="Garamond" w:hAnsi="Garamond" w:cstheme="minorHAnsi"/>
          <w:sz w:val="24"/>
          <w:szCs w:val="24"/>
        </w:rPr>
        <w:t>proceduralism</w:t>
      </w:r>
      <w:proofErr w:type="spellEnd"/>
      <w:r w:rsidR="00016049" w:rsidRPr="00461D74">
        <w:rPr>
          <w:rFonts w:ascii="Garamond" w:hAnsi="Garamond" w:cstheme="minorHAnsi"/>
          <w:sz w:val="24"/>
          <w:szCs w:val="24"/>
        </w:rPr>
        <w:t xml:space="preserve"> respectively, we achieve freedom </w:t>
      </w:r>
      <w:r w:rsidR="008E2198" w:rsidRPr="00461D74">
        <w:rPr>
          <w:rFonts w:ascii="Garamond" w:hAnsi="Garamond" w:cstheme="minorHAnsi"/>
          <w:sz w:val="24"/>
          <w:szCs w:val="24"/>
        </w:rPr>
        <w:t xml:space="preserve">by achieving </w:t>
      </w:r>
      <w:r w:rsidR="00016049" w:rsidRPr="00461D74">
        <w:rPr>
          <w:rFonts w:ascii="Garamond" w:hAnsi="Garamond" w:cstheme="minorHAnsi"/>
          <w:sz w:val="24"/>
          <w:szCs w:val="24"/>
        </w:rPr>
        <w:t xml:space="preserve">agreement in language. </w:t>
      </w:r>
      <w:proofErr w:type="spellStart"/>
      <w:r w:rsidR="008E2198" w:rsidRPr="00461D74">
        <w:rPr>
          <w:rFonts w:ascii="Garamond" w:hAnsi="Garamond" w:cstheme="minorHAnsi"/>
          <w:sz w:val="24"/>
          <w:szCs w:val="24"/>
        </w:rPr>
        <w:t>Honneth</w:t>
      </w:r>
      <w:proofErr w:type="spellEnd"/>
      <w:r w:rsidR="008E2198" w:rsidRPr="00461D74">
        <w:rPr>
          <w:rFonts w:ascii="Garamond" w:hAnsi="Garamond" w:cstheme="minorHAnsi"/>
          <w:sz w:val="24"/>
          <w:szCs w:val="24"/>
        </w:rPr>
        <w:t xml:space="preserve"> </w:t>
      </w:r>
      <w:r w:rsidR="008E2198" w:rsidRPr="00461D74">
        <w:rPr>
          <w:rFonts w:ascii="Garamond" w:hAnsi="Garamond" w:cstheme="minorHAnsi"/>
          <w:sz w:val="24"/>
          <w:szCs w:val="24"/>
        </w:rPr>
        <w:lastRenderedPageBreak/>
        <w:t>argues that Dewey’s approach to politics is modelled on social cooperation.</w:t>
      </w:r>
      <w:r w:rsidR="008E2198" w:rsidRPr="00461D74">
        <w:rPr>
          <w:rStyle w:val="FootnoteReference"/>
          <w:rFonts w:ascii="Garamond" w:hAnsi="Garamond" w:cstheme="minorHAnsi"/>
          <w:sz w:val="24"/>
          <w:szCs w:val="24"/>
        </w:rPr>
        <w:footnoteReference w:id="415"/>
      </w:r>
      <w:r w:rsidR="008E2198" w:rsidRPr="00461D74">
        <w:rPr>
          <w:rFonts w:ascii="Garamond" w:hAnsi="Garamond" w:cstheme="minorHAnsi"/>
          <w:sz w:val="24"/>
          <w:szCs w:val="24"/>
        </w:rPr>
        <w:t xml:space="preserve"> Here, </w:t>
      </w:r>
      <w:r w:rsidR="00016049" w:rsidRPr="00461D74">
        <w:rPr>
          <w:rFonts w:ascii="Garamond" w:hAnsi="Garamond" w:cstheme="minorHAnsi"/>
          <w:sz w:val="24"/>
          <w:szCs w:val="24"/>
        </w:rPr>
        <w:t xml:space="preserve">Dewey views communicative freedom as a form of social cooperation to resolve what </w:t>
      </w:r>
      <w:r w:rsidR="008E2198" w:rsidRPr="00461D74">
        <w:rPr>
          <w:rFonts w:ascii="Garamond" w:hAnsi="Garamond" w:cstheme="minorHAnsi"/>
          <w:sz w:val="24"/>
          <w:szCs w:val="24"/>
        </w:rPr>
        <w:t xml:space="preserve">amounts to </w:t>
      </w:r>
      <w:r w:rsidR="00016049" w:rsidRPr="00461D74">
        <w:rPr>
          <w:rFonts w:ascii="Garamond" w:hAnsi="Garamond" w:cstheme="minorHAnsi"/>
          <w:sz w:val="24"/>
          <w:szCs w:val="24"/>
        </w:rPr>
        <w:t>a distinctively practical problem.</w:t>
      </w:r>
      <w:r w:rsidR="00016049" w:rsidRPr="00461D74">
        <w:rPr>
          <w:rStyle w:val="FootnoteReference"/>
          <w:rFonts w:ascii="Garamond" w:hAnsi="Garamond" w:cstheme="minorHAnsi"/>
          <w:sz w:val="24"/>
          <w:szCs w:val="24"/>
        </w:rPr>
        <w:footnoteReference w:id="416"/>
      </w:r>
    </w:p>
    <w:p w:rsidR="00665157" w:rsidRDefault="000C350A">
      <w:pPr>
        <w:spacing w:line="360" w:lineRule="auto"/>
        <w:ind w:firstLine="720"/>
        <w:jc w:val="both"/>
        <w:rPr>
          <w:rFonts w:ascii="Garamond" w:hAnsi="Garamond" w:cstheme="minorHAnsi"/>
          <w:sz w:val="24"/>
          <w:szCs w:val="24"/>
        </w:rPr>
      </w:pPr>
      <w:r w:rsidRPr="00461D74">
        <w:rPr>
          <w:rFonts w:ascii="Garamond" w:hAnsi="Garamond" w:cstheme="minorHAnsi"/>
          <w:sz w:val="24"/>
          <w:szCs w:val="24"/>
        </w:rPr>
        <w:t>Nevertheless, f</w:t>
      </w:r>
      <w:r w:rsidR="00E16067" w:rsidRPr="00461D74">
        <w:rPr>
          <w:rFonts w:ascii="Garamond" w:hAnsi="Garamond" w:cstheme="minorHAnsi"/>
          <w:sz w:val="24"/>
          <w:szCs w:val="24"/>
        </w:rPr>
        <w:t xml:space="preserve">or </w:t>
      </w:r>
      <w:r w:rsidR="00016049" w:rsidRPr="00461D74">
        <w:rPr>
          <w:rFonts w:ascii="Garamond" w:hAnsi="Garamond" w:cstheme="minorHAnsi"/>
          <w:sz w:val="24"/>
          <w:szCs w:val="24"/>
        </w:rPr>
        <w:t xml:space="preserve">Dewey, in </w:t>
      </w:r>
      <w:r w:rsidR="00E16067" w:rsidRPr="00461D74">
        <w:rPr>
          <w:rFonts w:ascii="Garamond" w:hAnsi="Garamond" w:cstheme="minorHAnsi"/>
          <w:sz w:val="24"/>
          <w:szCs w:val="24"/>
        </w:rPr>
        <w:t xml:space="preserve">contrast </w:t>
      </w:r>
      <w:r w:rsidR="00016049" w:rsidRPr="00461D74">
        <w:rPr>
          <w:rFonts w:ascii="Garamond" w:hAnsi="Garamond" w:cstheme="minorHAnsi"/>
          <w:sz w:val="24"/>
          <w:szCs w:val="24"/>
        </w:rPr>
        <w:t xml:space="preserve">to </w:t>
      </w:r>
      <w:proofErr w:type="spellStart"/>
      <w:r w:rsidR="00016049" w:rsidRPr="00461D74">
        <w:rPr>
          <w:rFonts w:ascii="Garamond" w:hAnsi="Garamond" w:cstheme="minorHAnsi"/>
          <w:sz w:val="24"/>
          <w:szCs w:val="24"/>
        </w:rPr>
        <w:t>proceduralist</w:t>
      </w:r>
      <w:proofErr w:type="spellEnd"/>
      <w:r w:rsidR="00E16067" w:rsidRPr="00461D74">
        <w:rPr>
          <w:rFonts w:ascii="Garamond" w:hAnsi="Garamond" w:cstheme="minorHAnsi"/>
          <w:sz w:val="24"/>
          <w:szCs w:val="24"/>
        </w:rPr>
        <w:t xml:space="preserve"> </w:t>
      </w:r>
      <w:r w:rsidRPr="00461D74">
        <w:rPr>
          <w:rFonts w:ascii="Garamond" w:hAnsi="Garamond" w:cstheme="minorHAnsi"/>
          <w:sz w:val="24"/>
          <w:szCs w:val="24"/>
        </w:rPr>
        <w:t xml:space="preserve">or instrumentalist conceptions of </w:t>
      </w:r>
      <w:r w:rsidR="00016049" w:rsidRPr="00461D74">
        <w:rPr>
          <w:rFonts w:ascii="Garamond" w:hAnsi="Garamond" w:cstheme="minorHAnsi"/>
          <w:sz w:val="24"/>
          <w:szCs w:val="24"/>
        </w:rPr>
        <w:t>democracy</w:t>
      </w:r>
      <w:r w:rsidRPr="00461D74">
        <w:rPr>
          <w:rFonts w:ascii="Garamond" w:hAnsi="Garamond" w:cstheme="minorHAnsi"/>
          <w:sz w:val="24"/>
          <w:szCs w:val="24"/>
        </w:rPr>
        <w:t>, democracy</w:t>
      </w:r>
      <w:r w:rsidR="00016049" w:rsidRPr="00461D74">
        <w:rPr>
          <w:rFonts w:ascii="Garamond" w:hAnsi="Garamond" w:cstheme="minorHAnsi"/>
          <w:sz w:val="24"/>
          <w:szCs w:val="24"/>
        </w:rPr>
        <w:t xml:space="preserve"> is not </w:t>
      </w:r>
      <w:r w:rsidRPr="00461D74">
        <w:rPr>
          <w:rFonts w:ascii="Garamond" w:hAnsi="Garamond" w:cstheme="minorHAnsi"/>
          <w:sz w:val="24"/>
          <w:szCs w:val="24"/>
        </w:rPr>
        <w:t xml:space="preserve">just simply </w:t>
      </w:r>
      <w:r w:rsidR="00016049" w:rsidRPr="00461D74">
        <w:rPr>
          <w:rFonts w:ascii="Garamond" w:hAnsi="Garamond" w:cstheme="minorHAnsi"/>
          <w:sz w:val="24"/>
          <w:szCs w:val="24"/>
        </w:rPr>
        <w:t>an organizational model of governance. He dispenses with an instrumentalist view of democracy and its false assumption that views individuals in society as a mass of unorganized atomistic individuals.</w:t>
      </w:r>
      <w:r w:rsidR="00016049" w:rsidRPr="00461D74">
        <w:rPr>
          <w:rStyle w:val="FootnoteReference"/>
          <w:rFonts w:ascii="Garamond" w:hAnsi="Garamond" w:cstheme="minorHAnsi"/>
          <w:sz w:val="24"/>
          <w:szCs w:val="24"/>
        </w:rPr>
        <w:footnoteReference w:id="417"/>
      </w:r>
      <w:r w:rsidR="00016049" w:rsidRPr="00461D74">
        <w:rPr>
          <w:rFonts w:ascii="Garamond" w:hAnsi="Garamond" w:cstheme="minorHAnsi"/>
          <w:sz w:val="24"/>
          <w:szCs w:val="24"/>
        </w:rPr>
        <w:t xml:space="preserve"> On Dewey’s revised view, government should not be viewed as an independent entity which exercises majority decisions; the preferable outcome is one that views government as a vehicle for </w:t>
      </w:r>
      <w:r w:rsidR="00613227">
        <w:rPr>
          <w:rFonts w:ascii="Garamond" w:hAnsi="Garamond" w:cstheme="minorHAnsi"/>
          <w:sz w:val="24"/>
          <w:szCs w:val="24"/>
        </w:rPr>
        <w:t>engendering</w:t>
      </w:r>
      <w:r w:rsidR="00613227" w:rsidRPr="00461D74">
        <w:rPr>
          <w:rFonts w:ascii="Garamond" w:hAnsi="Garamond" w:cstheme="minorHAnsi"/>
          <w:sz w:val="24"/>
          <w:szCs w:val="24"/>
        </w:rPr>
        <w:t xml:space="preserve"> </w:t>
      </w:r>
      <w:r w:rsidR="00613227">
        <w:rPr>
          <w:rFonts w:ascii="Garamond" w:hAnsi="Garamond" w:cstheme="minorHAnsi"/>
          <w:sz w:val="24"/>
          <w:szCs w:val="24"/>
        </w:rPr>
        <w:t xml:space="preserve">a range of </w:t>
      </w:r>
      <w:r w:rsidR="00016049" w:rsidRPr="00461D74">
        <w:rPr>
          <w:rFonts w:ascii="Garamond" w:hAnsi="Garamond" w:cstheme="minorHAnsi"/>
          <w:sz w:val="24"/>
          <w:szCs w:val="24"/>
        </w:rPr>
        <w:t xml:space="preserve">efforts </w:t>
      </w:r>
      <w:r w:rsidR="00613227">
        <w:rPr>
          <w:rFonts w:ascii="Garamond" w:hAnsi="Garamond" w:cstheme="minorHAnsi"/>
          <w:sz w:val="24"/>
          <w:szCs w:val="24"/>
        </w:rPr>
        <w:t xml:space="preserve">that seek </w:t>
      </w:r>
      <w:r w:rsidR="00016049" w:rsidRPr="00461D74">
        <w:rPr>
          <w:rFonts w:ascii="Garamond" w:hAnsi="Garamond" w:cstheme="minorHAnsi"/>
          <w:sz w:val="24"/>
          <w:szCs w:val="24"/>
        </w:rPr>
        <w:t>to implement ends pursued cooperatively.</w:t>
      </w:r>
      <w:r w:rsidR="00016049" w:rsidRPr="00461D74">
        <w:rPr>
          <w:rStyle w:val="FootnoteReference"/>
          <w:rFonts w:ascii="Garamond" w:hAnsi="Garamond" w:cstheme="minorHAnsi"/>
          <w:sz w:val="24"/>
          <w:szCs w:val="24"/>
        </w:rPr>
        <w:footnoteReference w:id="418"/>
      </w:r>
      <w:r w:rsidR="00016049" w:rsidRPr="00461D74">
        <w:rPr>
          <w:rFonts w:ascii="Garamond" w:hAnsi="Garamond" w:cstheme="minorHAnsi"/>
          <w:sz w:val="24"/>
          <w:szCs w:val="24"/>
        </w:rPr>
        <w:t xml:space="preserve"> Hence, freedom is the unfettered self-realization that </w:t>
      </w:r>
      <w:r w:rsidR="00835286">
        <w:rPr>
          <w:rFonts w:ascii="Garamond" w:hAnsi="Garamond" w:cstheme="minorHAnsi"/>
          <w:sz w:val="24"/>
          <w:szCs w:val="24"/>
        </w:rPr>
        <w:t>allows</w:t>
      </w:r>
      <w:r w:rsidR="00835286" w:rsidRPr="00461D74">
        <w:rPr>
          <w:rFonts w:ascii="Garamond" w:hAnsi="Garamond" w:cstheme="minorHAnsi"/>
          <w:sz w:val="24"/>
          <w:szCs w:val="24"/>
        </w:rPr>
        <w:t xml:space="preserve"> </w:t>
      </w:r>
      <w:r w:rsidR="00835286">
        <w:rPr>
          <w:rFonts w:ascii="Garamond" w:hAnsi="Garamond" w:cstheme="minorHAnsi"/>
          <w:sz w:val="24"/>
          <w:szCs w:val="24"/>
        </w:rPr>
        <w:t xml:space="preserve">individual </w:t>
      </w:r>
      <w:r w:rsidR="00016049" w:rsidRPr="00461D74">
        <w:rPr>
          <w:rFonts w:ascii="Garamond" w:hAnsi="Garamond" w:cstheme="minorHAnsi"/>
          <w:sz w:val="24"/>
          <w:szCs w:val="24"/>
        </w:rPr>
        <w:t xml:space="preserve">agents </w:t>
      </w:r>
      <w:r w:rsidR="00835286">
        <w:rPr>
          <w:rFonts w:ascii="Garamond" w:hAnsi="Garamond" w:cstheme="minorHAnsi"/>
          <w:sz w:val="24"/>
          <w:szCs w:val="24"/>
        </w:rPr>
        <w:t xml:space="preserve">to </w:t>
      </w:r>
      <w:r w:rsidR="00016049" w:rsidRPr="00461D74">
        <w:rPr>
          <w:rFonts w:ascii="Garamond" w:hAnsi="Garamond" w:cstheme="minorHAnsi"/>
          <w:sz w:val="24"/>
          <w:szCs w:val="24"/>
        </w:rPr>
        <w:t xml:space="preserve">discover their talents and capacities in ways that contribute to society and helps sustain society as a whole, based on a just division of labour. Thus, structurally speaking, the activity of un-coerced social participation under </w:t>
      </w:r>
      <w:r w:rsidR="00E71E3C">
        <w:rPr>
          <w:rFonts w:ascii="Garamond" w:hAnsi="Garamond" w:cstheme="minorHAnsi"/>
          <w:sz w:val="24"/>
          <w:szCs w:val="24"/>
        </w:rPr>
        <w:t>a just</w:t>
      </w:r>
      <w:r w:rsidR="00E71E3C" w:rsidRPr="00461D74">
        <w:rPr>
          <w:rFonts w:ascii="Garamond" w:hAnsi="Garamond" w:cstheme="minorHAnsi"/>
          <w:sz w:val="24"/>
          <w:szCs w:val="24"/>
        </w:rPr>
        <w:t xml:space="preserve"> </w:t>
      </w:r>
      <w:r w:rsidR="00016049" w:rsidRPr="00461D74">
        <w:rPr>
          <w:rFonts w:ascii="Garamond" w:hAnsi="Garamond" w:cstheme="minorHAnsi"/>
          <w:sz w:val="24"/>
          <w:szCs w:val="24"/>
        </w:rPr>
        <w:t>division of labour</w:t>
      </w:r>
      <w:r w:rsidR="00E71E3C">
        <w:rPr>
          <w:rFonts w:ascii="Garamond" w:hAnsi="Garamond" w:cstheme="minorHAnsi"/>
          <w:sz w:val="24"/>
          <w:szCs w:val="24"/>
        </w:rPr>
        <w:t>, with an eye</w:t>
      </w:r>
      <w:r w:rsidR="00016049" w:rsidRPr="00461D74">
        <w:rPr>
          <w:rFonts w:ascii="Garamond" w:hAnsi="Garamond" w:cstheme="minorHAnsi"/>
          <w:sz w:val="24"/>
          <w:szCs w:val="24"/>
        </w:rPr>
        <w:t xml:space="preserve"> </w:t>
      </w:r>
      <w:r w:rsidR="00E71E3C">
        <w:rPr>
          <w:rFonts w:ascii="Garamond" w:hAnsi="Garamond" w:cstheme="minorHAnsi"/>
          <w:sz w:val="24"/>
          <w:szCs w:val="24"/>
        </w:rPr>
        <w:t>towards the amelioration of</w:t>
      </w:r>
      <w:r w:rsidR="00016049" w:rsidRPr="00461D74">
        <w:rPr>
          <w:rFonts w:ascii="Garamond" w:hAnsi="Garamond" w:cstheme="minorHAnsi"/>
          <w:sz w:val="24"/>
          <w:szCs w:val="24"/>
        </w:rPr>
        <w:t xml:space="preserve"> social problems</w:t>
      </w:r>
      <w:r w:rsidR="00E71E3C">
        <w:rPr>
          <w:rFonts w:ascii="Garamond" w:hAnsi="Garamond" w:cstheme="minorHAnsi"/>
          <w:sz w:val="24"/>
          <w:szCs w:val="24"/>
        </w:rPr>
        <w:t>,</w:t>
      </w:r>
      <w:r w:rsidR="00016049" w:rsidRPr="00461D74">
        <w:rPr>
          <w:rFonts w:ascii="Garamond" w:hAnsi="Garamond" w:cstheme="minorHAnsi"/>
          <w:sz w:val="24"/>
          <w:szCs w:val="24"/>
        </w:rPr>
        <w:t xml:space="preserve"> </w:t>
      </w:r>
      <w:r w:rsidR="00E71E3C">
        <w:rPr>
          <w:rFonts w:ascii="Garamond" w:hAnsi="Garamond" w:cstheme="minorHAnsi"/>
          <w:sz w:val="24"/>
          <w:szCs w:val="24"/>
        </w:rPr>
        <w:t>epitomises</w:t>
      </w:r>
      <w:r w:rsidR="00016049" w:rsidRPr="00461D74">
        <w:rPr>
          <w:rFonts w:ascii="Garamond" w:hAnsi="Garamond" w:cstheme="minorHAnsi"/>
          <w:sz w:val="24"/>
          <w:szCs w:val="24"/>
        </w:rPr>
        <w:t xml:space="preserve"> the essence of democracy.</w:t>
      </w:r>
      <w:r w:rsidR="00016049" w:rsidRPr="00461D74">
        <w:rPr>
          <w:rStyle w:val="FootnoteReference"/>
          <w:rFonts w:ascii="Garamond" w:hAnsi="Garamond" w:cstheme="minorHAnsi"/>
          <w:sz w:val="24"/>
          <w:szCs w:val="24"/>
        </w:rPr>
        <w:footnoteReference w:id="419"/>
      </w:r>
    </w:p>
    <w:p w:rsidR="00665157" w:rsidRDefault="00C2575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On </w:t>
      </w:r>
      <w:r w:rsidR="00016049" w:rsidRPr="00461D74">
        <w:rPr>
          <w:rFonts w:ascii="Garamond" w:hAnsi="Garamond" w:cstheme="minorHAnsi"/>
          <w:sz w:val="24"/>
          <w:szCs w:val="24"/>
        </w:rPr>
        <w:t>Dewey</w:t>
      </w:r>
      <w:r w:rsidRPr="00461D74">
        <w:rPr>
          <w:rFonts w:ascii="Garamond" w:hAnsi="Garamond" w:cstheme="minorHAnsi"/>
          <w:sz w:val="24"/>
          <w:szCs w:val="24"/>
        </w:rPr>
        <w:t>’s view</w:t>
      </w:r>
      <w:r w:rsidR="00016049" w:rsidRPr="00461D74">
        <w:rPr>
          <w:rFonts w:ascii="Garamond" w:hAnsi="Garamond" w:cstheme="minorHAnsi"/>
          <w:sz w:val="24"/>
          <w:szCs w:val="24"/>
        </w:rPr>
        <w:t xml:space="preserve">, </w:t>
      </w:r>
      <w:r w:rsidRPr="00461D74">
        <w:rPr>
          <w:rFonts w:ascii="Garamond" w:hAnsi="Garamond" w:cstheme="minorHAnsi"/>
          <w:sz w:val="24"/>
          <w:szCs w:val="24"/>
        </w:rPr>
        <w:t>for</w:t>
      </w:r>
      <w:r w:rsidR="00016049"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proceduralism</w:t>
      </w:r>
      <w:proofErr w:type="spellEnd"/>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to be effective it has to consider that the likelihood of </w:t>
      </w:r>
      <w:r w:rsidR="00016049" w:rsidRPr="00461D74">
        <w:rPr>
          <w:rFonts w:ascii="Garamond" w:hAnsi="Garamond" w:cstheme="minorHAnsi"/>
          <w:sz w:val="24"/>
          <w:szCs w:val="24"/>
        </w:rPr>
        <w:t xml:space="preserve">intelligent solutions to emerging </w:t>
      </w:r>
      <w:r w:rsidRPr="00461D74">
        <w:rPr>
          <w:rFonts w:ascii="Garamond" w:hAnsi="Garamond" w:cstheme="minorHAnsi"/>
          <w:sz w:val="24"/>
          <w:szCs w:val="24"/>
        </w:rPr>
        <w:t xml:space="preserve">social </w:t>
      </w:r>
      <w:r w:rsidR="00016049" w:rsidRPr="00461D74">
        <w:rPr>
          <w:rFonts w:ascii="Garamond" w:hAnsi="Garamond" w:cstheme="minorHAnsi"/>
          <w:sz w:val="24"/>
          <w:szCs w:val="24"/>
        </w:rPr>
        <w:t>problem</w:t>
      </w:r>
      <w:r w:rsidRPr="00461D74">
        <w:rPr>
          <w:rFonts w:ascii="Garamond" w:hAnsi="Garamond" w:cstheme="minorHAnsi"/>
          <w:sz w:val="24"/>
          <w:szCs w:val="24"/>
        </w:rPr>
        <w:t>s</w:t>
      </w:r>
      <w:r w:rsidR="00016049" w:rsidRPr="00461D74">
        <w:rPr>
          <w:rFonts w:ascii="Garamond" w:hAnsi="Garamond" w:cstheme="minorHAnsi"/>
          <w:sz w:val="24"/>
          <w:szCs w:val="24"/>
        </w:rPr>
        <w:t xml:space="preserve"> increase</w:t>
      </w:r>
      <w:r w:rsidRPr="00461D74">
        <w:rPr>
          <w:rFonts w:ascii="Garamond" w:hAnsi="Garamond" w:cstheme="minorHAnsi"/>
          <w:sz w:val="24"/>
          <w:szCs w:val="24"/>
        </w:rPr>
        <w:t xml:space="preserve"> whenever </w:t>
      </w:r>
      <w:r w:rsidR="00016049" w:rsidRPr="00461D74">
        <w:rPr>
          <w:rFonts w:ascii="Garamond" w:hAnsi="Garamond" w:cstheme="minorHAnsi"/>
          <w:sz w:val="24"/>
          <w:szCs w:val="24"/>
        </w:rPr>
        <w:t xml:space="preserve">all involved participants are free from constraints, possess equal right to communicate, exchange information, and </w:t>
      </w:r>
      <w:r w:rsidRPr="00461D74">
        <w:rPr>
          <w:rFonts w:ascii="Garamond" w:hAnsi="Garamond" w:cstheme="minorHAnsi"/>
          <w:sz w:val="24"/>
          <w:szCs w:val="24"/>
        </w:rPr>
        <w:t xml:space="preserve">are able to effectively </w:t>
      </w:r>
      <w:r w:rsidR="00016049" w:rsidRPr="00461D74">
        <w:rPr>
          <w:rFonts w:ascii="Garamond" w:hAnsi="Garamond" w:cstheme="minorHAnsi"/>
          <w:sz w:val="24"/>
          <w:szCs w:val="24"/>
        </w:rPr>
        <w:t xml:space="preserve">introduce their considerations on </w:t>
      </w:r>
      <w:r w:rsidRPr="00461D74">
        <w:rPr>
          <w:rFonts w:ascii="Garamond" w:hAnsi="Garamond" w:cstheme="minorHAnsi"/>
          <w:sz w:val="24"/>
          <w:szCs w:val="24"/>
        </w:rPr>
        <w:t>various social and political issues</w:t>
      </w:r>
      <w:r w:rsidR="00016049" w:rsidRPr="00461D74">
        <w:rPr>
          <w:rFonts w:ascii="Garamond" w:hAnsi="Garamond" w:cstheme="minorHAnsi"/>
          <w:sz w:val="24"/>
          <w:szCs w:val="24"/>
        </w:rPr>
        <w:t xml:space="preserve">. Dewey’s epistemic view </w:t>
      </w:r>
      <w:r w:rsidRPr="00461D74">
        <w:rPr>
          <w:rFonts w:ascii="Garamond" w:hAnsi="Garamond" w:cstheme="minorHAnsi"/>
          <w:sz w:val="24"/>
          <w:szCs w:val="24"/>
        </w:rPr>
        <w:lastRenderedPageBreak/>
        <w:t xml:space="preserve">argues that </w:t>
      </w:r>
      <w:r w:rsidR="00016049" w:rsidRPr="00461D74">
        <w:rPr>
          <w:rFonts w:ascii="Garamond" w:hAnsi="Garamond" w:cstheme="minorHAnsi"/>
          <w:sz w:val="24"/>
          <w:szCs w:val="24"/>
        </w:rPr>
        <w:t xml:space="preserve">democracy serves as a condition for increasing the propensity to develop rational solutions to </w:t>
      </w:r>
      <w:r w:rsidR="0052290E" w:rsidRPr="00461D74">
        <w:rPr>
          <w:rFonts w:ascii="Garamond" w:hAnsi="Garamond" w:cstheme="minorHAnsi"/>
          <w:sz w:val="24"/>
          <w:szCs w:val="24"/>
        </w:rPr>
        <w:t xml:space="preserve">social and political </w:t>
      </w:r>
      <w:r w:rsidR="00016049" w:rsidRPr="00461D74">
        <w:rPr>
          <w:rFonts w:ascii="Garamond" w:hAnsi="Garamond" w:cstheme="minorHAnsi"/>
          <w:sz w:val="24"/>
          <w:szCs w:val="24"/>
        </w:rPr>
        <w:t>problems.</w:t>
      </w:r>
      <w:r w:rsidR="00016049" w:rsidRPr="00461D74">
        <w:rPr>
          <w:rStyle w:val="FootnoteReference"/>
          <w:rFonts w:ascii="Garamond" w:hAnsi="Garamond" w:cstheme="minorHAnsi"/>
          <w:sz w:val="24"/>
          <w:szCs w:val="24"/>
        </w:rPr>
        <w:footnoteReference w:id="420"/>
      </w:r>
    </w:p>
    <w:p w:rsidR="00665157" w:rsidRDefault="0052290E">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So </w:t>
      </w:r>
      <w:r w:rsidR="00016049" w:rsidRPr="00461D74">
        <w:rPr>
          <w:rFonts w:ascii="Garamond" w:hAnsi="Garamond" w:cstheme="minorHAnsi"/>
          <w:sz w:val="24"/>
          <w:szCs w:val="24"/>
        </w:rPr>
        <w:t xml:space="preserve">how does Dewey </w:t>
      </w:r>
      <w:r w:rsidRPr="00461D74">
        <w:rPr>
          <w:rFonts w:ascii="Garamond" w:hAnsi="Garamond" w:cstheme="minorHAnsi"/>
          <w:sz w:val="24"/>
          <w:szCs w:val="24"/>
        </w:rPr>
        <w:t xml:space="preserve">synthesize (or reconcile) </w:t>
      </w:r>
      <w:r w:rsidR="00016049" w:rsidRPr="00461D74">
        <w:rPr>
          <w:rFonts w:ascii="Garamond" w:hAnsi="Garamond" w:cstheme="minorHAnsi"/>
          <w:sz w:val="24"/>
          <w:szCs w:val="24"/>
        </w:rPr>
        <w:t xml:space="preserve">his epistemic procedural account with </w:t>
      </w:r>
      <w:r w:rsidRPr="00461D74">
        <w:rPr>
          <w:rFonts w:ascii="Garamond" w:hAnsi="Garamond" w:cstheme="minorHAnsi"/>
          <w:sz w:val="24"/>
          <w:szCs w:val="24"/>
        </w:rPr>
        <w:t xml:space="preserve">more </w:t>
      </w:r>
      <w:r w:rsidR="00016049" w:rsidRPr="00461D74">
        <w:rPr>
          <w:rFonts w:ascii="Garamond" w:hAnsi="Garamond" w:cstheme="minorHAnsi"/>
          <w:sz w:val="24"/>
          <w:szCs w:val="24"/>
        </w:rPr>
        <w:t>substantive account</w:t>
      </w:r>
      <w:r w:rsidRPr="00461D74">
        <w:rPr>
          <w:rFonts w:ascii="Garamond" w:hAnsi="Garamond" w:cstheme="minorHAnsi"/>
          <w:sz w:val="24"/>
          <w:szCs w:val="24"/>
        </w:rPr>
        <w:t xml:space="preserve">s offered in </w:t>
      </w:r>
      <w:r w:rsidR="00C6055E">
        <w:rPr>
          <w:rFonts w:ascii="Garamond" w:hAnsi="Garamond" w:cstheme="minorHAnsi"/>
          <w:sz w:val="24"/>
          <w:szCs w:val="24"/>
        </w:rPr>
        <w:t>(</w:t>
      </w:r>
      <w:r w:rsidR="00E16067" w:rsidRPr="00461D74">
        <w:rPr>
          <w:rFonts w:ascii="Garamond" w:hAnsi="Garamond" w:cstheme="minorHAnsi"/>
          <w:sz w:val="24"/>
          <w:szCs w:val="24"/>
        </w:rPr>
        <w:t>substantive</w:t>
      </w:r>
      <w:r w:rsidR="00C6055E">
        <w:rPr>
          <w:rFonts w:ascii="Garamond" w:hAnsi="Garamond" w:cstheme="minorHAnsi"/>
          <w:sz w:val="24"/>
          <w:szCs w:val="24"/>
        </w:rPr>
        <w:t>)</w:t>
      </w:r>
      <w:r w:rsidR="00E16067" w:rsidRPr="00461D74">
        <w:rPr>
          <w:rFonts w:ascii="Garamond" w:hAnsi="Garamond" w:cstheme="minorHAnsi"/>
          <w:sz w:val="24"/>
          <w:szCs w:val="24"/>
        </w:rPr>
        <w:t xml:space="preserve"> </w:t>
      </w:r>
      <w:r w:rsidRPr="00461D74">
        <w:rPr>
          <w:rFonts w:ascii="Garamond" w:hAnsi="Garamond" w:cstheme="minorHAnsi"/>
          <w:sz w:val="24"/>
          <w:szCs w:val="24"/>
        </w:rPr>
        <w:t>republican views such as those of Arendt that stress citizen virtues and community</w:t>
      </w:r>
      <w:r w:rsidR="00E16067" w:rsidRPr="00461D74">
        <w:rPr>
          <w:rFonts w:ascii="Garamond" w:hAnsi="Garamond" w:cstheme="minorHAnsi"/>
          <w:sz w:val="24"/>
          <w:szCs w:val="24"/>
        </w:rPr>
        <w:t>-</w:t>
      </w:r>
      <w:r w:rsidRPr="00461D74">
        <w:rPr>
          <w:rFonts w:ascii="Garamond" w:hAnsi="Garamond" w:cstheme="minorHAnsi"/>
          <w:sz w:val="24"/>
          <w:szCs w:val="24"/>
        </w:rPr>
        <w:t>based politics</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421"/>
      </w:r>
      <w:r w:rsidR="00016049" w:rsidRPr="00461D74">
        <w:rPr>
          <w:rFonts w:ascii="Garamond" w:hAnsi="Garamond" w:cstheme="minorHAnsi"/>
          <w:sz w:val="24"/>
          <w:szCs w:val="24"/>
        </w:rPr>
        <w:t xml:space="preserve"> </w:t>
      </w:r>
      <w:r w:rsidR="00C6055E">
        <w:rPr>
          <w:rFonts w:ascii="Garamond" w:hAnsi="Garamond" w:cstheme="minorHAnsi"/>
          <w:sz w:val="24"/>
          <w:szCs w:val="24"/>
        </w:rPr>
        <w:t xml:space="preserve">It is often the case that </w:t>
      </w:r>
      <w:r w:rsidRPr="00461D74">
        <w:rPr>
          <w:rFonts w:ascii="Garamond" w:hAnsi="Garamond" w:cstheme="minorHAnsi"/>
          <w:sz w:val="24"/>
          <w:szCs w:val="24"/>
        </w:rPr>
        <w:t xml:space="preserve">standard </w:t>
      </w:r>
      <w:proofErr w:type="spellStart"/>
      <w:r w:rsidR="00016049" w:rsidRPr="00461D74">
        <w:rPr>
          <w:rFonts w:ascii="Garamond" w:hAnsi="Garamond" w:cstheme="minorHAnsi"/>
          <w:sz w:val="24"/>
          <w:szCs w:val="24"/>
        </w:rPr>
        <w:t>procedur</w:t>
      </w:r>
      <w:r w:rsidRPr="00461D74">
        <w:rPr>
          <w:rFonts w:ascii="Garamond" w:hAnsi="Garamond" w:cstheme="minorHAnsi"/>
          <w:sz w:val="24"/>
          <w:szCs w:val="24"/>
        </w:rPr>
        <w:t>alist</w:t>
      </w:r>
      <w:proofErr w:type="spellEnd"/>
      <w:r w:rsidRPr="00461D74">
        <w:rPr>
          <w:rFonts w:ascii="Garamond" w:hAnsi="Garamond" w:cstheme="minorHAnsi"/>
          <w:sz w:val="24"/>
          <w:szCs w:val="24"/>
        </w:rPr>
        <w:t xml:space="preserve"> views</w:t>
      </w:r>
      <w:r w:rsidR="00E16067" w:rsidRPr="00461D74">
        <w:rPr>
          <w:rFonts w:ascii="Garamond" w:hAnsi="Garamond" w:cstheme="minorHAnsi"/>
          <w:sz w:val="24"/>
          <w:szCs w:val="24"/>
        </w:rPr>
        <w:t xml:space="preserve">, especially those that are available </w:t>
      </w:r>
      <w:r w:rsidR="00016049" w:rsidRPr="00461D74">
        <w:rPr>
          <w:rFonts w:ascii="Garamond" w:hAnsi="Garamond" w:cstheme="minorHAnsi"/>
          <w:sz w:val="24"/>
          <w:szCs w:val="24"/>
        </w:rPr>
        <w:t>in liberal democracies</w:t>
      </w:r>
      <w:r w:rsidR="00E16067"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E16067" w:rsidRPr="00461D74">
        <w:rPr>
          <w:rFonts w:ascii="Garamond" w:hAnsi="Garamond" w:cstheme="minorHAnsi"/>
          <w:sz w:val="24"/>
          <w:szCs w:val="24"/>
        </w:rPr>
        <w:t>can come into conflict with more substantive views</w:t>
      </w:r>
      <w:r w:rsidR="00016049" w:rsidRPr="00461D74">
        <w:rPr>
          <w:rFonts w:ascii="Garamond" w:hAnsi="Garamond" w:cstheme="minorHAnsi"/>
          <w:sz w:val="24"/>
          <w:szCs w:val="24"/>
        </w:rPr>
        <w:t xml:space="preserve"> </w:t>
      </w:r>
      <w:r w:rsidR="00E16067" w:rsidRPr="00461D74">
        <w:rPr>
          <w:rFonts w:ascii="Garamond" w:hAnsi="Garamond" w:cstheme="minorHAnsi"/>
          <w:sz w:val="24"/>
          <w:szCs w:val="24"/>
        </w:rPr>
        <w:t xml:space="preserve">that stress participation in local </w:t>
      </w:r>
      <w:r w:rsidR="00016049" w:rsidRPr="00461D74">
        <w:rPr>
          <w:rFonts w:ascii="Garamond" w:hAnsi="Garamond" w:cstheme="minorHAnsi"/>
          <w:sz w:val="24"/>
          <w:szCs w:val="24"/>
        </w:rPr>
        <w:t>democratic politics.</w:t>
      </w:r>
      <w:r w:rsidR="00690354"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Dewey </w:t>
      </w:r>
      <w:r w:rsidR="00E16067" w:rsidRPr="00461D74">
        <w:rPr>
          <w:rFonts w:ascii="Garamond" w:hAnsi="Garamond" w:cstheme="minorHAnsi"/>
          <w:sz w:val="24"/>
          <w:szCs w:val="24"/>
        </w:rPr>
        <w:t>offers a resolution of</w:t>
      </w:r>
      <w:r w:rsidR="00016049" w:rsidRPr="00461D74">
        <w:rPr>
          <w:rFonts w:ascii="Garamond" w:hAnsi="Garamond" w:cstheme="minorHAnsi"/>
          <w:sz w:val="24"/>
          <w:szCs w:val="24"/>
        </w:rPr>
        <w:t xml:space="preserve"> this problem by positing the state as a forum </w:t>
      </w:r>
      <w:r w:rsidR="00E16067" w:rsidRPr="00461D74">
        <w:rPr>
          <w:rFonts w:ascii="Garamond" w:hAnsi="Garamond" w:cstheme="minorHAnsi"/>
          <w:sz w:val="24"/>
          <w:szCs w:val="24"/>
        </w:rPr>
        <w:t xml:space="preserve">in which </w:t>
      </w:r>
      <w:r w:rsidR="00016049" w:rsidRPr="00461D74">
        <w:rPr>
          <w:rFonts w:ascii="Garamond" w:hAnsi="Garamond" w:cstheme="minorHAnsi"/>
          <w:sz w:val="24"/>
          <w:szCs w:val="24"/>
        </w:rPr>
        <w:t xml:space="preserve">problem solving is undertaken collectively. Social actions and their consequences </w:t>
      </w:r>
      <w:r w:rsidR="00896A93" w:rsidRPr="00461D74">
        <w:rPr>
          <w:rFonts w:ascii="Garamond" w:hAnsi="Garamond" w:cstheme="minorHAnsi"/>
          <w:sz w:val="24"/>
          <w:szCs w:val="24"/>
        </w:rPr>
        <w:t xml:space="preserve">generate </w:t>
      </w:r>
      <w:r w:rsidR="00016049" w:rsidRPr="00461D74">
        <w:rPr>
          <w:rFonts w:ascii="Garamond" w:hAnsi="Garamond" w:cstheme="minorHAnsi"/>
          <w:sz w:val="24"/>
          <w:szCs w:val="24"/>
        </w:rPr>
        <w:t xml:space="preserve">the need for collective </w:t>
      </w:r>
      <w:r w:rsidR="00896A93" w:rsidRPr="00461D74">
        <w:rPr>
          <w:rFonts w:ascii="Garamond" w:hAnsi="Garamond" w:cstheme="minorHAnsi"/>
          <w:sz w:val="24"/>
          <w:szCs w:val="24"/>
        </w:rPr>
        <w:t xml:space="preserve">evaluation and </w:t>
      </w:r>
      <w:r w:rsidR="00016049" w:rsidRPr="00461D74">
        <w:rPr>
          <w:rFonts w:ascii="Garamond" w:hAnsi="Garamond" w:cstheme="minorHAnsi"/>
          <w:sz w:val="24"/>
          <w:szCs w:val="24"/>
        </w:rPr>
        <w:t xml:space="preserve">control of those actions. </w:t>
      </w:r>
      <w:proofErr w:type="spellStart"/>
      <w:r w:rsidR="00690354" w:rsidRPr="00461D74">
        <w:rPr>
          <w:rFonts w:ascii="Garamond" w:hAnsi="Garamond" w:cstheme="minorHAnsi"/>
          <w:sz w:val="24"/>
          <w:szCs w:val="24"/>
        </w:rPr>
        <w:t>Honneth</w:t>
      </w:r>
      <w:proofErr w:type="spellEnd"/>
      <w:r w:rsidR="00690354" w:rsidRPr="00461D74">
        <w:rPr>
          <w:rFonts w:ascii="Garamond" w:hAnsi="Garamond" w:cstheme="minorHAnsi"/>
          <w:sz w:val="24"/>
          <w:szCs w:val="24"/>
        </w:rPr>
        <w:t xml:space="preserve"> argues that f</w:t>
      </w:r>
      <w:r w:rsidR="00016049" w:rsidRPr="00461D74">
        <w:rPr>
          <w:rFonts w:ascii="Garamond" w:hAnsi="Garamond" w:cstheme="minorHAnsi"/>
          <w:sz w:val="24"/>
          <w:szCs w:val="24"/>
        </w:rPr>
        <w:t xml:space="preserve">or Dewey, ‘the public’ is </w:t>
      </w:r>
    </w:p>
    <w:p w:rsidR="00665157" w:rsidRDefault="00016049">
      <w:pPr>
        <w:spacing w:line="360" w:lineRule="auto"/>
        <w:ind w:left="1440"/>
        <w:jc w:val="both"/>
        <w:rPr>
          <w:rFonts w:ascii="Garamond" w:hAnsi="Garamond" w:cstheme="minorHAnsi"/>
        </w:rPr>
      </w:pPr>
      <w:r w:rsidRPr="00461D74">
        <w:rPr>
          <w:rFonts w:ascii="Garamond" w:hAnsi="Garamond" w:cstheme="minorHAnsi"/>
        </w:rPr>
        <w:t>“that sphere of social action that a social group can successfully prove to be in need of general regulation because encroaching consequences are being generated</w:t>
      </w:r>
      <w:r w:rsidR="00690354" w:rsidRPr="00461D74">
        <w:rPr>
          <w:rFonts w:ascii="Garamond" w:hAnsi="Garamond" w:cstheme="minorHAnsi"/>
        </w:rPr>
        <w:t xml:space="preserve">; and, accordingly, a </w:t>
      </w:r>
      <w:r w:rsidR="00D03856" w:rsidRPr="00461D74">
        <w:rPr>
          <w:rFonts w:ascii="Garamond" w:hAnsi="Garamond" w:cstheme="minorHAnsi"/>
        </w:rPr>
        <w:t>‘</w:t>
      </w:r>
      <w:r w:rsidR="00690354" w:rsidRPr="00461D74">
        <w:rPr>
          <w:rFonts w:ascii="Garamond" w:hAnsi="Garamond" w:cstheme="minorHAnsi"/>
        </w:rPr>
        <w:t>public</w:t>
      </w:r>
      <w:r w:rsidR="00D03856" w:rsidRPr="00461D74">
        <w:rPr>
          <w:rFonts w:ascii="Garamond" w:hAnsi="Garamond" w:cstheme="minorHAnsi"/>
        </w:rPr>
        <w:t>’</w:t>
      </w:r>
      <w:r w:rsidR="00690354" w:rsidRPr="00461D74">
        <w:rPr>
          <w:rFonts w:ascii="Garamond" w:hAnsi="Garamond" w:cstheme="minorHAnsi"/>
        </w:rPr>
        <w:t xml:space="preserve"> consists of the circle of citizens who, on the basis of a jointly experienced concern, share the conviction that they have to turn to the rest of society for the purposes of administratively controlling the relevant interactions.”</w:t>
      </w:r>
      <w:r w:rsidR="00690354" w:rsidRPr="00461D74">
        <w:rPr>
          <w:rStyle w:val="FootnoteReference"/>
          <w:rFonts w:ascii="Garamond" w:hAnsi="Garamond" w:cstheme="minorHAnsi"/>
        </w:rPr>
        <w:footnoteReference w:id="422"/>
      </w:r>
    </w:p>
    <w:p w:rsidR="00665157" w:rsidRDefault="00C6055E" w:rsidP="00387157">
      <w:pPr>
        <w:spacing w:line="360" w:lineRule="auto"/>
        <w:ind w:firstLine="720"/>
        <w:jc w:val="both"/>
        <w:rPr>
          <w:rFonts w:ascii="Garamond" w:hAnsi="Garamond" w:cstheme="minorHAnsi"/>
          <w:sz w:val="24"/>
          <w:szCs w:val="24"/>
        </w:rPr>
      </w:pPr>
      <w:r>
        <w:rPr>
          <w:rFonts w:ascii="Garamond" w:hAnsi="Garamond" w:cstheme="minorHAnsi"/>
          <w:sz w:val="24"/>
          <w:szCs w:val="24"/>
        </w:rPr>
        <w:t xml:space="preserve">Now, </w:t>
      </w:r>
      <w:r w:rsidR="00016049" w:rsidRPr="00461D74">
        <w:rPr>
          <w:rFonts w:ascii="Garamond" w:hAnsi="Garamond" w:cstheme="minorHAnsi"/>
          <w:sz w:val="24"/>
          <w:szCs w:val="24"/>
        </w:rPr>
        <w:t>Dewey</w:t>
      </w:r>
      <w:r w:rsidR="00D03856" w:rsidRPr="00461D74">
        <w:rPr>
          <w:rFonts w:ascii="Garamond" w:hAnsi="Garamond" w:cstheme="minorHAnsi"/>
          <w:sz w:val="24"/>
          <w:szCs w:val="24"/>
        </w:rPr>
        <w:t>’s account</w:t>
      </w:r>
      <w:r w:rsidR="005361A1">
        <w:rPr>
          <w:rFonts w:ascii="Garamond" w:hAnsi="Garamond" w:cstheme="minorHAnsi"/>
          <w:sz w:val="24"/>
          <w:szCs w:val="24"/>
        </w:rPr>
        <w:t xml:space="preserve"> </w:t>
      </w:r>
      <w:r w:rsidR="00016049" w:rsidRPr="00461D74">
        <w:rPr>
          <w:rFonts w:ascii="Garamond" w:hAnsi="Garamond" w:cstheme="minorHAnsi"/>
          <w:sz w:val="24"/>
          <w:szCs w:val="24"/>
        </w:rPr>
        <w:t>presupposes a</w:t>
      </w:r>
      <w:r w:rsidR="00D03856" w:rsidRPr="00461D74">
        <w:rPr>
          <w:rFonts w:ascii="Garamond" w:hAnsi="Garamond" w:cstheme="minorHAnsi"/>
          <w:sz w:val="24"/>
          <w:szCs w:val="24"/>
        </w:rPr>
        <w:t>n instrumental, as opposed to a more foundational (or essentialist)</w:t>
      </w:r>
      <w:r w:rsidR="00016049" w:rsidRPr="00461D74">
        <w:rPr>
          <w:rFonts w:ascii="Garamond" w:hAnsi="Garamond" w:cstheme="minorHAnsi"/>
          <w:sz w:val="24"/>
          <w:szCs w:val="24"/>
        </w:rPr>
        <w:t xml:space="preserve"> distinction between p</w:t>
      </w:r>
      <w:r w:rsidR="00D03856" w:rsidRPr="00461D74">
        <w:rPr>
          <w:rFonts w:ascii="Garamond" w:hAnsi="Garamond" w:cstheme="minorHAnsi"/>
          <w:sz w:val="24"/>
          <w:szCs w:val="24"/>
        </w:rPr>
        <w:t>rivate and public spheres</w:t>
      </w:r>
      <w:r>
        <w:rPr>
          <w:rFonts w:ascii="Garamond" w:hAnsi="Garamond" w:cstheme="minorHAnsi"/>
          <w:sz w:val="24"/>
          <w:szCs w:val="24"/>
        </w:rPr>
        <w:t>;</w:t>
      </w:r>
      <w:r w:rsidR="00D03856" w:rsidRPr="00461D74">
        <w:rPr>
          <w:rFonts w:ascii="Garamond" w:hAnsi="Garamond" w:cstheme="minorHAnsi"/>
          <w:sz w:val="24"/>
          <w:szCs w:val="24"/>
        </w:rPr>
        <w:t xml:space="preserve"> </w:t>
      </w:r>
      <w:r>
        <w:rPr>
          <w:rFonts w:ascii="Garamond" w:hAnsi="Garamond" w:cstheme="minorHAnsi"/>
          <w:sz w:val="24"/>
          <w:szCs w:val="24"/>
        </w:rPr>
        <w:t>and,</w:t>
      </w:r>
      <w:r w:rsidRPr="00461D74">
        <w:rPr>
          <w:rFonts w:ascii="Garamond" w:hAnsi="Garamond" w:cstheme="minorHAnsi"/>
          <w:sz w:val="24"/>
          <w:szCs w:val="24"/>
        </w:rPr>
        <w:t xml:space="preserve"> </w:t>
      </w:r>
      <w:r w:rsidR="00D03856" w:rsidRPr="00461D74">
        <w:rPr>
          <w:rFonts w:ascii="Garamond" w:hAnsi="Garamond" w:cstheme="minorHAnsi"/>
          <w:sz w:val="24"/>
          <w:szCs w:val="24"/>
        </w:rPr>
        <w:t>the</w:t>
      </w:r>
      <w:r w:rsidR="00016049" w:rsidRPr="00461D74">
        <w:rPr>
          <w:rFonts w:ascii="Garamond" w:hAnsi="Garamond" w:cstheme="minorHAnsi"/>
          <w:sz w:val="24"/>
          <w:szCs w:val="24"/>
        </w:rPr>
        <w:t xml:space="preserve"> distinction between the </w:t>
      </w:r>
      <w:r w:rsidR="00D03856" w:rsidRPr="00461D74">
        <w:rPr>
          <w:rFonts w:ascii="Garamond" w:hAnsi="Garamond" w:cstheme="minorHAnsi"/>
          <w:sz w:val="24"/>
          <w:szCs w:val="24"/>
        </w:rPr>
        <w:t xml:space="preserve">two spheres </w:t>
      </w:r>
      <w:r w:rsidR="00016049" w:rsidRPr="00461D74">
        <w:rPr>
          <w:rFonts w:ascii="Garamond" w:hAnsi="Garamond" w:cstheme="minorHAnsi"/>
          <w:sz w:val="24"/>
          <w:szCs w:val="24"/>
        </w:rPr>
        <w:t xml:space="preserve">is on the basis of the extent and the scope of consequences of </w:t>
      </w:r>
      <w:r w:rsidR="00D03856" w:rsidRPr="00461D74">
        <w:rPr>
          <w:rFonts w:ascii="Garamond" w:hAnsi="Garamond" w:cstheme="minorHAnsi"/>
          <w:sz w:val="24"/>
          <w:szCs w:val="24"/>
        </w:rPr>
        <w:t>social-political problems</w:t>
      </w:r>
      <w:r w:rsidR="00016049" w:rsidRPr="00461D74">
        <w:rPr>
          <w:rFonts w:ascii="Garamond" w:hAnsi="Garamond" w:cstheme="minorHAnsi"/>
          <w:sz w:val="24"/>
          <w:szCs w:val="24"/>
        </w:rPr>
        <w:t xml:space="preserve"> </w:t>
      </w:r>
      <w:r w:rsidR="00D03856" w:rsidRPr="00461D74">
        <w:rPr>
          <w:rFonts w:ascii="Garamond" w:hAnsi="Garamond" w:cstheme="minorHAnsi"/>
          <w:sz w:val="24"/>
          <w:szCs w:val="24"/>
        </w:rPr>
        <w:t>which demand regulation and control.</w:t>
      </w:r>
      <w:r w:rsidR="00387157">
        <w:rPr>
          <w:rFonts w:ascii="Garamond" w:hAnsi="Garamond" w:cstheme="minorHAnsi"/>
          <w:sz w:val="24"/>
          <w:szCs w:val="24"/>
        </w:rPr>
        <w:t xml:space="preserve"> </w:t>
      </w:r>
      <w:r w:rsidR="00D03856" w:rsidRPr="00461D74">
        <w:rPr>
          <w:rFonts w:ascii="Garamond" w:hAnsi="Garamond" w:cstheme="minorHAnsi"/>
          <w:sz w:val="24"/>
          <w:szCs w:val="24"/>
        </w:rPr>
        <w:t xml:space="preserve">Additionally, on </w:t>
      </w:r>
      <w:r w:rsidR="00016049" w:rsidRPr="00461D74">
        <w:rPr>
          <w:rFonts w:ascii="Garamond" w:hAnsi="Garamond" w:cstheme="minorHAnsi"/>
          <w:sz w:val="24"/>
          <w:szCs w:val="24"/>
        </w:rPr>
        <w:t xml:space="preserve">Dewey’s account, the state is a “secondary form of association” in which the various interconnected ‘publics’ work </w:t>
      </w:r>
      <w:r w:rsidR="00D03856" w:rsidRPr="00461D74">
        <w:rPr>
          <w:rFonts w:ascii="Garamond" w:hAnsi="Garamond" w:cstheme="minorHAnsi"/>
          <w:sz w:val="24"/>
          <w:szCs w:val="24"/>
        </w:rPr>
        <w:t xml:space="preserve">jointly </w:t>
      </w:r>
      <w:r w:rsidR="002F6803" w:rsidRPr="00461D74">
        <w:rPr>
          <w:rFonts w:ascii="Garamond" w:hAnsi="Garamond" w:cstheme="minorHAnsi"/>
          <w:sz w:val="24"/>
          <w:szCs w:val="24"/>
        </w:rPr>
        <w:t xml:space="preserve">to advance coordinated social and political actions, for the purpose of ameliorating social-political </w:t>
      </w:r>
      <w:r w:rsidR="002F6803" w:rsidRPr="00461D74">
        <w:rPr>
          <w:rFonts w:ascii="Garamond" w:hAnsi="Garamond" w:cstheme="minorHAnsi"/>
          <w:sz w:val="24"/>
          <w:szCs w:val="24"/>
        </w:rPr>
        <w:lastRenderedPageBreak/>
        <w:t>problems</w:t>
      </w:r>
      <w:r w:rsidR="00016049" w:rsidRPr="00461D74">
        <w:rPr>
          <w:rFonts w:ascii="Garamond" w:hAnsi="Garamond" w:cstheme="minorHAnsi"/>
          <w:sz w:val="24"/>
          <w:szCs w:val="24"/>
        </w:rPr>
        <w:t xml:space="preserve">. Hence, the function of the state is seen as securing the conditions </w:t>
      </w:r>
      <w:r w:rsidR="00EB7FB7">
        <w:rPr>
          <w:rFonts w:ascii="Garamond" w:hAnsi="Garamond" w:cstheme="minorHAnsi"/>
          <w:sz w:val="24"/>
          <w:szCs w:val="24"/>
        </w:rPr>
        <w:t>where</w:t>
      </w:r>
      <w:r w:rsidR="005361A1">
        <w:rPr>
          <w:rFonts w:ascii="Garamond" w:hAnsi="Garamond" w:cstheme="minorHAnsi"/>
          <w:sz w:val="24"/>
          <w:szCs w:val="24"/>
        </w:rPr>
        <w:t>by</w:t>
      </w:r>
      <w:r w:rsidR="00766BB2" w:rsidRPr="00461D74">
        <w:rPr>
          <w:rFonts w:ascii="Garamond" w:hAnsi="Garamond" w:cstheme="minorHAnsi"/>
          <w:sz w:val="24"/>
          <w:szCs w:val="24"/>
        </w:rPr>
        <w:t xml:space="preserve"> all participants</w:t>
      </w:r>
      <w:r w:rsidR="00016049" w:rsidRPr="00461D74">
        <w:rPr>
          <w:rFonts w:ascii="Garamond" w:hAnsi="Garamond" w:cstheme="minorHAnsi"/>
          <w:sz w:val="24"/>
          <w:szCs w:val="24"/>
        </w:rPr>
        <w:t xml:space="preserve"> </w:t>
      </w:r>
      <w:r w:rsidR="00766BB2" w:rsidRPr="00461D74">
        <w:rPr>
          <w:rFonts w:ascii="Garamond" w:hAnsi="Garamond" w:cstheme="minorHAnsi"/>
          <w:sz w:val="24"/>
          <w:szCs w:val="24"/>
        </w:rPr>
        <w:t xml:space="preserve">are empowered to </w:t>
      </w:r>
      <w:r w:rsidR="00016049" w:rsidRPr="00461D74">
        <w:rPr>
          <w:rFonts w:ascii="Garamond" w:hAnsi="Garamond" w:cstheme="minorHAnsi"/>
          <w:sz w:val="24"/>
          <w:szCs w:val="24"/>
        </w:rPr>
        <w:t xml:space="preserve">express their </w:t>
      </w:r>
      <w:r w:rsidR="00766BB2" w:rsidRPr="00461D74">
        <w:rPr>
          <w:rFonts w:ascii="Garamond" w:hAnsi="Garamond" w:cstheme="minorHAnsi"/>
          <w:sz w:val="24"/>
          <w:szCs w:val="24"/>
        </w:rPr>
        <w:t xml:space="preserve">concerns as equal co-interlocutors, </w:t>
      </w:r>
      <w:r w:rsidR="00016049" w:rsidRPr="00461D74">
        <w:rPr>
          <w:rFonts w:ascii="Garamond" w:hAnsi="Garamond" w:cstheme="minorHAnsi"/>
          <w:sz w:val="24"/>
          <w:szCs w:val="24"/>
        </w:rPr>
        <w:t xml:space="preserve">without </w:t>
      </w:r>
      <w:r w:rsidR="00766BB2" w:rsidRPr="00461D74">
        <w:rPr>
          <w:rFonts w:ascii="Garamond" w:hAnsi="Garamond" w:cstheme="minorHAnsi"/>
          <w:sz w:val="24"/>
          <w:szCs w:val="24"/>
        </w:rPr>
        <w:t>the kind of interference that seeks to marginalise their contribution</w:t>
      </w:r>
      <w:r w:rsidR="00016049" w:rsidRPr="00461D74">
        <w:rPr>
          <w:rFonts w:ascii="Garamond" w:hAnsi="Garamond" w:cstheme="minorHAnsi"/>
          <w:sz w:val="24"/>
          <w:szCs w:val="24"/>
        </w:rPr>
        <w:t xml:space="preserve">. </w:t>
      </w:r>
      <w:r w:rsidR="00766BB2" w:rsidRPr="00461D74">
        <w:rPr>
          <w:rFonts w:ascii="Garamond" w:hAnsi="Garamond" w:cstheme="minorHAnsi"/>
          <w:sz w:val="24"/>
          <w:szCs w:val="24"/>
        </w:rPr>
        <w:t xml:space="preserve">Whenever these conditions are present, we are better able to undertake </w:t>
      </w:r>
      <w:r w:rsidR="00016049" w:rsidRPr="00461D74">
        <w:rPr>
          <w:rFonts w:ascii="Garamond" w:hAnsi="Garamond" w:cstheme="minorHAnsi"/>
          <w:sz w:val="24"/>
          <w:szCs w:val="24"/>
        </w:rPr>
        <w:t>meaningful</w:t>
      </w:r>
      <w:r w:rsidR="00766BB2" w:rsidRPr="00461D74">
        <w:rPr>
          <w:rFonts w:ascii="Garamond" w:hAnsi="Garamond" w:cstheme="minorHAnsi"/>
          <w:sz w:val="24"/>
          <w:szCs w:val="24"/>
        </w:rPr>
        <w:t xml:space="preserve"> action</w:t>
      </w:r>
      <w:r w:rsidR="00940926"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766BB2" w:rsidRPr="00461D74">
        <w:rPr>
          <w:rFonts w:ascii="Garamond" w:hAnsi="Garamond" w:cstheme="minorHAnsi"/>
          <w:sz w:val="24"/>
          <w:szCs w:val="24"/>
        </w:rPr>
        <w:t xml:space="preserve">that advance the resolution of </w:t>
      </w:r>
      <w:r w:rsidR="00016049" w:rsidRPr="00461D74">
        <w:rPr>
          <w:rFonts w:ascii="Garamond" w:hAnsi="Garamond" w:cstheme="minorHAnsi"/>
          <w:sz w:val="24"/>
          <w:szCs w:val="24"/>
        </w:rPr>
        <w:t>social problems</w:t>
      </w:r>
      <w:r w:rsidR="00766BB2" w:rsidRPr="00461D74">
        <w:rPr>
          <w:rFonts w:ascii="Garamond" w:hAnsi="Garamond" w:cstheme="minorHAnsi"/>
          <w:sz w:val="24"/>
          <w:szCs w:val="24"/>
        </w:rPr>
        <w:t>; and th</w:t>
      </w:r>
      <w:r w:rsidR="002D17D9" w:rsidRPr="00461D74">
        <w:rPr>
          <w:rFonts w:ascii="Garamond" w:hAnsi="Garamond" w:cstheme="minorHAnsi"/>
          <w:sz w:val="24"/>
          <w:szCs w:val="24"/>
        </w:rPr>
        <w:t xml:space="preserve">e presence of these conditions ensure </w:t>
      </w:r>
      <w:r w:rsidR="00016049" w:rsidRPr="00461D74">
        <w:rPr>
          <w:rFonts w:ascii="Garamond" w:hAnsi="Garamond" w:cstheme="minorHAnsi"/>
          <w:sz w:val="24"/>
          <w:szCs w:val="24"/>
        </w:rPr>
        <w:t xml:space="preserve">the rationality of the experimental process by which the state as a whole arrives at a </w:t>
      </w:r>
      <w:r w:rsidR="002D17D9" w:rsidRPr="00461D74">
        <w:rPr>
          <w:rFonts w:ascii="Garamond" w:hAnsi="Garamond" w:cstheme="minorHAnsi"/>
          <w:sz w:val="24"/>
          <w:szCs w:val="24"/>
        </w:rPr>
        <w:t xml:space="preserve">set of </w:t>
      </w:r>
      <w:r w:rsidR="00016049" w:rsidRPr="00461D74">
        <w:rPr>
          <w:rFonts w:ascii="Garamond" w:hAnsi="Garamond" w:cstheme="minorHAnsi"/>
          <w:sz w:val="24"/>
          <w:szCs w:val="24"/>
        </w:rPr>
        <w:t>jointly reached</w:t>
      </w:r>
      <w:r w:rsidR="002D17D9" w:rsidRPr="00461D74">
        <w:rPr>
          <w:rFonts w:ascii="Garamond" w:hAnsi="Garamond" w:cstheme="minorHAnsi"/>
          <w:sz w:val="24"/>
          <w:szCs w:val="24"/>
        </w:rPr>
        <w:t>,</w:t>
      </w:r>
      <w:r w:rsidR="00016049" w:rsidRPr="00461D74">
        <w:rPr>
          <w:rFonts w:ascii="Garamond" w:hAnsi="Garamond" w:cstheme="minorHAnsi"/>
          <w:sz w:val="24"/>
          <w:szCs w:val="24"/>
        </w:rPr>
        <w:t xml:space="preserve"> and widely approved</w:t>
      </w:r>
      <w:r w:rsidR="002D17D9" w:rsidRPr="00461D74">
        <w:rPr>
          <w:rFonts w:ascii="Garamond" w:hAnsi="Garamond" w:cstheme="minorHAnsi"/>
          <w:sz w:val="24"/>
          <w:szCs w:val="24"/>
        </w:rPr>
        <w:t>,</w:t>
      </w:r>
      <w:r w:rsidR="00016049" w:rsidRPr="00461D74">
        <w:rPr>
          <w:rFonts w:ascii="Garamond" w:hAnsi="Garamond" w:cstheme="minorHAnsi"/>
          <w:sz w:val="24"/>
          <w:szCs w:val="24"/>
        </w:rPr>
        <w:t xml:space="preserve"> solution</w:t>
      </w:r>
      <w:r w:rsidR="002D17D9" w:rsidRPr="00461D74">
        <w:rPr>
          <w:rFonts w:ascii="Garamond" w:hAnsi="Garamond" w:cstheme="minorHAnsi"/>
          <w:sz w:val="24"/>
          <w:szCs w:val="24"/>
        </w:rPr>
        <w:t>s</w:t>
      </w:r>
      <w:r w:rsidR="00016049" w:rsidRPr="00461D74">
        <w:rPr>
          <w:rFonts w:ascii="Garamond" w:hAnsi="Garamond" w:cstheme="minorHAnsi"/>
          <w:sz w:val="24"/>
          <w:szCs w:val="24"/>
        </w:rPr>
        <w:t xml:space="preserve"> to various social problems.</w:t>
      </w:r>
      <w:r w:rsidR="00016049" w:rsidRPr="00461D74">
        <w:rPr>
          <w:rStyle w:val="FootnoteReference"/>
          <w:rFonts w:ascii="Garamond" w:hAnsi="Garamond" w:cstheme="minorHAnsi"/>
          <w:sz w:val="24"/>
          <w:szCs w:val="24"/>
        </w:rPr>
        <w:footnoteReference w:id="423"/>
      </w:r>
    </w:p>
    <w:p w:rsidR="00665157" w:rsidRDefault="007724D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Here</w:t>
      </w:r>
      <w:r w:rsidR="009313AF"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Dewey’s revival of democratic politics presupposes a </w:t>
      </w:r>
      <w:r w:rsidR="009313AF" w:rsidRPr="00461D74">
        <w:rPr>
          <w:rFonts w:ascii="Garamond" w:hAnsi="Garamond" w:cstheme="minorHAnsi"/>
          <w:sz w:val="24"/>
          <w:szCs w:val="24"/>
        </w:rPr>
        <w:t xml:space="preserve">kind of </w:t>
      </w:r>
      <w:r w:rsidR="00016049" w:rsidRPr="00461D74">
        <w:rPr>
          <w:rFonts w:ascii="Garamond" w:hAnsi="Garamond" w:cstheme="minorHAnsi"/>
          <w:sz w:val="24"/>
          <w:szCs w:val="24"/>
        </w:rPr>
        <w:t xml:space="preserve">society </w:t>
      </w:r>
      <w:r w:rsidR="009313AF" w:rsidRPr="00461D74">
        <w:rPr>
          <w:rFonts w:ascii="Garamond" w:hAnsi="Garamond" w:cstheme="minorHAnsi"/>
          <w:sz w:val="24"/>
          <w:szCs w:val="24"/>
        </w:rPr>
        <w:t>in which all</w:t>
      </w:r>
      <w:r w:rsidR="00016049" w:rsidRPr="00461D74">
        <w:rPr>
          <w:rFonts w:ascii="Garamond" w:hAnsi="Garamond" w:cstheme="minorHAnsi"/>
          <w:sz w:val="24"/>
          <w:szCs w:val="24"/>
        </w:rPr>
        <w:t xml:space="preserve"> individual members of </w:t>
      </w:r>
      <w:r w:rsidR="009313AF" w:rsidRPr="00461D74">
        <w:rPr>
          <w:rFonts w:ascii="Garamond" w:hAnsi="Garamond" w:cstheme="minorHAnsi"/>
          <w:sz w:val="24"/>
          <w:szCs w:val="24"/>
        </w:rPr>
        <w:t xml:space="preserve">the </w:t>
      </w:r>
      <w:r w:rsidR="00016049" w:rsidRPr="00461D74">
        <w:rPr>
          <w:rFonts w:ascii="Garamond" w:hAnsi="Garamond" w:cstheme="minorHAnsi"/>
          <w:sz w:val="24"/>
          <w:szCs w:val="24"/>
        </w:rPr>
        <w:t xml:space="preserve">society are actively engaged in developing and enhancing pre-political </w:t>
      </w:r>
      <w:r w:rsidRPr="00461D74">
        <w:rPr>
          <w:rFonts w:ascii="Garamond" w:hAnsi="Garamond" w:cstheme="minorHAnsi"/>
          <w:sz w:val="24"/>
          <w:szCs w:val="24"/>
        </w:rPr>
        <w:t xml:space="preserve">– that is, local or community-based – </w:t>
      </w:r>
      <w:r w:rsidR="00016049" w:rsidRPr="00461D74">
        <w:rPr>
          <w:rFonts w:ascii="Garamond" w:hAnsi="Garamond" w:cstheme="minorHAnsi"/>
          <w:sz w:val="24"/>
          <w:szCs w:val="24"/>
        </w:rPr>
        <w:t xml:space="preserve">associations. He also </w:t>
      </w:r>
      <w:r w:rsidR="00C023E1" w:rsidRPr="00461D74">
        <w:rPr>
          <w:rFonts w:ascii="Garamond" w:hAnsi="Garamond" w:cstheme="minorHAnsi"/>
          <w:sz w:val="24"/>
          <w:szCs w:val="24"/>
        </w:rPr>
        <w:t xml:space="preserve">argues </w:t>
      </w:r>
      <w:r w:rsidR="00016049" w:rsidRPr="00461D74">
        <w:rPr>
          <w:rFonts w:ascii="Garamond" w:hAnsi="Garamond" w:cstheme="minorHAnsi"/>
          <w:sz w:val="24"/>
          <w:szCs w:val="24"/>
        </w:rPr>
        <w:t>that a just division of labour is a prerequisite for the actualization of collective social goals, since each individual must realize the value of her contribution in way</w:t>
      </w:r>
      <w:r w:rsidR="009B10C3" w:rsidRPr="00461D74">
        <w:rPr>
          <w:rFonts w:ascii="Garamond" w:hAnsi="Garamond" w:cstheme="minorHAnsi"/>
          <w:sz w:val="24"/>
          <w:szCs w:val="24"/>
        </w:rPr>
        <w:t>s</w:t>
      </w:r>
      <w:r w:rsidR="00016049" w:rsidRPr="00461D74">
        <w:rPr>
          <w:rFonts w:ascii="Garamond" w:hAnsi="Garamond" w:cstheme="minorHAnsi"/>
          <w:sz w:val="24"/>
          <w:szCs w:val="24"/>
        </w:rPr>
        <w:t xml:space="preserve"> that sustains in her the knowledge that a democratic public is necessary for generating positive social outcomes</w:t>
      </w:r>
      <w:r w:rsidR="00C023E1" w:rsidRPr="00461D74">
        <w:rPr>
          <w:rFonts w:ascii="Garamond" w:hAnsi="Garamond" w:cstheme="minorHAnsi"/>
          <w:sz w:val="24"/>
          <w:szCs w:val="24"/>
        </w:rPr>
        <w:t xml:space="preserve"> – outcomes that are irreducibly connected to the realisation of her own good as an individual</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424"/>
      </w:r>
      <w:r w:rsidR="00016049" w:rsidRPr="00461D74">
        <w:rPr>
          <w:rFonts w:ascii="Garamond" w:hAnsi="Garamond" w:cstheme="minorHAnsi"/>
          <w:sz w:val="24"/>
          <w:szCs w:val="24"/>
        </w:rPr>
        <w:t xml:space="preserve"> Hence, the basis of political life for Dewey is the pre-political life of social cooperation under a just division of labour. Therefore, in order to revitalize the democratic public we need to consider the pre-political sphere of the division of labour</w:t>
      </w:r>
      <w:r w:rsidR="003D4FDA" w:rsidRPr="00461D74">
        <w:rPr>
          <w:rFonts w:ascii="Garamond" w:hAnsi="Garamond" w:cstheme="minorHAnsi"/>
          <w:sz w:val="24"/>
          <w:szCs w:val="24"/>
        </w:rPr>
        <w:t>,</w:t>
      </w:r>
      <w:r w:rsidR="00016049" w:rsidRPr="00461D74">
        <w:rPr>
          <w:rFonts w:ascii="Garamond" w:hAnsi="Garamond" w:cstheme="minorHAnsi"/>
          <w:sz w:val="24"/>
          <w:szCs w:val="24"/>
        </w:rPr>
        <w:t xml:space="preserve"> and regulate </w:t>
      </w:r>
      <w:r w:rsidR="003D4FDA" w:rsidRPr="00461D74">
        <w:rPr>
          <w:rFonts w:ascii="Garamond" w:hAnsi="Garamond" w:cstheme="minorHAnsi"/>
          <w:sz w:val="24"/>
          <w:szCs w:val="24"/>
        </w:rPr>
        <w:t xml:space="preserve">this sphere so </w:t>
      </w:r>
      <w:r w:rsidR="00016049" w:rsidRPr="00461D74">
        <w:rPr>
          <w:rFonts w:ascii="Garamond" w:hAnsi="Garamond" w:cstheme="minorHAnsi"/>
          <w:sz w:val="24"/>
          <w:szCs w:val="24"/>
        </w:rPr>
        <w:t xml:space="preserve">that each </w:t>
      </w:r>
      <w:r w:rsidR="003D4FDA" w:rsidRPr="00461D74">
        <w:rPr>
          <w:rFonts w:ascii="Garamond" w:hAnsi="Garamond" w:cstheme="minorHAnsi"/>
          <w:sz w:val="24"/>
          <w:szCs w:val="24"/>
        </w:rPr>
        <w:t xml:space="preserve">individual </w:t>
      </w:r>
      <w:r w:rsidR="00016049" w:rsidRPr="00461D74">
        <w:rPr>
          <w:rFonts w:ascii="Garamond" w:hAnsi="Garamond" w:cstheme="minorHAnsi"/>
          <w:sz w:val="24"/>
          <w:szCs w:val="24"/>
        </w:rPr>
        <w:t>member of society</w:t>
      </w:r>
      <w:r w:rsidR="003D4FDA" w:rsidRPr="00461D74">
        <w:rPr>
          <w:rFonts w:ascii="Garamond" w:hAnsi="Garamond" w:cstheme="minorHAnsi"/>
          <w:sz w:val="24"/>
          <w:szCs w:val="24"/>
        </w:rPr>
        <w:t xml:space="preserve"> can</w:t>
      </w:r>
      <w:r w:rsidR="00016049" w:rsidRPr="00461D74">
        <w:rPr>
          <w:rFonts w:ascii="Garamond" w:hAnsi="Garamond" w:cstheme="minorHAnsi"/>
          <w:sz w:val="24"/>
          <w:szCs w:val="24"/>
        </w:rPr>
        <w:t xml:space="preserve"> </w:t>
      </w:r>
      <w:r w:rsidR="003D4FDA" w:rsidRPr="00461D74">
        <w:rPr>
          <w:rFonts w:ascii="Garamond" w:hAnsi="Garamond" w:cstheme="minorHAnsi"/>
          <w:sz w:val="24"/>
          <w:szCs w:val="24"/>
        </w:rPr>
        <w:t xml:space="preserve">come </w:t>
      </w:r>
      <w:r w:rsidR="00016049" w:rsidRPr="00461D74">
        <w:rPr>
          <w:rFonts w:ascii="Garamond" w:hAnsi="Garamond" w:cstheme="minorHAnsi"/>
          <w:sz w:val="24"/>
          <w:szCs w:val="24"/>
        </w:rPr>
        <w:t>to understand herself as an active participant in a</w:t>
      </w:r>
      <w:r w:rsidR="003D4FDA" w:rsidRPr="00461D74">
        <w:rPr>
          <w:rFonts w:ascii="Garamond" w:hAnsi="Garamond" w:cstheme="minorHAnsi"/>
          <w:sz w:val="24"/>
          <w:szCs w:val="24"/>
        </w:rPr>
        <w:t>n ongoing</w:t>
      </w:r>
      <w:r w:rsidR="00016049" w:rsidRPr="00461D74">
        <w:rPr>
          <w:rFonts w:ascii="Garamond" w:hAnsi="Garamond" w:cstheme="minorHAnsi"/>
          <w:sz w:val="24"/>
          <w:szCs w:val="24"/>
        </w:rPr>
        <w:t xml:space="preserve"> collaborative enterprise.</w:t>
      </w:r>
      <w:r w:rsidR="00016049" w:rsidRPr="00461D74">
        <w:rPr>
          <w:rStyle w:val="FootnoteReference"/>
          <w:rFonts w:ascii="Garamond" w:hAnsi="Garamond" w:cstheme="minorHAnsi"/>
          <w:sz w:val="24"/>
          <w:szCs w:val="24"/>
        </w:rPr>
        <w:footnoteReference w:id="425"/>
      </w:r>
      <w:r w:rsidR="008757E4" w:rsidRPr="00461D74">
        <w:rPr>
          <w:rFonts w:ascii="Garamond" w:hAnsi="Garamond" w:cstheme="minorHAnsi"/>
          <w:sz w:val="24"/>
          <w:szCs w:val="24"/>
        </w:rPr>
        <w:t xml:space="preserve"> </w:t>
      </w:r>
      <w:r w:rsidR="008404F0">
        <w:rPr>
          <w:rFonts w:ascii="Garamond" w:hAnsi="Garamond" w:cstheme="minorHAnsi"/>
          <w:sz w:val="24"/>
          <w:szCs w:val="24"/>
        </w:rPr>
        <w:t>Here,</w:t>
      </w:r>
      <w:r w:rsidR="008404F0" w:rsidRPr="00461D74">
        <w:rPr>
          <w:rFonts w:ascii="Garamond" w:hAnsi="Garamond" w:cstheme="minorHAnsi"/>
          <w:sz w:val="24"/>
          <w:szCs w:val="24"/>
        </w:rPr>
        <w:t xml:space="preserve"> </w:t>
      </w:r>
      <w:r w:rsidR="008757E4" w:rsidRPr="00461D74">
        <w:rPr>
          <w:rFonts w:ascii="Garamond" w:hAnsi="Garamond" w:cstheme="minorHAnsi"/>
          <w:sz w:val="24"/>
          <w:szCs w:val="24"/>
        </w:rPr>
        <w:t xml:space="preserve">the jointly held </w:t>
      </w:r>
      <w:r w:rsidR="008757E4" w:rsidRPr="00461D74">
        <w:rPr>
          <w:rFonts w:ascii="Garamond" w:hAnsi="Garamond" w:cstheme="minorHAnsi"/>
          <w:i/>
          <w:sz w:val="24"/>
          <w:szCs w:val="24"/>
        </w:rPr>
        <w:t>good</w:t>
      </w:r>
      <w:r w:rsidR="008757E4" w:rsidRPr="00461D74">
        <w:rPr>
          <w:rFonts w:ascii="Garamond" w:hAnsi="Garamond" w:cstheme="minorHAnsi"/>
          <w:sz w:val="24"/>
          <w:szCs w:val="24"/>
        </w:rPr>
        <w:t xml:space="preserve"> </w:t>
      </w:r>
      <w:r w:rsidR="002F7CFD" w:rsidRPr="00461D74">
        <w:rPr>
          <w:rFonts w:ascii="Garamond" w:hAnsi="Garamond" w:cstheme="minorHAnsi"/>
          <w:sz w:val="24"/>
          <w:szCs w:val="24"/>
        </w:rPr>
        <w:t xml:space="preserve">(or common good) that is </w:t>
      </w:r>
      <w:r w:rsidR="008757E4" w:rsidRPr="00461D74">
        <w:rPr>
          <w:rFonts w:ascii="Garamond" w:hAnsi="Garamond" w:cstheme="minorHAnsi"/>
          <w:sz w:val="24"/>
          <w:szCs w:val="24"/>
        </w:rPr>
        <w:t xml:space="preserve">realised through </w:t>
      </w:r>
      <w:r w:rsidR="008404F0">
        <w:rPr>
          <w:rFonts w:ascii="Garamond" w:hAnsi="Garamond" w:cstheme="minorHAnsi"/>
          <w:sz w:val="24"/>
          <w:szCs w:val="24"/>
        </w:rPr>
        <w:t>the range of</w:t>
      </w:r>
      <w:r w:rsidR="008404F0" w:rsidRPr="00461D74">
        <w:rPr>
          <w:rFonts w:ascii="Garamond" w:hAnsi="Garamond" w:cstheme="minorHAnsi"/>
          <w:sz w:val="24"/>
          <w:szCs w:val="24"/>
        </w:rPr>
        <w:t xml:space="preserve"> </w:t>
      </w:r>
      <w:r w:rsidR="008757E4" w:rsidRPr="00461D74">
        <w:rPr>
          <w:rFonts w:ascii="Garamond" w:hAnsi="Garamond" w:cstheme="minorHAnsi"/>
          <w:sz w:val="24"/>
          <w:szCs w:val="24"/>
        </w:rPr>
        <w:t>collaborative activit</w:t>
      </w:r>
      <w:r w:rsidR="008404F0">
        <w:rPr>
          <w:rFonts w:ascii="Garamond" w:hAnsi="Garamond" w:cstheme="minorHAnsi"/>
          <w:sz w:val="24"/>
          <w:szCs w:val="24"/>
        </w:rPr>
        <w:t>ies</w:t>
      </w:r>
      <w:r w:rsidR="008757E4" w:rsidRPr="00461D74">
        <w:rPr>
          <w:rFonts w:ascii="Garamond" w:hAnsi="Garamond" w:cstheme="minorHAnsi"/>
          <w:sz w:val="24"/>
          <w:szCs w:val="24"/>
        </w:rPr>
        <w:t xml:space="preserve"> </w:t>
      </w:r>
      <w:r w:rsidR="008404F0">
        <w:rPr>
          <w:rFonts w:ascii="Garamond" w:hAnsi="Garamond" w:cstheme="minorHAnsi"/>
          <w:sz w:val="24"/>
          <w:szCs w:val="24"/>
        </w:rPr>
        <w:t>rema</w:t>
      </w:r>
      <w:r w:rsidR="002F7CFD" w:rsidRPr="00461D74">
        <w:rPr>
          <w:rFonts w:ascii="Garamond" w:hAnsi="Garamond" w:cstheme="minorHAnsi"/>
          <w:sz w:val="24"/>
          <w:szCs w:val="24"/>
        </w:rPr>
        <w:t>i</w:t>
      </w:r>
      <w:r w:rsidR="008404F0">
        <w:rPr>
          <w:rFonts w:ascii="Garamond" w:hAnsi="Garamond" w:cstheme="minorHAnsi"/>
          <w:sz w:val="24"/>
          <w:szCs w:val="24"/>
        </w:rPr>
        <w:t>n</w:t>
      </w:r>
      <w:r w:rsidR="002F7CFD" w:rsidRPr="00461D74">
        <w:rPr>
          <w:rFonts w:ascii="Garamond" w:hAnsi="Garamond" w:cstheme="minorHAnsi"/>
          <w:sz w:val="24"/>
          <w:szCs w:val="24"/>
        </w:rPr>
        <w:t>s inextricably tied to each participant’s active contribution in the cooperative process</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426"/>
      </w:r>
    </w:p>
    <w:p w:rsidR="00665157" w:rsidRDefault="000875B0">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Thus, </w:t>
      </w:r>
      <w:r w:rsidR="00C233A3" w:rsidRPr="00461D74">
        <w:rPr>
          <w:rFonts w:ascii="Garamond" w:hAnsi="Garamond" w:cstheme="minorHAnsi"/>
          <w:sz w:val="24"/>
          <w:szCs w:val="24"/>
        </w:rPr>
        <w:t xml:space="preserve">an important condition for </w:t>
      </w:r>
      <w:r w:rsidRPr="00461D74">
        <w:rPr>
          <w:rFonts w:ascii="Garamond" w:hAnsi="Garamond" w:cstheme="minorHAnsi"/>
          <w:sz w:val="24"/>
          <w:szCs w:val="24"/>
        </w:rPr>
        <w:t>the</w:t>
      </w:r>
      <w:r w:rsidR="00016049" w:rsidRPr="00461D74">
        <w:rPr>
          <w:rFonts w:ascii="Garamond" w:hAnsi="Garamond" w:cstheme="minorHAnsi"/>
          <w:sz w:val="24"/>
          <w:szCs w:val="24"/>
        </w:rPr>
        <w:t xml:space="preserve"> democratic ethical life </w:t>
      </w:r>
      <w:r w:rsidR="00C233A3" w:rsidRPr="00461D74">
        <w:rPr>
          <w:rFonts w:ascii="Garamond" w:hAnsi="Garamond" w:cstheme="minorHAnsi"/>
          <w:sz w:val="24"/>
          <w:szCs w:val="24"/>
        </w:rPr>
        <w:t xml:space="preserve">envisioned by Dewey </w:t>
      </w:r>
      <w:r w:rsidR="00016049" w:rsidRPr="00461D74">
        <w:rPr>
          <w:rFonts w:ascii="Garamond" w:hAnsi="Garamond" w:cstheme="minorHAnsi"/>
          <w:sz w:val="24"/>
          <w:szCs w:val="24"/>
        </w:rPr>
        <w:t xml:space="preserve">is </w:t>
      </w:r>
      <w:r w:rsidR="00C233A3" w:rsidRPr="00461D74">
        <w:rPr>
          <w:rFonts w:ascii="Garamond" w:hAnsi="Garamond" w:cstheme="minorHAnsi"/>
          <w:sz w:val="24"/>
          <w:szCs w:val="24"/>
        </w:rPr>
        <w:t>a</w:t>
      </w:r>
      <w:r w:rsidRPr="00461D74">
        <w:rPr>
          <w:rFonts w:ascii="Garamond" w:hAnsi="Garamond" w:cstheme="minorHAnsi"/>
          <w:sz w:val="24"/>
          <w:szCs w:val="24"/>
        </w:rPr>
        <w:t xml:space="preserve"> society in </w:t>
      </w:r>
      <w:r w:rsidR="00016049" w:rsidRPr="00461D74">
        <w:rPr>
          <w:rFonts w:ascii="Garamond" w:hAnsi="Garamond" w:cstheme="minorHAnsi"/>
          <w:sz w:val="24"/>
          <w:szCs w:val="24"/>
        </w:rPr>
        <w:t xml:space="preserve">which all </w:t>
      </w:r>
      <w:r w:rsidR="00C233A3" w:rsidRPr="00461D74">
        <w:rPr>
          <w:rFonts w:ascii="Garamond" w:hAnsi="Garamond" w:cstheme="minorHAnsi"/>
          <w:sz w:val="24"/>
          <w:szCs w:val="24"/>
        </w:rPr>
        <w:t>individual participants can form relationships based on a</w:t>
      </w:r>
      <w:r w:rsidR="00016049" w:rsidRPr="00461D74">
        <w:rPr>
          <w:rFonts w:ascii="Garamond" w:hAnsi="Garamond" w:cstheme="minorHAnsi"/>
          <w:sz w:val="24"/>
          <w:szCs w:val="24"/>
        </w:rPr>
        <w:t xml:space="preserve"> </w:t>
      </w:r>
      <w:r w:rsidR="00C233A3" w:rsidRPr="00461D74">
        <w:rPr>
          <w:rFonts w:ascii="Garamond" w:hAnsi="Garamond" w:cstheme="minorHAnsi"/>
          <w:sz w:val="24"/>
          <w:szCs w:val="24"/>
        </w:rPr>
        <w:t xml:space="preserve">non-discriminatory </w:t>
      </w:r>
      <w:r w:rsidR="00016049" w:rsidRPr="00461D74">
        <w:rPr>
          <w:rFonts w:ascii="Garamond" w:hAnsi="Garamond" w:cstheme="minorHAnsi"/>
          <w:sz w:val="24"/>
          <w:szCs w:val="24"/>
        </w:rPr>
        <w:t>division of labour.</w:t>
      </w:r>
      <w:r w:rsidR="007E3AFB"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For </w:t>
      </w:r>
      <w:proofErr w:type="spellStart"/>
      <w:r w:rsidR="00016049" w:rsidRPr="00461D74">
        <w:rPr>
          <w:rFonts w:ascii="Garamond" w:hAnsi="Garamond" w:cstheme="minorHAnsi"/>
          <w:sz w:val="24"/>
          <w:szCs w:val="24"/>
        </w:rPr>
        <w:t>Honneth</w:t>
      </w:r>
      <w:proofErr w:type="spellEnd"/>
      <w:r w:rsidR="00016049" w:rsidRPr="00461D74">
        <w:rPr>
          <w:rFonts w:ascii="Garamond" w:hAnsi="Garamond" w:cstheme="minorHAnsi"/>
          <w:sz w:val="24"/>
          <w:szCs w:val="24"/>
        </w:rPr>
        <w:t xml:space="preserve">, Dewey’s account addresses the weaknesses of the </w:t>
      </w:r>
      <w:proofErr w:type="spellStart"/>
      <w:r w:rsidR="00016049" w:rsidRPr="00461D74">
        <w:rPr>
          <w:rFonts w:ascii="Garamond" w:hAnsi="Garamond" w:cstheme="minorHAnsi"/>
          <w:sz w:val="24"/>
          <w:szCs w:val="24"/>
        </w:rPr>
        <w:t>proceduralist</w:t>
      </w:r>
      <w:proofErr w:type="spellEnd"/>
      <w:r w:rsidR="00016049" w:rsidRPr="00461D74">
        <w:rPr>
          <w:rFonts w:ascii="Garamond" w:hAnsi="Garamond" w:cstheme="minorHAnsi"/>
          <w:sz w:val="24"/>
          <w:szCs w:val="24"/>
        </w:rPr>
        <w:t xml:space="preserve"> model by connecting democratic realization to individual self-fulfilment in cooperative activity under a just division of labour. Yet, it also retains the advantages of </w:t>
      </w:r>
      <w:proofErr w:type="spellStart"/>
      <w:r w:rsidR="00016049" w:rsidRPr="00461D74">
        <w:rPr>
          <w:rFonts w:ascii="Garamond" w:hAnsi="Garamond" w:cstheme="minorHAnsi"/>
          <w:sz w:val="24"/>
          <w:szCs w:val="24"/>
        </w:rPr>
        <w:t>proceduralism</w:t>
      </w:r>
      <w:proofErr w:type="spellEnd"/>
      <w:r w:rsidR="00016049" w:rsidRPr="00461D74">
        <w:rPr>
          <w:rFonts w:ascii="Garamond" w:hAnsi="Garamond" w:cstheme="minorHAnsi"/>
          <w:sz w:val="24"/>
          <w:szCs w:val="24"/>
        </w:rPr>
        <w:t xml:space="preserve"> over a morality</w:t>
      </w:r>
      <w:r w:rsidR="00E07CCE" w:rsidRPr="00461D74">
        <w:rPr>
          <w:rFonts w:ascii="Garamond" w:hAnsi="Garamond" w:cstheme="minorHAnsi"/>
          <w:sz w:val="24"/>
          <w:szCs w:val="24"/>
        </w:rPr>
        <w:t>-</w:t>
      </w:r>
      <w:r w:rsidR="00016049" w:rsidRPr="00461D74">
        <w:rPr>
          <w:rFonts w:ascii="Garamond" w:hAnsi="Garamond" w:cstheme="minorHAnsi"/>
          <w:sz w:val="24"/>
          <w:szCs w:val="24"/>
        </w:rPr>
        <w:t>heavy republicanism.</w:t>
      </w:r>
      <w:r w:rsidR="00016049" w:rsidRPr="00461D74">
        <w:rPr>
          <w:rStyle w:val="FootnoteReference"/>
          <w:rFonts w:ascii="Garamond" w:hAnsi="Garamond" w:cstheme="minorHAnsi"/>
          <w:sz w:val="24"/>
          <w:szCs w:val="24"/>
        </w:rPr>
        <w:footnoteReference w:id="427"/>
      </w:r>
      <w:r w:rsidR="00016049" w:rsidRPr="00461D74">
        <w:rPr>
          <w:rFonts w:ascii="Garamond" w:hAnsi="Garamond" w:cstheme="minorHAnsi"/>
          <w:sz w:val="24"/>
          <w:szCs w:val="24"/>
        </w:rPr>
        <w:t xml:space="preserve"> </w:t>
      </w:r>
      <w:r w:rsidR="007E3AFB" w:rsidRPr="00461D74">
        <w:rPr>
          <w:rFonts w:ascii="Garamond" w:hAnsi="Garamond" w:cstheme="minorHAnsi"/>
          <w:sz w:val="24"/>
          <w:szCs w:val="24"/>
        </w:rPr>
        <w:t>Therefore,</w:t>
      </w:r>
      <w:r w:rsidR="00016049" w:rsidRPr="00461D74">
        <w:rPr>
          <w:rFonts w:ascii="Garamond" w:hAnsi="Garamond" w:cstheme="minorHAnsi"/>
          <w:sz w:val="24"/>
          <w:szCs w:val="24"/>
        </w:rPr>
        <w:t xml:space="preserve"> Dewey’s </w:t>
      </w:r>
      <w:r w:rsidR="007E3AFB" w:rsidRPr="00461D74">
        <w:rPr>
          <w:rFonts w:ascii="Garamond" w:hAnsi="Garamond" w:cstheme="minorHAnsi"/>
          <w:sz w:val="24"/>
          <w:szCs w:val="24"/>
        </w:rPr>
        <w:t>politics</w:t>
      </w:r>
      <w:r w:rsidR="00016049" w:rsidRPr="00461D74">
        <w:rPr>
          <w:rFonts w:ascii="Garamond" w:hAnsi="Garamond" w:cstheme="minorHAnsi"/>
          <w:sz w:val="24"/>
          <w:szCs w:val="24"/>
        </w:rPr>
        <w:t xml:space="preserve"> amounts to a philosophical justification of democracy as a social enterprise </w:t>
      </w:r>
      <w:r w:rsidR="007E3AFB" w:rsidRPr="00461D74">
        <w:rPr>
          <w:rFonts w:ascii="Garamond" w:hAnsi="Garamond" w:cstheme="minorHAnsi"/>
          <w:sz w:val="24"/>
          <w:szCs w:val="24"/>
        </w:rPr>
        <w:t xml:space="preserve">– one </w:t>
      </w:r>
      <w:r w:rsidR="00016049" w:rsidRPr="00461D74">
        <w:rPr>
          <w:rFonts w:ascii="Garamond" w:hAnsi="Garamond" w:cstheme="minorHAnsi"/>
          <w:sz w:val="24"/>
          <w:szCs w:val="24"/>
        </w:rPr>
        <w:t xml:space="preserve">that aims </w:t>
      </w:r>
      <w:r w:rsidR="007E3AFB" w:rsidRPr="00461D74">
        <w:rPr>
          <w:rFonts w:ascii="Garamond" w:hAnsi="Garamond" w:cstheme="minorHAnsi"/>
          <w:sz w:val="24"/>
          <w:szCs w:val="24"/>
        </w:rPr>
        <w:t xml:space="preserve">at </w:t>
      </w:r>
      <w:r w:rsidR="00016049" w:rsidRPr="00461D74">
        <w:rPr>
          <w:rFonts w:ascii="Garamond" w:hAnsi="Garamond" w:cstheme="minorHAnsi"/>
          <w:sz w:val="24"/>
          <w:szCs w:val="24"/>
        </w:rPr>
        <w:t>develop</w:t>
      </w:r>
      <w:r w:rsidR="007E3AFB" w:rsidRPr="00461D74">
        <w:rPr>
          <w:rFonts w:ascii="Garamond" w:hAnsi="Garamond" w:cstheme="minorHAnsi"/>
          <w:sz w:val="24"/>
          <w:szCs w:val="24"/>
        </w:rPr>
        <w:t>ing</w:t>
      </w:r>
      <w:r w:rsidR="00016049" w:rsidRPr="00461D74">
        <w:rPr>
          <w:rFonts w:ascii="Garamond" w:hAnsi="Garamond" w:cstheme="minorHAnsi"/>
          <w:sz w:val="24"/>
          <w:szCs w:val="24"/>
        </w:rPr>
        <w:t xml:space="preserve"> </w:t>
      </w:r>
      <w:r w:rsidR="007E3AFB" w:rsidRPr="00461D74">
        <w:rPr>
          <w:rFonts w:ascii="Garamond" w:hAnsi="Garamond" w:cstheme="minorHAnsi"/>
          <w:sz w:val="24"/>
          <w:szCs w:val="24"/>
        </w:rPr>
        <w:t xml:space="preserve">intelligent </w:t>
      </w:r>
      <w:r w:rsidR="00016049" w:rsidRPr="00461D74">
        <w:rPr>
          <w:rFonts w:ascii="Garamond" w:hAnsi="Garamond" w:cstheme="minorHAnsi"/>
          <w:sz w:val="24"/>
          <w:szCs w:val="24"/>
        </w:rPr>
        <w:t>solutions to social problems. Democracy</w:t>
      </w:r>
      <w:r w:rsidR="007E3AFB" w:rsidRPr="00461D74">
        <w:rPr>
          <w:rFonts w:ascii="Garamond" w:hAnsi="Garamond" w:cstheme="minorHAnsi"/>
          <w:sz w:val="24"/>
          <w:szCs w:val="24"/>
        </w:rPr>
        <w:t>,</w:t>
      </w:r>
      <w:r w:rsidR="00016049" w:rsidRPr="00461D74">
        <w:rPr>
          <w:rFonts w:ascii="Garamond" w:hAnsi="Garamond" w:cstheme="minorHAnsi"/>
          <w:sz w:val="24"/>
          <w:szCs w:val="24"/>
        </w:rPr>
        <w:t xml:space="preserve"> understood in this sense</w:t>
      </w:r>
      <w:r w:rsidR="007E3AFB" w:rsidRPr="00461D74">
        <w:rPr>
          <w:rFonts w:ascii="Garamond" w:hAnsi="Garamond" w:cstheme="minorHAnsi"/>
          <w:sz w:val="24"/>
          <w:szCs w:val="24"/>
        </w:rPr>
        <w:t>,</w:t>
      </w:r>
      <w:r w:rsidR="00016049" w:rsidRPr="00461D74">
        <w:rPr>
          <w:rFonts w:ascii="Garamond" w:hAnsi="Garamond" w:cstheme="minorHAnsi"/>
          <w:sz w:val="24"/>
          <w:szCs w:val="24"/>
        </w:rPr>
        <w:t xml:space="preserve"> is the precondition for the application of intelligence </w:t>
      </w:r>
      <w:r w:rsidR="007E3AFB" w:rsidRPr="00461D74">
        <w:rPr>
          <w:rFonts w:ascii="Garamond" w:hAnsi="Garamond" w:cstheme="minorHAnsi"/>
          <w:sz w:val="24"/>
          <w:szCs w:val="24"/>
        </w:rPr>
        <w:t xml:space="preserve">towards the resolution of </w:t>
      </w:r>
      <w:r w:rsidR="00016049" w:rsidRPr="00461D74">
        <w:rPr>
          <w:rFonts w:ascii="Garamond" w:hAnsi="Garamond" w:cstheme="minorHAnsi"/>
          <w:sz w:val="24"/>
          <w:szCs w:val="24"/>
        </w:rPr>
        <w:t>social problems.</w:t>
      </w:r>
      <w:r w:rsidR="00016049" w:rsidRPr="00461D74">
        <w:rPr>
          <w:rStyle w:val="FootnoteReference"/>
          <w:rFonts w:ascii="Garamond" w:hAnsi="Garamond" w:cstheme="minorHAnsi"/>
          <w:sz w:val="24"/>
          <w:szCs w:val="24"/>
        </w:rPr>
        <w:footnoteReference w:id="428"/>
      </w:r>
      <w:r w:rsidR="005361A1">
        <w:rPr>
          <w:rFonts w:ascii="Garamond" w:hAnsi="Garamond" w:cstheme="minorHAnsi"/>
          <w:sz w:val="24"/>
          <w:szCs w:val="24"/>
        </w:rPr>
        <w:t xml:space="preserve"> </w:t>
      </w:r>
    </w:p>
    <w:p w:rsidR="00665157" w:rsidRDefault="00E922DE">
      <w:pPr>
        <w:spacing w:line="360" w:lineRule="auto"/>
        <w:ind w:firstLine="720"/>
        <w:jc w:val="both"/>
        <w:rPr>
          <w:rFonts w:ascii="Garamond" w:hAnsi="Garamond" w:cstheme="minorHAnsi"/>
          <w:sz w:val="24"/>
          <w:szCs w:val="24"/>
        </w:rPr>
      </w:pPr>
      <w:r>
        <w:rPr>
          <w:rFonts w:ascii="Garamond" w:hAnsi="Garamond" w:cstheme="minorHAnsi"/>
          <w:sz w:val="24"/>
          <w:szCs w:val="24"/>
        </w:rPr>
        <w:t>It is my hope that the</w:t>
      </w:r>
      <w:r w:rsidRPr="00461D74">
        <w:rPr>
          <w:rFonts w:ascii="Garamond" w:hAnsi="Garamond" w:cstheme="minorHAnsi"/>
          <w:sz w:val="24"/>
          <w:szCs w:val="24"/>
        </w:rPr>
        <w:t xml:space="preserve"> </w:t>
      </w:r>
      <w:r w:rsidR="007724D9" w:rsidRPr="00461D74">
        <w:rPr>
          <w:rFonts w:ascii="Garamond" w:hAnsi="Garamond" w:cstheme="minorHAnsi"/>
          <w:sz w:val="24"/>
          <w:szCs w:val="24"/>
        </w:rPr>
        <w:t xml:space="preserve">discussion of Dewey has </w:t>
      </w:r>
      <w:r>
        <w:rPr>
          <w:rFonts w:ascii="Garamond" w:hAnsi="Garamond" w:cstheme="minorHAnsi"/>
          <w:sz w:val="24"/>
          <w:szCs w:val="24"/>
        </w:rPr>
        <w:t>made it easier for</w:t>
      </w:r>
      <w:r w:rsidRPr="00461D74">
        <w:rPr>
          <w:rFonts w:ascii="Garamond" w:hAnsi="Garamond" w:cstheme="minorHAnsi"/>
          <w:sz w:val="24"/>
          <w:szCs w:val="24"/>
        </w:rPr>
        <w:t xml:space="preserve"> </w:t>
      </w:r>
      <w:r w:rsidR="007724D9" w:rsidRPr="00461D74">
        <w:rPr>
          <w:rFonts w:ascii="Garamond" w:hAnsi="Garamond" w:cstheme="minorHAnsi"/>
          <w:sz w:val="24"/>
          <w:szCs w:val="24"/>
        </w:rPr>
        <w:t xml:space="preserve">us </w:t>
      </w:r>
      <w:r>
        <w:rPr>
          <w:rFonts w:ascii="Garamond" w:hAnsi="Garamond" w:cstheme="minorHAnsi"/>
          <w:sz w:val="24"/>
          <w:szCs w:val="24"/>
        </w:rPr>
        <w:t xml:space="preserve">to </w:t>
      </w:r>
      <w:r w:rsidR="007724D9" w:rsidRPr="00461D74">
        <w:rPr>
          <w:rFonts w:ascii="Garamond" w:hAnsi="Garamond" w:cstheme="minorHAnsi"/>
          <w:sz w:val="24"/>
          <w:szCs w:val="24"/>
        </w:rPr>
        <w:t>understand how</w:t>
      </w:r>
      <w:r w:rsidR="00016049" w:rsidRPr="00461D74">
        <w:rPr>
          <w:rFonts w:ascii="Garamond" w:hAnsi="Garamond" w:cstheme="minorHAnsi"/>
          <w:sz w:val="24"/>
          <w:szCs w:val="24"/>
        </w:rPr>
        <w:t xml:space="preserve"> </w:t>
      </w:r>
      <w:r>
        <w:rPr>
          <w:rFonts w:ascii="Garamond" w:hAnsi="Garamond" w:cstheme="minorHAnsi"/>
          <w:sz w:val="24"/>
          <w:szCs w:val="24"/>
        </w:rPr>
        <w:t xml:space="preserve">a </w:t>
      </w:r>
      <w:r w:rsidR="00016049" w:rsidRPr="00461D74">
        <w:rPr>
          <w:rFonts w:ascii="Garamond" w:hAnsi="Garamond" w:cstheme="minorHAnsi"/>
          <w:sz w:val="24"/>
          <w:szCs w:val="24"/>
        </w:rPr>
        <w:t xml:space="preserve">democratic community-based politics </w:t>
      </w:r>
      <w:r w:rsidR="007E3AFB" w:rsidRPr="00461D74">
        <w:rPr>
          <w:rFonts w:ascii="Garamond" w:hAnsi="Garamond" w:cstheme="minorHAnsi"/>
          <w:sz w:val="24"/>
          <w:szCs w:val="24"/>
        </w:rPr>
        <w:t xml:space="preserve">offers us the </w:t>
      </w:r>
      <w:r w:rsidR="00016049" w:rsidRPr="00461D74">
        <w:rPr>
          <w:rFonts w:ascii="Garamond" w:hAnsi="Garamond" w:cstheme="minorHAnsi"/>
          <w:sz w:val="24"/>
          <w:szCs w:val="24"/>
        </w:rPr>
        <w:t xml:space="preserve">conceptual </w:t>
      </w:r>
      <w:r w:rsidR="007E3AFB" w:rsidRPr="00461D74">
        <w:rPr>
          <w:rFonts w:ascii="Garamond" w:hAnsi="Garamond" w:cstheme="minorHAnsi"/>
          <w:sz w:val="24"/>
          <w:szCs w:val="24"/>
        </w:rPr>
        <w:t xml:space="preserve">resources </w:t>
      </w:r>
      <w:r w:rsidR="00016049" w:rsidRPr="00461D74">
        <w:rPr>
          <w:rFonts w:ascii="Garamond" w:hAnsi="Garamond" w:cstheme="minorHAnsi"/>
          <w:sz w:val="24"/>
          <w:szCs w:val="24"/>
        </w:rPr>
        <w:t xml:space="preserve">for a community-based account of politics </w:t>
      </w:r>
      <w:r w:rsidR="007724D9" w:rsidRPr="00461D74">
        <w:rPr>
          <w:rFonts w:ascii="Garamond" w:hAnsi="Garamond" w:cstheme="minorHAnsi"/>
          <w:sz w:val="24"/>
          <w:szCs w:val="24"/>
        </w:rPr>
        <w:t xml:space="preserve">under a just division of labour, </w:t>
      </w:r>
      <w:r w:rsidR="00016049" w:rsidRPr="00461D74">
        <w:rPr>
          <w:rFonts w:ascii="Garamond" w:hAnsi="Garamond" w:cstheme="minorHAnsi"/>
          <w:sz w:val="24"/>
          <w:szCs w:val="24"/>
        </w:rPr>
        <w:t xml:space="preserve">alongside </w:t>
      </w:r>
      <w:r>
        <w:rPr>
          <w:rFonts w:ascii="Garamond" w:hAnsi="Garamond" w:cstheme="minorHAnsi"/>
          <w:sz w:val="24"/>
          <w:szCs w:val="24"/>
        </w:rPr>
        <w:t xml:space="preserve">a </w:t>
      </w:r>
      <w:r w:rsidR="00016049" w:rsidRPr="00461D74">
        <w:rPr>
          <w:rFonts w:ascii="Garamond" w:hAnsi="Garamond" w:cstheme="minorHAnsi"/>
          <w:sz w:val="24"/>
          <w:szCs w:val="24"/>
        </w:rPr>
        <w:t xml:space="preserve">politics </w:t>
      </w:r>
      <w:r>
        <w:rPr>
          <w:rFonts w:ascii="Garamond" w:hAnsi="Garamond" w:cstheme="minorHAnsi"/>
          <w:sz w:val="24"/>
          <w:szCs w:val="24"/>
        </w:rPr>
        <w:t xml:space="preserve">realised </w:t>
      </w:r>
      <w:r w:rsidR="00016049" w:rsidRPr="00461D74">
        <w:rPr>
          <w:rFonts w:ascii="Garamond" w:hAnsi="Garamond" w:cstheme="minorHAnsi"/>
          <w:sz w:val="24"/>
          <w:szCs w:val="24"/>
        </w:rPr>
        <w:t>at the level</w:t>
      </w:r>
      <w:r>
        <w:rPr>
          <w:rFonts w:ascii="Garamond" w:hAnsi="Garamond" w:cstheme="minorHAnsi"/>
          <w:sz w:val="24"/>
          <w:szCs w:val="24"/>
        </w:rPr>
        <w:t xml:space="preserve"> of large-scale political structures like the state</w:t>
      </w:r>
      <w:r w:rsidR="007724D9" w:rsidRPr="00461D74">
        <w:rPr>
          <w:rFonts w:ascii="Garamond" w:hAnsi="Garamond" w:cstheme="minorHAnsi"/>
          <w:sz w:val="24"/>
          <w:szCs w:val="24"/>
        </w:rPr>
        <w:t>. In addition</w:t>
      </w:r>
      <w:r w:rsidR="00016049" w:rsidRPr="00461D74">
        <w:rPr>
          <w:rFonts w:ascii="Garamond" w:hAnsi="Garamond" w:cstheme="minorHAnsi"/>
          <w:sz w:val="24"/>
          <w:szCs w:val="24"/>
        </w:rPr>
        <w:t xml:space="preserve">, </w:t>
      </w:r>
      <w:r w:rsidR="007724D9" w:rsidRPr="00461D74">
        <w:rPr>
          <w:rFonts w:ascii="Garamond" w:hAnsi="Garamond" w:cstheme="minorHAnsi"/>
          <w:sz w:val="24"/>
          <w:szCs w:val="24"/>
        </w:rPr>
        <w:t xml:space="preserve">Dewey’s account </w:t>
      </w:r>
      <w:r w:rsidR="00016049" w:rsidRPr="00461D74">
        <w:rPr>
          <w:rFonts w:ascii="Garamond" w:hAnsi="Garamond" w:cstheme="minorHAnsi"/>
          <w:sz w:val="24"/>
          <w:szCs w:val="24"/>
        </w:rPr>
        <w:t xml:space="preserve">helps us understand </w:t>
      </w:r>
      <w:r w:rsidR="007724D9" w:rsidRPr="00461D74">
        <w:rPr>
          <w:rFonts w:ascii="Garamond" w:hAnsi="Garamond" w:cstheme="minorHAnsi"/>
          <w:sz w:val="24"/>
          <w:szCs w:val="24"/>
        </w:rPr>
        <w:t xml:space="preserve">the way in which each </w:t>
      </w:r>
      <w:r w:rsidR="00696A8D" w:rsidRPr="00461D74">
        <w:rPr>
          <w:rFonts w:ascii="Garamond" w:hAnsi="Garamond" w:cstheme="minorHAnsi"/>
          <w:sz w:val="24"/>
          <w:szCs w:val="24"/>
        </w:rPr>
        <w:t xml:space="preserve">participating </w:t>
      </w:r>
      <w:r w:rsidR="007724D9" w:rsidRPr="00461D74">
        <w:rPr>
          <w:rFonts w:ascii="Garamond" w:hAnsi="Garamond" w:cstheme="minorHAnsi"/>
          <w:sz w:val="24"/>
          <w:szCs w:val="24"/>
        </w:rPr>
        <w:t xml:space="preserve">person </w:t>
      </w:r>
      <w:r w:rsidR="00016049" w:rsidRPr="00461D74">
        <w:rPr>
          <w:rFonts w:ascii="Garamond" w:hAnsi="Garamond" w:cstheme="minorHAnsi"/>
          <w:sz w:val="24"/>
          <w:szCs w:val="24"/>
        </w:rPr>
        <w:t xml:space="preserve">could </w:t>
      </w:r>
      <w:r w:rsidR="007E3AFB" w:rsidRPr="00461D74">
        <w:rPr>
          <w:rFonts w:ascii="Garamond" w:hAnsi="Garamond" w:cstheme="minorHAnsi"/>
          <w:sz w:val="24"/>
          <w:szCs w:val="24"/>
        </w:rPr>
        <w:t xml:space="preserve">come to view </w:t>
      </w:r>
      <w:r w:rsidR="00016049" w:rsidRPr="00461D74">
        <w:rPr>
          <w:rFonts w:ascii="Garamond" w:hAnsi="Garamond" w:cstheme="minorHAnsi"/>
          <w:sz w:val="24"/>
          <w:szCs w:val="24"/>
        </w:rPr>
        <w:t xml:space="preserve">herself in relation to her </w:t>
      </w:r>
      <w:r w:rsidR="007E3AFB" w:rsidRPr="00461D74">
        <w:rPr>
          <w:rFonts w:ascii="Garamond" w:hAnsi="Garamond" w:cstheme="minorHAnsi"/>
          <w:sz w:val="24"/>
          <w:szCs w:val="24"/>
        </w:rPr>
        <w:t xml:space="preserve">local </w:t>
      </w:r>
      <w:r w:rsidR="00016049" w:rsidRPr="00461D74">
        <w:rPr>
          <w:rFonts w:ascii="Garamond" w:hAnsi="Garamond" w:cstheme="minorHAnsi"/>
          <w:sz w:val="24"/>
          <w:szCs w:val="24"/>
        </w:rPr>
        <w:t xml:space="preserve">community and the </w:t>
      </w:r>
      <w:r w:rsidR="007E3AFB" w:rsidRPr="00461D74">
        <w:rPr>
          <w:rFonts w:ascii="Garamond" w:hAnsi="Garamond" w:cstheme="minorHAnsi"/>
          <w:sz w:val="24"/>
          <w:szCs w:val="24"/>
        </w:rPr>
        <w:t>large</w:t>
      </w:r>
      <w:r w:rsidR="007724D9" w:rsidRPr="00461D74">
        <w:rPr>
          <w:rFonts w:ascii="Garamond" w:hAnsi="Garamond" w:cstheme="minorHAnsi"/>
          <w:sz w:val="24"/>
          <w:szCs w:val="24"/>
        </w:rPr>
        <w:t>r</w:t>
      </w:r>
      <w:r w:rsidR="007E3AFB" w:rsidRPr="00461D74">
        <w:rPr>
          <w:rFonts w:ascii="Garamond" w:hAnsi="Garamond" w:cstheme="minorHAnsi"/>
          <w:sz w:val="24"/>
          <w:szCs w:val="24"/>
        </w:rPr>
        <w:t xml:space="preserve"> </w:t>
      </w:r>
      <w:r w:rsidR="00016049" w:rsidRPr="00461D74">
        <w:rPr>
          <w:rFonts w:ascii="Garamond" w:hAnsi="Garamond" w:cstheme="minorHAnsi"/>
          <w:sz w:val="24"/>
          <w:szCs w:val="24"/>
        </w:rPr>
        <w:t>community that constitutes the nation as a whole.</w:t>
      </w:r>
    </w:p>
    <w:p w:rsidR="00665157" w:rsidRDefault="00016049" w:rsidP="0083321B">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what follows, I will outline how the above alternative </w:t>
      </w:r>
      <w:r w:rsidR="00696A8D" w:rsidRPr="00461D74">
        <w:rPr>
          <w:rFonts w:ascii="Garamond" w:hAnsi="Garamond" w:cstheme="minorHAnsi"/>
          <w:sz w:val="24"/>
          <w:szCs w:val="24"/>
        </w:rPr>
        <w:t>(</w:t>
      </w:r>
      <w:r w:rsidRPr="00461D74">
        <w:rPr>
          <w:rFonts w:ascii="Garamond" w:hAnsi="Garamond" w:cstheme="minorHAnsi"/>
          <w:sz w:val="24"/>
          <w:szCs w:val="24"/>
        </w:rPr>
        <w:t>liberal</w:t>
      </w:r>
      <w:r w:rsidR="00696A8D" w:rsidRPr="00461D74">
        <w:rPr>
          <w:rFonts w:ascii="Garamond" w:hAnsi="Garamond" w:cstheme="minorHAnsi"/>
          <w:sz w:val="24"/>
          <w:szCs w:val="24"/>
        </w:rPr>
        <w:t>)</w:t>
      </w:r>
      <w:r w:rsidRPr="00461D74">
        <w:rPr>
          <w:rFonts w:ascii="Garamond" w:hAnsi="Garamond" w:cstheme="minorHAnsi"/>
          <w:sz w:val="24"/>
          <w:szCs w:val="24"/>
        </w:rPr>
        <w:t xml:space="preserve"> accounts we </w:t>
      </w:r>
      <w:r w:rsidR="00696A8D" w:rsidRPr="00461D74">
        <w:rPr>
          <w:rFonts w:ascii="Garamond" w:hAnsi="Garamond" w:cstheme="minorHAnsi"/>
          <w:sz w:val="24"/>
          <w:szCs w:val="24"/>
        </w:rPr>
        <w:t xml:space="preserve">have </w:t>
      </w:r>
      <w:r w:rsidRPr="00461D74">
        <w:rPr>
          <w:rFonts w:ascii="Garamond" w:hAnsi="Garamond" w:cstheme="minorHAnsi"/>
          <w:sz w:val="24"/>
          <w:szCs w:val="24"/>
        </w:rPr>
        <w:t>considered</w:t>
      </w:r>
      <w:r w:rsidR="00696A8D" w:rsidRPr="00461D74">
        <w:rPr>
          <w:rFonts w:ascii="Garamond" w:hAnsi="Garamond" w:cstheme="minorHAnsi"/>
          <w:sz w:val="24"/>
          <w:szCs w:val="24"/>
        </w:rPr>
        <w:t xml:space="preserve"> thus far</w:t>
      </w:r>
      <w:r w:rsidRPr="00461D74">
        <w:rPr>
          <w:rFonts w:ascii="Garamond" w:hAnsi="Garamond" w:cstheme="minorHAnsi"/>
          <w:sz w:val="24"/>
          <w:szCs w:val="24"/>
        </w:rPr>
        <w:t xml:space="preserve"> can </w:t>
      </w:r>
      <w:r w:rsidR="00696A8D" w:rsidRPr="00461D74">
        <w:rPr>
          <w:rFonts w:ascii="Garamond" w:hAnsi="Garamond" w:cstheme="minorHAnsi"/>
          <w:sz w:val="24"/>
          <w:szCs w:val="24"/>
        </w:rPr>
        <w:t>help</w:t>
      </w:r>
      <w:r w:rsidRPr="00461D74">
        <w:rPr>
          <w:rFonts w:ascii="Garamond" w:hAnsi="Garamond" w:cstheme="minorHAnsi"/>
          <w:sz w:val="24"/>
          <w:szCs w:val="24"/>
        </w:rPr>
        <w:t xml:space="preserve"> </w:t>
      </w:r>
      <w:r w:rsidR="00696A8D" w:rsidRPr="00461D74">
        <w:rPr>
          <w:rFonts w:ascii="Garamond" w:hAnsi="Garamond" w:cstheme="minorHAnsi"/>
          <w:sz w:val="24"/>
          <w:szCs w:val="24"/>
        </w:rPr>
        <w:t xml:space="preserve">us </w:t>
      </w:r>
      <w:r w:rsidRPr="00461D74">
        <w:rPr>
          <w:rFonts w:ascii="Garamond" w:hAnsi="Garamond" w:cstheme="minorHAnsi"/>
          <w:sz w:val="24"/>
          <w:szCs w:val="24"/>
        </w:rPr>
        <w:t xml:space="preserve">address the general problems that </w:t>
      </w:r>
      <w:r w:rsidR="00696A8D" w:rsidRPr="00461D74">
        <w:rPr>
          <w:rFonts w:ascii="Garamond" w:hAnsi="Garamond" w:cstheme="minorHAnsi"/>
          <w:sz w:val="24"/>
          <w:szCs w:val="24"/>
        </w:rPr>
        <w:t xml:space="preserve">are </w:t>
      </w:r>
      <w:r w:rsidRPr="00461D74">
        <w:rPr>
          <w:rFonts w:ascii="Garamond" w:hAnsi="Garamond" w:cstheme="minorHAnsi"/>
          <w:sz w:val="24"/>
          <w:szCs w:val="24"/>
        </w:rPr>
        <w:t xml:space="preserve">generated </w:t>
      </w:r>
      <w:r w:rsidR="00696A8D" w:rsidRPr="00461D74">
        <w:rPr>
          <w:rFonts w:ascii="Garamond" w:hAnsi="Garamond" w:cstheme="minorHAnsi"/>
          <w:sz w:val="24"/>
          <w:szCs w:val="24"/>
        </w:rPr>
        <w:t xml:space="preserve">under </w:t>
      </w:r>
      <w:r w:rsidRPr="00461D74">
        <w:rPr>
          <w:rFonts w:ascii="Garamond" w:hAnsi="Garamond" w:cstheme="minorHAnsi"/>
          <w:sz w:val="24"/>
          <w:szCs w:val="24"/>
        </w:rPr>
        <w:t xml:space="preserve">MacIntyre’s </w:t>
      </w:r>
      <w:r w:rsidR="00696A8D" w:rsidRPr="00461D74">
        <w:rPr>
          <w:rFonts w:ascii="Garamond" w:hAnsi="Garamond" w:cstheme="minorHAnsi"/>
          <w:sz w:val="24"/>
          <w:szCs w:val="24"/>
        </w:rPr>
        <w:t xml:space="preserve">account. My aim here is to outline </w:t>
      </w:r>
      <w:r w:rsidRPr="00461D74">
        <w:rPr>
          <w:rFonts w:ascii="Garamond" w:hAnsi="Garamond" w:cstheme="minorHAnsi"/>
          <w:sz w:val="24"/>
          <w:szCs w:val="24"/>
        </w:rPr>
        <w:t xml:space="preserve">a plausible, albeit </w:t>
      </w:r>
      <w:proofErr w:type="spellStart"/>
      <w:r w:rsidRPr="00461D74">
        <w:rPr>
          <w:rFonts w:ascii="Garamond" w:hAnsi="Garamond" w:cstheme="minorHAnsi"/>
          <w:sz w:val="24"/>
          <w:szCs w:val="24"/>
        </w:rPr>
        <w:t>defeasible</w:t>
      </w:r>
      <w:proofErr w:type="spellEnd"/>
      <w:r w:rsidRPr="00461D74">
        <w:rPr>
          <w:rFonts w:ascii="Garamond" w:hAnsi="Garamond" w:cstheme="minorHAnsi"/>
          <w:sz w:val="24"/>
          <w:szCs w:val="24"/>
        </w:rPr>
        <w:t xml:space="preserve">, critical political philosophy </w:t>
      </w:r>
      <w:r w:rsidR="00696A8D" w:rsidRPr="00461D74">
        <w:rPr>
          <w:rFonts w:ascii="Garamond" w:hAnsi="Garamond" w:cstheme="minorHAnsi"/>
          <w:sz w:val="24"/>
          <w:szCs w:val="24"/>
        </w:rPr>
        <w:t xml:space="preserve">that is in line with </w:t>
      </w:r>
      <w:r w:rsidRPr="00461D74">
        <w:rPr>
          <w:rFonts w:ascii="Garamond" w:hAnsi="Garamond" w:cstheme="minorHAnsi"/>
          <w:sz w:val="24"/>
          <w:szCs w:val="24"/>
        </w:rPr>
        <w:t>MacIntyre</w:t>
      </w:r>
      <w:r w:rsidR="00696A8D" w:rsidRPr="00461D74">
        <w:rPr>
          <w:rFonts w:ascii="Garamond" w:hAnsi="Garamond" w:cstheme="minorHAnsi"/>
          <w:sz w:val="24"/>
          <w:szCs w:val="24"/>
        </w:rPr>
        <w:t>’s broader approach</w:t>
      </w:r>
      <w:r w:rsidRPr="00461D74">
        <w:rPr>
          <w:rFonts w:ascii="Garamond" w:hAnsi="Garamond" w:cstheme="minorHAnsi"/>
          <w:sz w:val="24"/>
          <w:szCs w:val="24"/>
        </w:rPr>
        <w:t>.</w:t>
      </w:r>
    </w:p>
    <w:p w:rsidR="00665157" w:rsidRDefault="00665157">
      <w:pPr>
        <w:spacing w:line="360" w:lineRule="auto"/>
        <w:ind w:firstLine="720"/>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67" w:name="_Toc528077843"/>
      <w:r>
        <w:rPr>
          <w:rFonts w:cstheme="majorHAnsi"/>
        </w:rPr>
        <w:lastRenderedPageBreak/>
        <w:t xml:space="preserve">5. </w:t>
      </w:r>
      <w:r w:rsidR="00996D1B" w:rsidRPr="00F03436">
        <w:rPr>
          <w:rFonts w:cstheme="majorHAnsi"/>
        </w:rPr>
        <w:t>Addressing</w:t>
      </w:r>
      <w:r w:rsidR="00266842" w:rsidRPr="00F03436">
        <w:rPr>
          <w:rFonts w:cstheme="majorHAnsi"/>
        </w:rPr>
        <w:t xml:space="preserve"> </w:t>
      </w:r>
      <w:r w:rsidR="00016049" w:rsidRPr="00F03436">
        <w:rPr>
          <w:rFonts w:cstheme="majorHAnsi"/>
        </w:rPr>
        <w:t xml:space="preserve">the </w:t>
      </w:r>
      <w:r w:rsidR="00996D1B" w:rsidRPr="00F03436">
        <w:rPr>
          <w:rFonts w:cstheme="majorHAnsi"/>
        </w:rPr>
        <w:t>W</w:t>
      </w:r>
      <w:r w:rsidR="00016049" w:rsidRPr="00F03436">
        <w:rPr>
          <w:rFonts w:cstheme="majorHAnsi"/>
        </w:rPr>
        <w:t xml:space="preserve">orries </w:t>
      </w:r>
      <w:r w:rsidR="00996D1B" w:rsidRPr="00F03436">
        <w:rPr>
          <w:rFonts w:cstheme="majorHAnsi"/>
        </w:rPr>
        <w:t>Generated by</w:t>
      </w:r>
      <w:r w:rsidR="00266842" w:rsidRPr="00F03436">
        <w:rPr>
          <w:rFonts w:cstheme="majorHAnsi"/>
        </w:rPr>
        <w:t xml:space="preserve"> </w:t>
      </w:r>
      <w:r w:rsidR="00016049" w:rsidRPr="00F03436">
        <w:rPr>
          <w:rFonts w:cstheme="majorHAnsi"/>
        </w:rPr>
        <w:t xml:space="preserve">MacIntyre’s </w:t>
      </w:r>
      <w:r w:rsidR="00996D1B" w:rsidRPr="00F03436">
        <w:rPr>
          <w:rFonts w:cstheme="majorHAnsi"/>
        </w:rPr>
        <w:t>Politics</w:t>
      </w:r>
      <w:bookmarkEnd w:id="67"/>
    </w:p>
    <w:p w:rsidR="00665157" w:rsidRDefault="00665157" w:rsidP="0083321B">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I will </w:t>
      </w:r>
      <w:r w:rsidR="00E32396" w:rsidRPr="00461D74">
        <w:rPr>
          <w:rFonts w:ascii="Garamond" w:hAnsi="Garamond" w:cstheme="minorHAnsi"/>
          <w:sz w:val="24"/>
          <w:szCs w:val="24"/>
        </w:rPr>
        <w:t xml:space="preserve">now </w:t>
      </w:r>
      <w:r w:rsidRPr="00461D74">
        <w:rPr>
          <w:rFonts w:ascii="Garamond" w:hAnsi="Garamond" w:cstheme="minorHAnsi"/>
          <w:sz w:val="24"/>
          <w:szCs w:val="24"/>
        </w:rPr>
        <w:t xml:space="preserve">consider how the </w:t>
      </w:r>
      <w:r w:rsidR="0069037F" w:rsidRPr="00461D74">
        <w:rPr>
          <w:rFonts w:ascii="Garamond" w:hAnsi="Garamond" w:cstheme="minorHAnsi"/>
          <w:sz w:val="24"/>
          <w:szCs w:val="24"/>
        </w:rPr>
        <w:t xml:space="preserve">political insights offered </w:t>
      </w:r>
      <w:r w:rsidRPr="00461D74">
        <w:rPr>
          <w:rFonts w:ascii="Garamond" w:hAnsi="Garamond" w:cstheme="minorHAnsi"/>
          <w:sz w:val="24"/>
          <w:szCs w:val="24"/>
        </w:rPr>
        <w:t xml:space="preserve">by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Honneth’s</w:t>
      </w:r>
      <w:proofErr w:type="spellEnd"/>
      <w:r w:rsidRPr="00461D74">
        <w:rPr>
          <w:rFonts w:ascii="Garamond" w:hAnsi="Garamond" w:cstheme="minorHAnsi"/>
          <w:sz w:val="24"/>
          <w:szCs w:val="24"/>
        </w:rPr>
        <w:t xml:space="preserve"> Dewey, and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respectively, can </w:t>
      </w:r>
      <w:r w:rsidR="00E32396" w:rsidRPr="00461D74">
        <w:rPr>
          <w:rFonts w:ascii="Garamond" w:hAnsi="Garamond" w:cstheme="minorHAnsi"/>
          <w:sz w:val="24"/>
          <w:szCs w:val="24"/>
        </w:rPr>
        <w:t xml:space="preserve">offer a resolution of the problems generated </w:t>
      </w:r>
      <w:r w:rsidR="00A80617">
        <w:rPr>
          <w:rFonts w:ascii="Garamond" w:hAnsi="Garamond" w:cstheme="minorHAnsi"/>
          <w:sz w:val="24"/>
          <w:szCs w:val="24"/>
        </w:rPr>
        <w:t>under</w:t>
      </w:r>
      <w:r w:rsidR="00A80617" w:rsidRPr="00461D74">
        <w:rPr>
          <w:rFonts w:ascii="Garamond" w:hAnsi="Garamond" w:cstheme="minorHAnsi"/>
          <w:sz w:val="24"/>
          <w:szCs w:val="24"/>
        </w:rPr>
        <w:t xml:space="preserve"> </w:t>
      </w:r>
      <w:r w:rsidRPr="00461D74">
        <w:rPr>
          <w:rFonts w:ascii="Garamond" w:hAnsi="Garamond" w:cstheme="minorHAnsi"/>
          <w:sz w:val="24"/>
          <w:szCs w:val="24"/>
        </w:rPr>
        <w:t>MacIntyre</w:t>
      </w:r>
      <w:r w:rsidR="00E32396" w:rsidRPr="00461D74">
        <w:rPr>
          <w:rFonts w:ascii="Garamond" w:hAnsi="Garamond" w:cstheme="minorHAnsi"/>
          <w:sz w:val="24"/>
          <w:szCs w:val="24"/>
        </w:rPr>
        <w:t>’s political account</w:t>
      </w:r>
      <w:r w:rsidRPr="00461D74">
        <w:rPr>
          <w:rFonts w:ascii="Garamond" w:hAnsi="Garamond" w:cstheme="minorHAnsi"/>
          <w:sz w:val="24"/>
          <w:szCs w:val="24"/>
        </w:rPr>
        <w:t>.</w:t>
      </w:r>
      <w:r w:rsidR="00D2562D" w:rsidRPr="00461D74">
        <w:rPr>
          <w:rFonts w:ascii="Garamond" w:hAnsi="Garamond" w:cstheme="minorHAnsi"/>
          <w:sz w:val="24"/>
          <w:szCs w:val="24"/>
        </w:rPr>
        <w:t xml:space="preserve"> </w:t>
      </w:r>
      <w:r w:rsidRPr="00461D74">
        <w:rPr>
          <w:rFonts w:ascii="Garamond" w:hAnsi="Garamond" w:cstheme="minorHAnsi"/>
          <w:sz w:val="24"/>
          <w:szCs w:val="24"/>
        </w:rPr>
        <w:t>Earlier, we speculated that MacIntyre is perhaps able to deflect the worry that politics as a second order practice is incoherent</w:t>
      </w:r>
      <w:r w:rsidR="00E32396" w:rsidRPr="00461D74">
        <w:rPr>
          <w:rFonts w:ascii="Garamond" w:hAnsi="Garamond" w:cstheme="minorHAnsi"/>
          <w:sz w:val="24"/>
          <w:szCs w:val="24"/>
        </w:rPr>
        <w:t>; yet,</w:t>
      </w:r>
      <w:r w:rsidRPr="00461D74">
        <w:rPr>
          <w:rFonts w:ascii="Garamond" w:hAnsi="Garamond" w:cstheme="minorHAnsi"/>
          <w:sz w:val="24"/>
          <w:szCs w:val="24"/>
        </w:rPr>
        <w:t xml:space="preserve"> </w:t>
      </w:r>
      <w:r w:rsidR="00E32396" w:rsidRPr="00461D74">
        <w:rPr>
          <w:rFonts w:ascii="Garamond" w:hAnsi="Garamond" w:cstheme="minorHAnsi"/>
          <w:sz w:val="24"/>
          <w:szCs w:val="24"/>
        </w:rPr>
        <w:t>we still face some difficulties</w:t>
      </w:r>
      <w:r w:rsidRPr="00461D74">
        <w:rPr>
          <w:rFonts w:ascii="Garamond" w:hAnsi="Garamond" w:cstheme="minorHAnsi"/>
          <w:sz w:val="24"/>
          <w:szCs w:val="24"/>
        </w:rPr>
        <w:t xml:space="preserve"> </w:t>
      </w:r>
      <w:r w:rsidR="00E32396" w:rsidRPr="00461D74">
        <w:rPr>
          <w:rFonts w:ascii="Garamond" w:hAnsi="Garamond" w:cstheme="minorHAnsi"/>
          <w:sz w:val="24"/>
          <w:szCs w:val="24"/>
        </w:rPr>
        <w:t xml:space="preserve">in </w:t>
      </w:r>
      <w:r w:rsidRPr="00461D74">
        <w:rPr>
          <w:rFonts w:ascii="Garamond" w:hAnsi="Garamond" w:cstheme="minorHAnsi"/>
          <w:sz w:val="24"/>
          <w:szCs w:val="24"/>
        </w:rPr>
        <w:t>defend</w:t>
      </w:r>
      <w:r w:rsidR="00E32396" w:rsidRPr="00461D74">
        <w:rPr>
          <w:rFonts w:ascii="Garamond" w:hAnsi="Garamond" w:cstheme="minorHAnsi"/>
          <w:sz w:val="24"/>
          <w:szCs w:val="24"/>
        </w:rPr>
        <w:t>ing</w:t>
      </w:r>
      <w:r w:rsidRPr="00461D74">
        <w:rPr>
          <w:rFonts w:ascii="Garamond" w:hAnsi="Garamond" w:cstheme="minorHAnsi"/>
          <w:sz w:val="24"/>
          <w:szCs w:val="24"/>
        </w:rPr>
        <w:t xml:space="preserve"> </w:t>
      </w:r>
      <w:r w:rsidR="00E32396" w:rsidRPr="00461D74">
        <w:rPr>
          <w:rFonts w:ascii="Garamond" w:hAnsi="Garamond" w:cstheme="minorHAnsi"/>
          <w:sz w:val="24"/>
          <w:szCs w:val="24"/>
        </w:rPr>
        <w:t xml:space="preserve">MacIntyre </w:t>
      </w:r>
      <w:r w:rsidRPr="00461D74">
        <w:rPr>
          <w:rFonts w:ascii="Garamond" w:hAnsi="Garamond" w:cstheme="minorHAnsi"/>
          <w:sz w:val="24"/>
          <w:szCs w:val="24"/>
        </w:rPr>
        <w:t xml:space="preserve">against Murphy’s charge </w:t>
      </w:r>
      <w:r w:rsidR="006E7EBB">
        <w:rPr>
          <w:rFonts w:ascii="Garamond" w:hAnsi="Garamond" w:cstheme="minorHAnsi"/>
          <w:sz w:val="24"/>
          <w:szCs w:val="24"/>
        </w:rPr>
        <w:t>in virtue of the fact</w:t>
      </w:r>
      <w:r w:rsidR="00E32396" w:rsidRPr="00461D74">
        <w:rPr>
          <w:rFonts w:ascii="Garamond" w:hAnsi="Garamond" w:cstheme="minorHAnsi"/>
          <w:sz w:val="24"/>
          <w:szCs w:val="24"/>
        </w:rPr>
        <w:t xml:space="preserve"> that </w:t>
      </w:r>
      <w:r w:rsidRPr="00461D74">
        <w:rPr>
          <w:rFonts w:ascii="Garamond" w:hAnsi="Garamond" w:cstheme="minorHAnsi"/>
          <w:sz w:val="24"/>
          <w:szCs w:val="24"/>
        </w:rPr>
        <w:t xml:space="preserve">the state </w:t>
      </w:r>
      <w:r w:rsidR="006E7EBB">
        <w:rPr>
          <w:rFonts w:ascii="Garamond" w:hAnsi="Garamond" w:cstheme="minorHAnsi"/>
          <w:sz w:val="24"/>
          <w:szCs w:val="24"/>
        </w:rPr>
        <w:t>remain</w:t>
      </w:r>
      <w:r w:rsidR="00144BA7">
        <w:rPr>
          <w:rFonts w:ascii="Garamond" w:hAnsi="Garamond" w:cstheme="minorHAnsi"/>
          <w:sz w:val="24"/>
          <w:szCs w:val="24"/>
        </w:rPr>
        <w:t>s</w:t>
      </w:r>
      <w:r w:rsidR="006E7EBB" w:rsidRPr="00461D74">
        <w:rPr>
          <w:rFonts w:ascii="Garamond" w:hAnsi="Garamond" w:cstheme="minorHAnsi"/>
          <w:sz w:val="24"/>
          <w:szCs w:val="24"/>
        </w:rPr>
        <w:t xml:space="preserve"> </w:t>
      </w:r>
      <w:r w:rsidRPr="00461D74">
        <w:rPr>
          <w:rFonts w:ascii="Garamond" w:hAnsi="Garamond" w:cstheme="minorHAnsi"/>
          <w:sz w:val="24"/>
          <w:szCs w:val="24"/>
        </w:rPr>
        <w:t xml:space="preserve">a pre-condition for </w:t>
      </w:r>
      <w:r w:rsidR="00E32396" w:rsidRPr="00461D74">
        <w:rPr>
          <w:rFonts w:ascii="Garamond" w:hAnsi="Garamond" w:cstheme="minorHAnsi"/>
          <w:sz w:val="24"/>
          <w:szCs w:val="24"/>
        </w:rPr>
        <w:t xml:space="preserve">the kind of deliberative participatory politics at the level of local communities that MacIntyre envisions. </w:t>
      </w:r>
      <w:r w:rsidR="009C5DD5" w:rsidRPr="00461D74">
        <w:rPr>
          <w:rFonts w:ascii="Garamond" w:hAnsi="Garamond" w:cstheme="minorHAnsi"/>
          <w:sz w:val="24"/>
          <w:szCs w:val="24"/>
        </w:rPr>
        <w:t xml:space="preserve">It then </w:t>
      </w:r>
      <w:r w:rsidR="006E7EBB" w:rsidRPr="00461D74">
        <w:rPr>
          <w:rFonts w:ascii="Garamond" w:hAnsi="Garamond" w:cstheme="minorHAnsi"/>
          <w:sz w:val="24"/>
          <w:szCs w:val="24"/>
        </w:rPr>
        <w:t>appear</w:t>
      </w:r>
      <w:r w:rsidR="006E7EBB">
        <w:rPr>
          <w:rFonts w:ascii="Garamond" w:hAnsi="Garamond" w:cstheme="minorHAnsi"/>
          <w:sz w:val="24"/>
          <w:szCs w:val="24"/>
        </w:rPr>
        <w:t>ed</w:t>
      </w:r>
      <w:r w:rsidR="006E7EBB" w:rsidRPr="00461D74">
        <w:rPr>
          <w:rFonts w:ascii="Garamond" w:hAnsi="Garamond" w:cstheme="minorHAnsi"/>
          <w:sz w:val="24"/>
          <w:szCs w:val="24"/>
        </w:rPr>
        <w:t xml:space="preserve"> </w:t>
      </w:r>
      <w:r w:rsidR="009C5DD5" w:rsidRPr="00461D74">
        <w:rPr>
          <w:rFonts w:ascii="Garamond" w:hAnsi="Garamond" w:cstheme="minorHAnsi"/>
          <w:sz w:val="24"/>
          <w:szCs w:val="24"/>
        </w:rPr>
        <w:t xml:space="preserve">that on MacIntyre’s own historical and </w:t>
      </w:r>
      <w:proofErr w:type="spellStart"/>
      <w:r w:rsidR="009C5DD5" w:rsidRPr="00461D74">
        <w:rPr>
          <w:rFonts w:ascii="Garamond" w:hAnsi="Garamond" w:cstheme="minorHAnsi"/>
          <w:sz w:val="24"/>
          <w:szCs w:val="24"/>
        </w:rPr>
        <w:t>fallibilist</w:t>
      </w:r>
      <w:proofErr w:type="spellEnd"/>
      <w:r w:rsidR="009C5DD5" w:rsidRPr="00461D74">
        <w:rPr>
          <w:rFonts w:ascii="Garamond" w:hAnsi="Garamond" w:cstheme="minorHAnsi"/>
          <w:sz w:val="24"/>
          <w:szCs w:val="24"/>
        </w:rPr>
        <w:t xml:space="preserve"> views, he</w:t>
      </w:r>
      <w:r w:rsidRPr="00461D74">
        <w:rPr>
          <w:rFonts w:ascii="Garamond" w:hAnsi="Garamond" w:cstheme="minorHAnsi"/>
          <w:sz w:val="24"/>
          <w:szCs w:val="24"/>
        </w:rPr>
        <w:t xml:space="preserve"> has to at least allow for the possibility of correcti</w:t>
      </w:r>
      <w:r w:rsidR="009C5DD5" w:rsidRPr="00461D74">
        <w:rPr>
          <w:rFonts w:ascii="Garamond" w:hAnsi="Garamond" w:cstheme="minorHAnsi"/>
          <w:sz w:val="24"/>
          <w:szCs w:val="24"/>
        </w:rPr>
        <w:t>ng the deficiencies of politics present in the liberal state.</w:t>
      </w:r>
      <w:r w:rsidRPr="00461D74">
        <w:rPr>
          <w:rFonts w:ascii="Garamond" w:hAnsi="Garamond" w:cstheme="minorHAnsi"/>
          <w:sz w:val="24"/>
          <w:szCs w:val="24"/>
        </w:rPr>
        <w:t xml:space="preserve"> This issue roughly maps onto the first item (G1) I set out in the </w:t>
      </w:r>
      <w:r w:rsidRPr="00461D74">
        <w:rPr>
          <w:rFonts w:ascii="Garamond" w:hAnsi="Garamond" w:cstheme="minorHAnsi"/>
          <w:i/>
          <w:iCs/>
          <w:sz w:val="24"/>
          <w:szCs w:val="24"/>
        </w:rPr>
        <w:t>general guideline towards a solution</w:t>
      </w:r>
      <w:r w:rsidRPr="00461D74">
        <w:rPr>
          <w:rFonts w:ascii="Garamond" w:hAnsi="Garamond" w:cstheme="minorHAnsi"/>
          <w:sz w:val="24"/>
          <w:szCs w:val="24"/>
        </w:rPr>
        <w:t xml:space="preserve"> I delineated towards the end of section </w:t>
      </w:r>
      <w:r w:rsidR="005E4BB0">
        <w:rPr>
          <w:rFonts w:ascii="Garamond" w:hAnsi="Garamond" w:cstheme="minorHAnsi"/>
          <w:sz w:val="24"/>
          <w:szCs w:val="24"/>
        </w:rPr>
        <w:t>2</w:t>
      </w:r>
      <w:r w:rsidRPr="00461D74">
        <w:rPr>
          <w:rFonts w:ascii="Garamond" w:hAnsi="Garamond" w:cstheme="minorHAnsi"/>
          <w:sz w:val="24"/>
          <w:szCs w:val="24"/>
        </w:rPr>
        <w:t>.1.</w:t>
      </w:r>
    </w:p>
    <w:p w:rsidR="00665157" w:rsidRDefault="00F137F1">
      <w:pPr>
        <w:spacing w:line="360" w:lineRule="auto"/>
        <w:ind w:firstLine="720"/>
        <w:jc w:val="both"/>
        <w:rPr>
          <w:rFonts w:ascii="Garamond" w:hAnsi="Garamond" w:cstheme="minorHAnsi"/>
          <w:sz w:val="24"/>
          <w:szCs w:val="24"/>
        </w:rPr>
      </w:pPr>
      <w:r>
        <w:rPr>
          <w:rFonts w:ascii="Garamond" w:hAnsi="Garamond" w:cstheme="minorHAnsi"/>
          <w:sz w:val="24"/>
          <w:szCs w:val="24"/>
        </w:rPr>
        <w:t>I</w:t>
      </w:r>
      <w:r w:rsidR="00016049" w:rsidRPr="00461D74">
        <w:rPr>
          <w:rFonts w:ascii="Garamond" w:hAnsi="Garamond" w:cstheme="minorHAnsi"/>
          <w:sz w:val="24"/>
          <w:szCs w:val="24"/>
        </w:rPr>
        <w:t xml:space="preserve">n my view, </w:t>
      </w:r>
      <w:proofErr w:type="spellStart"/>
      <w:r w:rsidR="00016049" w:rsidRPr="00461D74">
        <w:rPr>
          <w:rFonts w:ascii="Garamond" w:hAnsi="Garamond" w:cstheme="minorHAnsi"/>
          <w:sz w:val="24"/>
          <w:szCs w:val="24"/>
        </w:rPr>
        <w:t>Walzer’s</w:t>
      </w:r>
      <w:proofErr w:type="spellEnd"/>
      <w:r w:rsidR="00016049" w:rsidRPr="00461D74">
        <w:rPr>
          <w:rFonts w:ascii="Garamond" w:hAnsi="Garamond" w:cstheme="minorHAnsi"/>
          <w:sz w:val="24"/>
          <w:szCs w:val="24"/>
        </w:rPr>
        <w:t xml:space="preserve"> account, seen as a </w:t>
      </w:r>
      <w:r w:rsidR="00016049" w:rsidRPr="00461D74">
        <w:rPr>
          <w:rFonts w:ascii="Garamond" w:hAnsi="Garamond" w:cstheme="minorHAnsi"/>
          <w:i/>
          <w:iCs/>
          <w:sz w:val="24"/>
          <w:szCs w:val="24"/>
        </w:rPr>
        <w:t>via media</w:t>
      </w:r>
      <w:r w:rsidR="00016049" w:rsidRPr="00461D74">
        <w:rPr>
          <w:rFonts w:ascii="Garamond" w:hAnsi="Garamond" w:cstheme="minorHAnsi"/>
          <w:sz w:val="24"/>
          <w:szCs w:val="24"/>
        </w:rPr>
        <w:t xml:space="preserve">, is </w:t>
      </w:r>
      <w:r w:rsidR="009D2C1C" w:rsidRPr="00461D74">
        <w:rPr>
          <w:rFonts w:ascii="Garamond" w:hAnsi="Garamond" w:cstheme="minorHAnsi"/>
          <w:sz w:val="24"/>
          <w:szCs w:val="24"/>
        </w:rPr>
        <w:t xml:space="preserve">useful </w:t>
      </w:r>
      <w:r w:rsidR="00016049" w:rsidRPr="00461D74">
        <w:rPr>
          <w:rFonts w:ascii="Garamond" w:hAnsi="Garamond" w:cstheme="minorHAnsi"/>
          <w:sz w:val="24"/>
          <w:szCs w:val="24"/>
        </w:rPr>
        <w:t xml:space="preserve">in addressing this </w:t>
      </w:r>
      <w:r w:rsidR="009D2C1C" w:rsidRPr="00461D74">
        <w:rPr>
          <w:rFonts w:ascii="Garamond" w:hAnsi="Garamond" w:cstheme="minorHAnsi"/>
          <w:sz w:val="24"/>
          <w:szCs w:val="24"/>
        </w:rPr>
        <w:t xml:space="preserve">particular </w:t>
      </w:r>
      <w:r w:rsidR="00016049" w:rsidRPr="00461D74">
        <w:rPr>
          <w:rFonts w:ascii="Garamond" w:hAnsi="Garamond" w:cstheme="minorHAnsi"/>
          <w:sz w:val="24"/>
          <w:szCs w:val="24"/>
        </w:rPr>
        <w:t xml:space="preserve">worry. Recall that </w:t>
      </w:r>
      <w:proofErr w:type="spellStart"/>
      <w:r w:rsidR="00016049" w:rsidRPr="00461D74">
        <w:rPr>
          <w:rFonts w:ascii="Garamond" w:hAnsi="Garamond" w:cstheme="minorHAnsi"/>
          <w:sz w:val="24"/>
          <w:szCs w:val="24"/>
        </w:rPr>
        <w:t>Walzer</w:t>
      </w:r>
      <w:proofErr w:type="spellEnd"/>
      <w:r w:rsidR="00016049" w:rsidRPr="00461D74">
        <w:rPr>
          <w:rFonts w:ascii="Garamond" w:hAnsi="Garamond" w:cstheme="minorHAnsi"/>
          <w:sz w:val="24"/>
          <w:szCs w:val="24"/>
        </w:rPr>
        <w:t xml:space="preserve"> agrees to some extent with the communitarian critique – namely, </w:t>
      </w:r>
      <w:r w:rsidR="00475016" w:rsidRPr="00461D74">
        <w:rPr>
          <w:rFonts w:ascii="Garamond" w:hAnsi="Garamond" w:cstheme="minorHAnsi"/>
          <w:sz w:val="24"/>
          <w:szCs w:val="24"/>
        </w:rPr>
        <w:t xml:space="preserve">that </w:t>
      </w:r>
      <w:r w:rsidR="00016049" w:rsidRPr="00461D74">
        <w:rPr>
          <w:rFonts w:ascii="Garamond" w:hAnsi="Garamond" w:cstheme="minorHAnsi"/>
          <w:sz w:val="24"/>
          <w:szCs w:val="24"/>
        </w:rPr>
        <w:t xml:space="preserve">fragmentation in politics is a result of the fact that we increasingly </w:t>
      </w:r>
      <w:r w:rsidR="00156DAF" w:rsidRPr="00461D74">
        <w:rPr>
          <w:rFonts w:ascii="Garamond" w:hAnsi="Garamond" w:cstheme="minorHAnsi"/>
          <w:sz w:val="24"/>
          <w:szCs w:val="24"/>
        </w:rPr>
        <w:t xml:space="preserve">view </w:t>
      </w:r>
      <w:r w:rsidR="00016049" w:rsidRPr="00461D74">
        <w:rPr>
          <w:rFonts w:ascii="Garamond" w:hAnsi="Garamond" w:cstheme="minorHAnsi"/>
          <w:sz w:val="24"/>
          <w:szCs w:val="24"/>
        </w:rPr>
        <w:t xml:space="preserve">ourselves as autonomous and even isolated individual who are not able to arrive at a substantive notion of the good. </w:t>
      </w:r>
      <w:r w:rsidR="008F0AC1" w:rsidRPr="00461D74">
        <w:rPr>
          <w:rFonts w:ascii="Garamond" w:hAnsi="Garamond" w:cstheme="minorHAnsi"/>
          <w:sz w:val="24"/>
          <w:szCs w:val="24"/>
        </w:rPr>
        <w:t xml:space="preserve">Yet, </w:t>
      </w:r>
      <w:proofErr w:type="spellStart"/>
      <w:r w:rsidR="00016049" w:rsidRPr="00461D74">
        <w:rPr>
          <w:rFonts w:ascii="Garamond" w:hAnsi="Garamond" w:cstheme="minorHAnsi"/>
          <w:sz w:val="24"/>
          <w:szCs w:val="24"/>
        </w:rPr>
        <w:t>Walzer</w:t>
      </w:r>
      <w:proofErr w:type="spellEnd"/>
      <w:r w:rsidR="00016049" w:rsidRPr="00461D74">
        <w:rPr>
          <w:rFonts w:ascii="Garamond" w:hAnsi="Garamond" w:cstheme="minorHAnsi"/>
          <w:sz w:val="24"/>
          <w:szCs w:val="24"/>
        </w:rPr>
        <w:t xml:space="preserve"> </w:t>
      </w:r>
      <w:r w:rsidR="008F0AC1" w:rsidRPr="00461D74">
        <w:rPr>
          <w:rFonts w:ascii="Garamond" w:hAnsi="Garamond" w:cstheme="minorHAnsi"/>
          <w:sz w:val="24"/>
          <w:szCs w:val="24"/>
        </w:rPr>
        <w:t>also argues</w:t>
      </w:r>
      <w:r w:rsidR="00016049" w:rsidRPr="00461D74">
        <w:rPr>
          <w:rFonts w:ascii="Garamond" w:hAnsi="Garamond" w:cstheme="minorHAnsi"/>
          <w:sz w:val="24"/>
          <w:szCs w:val="24"/>
        </w:rPr>
        <w:t xml:space="preserve"> that </w:t>
      </w:r>
      <w:r w:rsidR="008F0AC1" w:rsidRPr="00461D74">
        <w:rPr>
          <w:rFonts w:ascii="Garamond" w:hAnsi="Garamond" w:cstheme="minorHAnsi"/>
          <w:sz w:val="24"/>
          <w:szCs w:val="24"/>
        </w:rPr>
        <w:t xml:space="preserve">the first communitarian critique </w:t>
      </w:r>
      <w:r w:rsidR="00016049" w:rsidRPr="00461D74">
        <w:rPr>
          <w:rFonts w:ascii="Garamond" w:hAnsi="Garamond" w:cstheme="minorHAnsi"/>
          <w:sz w:val="24"/>
          <w:szCs w:val="24"/>
        </w:rPr>
        <w:t xml:space="preserve">does not fit well with the second </w:t>
      </w:r>
      <w:r w:rsidR="008F0AC1" w:rsidRPr="00461D74">
        <w:rPr>
          <w:rFonts w:ascii="Garamond" w:hAnsi="Garamond" w:cstheme="minorHAnsi"/>
          <w:sz w:val="24"/>
          <w:szCs w:val="24"/>
        </w:rPr>
        <w:t xml:space="preserve">criticism advanced by </w:t>
      </w:r>
      <w:r w:rsidR="00016049" w:rsidRPr="00461D74">
        <w:rPr>
          <w:rFonts w:ascii="Garamond" w:hAnsi="Garamond" w:cstheme="minorHAnsi"/>
          <w:sz w:val="24"/>
          <w:szCs w:val="24"/>
        </w:rPr>
        <w:t>communitarian</w:t>
      </w:r>
      <w:r w:rsidR="008F0AC1" w:rsidRPr="00461D74">
        <w:rPr>
          <w:rFonts w:ascii="Garamond" w:hAnsi="Garamond" w:cstheme="minorHAnsi"/>
          <w:sz w:val="24"/>
          <w:szCs w:val="24"/>
        </w:rPr>
        <w:t xml:space="preserve">s </w:t>
      </w:r>
      <w:r w:rsidR="00383267">
        <w:rPr>
          <w:rFonts w:ascii="Garamond" w:hAnsi="Garamond" w:cstheme="minorHAnsi"/>
          <w:sz w:val="24"/>
          <w:szCs w:val="24"/>
        </w:rPr>
        <w:t>where</w:t>
      </w:r>
      <w:r w:rsidR="002D083E" w:rsidRPr="00461D74">
        <w:rPr>
          <w:rFonts w:ascii="Garamond" w:hAnsi="Garamond" w:cstheme="minorHAnsi"/>
          <w:sz w:val="24"/>
          <w:szCs w:val="24"/>
        </w:rPr>
        <w:t xml:space="preserve"> </w:t>
      </w:r>
      <w:r w:rsidR="008F0AC1" w:rsidRPr="00461D74">
        <w:rPr>
          <w:rFonts w:ascii="Garamond" w:hAnsi="Garamond" w:cstheme="minorHAnsi"/>
          <w:sz w:val="24"/>
          <w:szCs w:val="24"/>
        </w:rPr>
        <w:t xml:space="preserve">they argue that </w:t>
      </w:r>
      <w:r w:rsidR="00016049" w:rsidRPr="00461D74">
        <w:rPr>
          <w:rFonts w:ascii="Garamond" w:hAnsi="Garamond" w:cstheme="minorHAnsi"/>
          <w:sz w:val="24"/>
          <w:szCs w:val="24"/>
        </w:rPr>
        <w:t xml:space="preserve">liberalism </w:t>
      </w:r>
      <w:r w:rsidR="008F0AC1" w:rsidRPr="00461D74">
        <w:rPr>
          <w:rFonts w:ascii="Garamond" w:hAnsi="Garamond" w:cstheme="minorHAnsi"/>
          <w:sz w:val="24"/>
          <w:szCs w:val="24"/>
        </w:rPr>
        <w:t xml:space="preserve">misrepresents human life </w:t>
      </w:r>
      <w:r w:rsidR="00016049" w:rsidRPr="00461D74">
        <w:rPr>
          <w:rFonts w:ascii="Garamond" w:hAnsi="Garamond" w:cstheme="minorHAnsi"/>
          <w:sz w:val="24"/>
          <w:szCs w:val="24"/>
        </w:rPr>
        <w:t>since human beings are in</w:t>
      </w:r>
      <w:r w:rsidR="008F0AC1" w:rsidRPr="00461D74">
        <w:rPr>
          <w:rFonts w:ascii="Garamond" w:hAnsi="Garamond" w:cstheme="minorHAnsi"/>
          <w:sz w:val="24"/>
          <w:szCs w:val="24"/>
        </w:rPr>
        <w:t xml:space="preserve">herently social </w:t>
      </w:r>
      <w:r w:rsidR="00016049" w:rsidRPr="00461D74">
        <w:rPr>
          <w:rFonts w:ascii="Garamond" w:hAnsi="Garamond" w:cstheme="minorHAnsi"/>
          <w:sz w:val="24"/>
          <w:szCs w:val="24"/>
        </w:rPr>
        <w:t xml:space="preserve">creatures </w:t>
      </w:r>
      <w:r w:rsidR="008F0AC1" w:rsidRPr="00461D74">
        <w:rPr>
          <w:rFonts w:ascii="Garamond" w:hAnsi="Garamond" w:cstheme="minorHAnsi"/>
          <w:sz w:val="24"/>
          <w:szCs w:val="24"/>
        </w:rPr>
        <w:t xml:space="preserve">characterised by strong </w:t>
      </w:r>
      <w:r w:rsidR="00016049" w:rsidRPr="00461D74">
        <w:rPr>
          <w:rFonts w:ascii="Garamond" w:hAnsi="Garamond" w:cstheme="minorHAnsi"/>
          <w:sz w:val="24"/>
          <w:szCs w:val="24"/>
        </w:rPr>
        <w:t>social bonds</w:t>
      </w:r>
      <w:r w:rsidR="008F0AC1" w:rsidRPr="00461D74">
        <w:rPr>
          <w:rFonts w:ascii="Garamond" w:hAnsi="Garamond" w:cstheme="minorHAnsi"/>
          <w:sz w:val="24"/>
          <w:szCs w:val="24"/>
        </w:rPr>
        <w:t xml:space="preserve">. The upshot is that we can </w:t>
      </w:r>
      <w:r w:rsidR="00016049" w:rsidRPr="00461D74">
        <w:rPr>
          <w:rFonts w:ascii="Garamond" w:hAnsi="Garamond" w:cstheme="minorHAnsi"/>
          <w:sz w:val="24"/>
          <w:szCs w:val="24"/>
        </w:rPr>
        <w:t xml:space="preserve">only adequately </w:t>
      </w:r>
      <w:r w:rsidR="008F0AC1" w:rsidRPr="00461D74">
        <w:rPr>
          <w:rFonts w:ascii="Garamond" w:hAnsi="Garamond" w:cstheme="minorHAnsi"/>
          <w:sz w:val="24"/>
          <w:szCs w:val="24"/>
        </w:rPr>
        <w:t xml:space="preserve">flourish as human beings </w:t>
      </w:r>
      <w:r w:rsidR="00016049" w:rsidRPr="00461D74">
        <w:rPr>
          <w:rFonts w:ascii="Garamond" w:hAnsi="Garamond" w:cstheme="minorHAnsi"/>
          <w:sz w:val="24"/>
          <w:szCs w:val="24"/>
        </w:rPr>
        <w:t>within a cooperative social sphere.</w:t>
      </w:r>
    </w:p>
    <w:p w:rsidR="00665157" w:rsidRDefault="00016049">
      <w:pPr>
        <w:spacing w:line="360" w:lineRule="auto"/>
        <w:ind w:firstLine="720"/>
        <w:jc w:val="both"/>
        <w:rPr>
          <w:rFonts w:ascii="Garamond" w:hAnsi="Garamond" w:cstheme="minorHAnsi"/>
          <w:sz w:val="24"/>
          <w:szCs w:val="24"/>
        </w:rPr>
      </w:pP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goes on develop a middle position. First, he states that in western societies we are in fact more isolated and independent than at any earlier period in history. He argues that social, marital, geographical, and political mobility, as social facts, map onto the liberal conception of autonomy and choice. </w:t>
      </w:r>
      <w:r w:rsidR="008F0AC1" w:rsidRPr="00461D74">
        <w:rPr>
          <w:rFonts w:ascii="Garamond" w:hAnsi="Garamond" w:cstheme="minorHAnsi"/>
          <w:sz w:val="24"/>
          <w:szCs w:val="24"/>
        </w:rPr>
        <w:t>P</w:t>
      </w:r>
      <w:r w:rsidRPr="00461D74">
        <w:rPr>
          <w:rFonts w:ascii="Garamond" w:hAnsi="Garamond" w:cstheme="minorHAnsi"/>
          <w:sz w:val="24"/>
          <w:szCs w:val="24"/>
        </w:rPr>
        <w:t xml:space="preserve">ut differently, </w:t>
      </w:r>
      <w:r w:rsidRPr="00461D74">
        <w:rPr>
          <w:rFonts w:ascii="Garamond" w:hAnsi="Garamond" w:cstheme="minorHAnsi"/>
          <w:sz w:val="24"/>
          <w:szCs w:val="24"/>
        </w:rPr>
        <w:lastRenderedPageBreak/>
        <w:t>these social facts have as much to do with our current predicament than any</w:t>
      </w:r>
      <w:r w:rsidR="008F0AC1" w:rsidRPr="00461D74">
        <w:rPr>
          <w:rFonts w:ascii="Garamond" w:hAnsi="Garamond" w:cstheme="minorHAnsi"/>
          <w:sz w:val="24"/>
          <w:szCs w:val="24"/>
        </w:rPr>
        <w:t>thing</w:t>
      </w:r>
      <w:r w:rsidRPr="00461D74">
        <w:rPr>
          <w:rFonts w:ascii="Garamond" w:hAnsi="Garamond" w:cstheme="minorHAnsi"/>
          <w:sz w:val="24"/>
          <w:szCs w:val="24"/>
        </w:rPr>
        <w:t xml:space="preserve"> liberal political philosophy</w:t>
      </w:r>
      <w:r w:rsidR="008F0AC1" w:rsidRPr="00461D74">
        <w:rPr>
          <w:rFonts w:ascii="Garamond" w:hAnsi="Garamond" w:cstheme="minorHAnsi"/>
          <w:sz w:val="24"/>
          <w:szCs w:val="24"/>
        </w:rPr>
        <w:t xml:space="preserve"> could tell us. Therefore, liberal </w:t>
      </w:r>
      <w:r w:rsidRPr="00461D74">
        <w:rPr>
          <w:rFonts w:ascii="Garamond" w:hAnsi="Garamond" w:cstheme="minorHAnsi"/>
          <w:sz w:val="24"/>
          <w:szCs w:val="24"/>
        </w:rPr>
        <w:t>political philosophy is</w:t>
      </w:r>
      <w:r w:rsidR="008F0AC1" w:rsidRPr="00461D74">
        <w:rPr>
          <w:rFonts w:ascii="Garamond" w:hAnsi="Garamond" w:cstheme="minorHAnsi"/>
          <w:sz w:val="24"/>
          <w:szCs w:val="24"/>
        </w:rPr>
        <w:t>,</w:t>
      </w:r>
      <w:r w:rsidRPr="00461D74">
        <w:rPr>
          <w:rFonts w:ascii="Garamond" w:hAnsi="Garamond" w:cstheme="minorHAnsi"/>
          <w:sz w:val="24"/>
          <w:szCs w:val="24"/>
        </w:rPr>
        <w:t xml:space="preserve"> in </w:t>
      </w:r>
      <w:r w:rsidR="008F0AC1" w:rsidRPr="00461D74">
        <w:rPr>
          <w:rFonts w:ascii="Garamond" w:hAnsi="Garamond" w:cstheme="minorHAnsi"/>
          <w:sz w:val="24"/>
          <w:szCs w:val="24"/>
        </w:rPr>
        <w:t>a certain sense</w:t>
      </w:r>
      <w:r w:rsidRPr="00461D74">
        <w:rPr>
          <w:rFonts w:ascii="Garamond" w:hAnsi="Garamond" w:cstheme="minorHAnsi"/>
          <w:sz w:val="24"/>
          <w:szCs w:val="24"/>
        </w:rPr>
        <w:t xml:space="preserve">, a </w:t>
      </w:r>
      <w:r w:rsidR="008F0AC1" w:rsidRPr="00461D74">
        <w:rPr>
          <w:rFonts w:ascii="Garamond" w:hAnsi="Garamond" w:cstheme="minorHAnsi"/>
          <w:sz w:val="24"/>
          <w:szCs w:val="24"/>
        </w:rPr>
        <w:t xml:space="preserve">theoretical </w:t>
      </w:r>
      <w:r w:rsidRPr="00461D74">
        <w:rPr>
          <w:rFonts w:ascii="Garamond" w:hAnsi="Garamond" w:cstheme="minorHAnsi"/>
          <w:sz w:val="24"/>
          <w:szCs w:val="24"/>
        </w:rPr>
        <w:t>expression of contemporary social facts.</w:t>
      </w:r>
      <w:r w:rsidRPr="00461D74">
        <w:rPr>
          <w:rStyle w:val="FootnoteReference"/>
          <w:rFonts w:ascii="Garamond" w:hAnsi="Garamond" w:cstheme="minorHAnsi"/>
          <w:sz w:val="24"/>
          <w:szCs w:val="24"/>
        </w:rPr>
        <w:footnoteReference w:id="429"/>
      </w:r>
      <w:r w:rsidRPr="00461D74">
        <w:rPr>
          <w:rFonts w:ascii="Garamond" w:hAnsi="Garamond" w:cstheme="minorHAnsi"/>
          <w:sz w:val="24"/>
          <w:szCs w:val="24"/>
        </w:rPr>
        <w:t xml:space="preserve"> </w:t>
      </w:r>
      <w:r w:rsidR="008F0AC1" w:rsidRPr="00461D74">
        <w:rPr>
          <w:rFonts w:ascii="Garamond" w:hAnsi="Garamond" w:cstheme="minorHAnsi"/>
          <w:sz w:val="24"/>
          <w:szCs w:val="24"/>
        </w:rPr>
        <w:t>Nevertheless</w:t>
      </w:r>
      <w:r w:rsidRPr="00461D74">
        <w:rPr>
          <w:rFonts w:ascii="Garamond" w:hAnsi="Garamond" w:cstheme="minorHAnsi"/>
          <w:sz w:val="24"/>
          <w:szCs w:val="24"/>
        </w:rPr>
        <w:t xml:space="preserve">, this does not mean that we are </w:t>
      </w:r>
      <w:r w:rsidR="008F0AC1" w:rsidRPr="00461D74">
        <w:rPr>
          <w:rFonts w:ascii="Garamond" w:hAnsi="Garamond" w:cstheme="minorHAnsi"/>
          <w:sz w:val="24"/>
          <w:szCs w:val="24"/>
        </w:rPr>
        <w:t xml:space="preserve">completely </w:t>
      </w:r>
      <w:r w:rsidRPr="00461D74">
        <w:rPr>
          <w:rFonts w:ascii="Garamond" w:hAnsi="Garamond" w:cstheme="minorHAnsi"/>
          <w:sz w:val="24"/>
          <w:szCs w:val="24"/>
        </w:rPr>
        <w:t xml:space="preserve">isolated </w:t>
      </w:r>
      <w:r w:rsidR="00897A32" w:rsidRPr="00461D74">
        <w:rPr>
          <w:rFonts w:ascii="Garamond" w:hAnsi="Garamond" w:cstheme="minorHAnsi"/>
          <w:sz w:val="24"/>
          <w:szCs w:val="24"/>
        </w:rPr>
        <w:t xml:space="preserve">unencumbered </w:t>
      </w:r>
      <w:r w:rsidRPr="00461D74">
        <w:rPr>
          <w:rFonts w:ascii="Garamond" w:hAnsi="Garamond" w:cstheme="minorHAnsi"/>
          <w:sz w:val="24"/>
          <w:szCs w:val="24"/>
        </w:rPr>
        <w:t xml:space="preserve">individuals. We are still social creatures tied to our familial and communal bonds. While the contemporary westerner </w:t>
      </w:r>
      <w:r w:rsidR="00897A32" w:rsidRPr="00461D74">
        <w:rPr>
          <w:rFonts w:ascii="Garamond" w:hAnsi="Garamond" w:cstheme="minorHAnsi"/>
          <w:sz w:val="24"/>
          <w:szCs w:val="24"/>
        </w:rPr>
        <w:t xml:space="preserve">ought to </w:t>
      </w:r>
      <w:r w:rsidRPr="00461D74">
        <w:rPr>
          <w:rFonts w:ascii="Garamond" w:hAnsi="Garamond" w:cstheme="minorHAnsi"/>
          <w:sz w:val="24"/>
          <w:szCs w:val="24"/>
        </w:rPr>
        <w:t xml:space="preserve">be viewed as more independent than other individuals in earlier historical periods, </w:t>
      </w:r>
      <w:r w:rsidR="00897A32" w:rsidRPr="00461D74">
        <w:rPr>
          <w:rFonts w:ascii="Garamond" w:hAnsi="Garamond" w:cstheme="minorHAnsi"/>
          <w:sz w:val="24"/>
          <w:szCs w:val="24"/>
        </w:rPr>
        <w:t xml:space="preserve">her life </w:t>
      </w:r>
      <w:r w:rsidRPr="00461D74">
        <w:rPr>
          <w:rFonts w:ascii="Garamond" w:hAnsi="Garamond" w:cstheme="minorHAnsi"/>
          <w:sz w:val="24"/>
          <w:szCs w:val="24"/>
        </w:rPr>
        <w:t xml:space="preserve">is </w:t>
      </w:r>
      <w:r w:rsidR="00897A32" w:rsidRPr="00461D74">
        <w:rPr>
          <w:rFonts w:ascii="Garamond" w:hAnsi="Garamond" w:cstheme="minorHAnsi"/>
          <w:sz w:val="24"/>
          <w:szCs w:val="24"/>
        </w:rPr>
        <w:t>made meaningful through the</w:t>
      </w:r>
      <w:r w:rsidRPr="00461D74">
        <w:rPr>
          <w:rFonts w:ascii="Garamond" w:hAnsi="Garamond" w:cstheme="minorHAnsi"/>
          <w:sz w:val="24"/>
          <w:szCs w:val="24"/>
        </w:rPr>
        <w:t xml:space="preserve"> </w:t>
      </w:r>
      <w:r w:rsidR="00897A32" w:rsidRPr="00461D74">
        <w:rPr>
          <w:rFonts w:ascii="Garamond" w:hAnsi="Garamond" w:cstheme="minorHAnsi"/>
          <w:sz w:val="24"/>
          <w:szCs w:val="24"/>
        </w:rPr>
        <w:t xml:space="preserve">development of </w:t>
      </w:r>
      <w:r w:rsidR="001F5A77">
        <w:rPr>
          <w:rFonts w:ascii="Garamond" w:hAnsi="Garamond" w:cstheme="minorHAnsi"/>
          <w:sz w:val="24"/>
          <w:szCs w:val="24"/>
        </w:rPr>
        <w:t xml:space="preserve">a range of familial and communal </w:t>
      </w:r>
      <w:r w:rsidR="00897A32" w:rsidRPr="00461D74">
        <w:rPr>
          <w:rFonts w:ascii="Garamond" w:hAnsi="Garamond" w:cstheme="minorHAnsi"/>
          <w:sz w:val="24"/>
          <w:szCs w:val="24"/>
        </w:rPr>
        <w:t>(social) bonds</w:t>
      </w:r>
      <w:r w:rsidRPr="00461D74">
        <w:rPr>
          <w:rFonts w:ascii="Garamond" w:hAnsi="Garamond" w:cstheme="minorHAnsi"/>
          <w:sz w:val="24"/>
          <w:szCs w:val="24"/>
        </w:rPr>
        <w:t>.</w:t>
      </w:r>
      <w:r w:rsidR="00897A32" w:rsidRPr="00461D74">
        <w:rPr>
          <w:rFonts w:ascii="Garamond" w:hAnsi="Garamond" w:cstheme="minorHAnsi"/>
          <w:sz w:val="24"/>
          <w:szCs w:val="24"/>
        </w:rPr>
        <w:t xml:space="preserve"> Therefore, individuals in liberal societies experience social </w:t>
      </w:r>
      <w:r w:rsidRPr="00461D74">
        <w:rPr>
          <w:rFonts w:ascii="Garamond" w:hAnsi="Garamond" w:cstheme="minorHAnsi"/>
          <w:sz w:val="24"/>
          <w:szCs w:val="24"/>
        </w:rPr>
        <w:t xml:space="preserve">phenomena in </w:t>
      </w:r>
      <w:r w:rsidR="00897A32" w:rsidRPr="00461D74">
        <w:rPr>
          <w:rFonts w:ascii="Garamond" w:hAnsi="Garamond" w:cstheme="minorHAnsi"/>
          <w:sz w:val="24"/>
          <w:szCs w:val="24"/>
        </w:rPr>
        <w:t>both dissociative and associative ways</w:t>
      </w:r>
      <w:r w:rsidR="007564D6">
        <w:rPr>
          <w:rFonts w:ascii="Garamond" w:hAnsi="Garamond" w:cstheme="minorHAnsi"/>
          <w:sz w:val="24"/>
          <w:szCs w:val="24"/>
        </w:rPr>
        <w:t>. Now</w:t>
      </w:r>
      <w:r w:rsidR="00D05912" w:rsidRPr="00461D74">
        <w:rPr>
          <w:rFonts w:ascii="Garamond" w:hAnsi="Garamond" w:cstheme="minorHAnsi"/>
          <w:sz w:val="24"/>
          <w:szCs w:val="24"/>
        </w:rPr>
        <w:t>,</w:t>
      </w:r>
      <w:r w:rsidR="00897A32"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w:t>
      </w:r>
      <w:r w:rsidR="00D05912" w:rsidRPr="00461D74">
        <w:rPr>
          <w:rFonts w:ascii="Garamond" w:hAnsi="Garamond" w:cstheme="minorHAnsi"/>
          <w:sz w:val="24"/>
          <w:szCs w:val="24"/>
        </w:rPr>
        <w:t xml:space="preserve">argues </w:t>
      </w:r>
      <w:r w:rsidRPr="00461D74">
        <w:rPr>
          <w:rFonts w:ascii="Garamond" w:hAnsi="Garamond" w:cstheme="minorHAnsi"/>
          <w:sz w:val="24"/>
          <w:szCs w:val="24"/>
        </w:rPr>
        <w:t xml:space="preserve">that </w:t>
      </w:r>
      <w:r w:rsidR="00D05912" w:rsidRPr="00461D74">
        <w:rPr>
          <w:rFonts w:ascii="Garamond" w:hAnsi="Garamond" w:cstheme="minorHAnsi"/>
          <w:sz w:val="24"/>
          <w:szCs w:val="24"/>
        </w:rPr>
        <w:t xml:space="preserve">in order for </w:t>
      </w:r>
      <w:r w:rsidRPr="00461D74">
        <w:rPr>
          <w:rFonts w:ascii="Garamond" w:hAnsi="Garamond" w:cstheme="minorHAnsi"/>
          <w:sz w:val="24"/>
          <w:szCs w:val="24"/>
        </w:rPr>
        <w:t>liberal politics</w:t>
      </w:r>
      <w:r w:rsidR="00D05912" w:rsidRPr="00461D74">
        <w:rPr>
          <w:rFonts w:ascii="Garamond" w:hAnsi="Garamond" w:cstheme="minorHAnsi"/>
          <w:sz w:val="24"/>
          <w:szCs w:val="24"/>
        </w:rPr>
        <w:t xml:space="preserve"> to be effective, it has to</w:t>
      </w:r>
      <w:r w:rsidRPr="00461D74">
        <w:rPr>
          <w:rFonts w:ascii="Garamond" w:hAnsi="Garamond" w:cstheme="minorHAnsi"/>
          <w:sz w:val="24"/>
          <w:szCs w:val="24"/>
        </w:rPr>
        <w:t xml:space="preserve"> manage the dissociative and associative tendencies of the liberal state in a way that provides for a diverse range of fully voluntary associations (dissociative), </w:t>
      </w:r>
      <w:r w:rsidR="001F5A77">
        <w:rPr>
          <w:rFonts w:ascii="Garamond" w:hAnsi="Garamond" w:cstheme="minorHAnsi"/>
          <w:sz w:val="24"/>
          <w:szCs w:val="24"/>
        </w:rPr>
        <w:t>while simultaneously we ought to offset the dissociative tendencies</w:t>
      </w:r>
      <w:r w:rsidR="001F5A77" w:rsidRPr="00461D74">
        <w:rPr>
          <w:rFonts w:ascii="Garamond" w:hAnsi="Garamond" w:cstheme="minorHAnsi"/>
          <w:sz w:val="24"/>
          <w:szCs w:val="24"/>
        </w:rPr>
        <w:t xml:space="preserve"> </w:t>
      </w:r>
      <w:r w:rsidR="001F5A77">
        <w:rPr>
          <w:rFonts w:ascii="Garamond" w:hAnsi="Garamond" w:cstheme="minorHAnsi"/>
          <w:sz w:val="24"/>
          <w:szCs w:val="24"/>
        </w:rPr>
        <w:t xml:space="preserve">so that we do not subject </w:t>
      </w:r>
      <w:r w:rsidRPr="00461D74">
        <w:rPr>
          <w:rFonts w:ascii="Garamond" w:hAnsi="Garamond" w:cstheme="minorHAnsi"/>
          <w:sz w:val="24"/>
          <w:szCs w:val="24"/>
        </w:rPr>
        <w:t xml:space="preserve">all </w:t>
      </w:r>
      <w:r w:rsidR="001F5A77">
        <w:rPr>
          <w:rFonts w:ascii="Garamond" w:hAnsi="Garamond" w:cstheme="minorHAnsi"/>
          <w:sz w:val="24"/>
          <w:szCs w:val="24"/>
        </w:rPr>
        <w:t xml:space="preserve">of </w:t>
      </w:r>
      <w:r w:rsidRPr="00461D74">
        <w:rPr>
          <w:rFonts w:ascii="Garamond" w:hAnsi="Garamond" w:cstheme="minorHAnsi"/>
          <w:sz w:val="24"/>
          <w:szCs w:val="24"/>
        </w:rPr>
        <w:t>our relationships to frequent instability (associative).</w:t>
      </w:r>
      <w:r w:rsidRPr="00461D74">
        <w:rPr>
          <w:rStyle w:val="FootnoteReference"/>
          <w:rFonts w:ascii="Garamond" w:hAnsi="Garamond" w:cstheme="minorHAnsi"/>
          <w:sz w:val="24"/>
          <w:szCs w:val="24"/>
        </w:rPr>
        <w:footnoteReference w:id="430"/>
      </w:r>
    </w:p>
    <w:p w:rsidR="00665157" w:rsidRDefault="00016049">
      <w:pPr>
        <w:spacing w:line="360" w:lineRule="auto"/>
        <w:ind w:firstLine="720"/>
        <w:jc w:val="both"/>
        <w:rPr>
          <w:rFonts w:ascii="Garamond" w:hAnsi="Garamond" w:cstheme="minorHAnsi"/>
          <w:sz w:val="24"/>
          <w:szCs w:val="24"/>
        </w:rPr>
      </w:pPr>
      <w:proofErr w:type="spellStart"/>
      <w:r w:rsidRPr="00461D74">
        <w:rPr>
          <w:rFonts w:ascii="Garamond" w:hAnsi="Garamond" w:cstheme="minorHAnsi"/>
          <w:sz w:val="24"/>
          <w:szCs w:val="24"/>
        </w:rPr>
        <w:t>Walzer</w:t>
      </w:r>
      <w:proofErr w:type="spellEnd"/>
      <w:r w:rsidR="00020AE2" w:rsidRPr="00461D74">
        <w:rPr>
          <w:rFonts w:ascii="Garamond" w:hAnsi="Garamond" w:cstheme="minorHAnsi"/>
          <w:sz w:val="24"/>
          <w:szCs w:val="24"/>
        </w:rPr>
        <w:t xml:space="preserve"> therefore</w:t>
      </w:r>
      <w:r w:rsidRPr="00461D74">
        <w:rPr>
          <w:rFonts w:ascii="Garamond" w:hAnsi="Garamond" w:cstheme="minorHAnsi"/>
          <w:sz w:val="24"/>
          <w:szCs w:val="24"/>
        </w:rPr>
        <w:t xml:space="preserve"> agree</w:t>
      </w:r>
      <w:r w:rsidR="00020AE2" w:rsidRPr="00461D74">
        <w:rPr>
          <w:rFonts w:ascii="Garamond" w:hAnsi="Garamond" w:cstheme="minorHAnsi"/>
          <w:sz w:val="24"/>
          <w:szCs w:val="24"/>
        </w:rPr>
        <w:t>s</w:t>
      </w:r>
      <w:r w:rsidRPr="00461D74">
        <w:rPr>
          <w:rFonts w:ascii="Garamond" w:hAnsi="Garamond" w:cstheme="minorHAnsi"/>
          <w:sz w:val="24"/>
          <w:szCs w:val="24"/>
        </w:rPr>
        <w:t xml:space="preserve"> with </w:t>
      </w:r>
      <w:r w:rsidR="00020AE2" w:rsidRPr="00461D74">
        <w:rPr>
          <w:rFonts w:ascii="Garamond" w:hAnsi="Garamond" w:cstheme="minorHAnsi"/>
          <w:sz w:val="24"/>
          <w:szCs w:val="24"/>
        </w:rPr>
        <w:t xml:space="preserve">both </w:t>
      </w:r>
      <w:r w:rsidRPr="00461D74">
        <w:rPr>
          <w:rFonts w:ascii="Garamond" w:hAnsi="Garamond" w:cstheme="minorHAnsi"/>
          <w:sz w:val="24"/>
          <w:szCs w:val="24"/>
        </w:rPr>
        <w:t xml:space="preserve">Murphy </w:t>
      </w:r>
      <w:r w:rsidR="00020AE2" w:rsidRPr="00461D74">
        <w:rPr>
          <w:rFonts w:ascii="Garamond" w:hAnsi="Garamond" w:cstheme="minorHAnsi"/>
          <w:sz w:val="24"/>
          <w:szCs w:val="24"/>
        </w:rPr>
        <w:t xml:space="preserve">and MacIntyre </w:t>
      </w:r>
      <w:r w:rsidRPr="00461D74">
        <w:rPr>
          <w:rFonts w:ascii="Garamond" w:hAnsi="Garamond" w:cstheme="minorHAnsi"/>
          <w:sz w:val="24"/>
          <w:szCs w:val="24"/>
        </w:rPr>
        <w:t>that the liberal state is inevitable</w:t>
      </w:r>
      <w:r w:rsidR="00020AE2" w:rsidRPr="00461D74">
        <w:rPr>
          <w:rFonts w:ascii="Garamond" w:hAnsi="Garamond" w:cstheme="minorHAnsi"/>
          <w:sz w:val="24"/>
          <w:szCs w:val="24"/>
        </w:rPr>
        <w:t xml:space="preserve">; he </w:t>
      </w:r>
      <w:r w:rsidR="004E6DDE">
        <w:rPr>
          <w:rFonts w:ascii="Garamond" w:hAnsi="Garamond" w:cstheme="minorHAnsi"/>
          <w:sz w:val="24"/>
          <w:szCs w:val="24"/>
        </w:rPr>
        <w:t xml:space="preserve">nevertheless </w:t>
      </w:r>
      <w:r w:rsidR="00020AE2" w:rsidRPr="00461D74">
        <w:rPr>
          <w:rFonts w:ascii="Garamond" w:hAnsi="Garamond" w:cstheme="minorHAnsi"/>
          <w:sz w:val="24"/>
          <w:szCs w:val="24"/>
        </w:rPr>
        <w:t xml:space="preserve">does not follow MacIntyre </w:t>
      </w:r>
      <w:r w:rsidR="004E6DDE">
        <w:rPr>
          <w:rFonts w:ascii="Garamond" w:hAnsi="Garamond" w:cstheme="minorHAnsi"/>
          <w:sz w:val="24"/>
          <w:szCs w:val="24"/>
        </w:rPr>
        <w:t>and</w:t>
      </w:r>
      <w:r w:rsidR="004E6DDE" w:rsidRPr="00461D74">
        <w:rPr>
          <w:rFonts w:ascii="Garamond" w:hAnsi="Garamond" w:cstheme="minorHAnsi"/>
          <w:sz w:val="24"/>
          <w:szCs w:val="24"/>
        </w:rPr>
        <w:t xml:space="preserve"> </w:t>
      </w:r>
      <w:r w:rsidR="00020AE2" w:rsidRPr="00461D74">
        <w:rPr>
          <w:rFonts w:ascii="Garamond" w:hAnsi="Garamond" w:cstheme="minorHAnsi"/>
          <w:sz w:val="24"/>
          <w:szCs w:val="24"/>
        </w:rPr>
        <w:t>abandon all hope for devising an alternative critical (liberal) politics</w:t>
      </w:r>
      <w:r w:rsidR="005A6F26" w:rsidRPr="00461D74">
        <w:rPr>
          <w:rFonts w:ascii="Garamond" w:hAnsi="Garamond" w:cstheme="minorHAnsi"/>
          <w:sz w:val="24"/>
          <w:szCs w:val="24"/>
        </w:rPr>
        <w:t>.</w:t>
      </w:r>
      <w:r w:rsidR="00020AE2" w:rsidRPr="00461D74">
        <w:rPr>
          <w:rFonts w:ascii="Garamond" w:hAnsi="Garamond" w:cstheme="minorHAnsi"/>
          <w:sz w:val="24"/>
          <w:szCs w:val="24"/>
        </w:rPr>
        <w:t xml:space="preserve"> </w:t>
      </w:r>
      <w:r w:rsidRPr="00461D74">
        <w:rPr>
          <w:rFonts w:ascii="Garamond" w:hAnsi="Garamond" w:cstheme="minorHAnsi"/>
          <w:sz w:val="24"/>
          <w:szCs w:val="24"/>
        </w:rPr>
        <w:t>Here, we can view the dissociative tendencies to be a result of our contemporary social facts. Hence, procedural liberalism may be the best way of dealing with these facts under conditions of fairness</w:t>
      </w:r>
      <w:r w:rsidR="00020AE2" w:rsidRPr="00461D74">
        <w:rPr>
          <w:rFonts w:ascii="Garamond" w:hAnsi="Garamond" w:cstheme="minorHAnsi"/>
          <w:sz w:val="24"/>
          <w:szCs w:val="24"/>
        </w:rPr>
        <w:t xml:space="preserve"> and non-discrimination</w:t>
      </w:r>
      <w:r w:rsidRPr="00461D74">
        <w:rPr>
          <w:rFonts w:ascii="Garamond" w:hAnsi="Garamond" w:cstheme="minorHAnsi"/>
          <w:sz w:val="24"/>
          <w:szCs w:val="24"/>
        </w:rPr>
        <w:t xml:space="preserve">. </w:t>
      </w:r>
      <w:r w:rsidR="006F69BF">
        <w:rPr>
          <w:rFonts w:ascii="Garamond" w:hAnsi="Garamond" w:cstheme="minorHAnsi"/>
          <w:sz w:val="24"/>
          <w:szCs w:val="24"/>
        </w:rPr>
        <w:t>Still</w:t>
      </w:r>
      <w:r w:rsidRPr="00461D74">
        <w:rPr>
          <w:rFonts w:ascii="Garamond" w:hAnsi="Garamond" w:cstheme="minorHAnsi"/>
          <w:sz w:val="24"/>
          <w:szCs w:val="24"/>
        </w:rPr>
        <w:t>, we can remedy at least some of the more negative dissociative tendencies</w:t>
      </w:r>
      <w:r w:rsidR="00AA444D" w:rsidRPr="00461D74">
        <w:rPr>
          <w:rFonts w:ascii="Garamond" w:hAnsi="Garamond" w:cstheme="minorHAnsi"/>
          <w:sz w:val="24"/>
          <w:szCs w:val="24"/>
        </w:rPr>
        <w:t>,</w:t>
      </w:r>
      <w:r w:rsidRPr="00461D74">
        <w:rPr>
          <w:rFonts w:ascii="Garamond" w:hAnsi="Garamond" w:cstheme="minorHAnsi"/>
          <w:sz w:val="24"/>
          <w:szCs w:val="24"/>
        </w:rPr>
        <w:t xml:space="preserve"> </w:t>
      </w:r>
      <w:r w:rsidR="00AA444D" w:rsidRPr="00461D74">
        <w:rPr>
          <w:rFonts w:ascii="Garamond" w:hAnsi="Garamond" w:cstheme="minorHAnsi"/>
          <w:sz w:val="24"/>
          <w:szCs w:val="24"/>
        </w:rPr>
        <w:t xml:space="preserve">by </w:t>
      </w:r>
      <w:r w:rsidRPr="00461D74">
        <w:rPr>
          <w:rFonts w:ascii="Garamond" w:hAnsi="Garamond" w:cstheme="minorHAnsi"/>
          <w:sz w:val="24"/>
          <w:szCs w:val="24"/>
        </w:rPr>
        <w:t>prioritiz</w:t>
      </w:r>
      <w:r w:rsidR="00AA444D" w:rsidRPr="00461D74">
        <w:rPr>
          <w:rFonts w:ascii="Garamond" w:hAnsi="Garamond" w:cstheme="minorHAnsi"/>
          <w:sz w:val="24"/>
          <w:szCs w:val="24"/>
        </w:rPr>
        <w:t>ing</w:t>
      </w:r>
      <w:r w:rsidRPr="00461D74">
        <w:rPr>
          <w:rFonts w:ascii="Garamond" w:hAnsi="Garamond" w:cstheme="minorHAnsi"/>
          <w:sz w:val="24"/>
          <w:szCs w:val="24"/>
        </w:rPr>
        <w:t xml:space="preserve"> particular conceptions of the good in </w:t>
      </w:r>
      <w:r w:rsidR="00AA444D" w:rsidRPr="00461D74">
        <w:rPr>
          <w:rFonts w:ascii="Garamond" w:hAnsi="Garamond" w:cstheme="minorHAnsi"/>
          <w:sz w:val="24"/>
          <w:szCs w:val="24"/>
        </w:rPr>
        <w:t xml:space="preserve">order to </w:t>
      </w:r>
      <w:r w:rsidRPr="00461D74">
        <w:rPr>
          <w:rFonts w:ascii="Garamond" w:hAnsi="Garamond" w:cstheme="minorHAnsi"/>
          <w:sz w:val="24"/>
          <w:szCs w:val="24"/>
        </w:rPr>
        <w:t xml:space="preserve">enhance associative </w:t>
      </w:r>
      <w:r w:rsidR="00AA444D" w:rsidRPr="00461D74">
        <w:rPr>
          <w:rFonts w:ascii="Garamond" w:hAnsi="Garamond" w:cstheme="minorHAnsi"/>
          <w:sz w:val="24"/>
          <w:szCs w:val="24"/>
        </w:rPr>
        <w:t>bonds</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Before </w:t>
      </w:r>
      <w:r w:rsidR="00397141">
        <w:rPr>
          <w:rFonts w:ascii="Garamond" w:hAnsi="Garamond" w:cstheme="minorHAnsi"/>
          <w:sz w:val="24"/>
          <w:szCs w:val="24"/>
        </w:rPr>
        <w:t>considering and then highlighting</w:t>
      </w:r>
      <w:r w:rsidRPr="00461D74">
        <w:rPr>
          <w:rFonts w:ascii="Garamond" w:hAnsi="Garamond" w:cstheme="minorHAnsi"/>
          <w:sz w:val="24"/>
          <w:szCs w:val="24"/>
        </w:rPr>
        <w:t xml:space="preserve"> </w:t>
      </w:r>
      <w:r w:rsidR="004D3A89">
        <w:rPr>
          <w:rFonts w:ascii="Garamond" w:hAnsi="Garamond" w:cstheme="minorHAnsi"/>
          <w:sz w:val="24"/>
          <w:szCs w:val="24"/>
        </w:rPr>
        <w:t>th</w:t>
      </w:r>
      <w:r w:rsidR="00397141">
        <w:rPr>
          <w:rFonts w:ascii="Garamond" w:hAnsi="Garamond" w:cstheme="minorHAnsi"/>
          <w:sz w:val="24"/>
          <w:szCs w:val="24"/>
        </w:rPr>
        <w:t xml:space="preserve">e strength of the </w:t>
      </w:r>
      <w:r w:rsidRPr="00461D74">
        <w:rPr>
          <w:rFonts w:ascii="Garamond" w:hAnsi="Garamond" w:cstheme="minorHAnsi"/>
          <w:sz w:val="24"/>
          <w:szCs w:val="24"/>
        </w:rPr>
        <w:t>Dewey</w:t>
      </w:r>
      <w:r w:rsidR="00397141">
        <w:rPr>
          <w:rFonts w:ascii="Garamond" w:hAnsi="Garamond" w:cstheme="minorHAnsi"/>
          <w:sz w:val="24"/>
          <w:szCs w:val="24"/>
        </w:rPr>
        <w:t>an</w:t>
      </w:r>
      <w:r w:rsidRPr="00461D74">
        <w:rPr>
          <w:rFonts w:ascii="Garamond" w:hAnsi="Garamond" w:cstheme="minorHAnsi"/>
          <w:sz w:val="24"/>
          <w:szCs w:val="24"/>
        </w:rPr>
        <w:t xml:space="preserve"> account </w:t>
      </w:r>
      <w:r w:rsidR="00397141">
        <w:rPr>
          <w:rFonts w:ascii="Garamond" w:hAnsi="Garamond" w:cstheme="minorHAnsi"/>
          <w:sz w:val="24"/>
          <w:szCs w:val="24"/>
        </w:rPr>
        <w:t>for</w:t>
      </w:r>
      <w:r w:rsidR="00397141" w:rsidRPr="00461D74">
        <w:rPr>
          <w:rFonts w:ascii="Garamond" w:hAnsi="Garamond" w:cstheme="minorHAnsi"/>
          <w:sz w:val="24"/>
          <w:szCs w:val="24"/>
        </w:rPr>
        <w:t xml:space="preserve"> </w:t>
      </w:r>
      <w:r w:rsidR="00823F25" w:rsidRPr="00461D74">
        <w:rPr>
          <w:rFonts w:ascii="Garamond" w:hAnsi="Garamond" w:cstheme="minorHAnsi"/>
          <w:sz w:val="24"/>
          <w:szCs w:val="24"/>
        </w:rPr>
        <w:t>address</w:t>
      </w:r>
      <w:r w:rsidR="00397141">
        <w:rPr>
          <w:rFonts w:ascii="Garamond" w:hAnsi="Garamond" w:cstheme="minorHAnsi"/>
          <w:sz w:val="24"/>
          <w:szCs w:val="24"/>
        </w:rPr>
        <w:t>ing</w:t>
      </w:r>
      <w:r w:rsidR="00823F25" w:rsidRPr="00461D74">
        <w:rPr>
          <w:rFonts w:ascii="Garamond" w:hAnsi="Garamond" w:cstheme="minorHAnsi"/>
          <w:sz w:val="24"/>
          <w:szCs w:val="24"/>
        </w:rPr>
        <w:t xml:space="preserve"> the worries associated with </w:t>
      </w:r>
      <w:r w:rsidRPr="00461D74">
        <w:rPr>
          <w:rFonts w:ascii="Garamond" w:hAnsi="Garamond" w:cstheme="minorHAnsi"/>
          <w:sz w:val="24"/>
          <w:szCs w:val="24"/>
        </w:rPr>
        <w:t xml:space="preserve">MacIntyre’s account of politics, </w:t>
      </w:r>
      <w:r w:rsidRPr="00461D74">
        <w:rPr>
          <w:rFonts w:ascii="Garamond" w:hAnsi="Garamond" w:cstheme="minorHAnsi"/>
          <w:sz w:val="24"/>
          <w:szCs w:val="24"/>
        </w:rPr>
        <w:lastRenderedPageBreak/>
        <w:t xml:space="preserve">I will first show how Dewey’s </w:t>
      </w:r>
      <w:r w:rsidR="00823F25" w:rsidRPr="00461D74">
        <w:rPr>
          <w:rFonts w:ascii="Garamond" w:hAnsi="Garamond" w:cstheme="minorHAnsi"/>
          <w:sz w:val="24"/>
          <w:szCs w:val="24"/>
        </w:rPr>
        <w:t>account is able to address</w:t>
      </w:r>
      <w:r w:rsidRPr="00461D74">
        <w:rPr>
          <w:rFonts w:ascii="Garamond" w:hAnsi="Garamond" w:cstheme="minorHAnsi"/>
          <w:sz w:val="24"/>
          <w:szCs w:val="24"/>
        </w:rPr>
        <w:t xml:space="preserve"> a </w:t>
      </w:r>
      <w:r w:rsidR="00823F25" w:rsidRPr="00461D74">
        <w:rPr>
          <w:rFonts w:ascii="Garamond" w:hAnsi="Garamond" w:cstheme="minorHAnsi"/>
          <w:sz w:val="24"/>
          <w:szCs w:val="24"/>
        </w:rPr>
        <w:t>principal criticism raised by MacIntyre</w:t>
      </w:r>
      <w:r w:rsidR="00AA444D" w:rsidRPr="00461D74">
        <w:rPr>
          <w:rFonts w:ascii="Garamond" w:hAnsi="Garamond" w:cstheme="minorHAnsi"/>
          <w:sz w:val="24"/>
          <w:szCs w:val="24"/>
        </w:rPr>
        <w:t xml:space="preserve"> </w:t>
      </w:r>
      <w:r w:rsidRPr="00461D74">
        <w:rPr>
          <w:rFonts w:ascii="Garamond" w:hAnsi="Garamond" w:cstheme="minorHAnsi"/>
          <w:sz w:val="24"/>
          <w:szCs w:val="24"/>
        </w:rPr>
        <w:t>against liberal</w:t>
      </w:r>
      <w:r w:rsidR="00AA444D" w:rsidRPr="00461D74">
        <w:rPr>
          <w:rFonts w:ascii="Garamond" w:hAnsi="Garamond" w:cstheme="minorHAnsi"/>
          <w:sz w:val="24"/>
          <w:szCs w:val="24"/>
        </w:rPr>
        <w:t xml:space="preserve"> </w:t>
      </w:r>
      <w:r w:rsidR="00823F25" w:rsidRPr="00461D74">
        <w:rPr>
          <w:rFonts w:ascii="Garamond" w:hAnsi="Garamond" w:cstheme="minorHAnsi"/>
          <w:sz w:val="24"/>
          <w:szCs w:val="24"/>
        </w:rPr>
        <w:t>politics</w:t>
      </w:r>
      <w:r w:rsidRPr="00461D74">
        <w:rPr>
          <w:rFonts w:ascii="Garamond" w:hAnsi="Garamond" w:cstheme="minorHAnsi"/>
          <w:sz w:val="24"/>
          <w:szCs w:val="24"/>
        </w:rPr>
        <w:t xml:space="preserve">. Recall </w:t>
      </w:r>
      <w:r w:rsidR="00AA444D" w:rsidRPr="00461D74">
        <w:rPr>
          <w:rFonts w:ascii="Garamond" w:hAnsi="Garamond" w:cstheme="minorHAnsi"/>
          <w:sz w:val="24"/>
          <w:szCs w:val="24"/>
        </w:rPr>
        <w:t xml:space="preserve">that </w:t>
      </w:r>
      <w:r w:rsidRPr="00461D74">
        <w:rPr>
          <w:rFonts w:ascii="Garamond" w:hAnsi="Garamond" w:cstheme="minorHAnsi"/>
          <w:sz w:val="24"/>
          <w:szCs w:val="24"/>
        </w:rPr>
        <w:t>MacIntyre challenges the liberal state</w:t>
      </w:r>
      <w:r w:rsidR="00AA444D" w:rsidRPr="00461D74">
        <w:rPr>
          <w:rFonts w:ascii="Garamond" w:hAnsi="Garamond" w:cstheme="minorHAnsi"/>
          <w:sz w:val="24"/>
          <w:szCs w:val="24"/>
        </w:rPr>
        <w:t xml:space="preserve"> since he argues that </w:t>
      </w:r>
      <w:r w:rsidR="00691A9D" w:rsidRPr="00461D74">
        <w:rPr>
          <w:rFonts w:ascii="Garamond" w:hAnsi="Garamond" w:cstheme="minorHAnsi"/>
          <w:sz w:val="24"/>
          <w:szCs w:val="24"/>
        </w:rPr>
        <w:t xml:space="preserve">the notion of public interest in </w:t>
      </w:r>
      <w:r w:rsidR="00AA444D" w:rsidRPr="00461D74">
        <w:rPr>
          <w:rFonts w:ascii="Garamond" w:hAnsi="Garamond" w:cstheme="minorHAnsi"/>
          <w:sz w:val="24"/>
          <w:szCs w:val="24"/>
        </w:rPr>
        <w:t xml:space="preserve">such a state fails to </w:t>
      </w:r>
      <w:r w:rsidR="00691A9D" w:rsidRPr="00461D74">
        <w:rPr>
          <w:rFonts w:ascii="Garamond" w:hAnsi="Garamond" w:cstheme="minorHAnsi"/>
          <w:sz w:val="24"/>
          <w:szCs w:val="24"/>
        </w:rPr>
        <w:t>show</w:t>
      </w:r>
      <w:r w:rsidR="00AA444D" w:rsidRPr="00461D74">
        <w:rPr>
          <w:rFonts w:ascii="Garamond" w:hAnsi="Garamond" w:cstheme="minorHAnsi"/>
          <w:sz w:val="24"/>
          <w:szCs w:val="24"/>
        </w:rPr>
        <w:t xml:space="preserve"> </w:t>
      </w:r>
      <w:r w:rsidR="00691A9D" w:rsidRPr="00461D74">
        <w:rPr>
          <w:rFonts w:ascii="Garamond" w:hAnsi="Garamond" w:cstheme="minorHAnsi"/>
          <w:sz w:val="24"/>
          <w:szCs w:val="24"/>
        </w:rPr>
        <w:t xml:space="preserve">why a person owes her </w:t>
      </w:r>
      <w:r w:rsidR="00AA444D" w:rsidRPr="00461D74">
        <w:rPr>
          <w:rFonts w:ascii="Garamond" w:hAnsi="Garamond" w:cstheme="minorHAnsi"/>
          <w:sz w:val="24"/>
          <w:szCs w:val="24"/>
        </w:rPr>
        <w:t xml:space="preserve">political </w:t>
      </w:r>
      <w:r w:rsidRPr="00461D74">
        <w:rPr>
          <w:rFonts w:ascii="Garamond" w:hAnsi="Garamond" w:cstheme="minorHAnsi"/>
          <w:sz w:val="24"/>
          <w:szCs w:val="24"/>
        </w:rPr>
        <w:t>allegiance</w:t>
      </w:r>
      <w:r w:rsidR="00691A9D" w:rsidRPr="00461D74">
        <w:rPr>
          <w:rFonts w:ascii="Garamond" w:hAnsi="Garamond" w:cstheme="minorHAnsi"/>
          <w:sz w:val="24"/>
          <w:szCs w:val="24"/>
        </w:rPr>
        <w:t xml:space="preserve"> to the state </w:t>
      </w:r>
      <w:r w:rsidR="00E07CCE" w:rsidRPr="00461D74">
        <w:rPr>
          <w:rFonts w:ascii="Garamond" w:hAnsi="Garamond" w:cstheme="minorHAnsi"/>
          <w:sz w:val="24"/>
          <w:szCs w:val="24"/>
        </w:rPr>
        <w:t xml:space="preserve">in </w:t>
      </w:r>
      <w:r w:rsidR="00691A9D" w:rsidRPr="00461D74">
        <w:rPr>
          <w:rFonts w:ascii="Garamond" w:hAnsi="Garamond" w:cstheme="minorHAnsi"/>
          <w:sz w:val="24"/>
          <w:szCs w:val="24"/>
        </w:rPr>
        <w:t xml:space="preserve">which they happen to reside. </w:t>
      </w:r>
      <w:r w:rsidR="00B57E6A" w:rsidRPr="00461D74">
        <w:rPr>
          <w:rFonts w:ascii="Garamond" w:hAnsi="Garamond" w:cstheme="minorHAnsi"/>
          <w:sz w:val="24"/>
          <w:szCs w:val="24"/>
        </w:rPr>
        <w:t>MacIntyre argued that in liberal politics,</w:t>
      </w:r>
      <w:r w:rsidR="00691A9D" w:rsidRPr="00461D74">
        <w:rPr>
          <w:rFonts w:ascii="Garamond" w:hAnsi="Garamond" w:cstheme="minorHAnsi"/>
          <w:sz w:val="24"/>
          <w:szCs w:val="24"/>
        </w:rPr>
        <w:t xml:space="preserve"> the concept</w:t>
      </w:r>
      <w:r w:rsidR="00B57E6A" w:rsidRPr="00461D74">
        <w:rPr>
          <w:rFonts w:ascii="Garamond" w:hAnsi="Garamond" w:cstheme="minorHAnsi"/>
          <w:sz w:val="24"/>
          <w:szCs w:val="24"/>
        </w:rPr>
        <w:t>s</w:t>
      </w:r>
      <w:r w:rsidR="00691A9D" w:rsidRPr="00461D74">
        <w:rPr>
          <w:rFonts w:ascii="Garamond" w:hAnsi="Garamond" w:cstheme="minorHAnsi"/>
          <w:sz w:val="24"/>
          <w:szCs w:val="24"/>
        </w:rPr>
        <w:t xml:space="preserve"> of </w:t>
      </w:r>
      <w:r w:rsidR="00B57E6A" w:rsidRPr="00461D74">
        <w:rPr>
          <w:rFonts w:ascii="Garamond" w:hAnsi="Garamond" w:cstheme="minorHAnsi"/>
          <w:sz w:val="24"/>
          <w:szCs w:val="24"/>
        </w:rPr>
        <w:t xml:space="preserve">public interest and </w:t>
      </w:r>
      <w:r w:rsidR="00691A9D" w:rsidRPr="00461D74">
        <w:rPr>
          <w:rFonts w:ascii="Garamond" w:hAnsi="Garamond" w:cstheme="minorHAnsi"/>
          <w:sz w:val="24"/>
          <w:szCs w:val="24"/>
        </w:rPr>
        <w:t>the individual’s good, are defined independently and therefore tend to come apart</w:t>
      </w:r>
      <w:r w:rsidR="00760E76">
        <w:rPr>
          <w:rFonts w:ascii="Garamond" w:hAnsi="Garamond" w:cstheme="minorHAnsi"/>
          <w:sz w:val="24"/>
          <w:szCs w:val="24"/>
        </w:rPr>
        <w:t>; hence</w:t>
      </w:r>
      <w:r w:rsidR="00691A9D" w:rsidRPr="00461D74">
        <w:rPr>
          <w:rFonts w:ascii="Garamond" w:hAnsi="Garamond" w:cstheme="minorHAnsi"/>
          <w:sz w:val="24"/>
          <w:szCs w:val="24"/>
        </w:rPr>
        <w:t xml:space="preserve">, </w:t>
      </w:r>
      <w:r w:rsidRPr="00461D74">
        <w:rPr>
          <w:rFonts w:ascii="Garamond" w:hAnsi="Garamond" w:cstheme="minorHAnsi"/>
          <w:sz w:val="24"/>
          <w:szCs w:val="24"/>
        </w:rPr>
        <w:t xml:space="preserve">it is not clear why </w:t>
      </w:r>
      <w:r w:rsidR="00691A9D" w:rsidRPr="00461D74">
        <w:rPr>
          <w:rFonts w:ascii="Garamond" w:hAnsi="Garamond" w:cstheme="minorHAnsi"/>
          <w:sz w:val="24"/>
          <w:szCs w:val="24"/>
        </w:rPr>
        <w:t>a person ought to</w:t>
      </w:r>
      <w:r w:rsidRPr="00461D74">
        <w:rPr>
          <w:rFonts w:ascii="Garamond" w:hAnsi="Garamond" w:cstheme="minorHAnsi"/>
          <w:sz w:val="24"/>
          <w:szCs w:val="24"/>
        </w:rPr>
        <w:t xml:space="preserve"> prioritize public interest over her own </w:t>
      </w:r>
      <w:r w:rsidR="009A033A">
        <w:rPr>
          <w:rFonts w:ascii="Garamond" w:hAnsi="Garamond" w:cstheme="minorHAnsi"/>
          <w:sz w:val="24"/>
          <w:szCs w:val="24"/>
        </w:rPr>
        <w:t xml:space="preserve">private </w:t>
      </w:r>
      <w:r w:rsidRPr="00461D74">
        <w:rPr>
          <w:rFonts w:ascii="Garamond" w:hAnsi="Garamond" w:cstheme="minorHAnsi"/>
          <w:sz w:val="24"/>
          <w:szCs w:val="24"/>
        </w:rPr>
        <w:t xml:space="preserve">interests </w:t>
      </w:r>
      <w:r w:rsidR="009A033A">
        <w:rPr>
          <w:rFonts w:ascii="Garamond" w:hAnsi="Garamond" w:cstheme="minorHAnsi"/>
          <w:sz w:val="24"/>
          <w:szCs w:val="24"/>
        </w:rPr>
        <w:t>and</w:t>
      </w:r>
      <w:r w:rsidR="009A033A" w:rsidRPr="00461D74">
        <w:rPr>
          <w:rFonts w:ascii="Garamond" w:hAnsi="Garamond" w:cstheme="minorHAnsi"/>
          <w:sz w:val="24"/>
          <w:szCs w:val="24"/>
        </w:rPr>
        <w:t xml:space="preserve"> </w:t>
      </w:r>
      <w:r w:rsidRPr="00461D74">
        <w:rPr>
          <w:rFonts w:ascii="Garamond" w:hAnsi="Garamond" w:cstheme="minorHAnsi"/>
          <w:sz w:val="24"/>
          <w:szCs w:val="24"/>
        </w:rPr>
        <w:t xml:space="preserve">preferences. </w:t>
      </w:r>
      <w:r w:rsidR="00691A9D" w:rsidRPr="00461D74">
        <w:rPr>
          <w:rFonts w:ascii="Garamond" w:hAnsi="Garamond" w:cstheme="minorHAnsi"/>
          <w:sz w:val="24"/>
          <w:szCs w:val="24"/>
        </w:rPr>
        <w:t>Recall that</w:t>
      </w:r>
      <w:r w:rsidRPr="00461D74">
        <w:rPr>
          <w:rFonts w:ascii="Garamond" w:hAnsi="Garamond" w:cstheme="minorHAnsi"/>
          <w:sz w:val="24"/>
          <w:szCs w:val="24"/>
        </w:rPr>
        <w:t xml:space="preserve"> the notion of public interest in the modern state is understood </w:t>
      </w:r>
      <w:r w:rsidR="009B6B7B" w:rsidRPr="00461D74">
        <w:rPr>
          <w:rFonts w:ascii="Garamond" w:hAnsi="Garamond" w:cstheme="minorHAnsi"/>
          <w:sz w:val="24"/>
          <w:szCs w:val="24"/>
        </w:rPr>
        <w:t xml:space="preserve">as those conditions that </w:t>
      </w:r>
      <w:r w:rsidR="009A033A">
        <w:rPr>
          <w:rFonts w:ascii="Garamond" w:hAnsi="Garamond" w:cstheme="minorHAnsi"/>
          <w:sz w:val="24"/>
          <w:szCs w:val="24"/>
        </w:rPr>
        <w:t xml:space="preserve">afford </w:t>
      </w:r>
      <w:r w:rsidR="009B6B7B" w:rsidRPr="00461D74">
        <w:rPr>
          <w:rFonts w:ascii="Garamond" w:hAnsi="Garamond" w:cstheme="minorHAnsi"/>
          <w:sz w:val="24"/>
          <w:szCs w:val="24"/>
        </w:rPr>
        <w:t xml:space="preserve">each individual </w:t>
      </w:r>
      <w:r w:rsidR="009A033A">
        <w:rPr>
          <w:rFonts w:ascii="Garamond" w:hAnsi="Garamond" w:cstheme="minorHAnsi"/>
          <w:sz w:val="24"/>
          <w:szCs w:val="24"/>
        </w:rPr>
        <w:t xml:space="preserve">the opportunity </w:t>
      </w:r>
      <w:r w:rsidR="009B6B7B" w:rsidRPr="00461D74">
        <w:rPr>
          <w:rFonts w:ascii="Garamond" w:hAnsi="Garamond" w:cstheme="minorHAnsi"/>
          <w:sz w:val="24"/>
          <w:szCs w:val="24"/>
        </w:rPr>
        <w:t xml:space="preserve">to pursue her own separate interests and desires. Here, an individual’s </w:t>
      </w:r>
      <w:r w:rsidR="009A033A">
        <w:rPr>
          <w:rFonts w:ascii="Garamond" w:hAnsi="Garamond" w:cstheme="minorHAnsi"/>
          <w:sz w:val="24"/>
          <w:szCs w:val="24"/>
        </w:rPr>
        <w:t xml:space="preserve">private </w:t>
      </w:r>
      <w:r w:rsidR="009B6B7B" w:rsidRPr="00461D74">
        <w:rPr>
          <w:rFonts w:ascii="Garamond" w:hAnsi="Garamond" w:cstheme="minorHAnsi"/>
          <w:sz w:val="24"/>
          <w:szCs w:val="24"/>
        </w:rPr>
        <w:t>interests and desires – namely, their good – is seen as separate from, and prior to, the concept of public interest.</w:t>
      </w:r>
      <w:r w:rsidR="00691A9D" w:rsidRPr="00461D74">
        <w:rPr>
          <w:rFonts w:ascii="Garamond" w:hAnsi="Garamond" w:cstheme="minorHAnsi"/>
          <w:sz w:val="24"/>
          <w:szCs w:val="24"/>
        </w:rPr>
        <w:t xml:space="preserve"> On the other hand</w:t>
      </w:r>
      <w:r w:rsidRPr="00461D74">
        <w:rPr>
          <w:rFonts w:ascii="Garamond" w:hAnsi="Garamond" w:cstheme="minorHAnsi"/>
          <w:sz w:val="24"/>
          <w:szCs w:val="24"/>
        </w:rPr>
        <w:t xml:space="preserve">, the common good </w:t>
      </w:r>
      <w:r w:rsidR="00365107" w:rsidRPr="00461D74">
        <w:rPr>
          <w:rFonts w:ascii="Garamond" w:hAnsi="Garamond" w:cstheme="minorHAnsi"/>
          <w:sz w:val="24"/>
          <w:szCs w:val="24"/>
        </w:rPr>
        <w:t xml:space="preserve">that is </w:t>
      </w:r>
      <w:r w:rsidR="009B6B7B" w:rsidRPr="00461D74">
        <w:rPr>
          <w:rFonts w:ascii="Garamond" w:hAnsi="Garamond" w:cstheme="minorHAnsi"/>
          <w:sz w:val="24"/>
          <w:szCs w:val="24"/>
        </w:rPr>
        <w:t>found in</w:t>
      </w:r>
      <w:r w:rsidR="00365107" w:rsidRPr="00461D74">
        <w:rPr>
          <w:rFonts w:ascii="Garamond" w:hAnsi="Garamond" w:cstheme="minorHAnsi"/>
          <w:sz w:val="24"/>
          <w:szCs w:val="24"/>
        </w:rPr>
        <w:t xml:space="preserve"> </w:t>
      </w:r>
      <w:r w:rsidR="009B6B7B" w:rsidRPr="00461D74">
        <w:rPr>
          <w:rFonts w:ascii="Garamond" w:hAnsi="Garamond" w:cstheme="minorHAnsi"/>
          <w:sz w:val="24"/>
          <w:szCs w:val="24"/>
        </w:rPr>
        <w:t>local communities i</w:t>
      </w:r>
      <w:r w:rsidR="00691A9D" w:rsidRPr="00461D74">
        <w:rPr>
          <w:rFonts w:ascii="Garamond" w:hAnsi="Garamond" w:cstheme="minorHAnsi"/>
          <w:sz w:val="24"/>
          <w:szCs w:val="24"/>
        </w:rPr>
        <w:t xml:space="preserve">s </w:t>
      </w:r>
      <w:r w:rsidR="00365107" w:rsidRPr="00461D74">
        <w:rPr>
          <w:rFonts w:ascii="Garamond" w:hAnsi="Garamond" w:cstheme="minorHAnsi"/>
          <w:sz w:val="24"/>
          <w:szCs w:val="24"/>
        </w:rPr>
        <w:t>advanced</w:t>
      </w:r>
      <w:r w:rsidR="009B6B7B" w:rsidRPr="00461D74">
        <w:rPr>
          <w:rFonts w:ascii="Garamond" w:hAnsi="Garamond" w:cstheme="minorHAnsi"/>
          <w:sz w:val="24"/>
          <w:szCs w:val="24"/>
        </w:rPr>
        <w:t xml:space="preserve"> through active</w:t>
      </w:r>
      <w:r w:rsidR="00691A9D" w:rsidRPr="00461D74">
        <w:rPr>
          <w:rFonts w:ascii="Garamond" w:hAnsi="Garamond" w:cstheme="minorHAnsi"/>
          <w:sz w:val="24"/>
          <w:szCs w:val="24"/>
        </w:rPr>
        <w:t xml:space="preserve"> participation and deliberation </w:t>
      </w:r>
      <w:r w:rsidR="00365107" w:rsidRPr="00461D74">
        <w:rPr>
          <w:rFonts w:ascii="Garamond" w:hAnsi="Garamond" w:cstheme="minorHAnsi"/>
          <w:sz w:val="24"/>
          <w:szCs w:val="24"/>
        </w:rPr>
        <w:t>of</w:t>
      </w:r>
      <w:r w:rsidR="009B6B7B" w:rsidRPr="00461D74">
        <w:rPr>
          <w:rFonts w:ascii="Garamond" w:hAnsi="Garamond" w:cstheme="minorHAnsi"/>
          <w:sz w:val="24"/>
          <w:szCs w:val="24"/>
        </w:rPr>
        <w:t xml:space="preserve"> its members</w:t>
      </w:r>
      <w:r w:rsidR="00365107" w:rsidRPr="00461D74">
        <w:rPr>
          <w:rFonts w:ascii="Garamond" w:hAnsi="Garamond" w:cstheme="minorHAnsi"/>
          <w:sz w:val="24"/>
          <w:szCs w:val="24"/>
        </w:rPr>
        <w:t>,</w:t>
      </w:r>
      <w:r w:rsidR="009B6B7B" w:rsidRPr="00461D74">
        <w:rPr>
          <w:rFonts w:ascii="Garamond" w:hAnsi="Garamond" w:cstheme="minorHAnsi"/>
          <w:sz w:val="24"/>
          <w:szCs w:val="24"/>
        </w:rPr>
        <w:t xml:space="preserve"> </w:t>
      </w:r>
      <w:r w:rsidR="009A033A">
        <w:rPr>
          <w:rFonts w:ascii="Garamond" w:hAnsi="Garamond" w:cstheme="minorHAnsi"/>
          <w:sz w:val="24"/>
          <w:szCs w:val="24"/>
        </w:rPr>
        <w:t xml:space="preserve">and it is in </w:t>
      </w:r>
      <w:r w:rsidR="009B6B7B" w:rsidRPr="00461D74">
        <w:rPr>
          <w:rFonts w:ascii="Garamond" w:hAnsi="Garamond" w:cstheme="minorHAnsi"/>
          <w:sz w:val="24"/>
          <w:szCs w:val="24"/>
        </w:rPr>
        <w:t>with respect to th</w:t>
      </w:r>
      <w:r w:rsidR="009A033A">
        <w:rPr>
          <w:rFonts w:ascii="Garamond" w:hAnsi="Garamond" w:cstheme="minorHAnsi"/>
          <w:sz w:val="24"/>
          <w:szCs w:val="24"/>
        </w:rPr>
        <w:t>os</w:t>
      </w:r>
      <w:r w:rsidR="009B6B7B" w:rsidRPr="00461D74">
        <w:rPr>
          <w:rFonts w:ascii="Garamond" w:hAnsi="Garamond" w:cstheme="minorHAnsi"/>
          <w:sz w:val="24"/>
          <w:szCs w:val="24"/>
        </w:rPr>
        <w:t>e goods</w:t>
      </w:r>
      <w:r w:rsidR="00DC19E4">
        <w:rPr>
          <w:rFonts w:ascii="Garamond" w:hAnsi="Garamond" w:cstheme="minorHAnsi"/>
          <w:sz w:val="24"/>
          <w:szCs w:val="24"/>
        </w:rPr>
        <w:t xml:space="preserve"> –</w:t>
      </w:r>
      <w:r w:rsidR="009B6B7B" w:rsidRPr="00461D74">
        <w:rPr>
          <w:rFonts w:ascii="Garamond" w:hAnsi="Garamond" w:cstheme="minorHAnsi"/>
          <w:sz w:val="24"/>
          <w:szCs w:val="24"/>
        </w:rPr>
        <w:t xml:space="preserve"> jointly realised </w:t>
      </w:r>
      <w:r w:rsidR="00365107" w:rsidRPr="00461D74">
        <w:rPr>
          <w:rFonts w:ascii="Garamond" w:hAnsi="Garamond" w:cstheme="minorHAnsi"/>
          <w:sz w:val="24"/>
          <w:szCs w:val="24"/>
        </w:rPr>
        <w:t>through</w:t>
      </w:r>
      <w:r w:rsidR="009B6B7B" w:rsidRPr="00461D74">
        <w:rPr>
          <w:rFonts w:ascii="Garamond" w:hAnsi="Garamond" w:cstheme="minorHAnsi"/>
          <w:sz w:val="24"/>
          <w:szCs w:val="24"/>
        </w:rPr>
        <w:t xml:space="preserve"> the activities that make</w:t>
      </w:r>
      <w:r w:rsidR="00E07CCE" w:rsidRPr="00461D74">
        <w:rPr>
          <w:rFonts w:ascii="Garamond" w:hAnsi="Garamond" w:cstheme="minorHAnsi"/>
          <w:sz w:val="24"/>
          <w:szCs w:val="24"/>
        </w:rPr>
        <w:t xml:space="preserve"> </w:t>
      </w:r>
      <w:r w:rsidR="009B6B7B" w:rsidRPr="00461D74">
        <w:rPr>
          <w:rFonts w:ascii="Garamond" w:hAnsi="Garamond" w:cstheme="minorHAnsi"/>
          <w:sz w:val="24"/>
          <w:szCs w:val="24"/>
        </w:rPr>
        <w:t>up the social life of th</w:t>
      </w:r>
      <w:r w:rsidR="00365107" w:rsidRPr="00461D74">
        <w:rPr>
          <w:rFonts w:ascii="Garamond" w:hAnsi="Garamond" w:cstheme="minorHAnsi"/>
          <w:sz w:val="24"/>
          <w:szCs w:val="24"/>
        </w:rPr>
        <w:t>e</w:t>
      </w:r>
      <w:r w:rsidRPr="00461D74">
        <w:rPr>
          <w:rFonts w:ascii="Garamond" w:hAnsi="Garamond" w:cstheme="minorHAnsi"/>
          <w:sz w:val="24"/>
          <w:szCs w:val="24"/>
        </w:rPr>
        <w:t xml:space="preserve"> community</w:t>
      </w:r>
      <w:r w:rsidR="009A033A">
        <w:rPr>
          <w:rFonts w:ascii="Garamond" w:hAnsi="Garamond" w:cstheme="minorHAnsi"/>
          <w:sz w:val="24"/>
          <w:szCs w:val="24"/>
        </w:rPr>
        <w:t xml:space="preserve"> </w:t>
      </w:r>
      <w:r w:rsidR="00DC19E4">
        <w:rPr>
          <w:rFonts w:ascii="Garamond" w:hAnsi="Garamond" w:cstheme="minorHAnsi"/>
          <w:sz w:val="24"/>
          <w:szCs w:val="24"/>
        </w:rPr>
        <w:t xml:space="preserve">– </w:t>
      </w:r>
      <w:r w:rsidR="009A033A">
        <w:rPr>
          <w:rFonts w:ascii="Garamond" w:hAnsi="Garamond" w:cstheme="minorHAnsi"/>
          <w:sz w:val="24"/>
          <w:szCs w:val="24"/>
        </w:rPr>
        <w:t>that the individual’s good is in turn advanced</w:t>
      </w:r>
      <w:r w:rsidR="009B6B7B" w:rsidRPr="00461D74">
        <w:rPr>
          <w:rFonts w:ascii="Garamond" w:hAnsi="Garamond" w:cstheme="minorHAnsi"/>
          <w:sz w:val="24"/>
          <w:szCs w:val="24"/>
        </w:rPr>
        <w:t xml:space="preserve">. </w:t>
      </w:r>
      <w:r w:rsidR="00DC5378" w:rsidRPr="00461D74">
        <w:rPr>
          <w:rFonts w:ascii="Garamond" w:hAnsi="Garamond" w:cstheme="minorHAnsi"/>
          <w:sz w:val="24"/>
          <w:szCs w:val="24"/>
        </w:rPr>
        <w:t>This</w:t>
      </w:r>
      <w:r w:rsidR="009B6B7B" w:rsidRPr="00461D74">
        <w:rPr>
          <w:rFonts w:ascii="Garamond" w:hAnsi="Garamond" w:cstheme="minorHAnsi"/>
          <w:sz w:val="24"/>
          <w:szCs w:val="24"/>
        </w:rPr>
        <w:t xml:space="preserve"> </w:t>
      </w:r>
      <w:r w:rsidR="00DC5378" w:rsidRPr="00461D74">
        <w:rPr>
          <w:rFonts w:ascii="Garamond" w:hAnsi="Garamond" w:cstheme="minorHAnsi"/>
          <w:sz w:val="24"/>
          <w:szCs w:val="24"/>
        </w:rPr>
        <w:t>conception</w:t>
      </w:r>
      <w:r w:rsidR="009B6B7B" w:rsidRPr="00461D74">
        <w:rPr>
          <w:rFonts w:ascii="Garamond" w:hAnsi="Garamond" w:cstheme="minorHAnsi"/>
          <w:sz w:val="24"/>
          <w:szCs w:val="24"/>
        </w:rPr>
        <w:t xml:space="preserve"> of the common good </w:t>
      </w:r>
      <w:r w:rsidR="009A033A">
        <w:rPr>
          <w:rFonts w:ascii="Garamond" w:hAnsi="Garamond" w:cstheme="minorHAnsi"/>
          <w:sz w:val="24"/>
          <w:szCs w:val="24"/>
        </w:rPr>
        <w:t>defines</w:t>
      </w:r>
      <w:r w:rsidRPr="00461D74">
        <w:rPr>
          <w:rFonts w:ascii="Garamond" w:hAnsi="Garamond" w:cstheme="minorHAnsi"/>
          <w:sz w:val="24"/>
          <w:szCs w:val="24"/>
        </w:rPr>
        <w:t xml:space="preserve"> the individual</w:t>
      </w:r>
      <w:r w:rsidR="009B6B7B" w:rsidRPr="00461D74">
        <w:rPr>
          <w:rFonts w:ascii="Garamond" w:hAnsi="Garamond" w:cstheme="minorHAnsi"/>
          <w:sz w:val="24"/>
          <w:szCs w:val="24"/>
        </w:rPr>
        <w:t>’s</w:t>
      </w:r>
      <w:r w:rsidRPr="00461D74">
        <w:rPr>
          <w:rFonts w:ascii="Garamond" w:hAnsi="Garamond" w:cstheme="minorHAnsi"/>
          <w:sz w:val="24"/>
          <w:szCs w:val="24"/>
        </w:rPr>
        <w:t xml:space="preserve"> good </w:t>
      </w:r>
      <w:r w:rsidR="009A033A">
        <w:rPr>
          <w:rFonts w:ascii="Garamond" w:hAnsi="Garamond" w:cstheme="minorHAnsi"/>
          <w:sz w:val="24"/>
          <w:szCs w:val="24"/>
        </w:rPr>
        <w:t xml:space="preserve">in terms of his or her </w:t>
      </w:r>
      <w:r w:rsidR="009B6B7B" w:rsidRPr="00461D74">
        <w:rPr>
          <w:rFonts w:ascii="Garamond" w:hAnsi="Garamond" w:cstheme="minorHAnsi"/>
          <w:sz w:val="24"/>
          <w:szCs w:val="24"/>
        </w:rPr>
        <w:t xml:space="preserve">active </w:t>
      </w:r>
      <w:r w:rsidR="00691A9D" w:rsidRPr="00461D74">
        <w:rPr>
          <w:rFonts w:ascii="Garamond" w:hAnsi="Garamond" w:cstheme="minorHAnsi"/>
          <w:sz w:val="24"/>
          <w:szCs w:val="24"/>
        </w:rPr>
        <w:t>participat</w:t>
      </w:r>
      <w:r w:rsidR="009A033A">
        <w:rPr>
          <w:rFonts w:ascii="Garamond" w:hAnsi="Garamond" w:cstheme="minorHAnsi"/>
          <w:sz w:val="24"/>
          <w:szCs w:val="24"/>
        </w:rPr>
        <w:t>ion</w:t>
      </w:r>
      <w:r w:rsidR="009B6B7B" w:rsidRPr="00461D74">
        <w:rPr>
          <w:rFonts w:ascii="Garamond" w:hAnsi="Garamond" w:cstheme="minorHAnsi"/>
          <w:sz w:val="24"/>
          <w:szCs w:val="24"/>
        </w:rPr>
        <w:t xml:space="preserve"> in the social and political life of the community</w:t>
      </w:r>
      <w:r w:rsidRPr="00461D74">
        <w:rPr>
          <w:rFonts w:ascii="Garamond" w:hAnsi="Garamond" w:cstheme="minorHAnsi"/>
          <w:sz w:val="24"/>
          <w:szCs w:val="24"/>
        </w:rPr>
        <w:t>.</w:t>
      </w:r>
    </w:p>
    <w:p w:rsidR="00665157" w:rsidRDefault="00C52F33">
      <w:pPr>
        <w:spacing w:line="360" w:lineRule="auto"/>
        <w:ind w:firstLine="720"/>
        <w:jc w:val="both"/>
        <w:rPr>
          <w:rFonts w:ascii="Garamond" w:hAnsi="Garamond" w:cstheme="minorHAnsi"/>
          <w:sz w:val="24"/>
          <w:szCs w:val="24"/>
        </w:rPr>
      </w:pPr>
      <w:r>
        <w:rPr>
          <w:rFonts w:ascii="Garamond" w:hAnsi="Garamond" w:cstheme="minorHAnsi"/>
          <w:sz w:val="24"/>
          <w:szCs w:val="24"/>
        </w:rPr>
        <w:t>This account nevertheless stands in opposition to the standard liberal model,</w:t>
      </w:r>
      <w:r w:rsidRPr="00461D74">
        <w:rPr>
          <w:rFonts w:ascii="Garamond" w:hAnsi="Garamond" w:cstheme="minorHAnsi"/>
          <w:sz w:val="24"/>
          <w:szCs w:val="24"/>
        </w:rPr>
        <w:t xml:space="preserve"> </w:t>
      </w:r>
      <w:r>
        <w:rPr>
          <w:rFonts w:ascii="Garamond" w:hAnsi="Garamond" w:cstheme="minorHAnsi"/>
          <w:sz w:val="24"/>
          <w:szCs w:val="24"/>
        </w:rPr>
        <w:t>and therefore on MacIntyre</w:t>
      </w:r>
      <w:r w:rsidR="009D18BD">
        <w:rPr>
          <w:rFonts w:ascii="Garamond" w:hAnsi="Garamond" w:cstheme="minorHAnsi"/>
          <w:sz w:val="24"/>
          <w:szCs w:val="24"/>
        </w:rPr>
        <w:t xml:space="preserve">’s view, </w:t>
      </w:r>
      <w:r w:rsidR="00016049" w:rsidRPr="00461D74">
        <w:rPr>
          <w:rFonts w:ascii="Garamond" w:hAnsi="Garamond" w:cstheme="minorHAnsi"/>
          <w:sz w:val="24"/>
          <w:szCs w:val="24"/>
        </w:rPr>
        <w:t xml:space="preserve">it makes little sense for the individual residing in the modern liberal state to subordinate her </w:t>
      </w:r>
      <w:r w:rsidR="009D18BD">
        <w:rPr>
          <w:rFonts w:ascii="Garamond" w:hAnsi="Garamond" w:cstheme="minorHAnsi"/>
          <w:sz w:val="24"/>
          <w:szCs w:val="24"/>
        </w:rPr>
        <w:t xml:space="preserve">(private) </w:t>
      </w:r>
      <w:r w:rsidR="00016049" w:rsidRPr="00461D74">
        <w:rPr>
          <w:rFonts w:ascii="Garamond" w:hAnsi="Garamond" w:cstheme="minorHAnsi"/>
          <w:sz w:val="24"/>
          <w:szCs w:val="24"/>
        </w:rPr>
        <w:t>interest</w:t>
      </w:r>
      <w:r w:rsidR="009D18BD">
        <w:rPr>
          <w:rFonts w:ascii="Garamond" w:hAnsi="Garamond" w:cstheme="minorHAnsi"/>
          <w:sz w:val="24"/>
          <w:szCs w:val="24"/>
        </w:rPr>
        <w:t>s</w:t>
      </w:r>
      <w:r w:rsidR="00016049" w:rsidRPr="00461D74">
        <w:rPr>
          <w:rFonts w:ascii="Garamond" w:hAnsi="Garamond" w:cstheme="minorHAnsi"/>
          <w:sz w:val="24"/>
          <w:szCs w:val="24"/>
        </w:rPr>
        <w:t xml:space="preserve"> to </w:t>
      </w:r>
      <w:r w:rsidR="009D18BD">
        <w:rPr>
          <w:rFonts w:ascii="Garamond" w:hAnsi="Garamond" w:cstheme="minorHAnsi"/>
          <w:sz w:val="24"/>
          <w:szCs w:val="24"/>
        </w:rPr>
        <w:t xml:space="preserve">the </w:t>
      </w:r>
      <w:r w:rsidR="00016049" w:rsidRPr="00461D74">
        <w:rPr>
          <w:rFonts w:ascii="Garamond" w:hAnsi="Garamond" w:cstheme="minorHAnsi"/>
          <w:sz w:val="24"/>
          <w:szCs w:val="24"/>
        </w:rPr>
        <w:t>public</w:t>
      </w:r>
      <w:r w:rsidR="009D18BD">
        <w:rPr>
          <w:rFonts w:ascii="Garamond" w:hAnsi="Garamond" w:cstheme="minorHAnsi"/>
          <w:sz w:val="24"/>
          <w:szCs w:val="24"/>
        </w:rPr>
        <w:t>’s broader conception of</w:t>
      </w:r>
      <w:r w:rsidR="00016049" w:rsidRPr="00461D74">
        <w:rPr>
          <w:rFonts w:ascii="Garamond" w:hAnsi="Garamond" w:cstheme="minorHAnsi"/>
          <w:sz w:val="24"/>
          <w:szCs w:val="24"/>
        </w:rPr>
        <w:t xml:space="preserve"> </w:t>
      </w:r>
      <w:r w:rsidR="009D18BD">
        <w:rPr>
          <w:rFonts w:ascii="Garamond" w:hAnsi="Garamond" w:cstheme="minorHAnsi"/>
          <w:sz w:val="24"/>
          <w:szCs w:val="24"/>
        </w:rPr>
        <w:t xml:space="preserve">goods and </w:t>
      </w:r>
      <w:r w:rsidR="00016049" w:rsidRPr="00461D74">
        <w:rPr>
          <w:rFonts w:ascii="Garamond" w:hAnsi="Garamond" w:cstheme="minorHAnsi"/>
          <w:sz w:val="24"/>
          <w:szCs w:val="24"/>
        </w:rPr>
        <w:t>interest</w:t>
      </w:r>
      <w:r w:rsidR="009D18BD">
        <w:rPr>
          <w:rFonts w:ascii="Garamond" w:hAnsi="Garamond" w:cstheme="minorHAnsi"/>
          <w:sz w:val="24"/>
          <w:szCs w:val="24"/>
        </w:rPr>
        <w:t>s</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431"/>
      </w:r>
      <w:r w:rsidR="00016049" w:rsidRPr="00461D74">
        <w:rPr>
          <w:rFonts w:ascii="Garamond" w:hAnsi="Garamond" w:cstheme="minorHAnsi"/>
          <w:sz w:val="24"/>
          <w:szCs w:val="24"/>
        </w:rPr>
        <w:t xml:space="preserve"> Of course </w:t>
      </w:r>
      <w:r w:rsidR="00DC5378" w:rsidRPr="00461D74">
        <w:rPr>
          <w:rFonts w:ascii="Garamond" w:hAnsi="Garamond" w:cstheme="minorHAnsi"/>
          <w:sz w:val="24"/>
          <w:szCs w:val="24"/>
        </w:rPr>
        <w:t xml:space="preserve">a rejoinder to MacIntyre’s argument here is that </w:t>
      </w:r>
      <w:proofErr w:type="spellStart"/>
      <w:r w:rsidR="00016049" w:rsidRPr="00461D74">
        <w:rPr>
          <w:rFonts w:ascii="Garamond" w:hAnsi="Garamond" w:cstheme="minorHAnsi"/>
          <w:sz w:val="24"/>
          <w:szCs w:val="24"/>
        </w:rPr>
        <w:t>Rawlsian</w:t>
      </w:r>
      <w:proofErr w:type="spellEnd"/>
      <w:r w:rsidR="00016049" w:rsidRPr="00461D74">
        <w:rPr>
          <w:rFonts w:ascii="Garamond" w:hAnsi="Garamond" w:cstheme="minorHAnsi"/>
          <w:sz w:val="24"/>
          <w:szCs w:val="24"/>
        </w:rPr>
        <w:t xml:space="preserve"> liberals do not ground political allegiance in the notion of public interest; instead they tend to appeal to the notion of justice to </w:t>
      </w:r>
      <w:r w:rsidR="00DC5378" w:rsidRPr="00461D74">
        <w:rPr>
          <w:rFonts w:ascii="Garamond" w:hAnsi="Garamond" w:cstheme="minorHAnsi"/>
          <w:sz w:val="24"/>
          <w:szCs w:val="24"/>
        </w:rPr>
        <w:t xml:space="preserve">give substance to </w:t>
      </w:r>
      <w:r w:rsidR="00016049" w:rsidRPr="00461D74">
        <w:rPr>
          <w:rFonts w:ascii="Garamond" w:hAnsi="Garamond" w:cstheme="minorHAnsi"/>
          <w:sz w:val="24"/>
          <w:szCs w:val="24"/>
        </w:rPr>
        <w:t>their argument.</w:t>
      </w:r>
      <w:r w:rsidR="00016049" w:rsidRPr="00461D74">
        <w:rPr>
          <w:rStyle w:val="FootnoteReference"/>
          <w:rFonts w:ascii="Garamond" w:hAnsi="Garamond" w:cstheme="minorHAnsi"/>
          <w:sz w:val="24"/>
          <w:szCs w:val="24"/>
        </w:rPr>
        <w:footnoteReference w:id="432"/>
      </w:r>
      <w:r w:rsidR="00016049" w:rsidRPr="00461D74">
        <w:rPr>
          <w:rFonts w:ascii="Garamond" w:hAnsi="Garamond" w:cstheme="minorHAnsi"/>
          <w:sz w:val="24"/>
          <w:szCs w:val="24"/>
        </w:rPr>
        <w:t xml:space="preserve"> </w:t>
      </w:r>
      <w:r w:rsidR="00902D9D">
        <w:rPr>
          <w:rFonts w:ascii="Garamond" w:hAnsi="Garamond" w:cstheme="minorHAnsi"/>
          <w:sz w:val="24"/>
          <w:szCs w:val="24"/>
        </w:rPr>
        <w:t>Notwithstanding this rejoinder</w:t>
      </w:r>
      <w:r w:rsidR="00DC5378" w:rsidRPr="00461D74">
        <w:rPr>
          <w:rFonts w:ascii="Garamond" w:hAnsi="Garamond" w:cstheme="minorHAnsi"/>
          <w:sz w:val="24"/>
          <w:szCs w:val="24"/>
        </w:rPr>
        <w:t xml:space="preserve">, </w:t>
      </w:r>
      <w:r w:rsidR="00016049" w:rsidRPr="00461D74">
        <w:rPr>
          <w:rFonts w:ascii="Garamond" w:hAnsi="Garamond" w:cstheme="minorHAnsi"/>
          <w:sz w:val="24"/>
          <w:szCs w:val="24"/>
        </w:rPr>
        <w:t>on MacIntyre’s view</w:t>
      </w:r>
      <w:r w:rsidR="00E07CCE"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DC5378" w:rsidRPr="00461D74">
        <w:rPr>
          <w:rFonts w:ascii="Garamond" w:hAnsi="Garamond" w:cstheme="minorHAnsi"/>
          <w:sz w:val="24"/>
          <w:szCs w:val="24"/>
        </w:rPr>
        <w:t xml:space="preserve">Rawls’ concept of justice, because it is defined independently </w:t>
      </w:r>
      <w:r w:rsidR="00DC5378" w:rsidRPr="00461D74">
        <w:rPr>
          <w:rFonts w:ascii="Garamond" w:hAnsi="Garamond" w:cstheme="minorHAnsi"/>
          <w:sz w:val="24"/>
          <w:szCs w:val="24"/>
        </w:rPr>
        <w:lastRenderedPageBreak/>
        <w:t xml:space="preserve">from </w:t>
      </w:r>
      <w:r w:rsidR="00CA412B">
        <w:rPr>
          <w:rFonts w:ascii="Garamond" w:hAnsi="Garamond" w:cstheme="minorHAnsi"/>
          <w:sz w:val="24"/>
          <w:szCs w:val="24"/>
        </w:rPr>
        <w:t xml:space="preserve">any </w:t>
      </w:r>
      <w:r w:rsidR="00DC5378" w:rsidRPr="00461D74">
        <w:rPr>
          <w:rFonts w:ascii="Garamond" w:hAnsi="Garamond" w:cstheme="minorHAnsi"/>
          <w:sz w:val="24"/>
          <w:szCs w:val="24"/>
        </w:rPr>
        <w:t>particular social context</w:t>
      </w:r>
      <w:r w:rsidR="00F655E6">
        <w:rPr>
          <w:rFonts w:ascii="Garamond" w:hAnsi="Garamond" w:cstheme="minorHAnsi"/>
          <w:sz w:val="24"/>
          <w:szCs w:val="24"/>
        </w:rPr>
        <w:t>,</w:t>
      </w:r>
      <w:r w:rsidR="00DC5378" w:rsidRPr="00461D74">
        <w:rPr>
          <w:rFonts w:ascii="Garamond" w:hAnsi="Garamond" w:cstheme="minorHAnsi"/>
          <w:sz w:val="24"/>
          <w:szCs w:val="24"/>
        </w:rPr>
        <w:t xml:space="preserve"> </w:t>
      </w:r>
      <w:r w:rsidR="00902D9D">
        <w:rPr>
          <w:rFonts w:ascii="Garamond" w:hAnsi="Garamond" w:cstheme="minorHAnsi"/>
          <w:sz w:val="24"/>
          <w:szCs w:val="24"/>
        </w:rPr>
        <w:t xml:space="preserve">it </w:t>
      </w:r>
      <w:r w:rsidR="00DC5378" w:rsidRPr="00461D74">
        <w:rPr>
          <w:rFonts w:ascii="Garamond" w:hAnsi="Garamond" w:cstheme="minorHAnsi"/>
          <w:sz w:val="24"/>
          <w:szCs w:val="24"/>
        </w:rPr>
        <w:t xml:space="preserve">remains too </w:t>
      </w:r>
      <w:r w:rsidR="00016049" w:rsidRPr="00461D74">
        <w:rPr>
          <w:rFonts w:ascii="Garamond" w:hAnsi="Garamond" w:cstheme="minorHAnsi"/>
          <w:sz w:val="24"/>
          <w:szCs w:val="24"/>
        </w:rPr>
        <w:t xml:space="preserve">abstract </w:t>
      </w:r>
      <w:r w:rsidR="00DC5378" w:rsidRPr="00461D74">
        <w:rPr>
          <w:rFonts w:ascii="Garamond" w:hAnsi="Garamond" w:cstheme="minorHAnsi"/>
          <w:sz w:val="24"/>
          <w:szCs w:val="24"/>
        </w:rPr>
        <w:t xml:space="preserve">and therefore </w:t>
      </w:r>
      <w:r w:rsidR="00016049" w:rsidRPr="00461D74">
        <w:rPr>
          <w:rFonts w:ascii="Garamond" w:hAnsi="Garamond" w:cstheme="minorHAnsi"/>
          <w:sz w:val="24"/>
          <w:szCs w:val="24"/>
        </w:rPr>
        <w:t>inadmissible</w:t>
      </w:r>
      <w:r w:rsidR="00F461B6" w:rsidRPr="00461D74">
        <w:rPr>
          <w:rFonts w:ascii="Garamond" w:hAnsi="Garamond" w:cstheme="minorHAnsi"/>
          <w:sz w:val="24"/>
          <w:szCs w:val="24"/>
        </w:rPr>
        <w:t xml:space="preserve"> </w:t>
      </w:r>
      <w:r w:rsidR="00902D9D">
        <w:rPr>
          <w:rFonts w:ascii="Garamond" w:hAnsi="Garamond" w:cstheme="minorHAnsi"/>
          <w:sz w:val="24"/>
          <w:szCs w:val="24"/>
        </w:rPr>
        <w:t>given that</w:t>
      </w:r>
      <w:r w:rsidR="00902D9D" w:rsidRPr="00461D74">
        <w:rPr>
          <w:rFonts w:ascii="Garamond" w:hAnsi="Garamond" w:cstheme="minorHAnsi"/>
          <w:sz w:val="24"/>
          <w:szCs w:val="24"/>
        </w:rPr>
        <w:t xml:space="preserve"> </w:t>
      </w:r>
      <w:r w:rsidR="00F461B6" w:rsidRPr="00461D74">
        <w:rPr>
          <w:rFonts w:ascii="Garamond" w:hAnsi="Garamond" w:cstheme="minorHAnsi"/>
          <w:sz w:val="24"/>
          <w:szCs w:val="24"/>
        </w:rPr>
        <w:t>it</w:t>
      </w:r>
      <w:r w:rsidR="00DC5378" w:rsidRPr="00461D74">
        <w:rPr>
          <w:rFonts w:ascii="Garamond" w:hAnsi="Garamond" w:cstheme="minorHAnsi"/>
          <w:sz w:val="24"/>
          <w:szCs w:val="24"/>
        </w:rPr>
        <w:t xml:space="preserve"> </w:t>
      </w:r>
      <w:r w:rsidR="00016049" w:rsidRPr="00461D74">
        <w:rPr>
          <w:rFonts w:ascii="Garamond" w:hAnsi="Garamond" w:cstheme="minorHAnsi"/>
          <w:sz w:val="24"/>
          <w:szCs w:val="24"/>
        </w:rPr>
        <w:t>substitute</w:t>
      </w:r>
      <w:r w:rsidR="00F461B6" w:rsidRPr="00461D74">
        <w:rPr>
          <w:rFonts w:ascii="Garamond" w:hAnsi="Garamond" w:cstheme="minorHAnsi"/>
          <w:sz w:val="24"/>
          <w:szCs w:val="24"/>
        </w:rPr>
        <w:t>s a</w:t>
      </w:r>
      <w:r w:rsidR="00016049" w:rsidRPr="00461D74">
        <w:rPr>
          <w:rFonts w:ascii="Garamond" w:hAnsi="Garamond" w:cstheme="minorHAnsi"/>
          <w:sz w:val="24"/>
          <w:szCs w:val="24"/>
        </w:rPr>
        <w:t xml:space="preserve"> general</w:t>
      </w:r>
      <w:r w:rsidR="00F461B6" w:rsidRPr="00461D74">
        <w:rPr>
          <w:rFonts w:ascii="Garamond" w:hAnsi="Garamond" w:cstheme="minorHAnsi"/>
          <w:sz w:val="24"/>
          <w:szCs w:val="24"/>
        </w:rPr>
        <w:t>ised</w:t>
      </w:r>
      <w:r w:rsidR="00016049" w:rsidRPr="00461D74">
        <w:rPr>
          <w:rFonts w:ascii="Garamond" w:hAnsi="Garamond" w:cstheme="minorHAnsi"/>
          <w:sz w:val="24"/>
          <w:szCs w:val="24"/>
        </w:rPr>
        <w:t xml:space="preserve"> principle</w:t>
      </w:r>
      <w:r w:rsidR="00F461B6" w:rsidRPr="00461D74">
        <w:rPr>
          <w:rFonts w:ascii="Garamond" w:hAnsi="Garamond" w:cstheme="minorHAnsi"/>
          <w:sz w:val="24"/>
          <w:szCs w:val="24"/>
        </w:rPr>
        <w:t xml:space="preserve"> at the expense of </w:t>
      </w:r>
      <w:r w:rsidR="00902D9D">
        <w:rPr>
          <w:rFonts w:ascii="Garamond" w:hAnsi="Garamond" w:cstheme="minorHAnsi"/>
          <w:sz w:val="24"/>
          <w:szCs w:val="24"/>
        </w:rPr>
        <w:t>an</w:t>
      </w:r>
      <w:r w:rsidR="00016049" w:rsidRPr="00461D74">
        <w:rPr>
          <w:rFonts w:ascii="Garamond" w:hAnsi="Garamond" w:cstheme="minorHAnsi"/>
          <w:sz w:val="24"/>
          <w:szCs w:val="24"/>
        </w:rPr>
        <w:t xml:space="preserve"> account of human life </w:t>
      </w:r>
      <w:r w:rsidR="00F655E6">
        <w:rPr>
          <w:rFonts w:ascii="Garamond" w:hAnsi="Garamond" w:cstheme="minorHAnsi"/>
          <w:sz w:val="24"/>
          <w:szCs w:val="24"/>
        </w:rPr>
        <w:t>(</w:t>
      </w:r>
      <w:r w:rsidR="00F461B6" w:rsidRPr="00461D74">
        <w:rPr>
          <w:rFonts w:ascii="Garamond" w:hAnsi="Garamond" w:cstheme="minorHAnsi"/>
          <w:sz w:val="24"/>
          <w:szCs w:val="24"/>
        </w:rPr>
        <w:t xml:space="preserve">a life that </w:t>
      </w:r>
      <w:r w:rsidR="00016049" w:rsidRPr="00461D74">
        <w:rPr>
          <w:rFonts w:ascii="Garamond" w:hAnsi="Garamond" w:cstheme="minorHAnsi"/>
          <w:sz w:val="24"/>
          <w:szCs w:val="24"/>
        </w:rPr>
        <w:t>is embedded in a particular community</w:t>
      </w:r>
      <w:r w:rsidR="00F655E6">
        <w:rPr>
          <w:rFonts w:ascii="Garamond" w:hAnsi="Garamond" w:cstheme="minorHAnsi"/>
          <w:sz w:val="24"/>
          <w:szCs w:val="24"/>
        </w:rPr>
        <w:t>)</w:t>
      </w:r>
      <w:r w:rsidR="00016049" w:rsidRPr="00461D74">
        <w:rPr>
          <w:rFonts w:ascii="Garamond" w:hAnsi="Garamond" w:cstheme="minorHAnsi"/>
          <w:sz w:val="24"/>
          <w:szCs w:val="24"/>
        </w:rPr>
        <w:t>, and appeal</w:t>
      </w:r>
      <w:r w:rsidR="00F461B6" w:rsidRPr="00461D74">
        <w:rPr>
          <w:rFonts w:ascii="Garamond" w:hAnsi="Garamond" w:cstheme="minorHAnsi"/>
          <w:sz w:val="24"/>
          <w:szCs w:val="24"/>
        </w:rPr>
        <w:t>s to a set of</w:t>
      </w:r>
      <w:r w:rsidR="00016049" w:rsidRPr="00461D74">
        <w:rPr>
          <w:rFonts w:ascii="Garamond" w:hAnsi="Garamond" w:cstheme="minorHAnsi"/>
          <w:sz w:val="24"/>
          <w:szCs w:val="24"/>
        </w:rPr>
        <w:t xml:space="preserve"> rules that are rationally justifiable </w:t>
      </w:r>
      <w:r w:rsidR="00F461B6" w:rsidRPr="00461D74">
        <w:rPr>
          <w:rFonts w:ascii="Garamond" w:hAnsi="Garamond" w:cstheme="minorHAnsi"/>
          <w:sz w:val="24"/>
          <w:szCs w:val="24"/>
        </w:rPr>
        <w:t>within the social and political life of that community</w:t>
      </w:r>
      <w:r w:rsidR="00016049" w:rsidRPr="00461D74">
        <w:rPr>
          <w:rFonts w:ascii="Garamond" w:hAnsi="Garamond" w:cstheme="minorHAnsi"/>
          <w:sz w:val="24"/>
          <w:szCs w:val="24"/>
        </w:rPr>
        <w:t>.</w:t>
      </w:r>
      <w:r w:rsidR="00016049" w:rsidRPr="00461D74">
        <w:rPr>
          <w:rStyle w:val="FootnoteReference"/>
          <w:rFonts w:ascii="Garamond" w:hAnsi="Garamond" w:cstheme="minorHAnsi"/>
          <w:sz w:val="24"/>
          <w:szCs w:val="24"/>
        </w:rPr>
        <w:footnoteReference w:id="433"/>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ab/>
        <w:t>In order to express this in a meaningful way</w:t>
      </w:r>
      <w:r w:rsidR="00E07CCE" w:rsidRPr="00461D74">
        <w:rPr>
          <w:rFonts w:ascii="Garamond" w:hAnsi="Garamond" w:cstheme="minorHAnsi"/>
          <w:sz w:val="24"/>
          <w:szCs w:val="24"/>
        </w:rPr>
        <w:t>,</w:t>
      </w:r>
      <w:r w:rsidRPr="00461D74">
        <w:rPr>
          <w:rFonts w:ascii="Garamond" w:hAnsi="Garamond" w:cstheme="minorHAnsi"/>
          <w:sz w:val="24"/>
          <w:szCs w:val="24"/>
        </w:rPr>
        <w:t xml:space="preserve"> I will contrast a standard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w:t>
      </w:r>
      <w:r w:rsidR="00190AE6" w:rsidRPr="00461D74">
        <w:rPr>
          <w:rFonts w:ascii="Garamond" w:hAnsi="Garamond" w:cstheme="minorHAnsi"/>
          <w:sz w:val="24"/>
          <w:szCs w:val="24"/>
        </w:rPr>
        <w:t xml:space="preserve">conception </w:t>
      </w:r>
      <w:r w:rsidRPr="00461D74">
        <w:rPr>
          <w:rFonts w:ascii="Garamond" w:hAnsi="Garamond" w:cstheme="minorHAnsi"/>
          <w:sz w:val="24"/>
          <w:szCs w:val="24"/>
        </w:rPr>
        <w:t xml:space="preserve">of political allegiance, to a Deweyan understanding of </w:t>
      </w:r>
      <w:r w:rsidR="006452B7" w:rsidRPr="00461D74">
        <w:rPr>
          <w:rFonts w:ascii="Garamond" w:hAnsi="Garamond" w:cstheme="minorHAnsi"/>
          <w:sz w:val="24"/>
          <w:szCs w:val="24"/>
        </w:rPr>
        <w:t xml:space="preserve">this relationship </w:t>
      </w:r>
      <w:r w:rsidRPr="00461D74">
        <w:rPr>
          <w:rFonts w:ascii="Garamond" w:hAnsi="Garamond" w:cstheme="minorHAnsi"/>
          <w:sz w:val="24"/>
          <w:szCs w:val="24"/>
        </w:rPr>
        <w:t xml:space="preserve">between the individual and the state. On this view, Rawls maintains that we could understand our allegiance to the wider community </w:t>
      </w:r>
      <w:r w:rsidR="00AC517A" w:rsidRPr="00461D74">
        <w:rPr>
          <w:rFonts w:ascii="Garamond" w:hAnsi="Garamond" w:cstheme="minorHAnsi"/>
          <w:sz w:val="24"/>
          <w:szCs w:val="24"/>
        </w:rPr>
        <w:t xml:space="preserve">through </w:t>
      </w:r>
      <w:r w:rsidR="005F0E18" w:rsidRPr="00461D74">
        <w:rPr>
          <w:rFonts w:ascii="Garamond" w:hAnsi="Garamond" w:cstheme="minorHAnsi"/>
          <w:sz w:val="24"/>
          <w:szCs w:val="24"/>
        </w:rPr>
        <w:t xml:space="preserve">a shared </w:t>
      </w:r>
      <w:r w:rsidR="00AC517A" w:rsidRPr="00461D74">
        <w:rPr>
          <w:rFonts w:ascii="Garamond" w:hAnsi="Garamond" w:cstheme="minorHAnsi"/>
          <w:sz w:val="24"/>
          <w:szCs w:val="24"/>
        </w:rPr>
        <w:t xml:space="preserve">conception </w:t>
      </w:r>
      <w:r w:rsidRPr="00461D74">
        <w:rPr>
          <w:rFonts w:ascii="Garamond" w:hAnsi="Garamond" w:cstheme="minorHAnsi"/>
          <w:sz w:val="24"/>
          <w:szCs w:val="24"/>
        </w:rPr>
        <w:t xml:space="preserve">of justice. This </w:t>
      </w:r>
      <w:r w:rsidR="00AC517A" w:rsidRPr="00461D74">
        <w:rPr>
          <w:rFonts w:ascii="Garamond" w:hAnsi="Garamond" w:cstheme="minorHAnsi"/>
          <w:sz w:val="24"/>
          <w:szCs w:val="24"/>
        </w:rPr>
        <w:t xml:space="preserve">conception </w:t>
      </w:r>
      <w:r w:rsidRPr="00461D74">
        <w:rPr>
          <w:rFonts w:ascii="Garamond" w:hAnsi="Garamond" w:cstheme="minorHAnsi"/>
          <w:sz w:val="24"/>
          <w:szCs w:val="24"/>
        </w:rPr>
        <w:t xml:space="preserve">is more or less grounded in the ideas presented in </w:t>
      </w:r>
      <w:r w:rsidR="00AC517A" w:rsidRPr="00461D74">
        <w:rPr>
          <w:rFonts w:ascii="Garamond" w:hAnsi="Garamond" w:cstheme="minorHAnsi"/>
          <w:sz w:val="24"/>
          <w:szCs w:val="24"/>
        </w:rPr>
        <w:t xml:space="preserve">Rawls’ </w:t>
      </w:r>
      <w:r w:rsidRPr="00461D74">
        <w:rPr>
          <w:rFonts w:ascii="Garamond" w:hAnsi="Garamond" w:cstheme="minorHAnsi"/>
          <w:i/>
          <w:iCs/>
          <w:sz w:val="24"/>
          <w:szCs w:val="24"/>
        </w:rPr>
        <w:t>A Theory of Justice</w:t>
      </w:r>
      <w:r w:rsidRPr="00461D74">
        <w:rPr>
          <w:rFonts w:ascii="Garamond" w:hAnsi="Garamond" w:cstheme="minorHAnsi"/>
          <w:sz w:val="24"/>
          <w:szCs w:val="24"/>
        </w:rPr>
        <w:t xml:space="preserve">, and further </w:t>
      </w:r>
      <w:r w:rsidR="00981FB9" w:rsidRPr="00461D74">
        <w:rPr>
          <w:rFonts w:ascii="Garamond" w:hAnsi="Garamond" w:cstheme="minorHAnsi"/>
          <w:sz w:val="24"/>
          <w:szCs w:val="24"/>
        </w:rPr>
        <w:t xml:space="preserve">developed </w:t>
      </w:r>
      <w:r w:rsidRPr="00461D74">
        <w:rPr>
          <w:rFonts w:ascii="Garamond" w:hAnsi="Garamond" w:cstheme="minorHAnsi"/>
          <w:sz w:val="24"/>
          <w:szCs w:val="24"/>
        </w:rPr>
        <w:t xml:space="preserve">in </w:t>
      </w:r>
      <w:r w:rsidRPr="00461D74">
        <w:rPr>
          <w:rFonts w:ascii="Garamond" w:hAnsi="Garamond" w:cstheme="minorHAnsi"/>
          <w:i/>
          <w:iCs/>
          <w:sz w:val="24"/>
          <w:szCs w:val="24"/>
        </w:rPr>
        <w:t>Political Liberalism</w:t>
      </w:r>
      <w:r w:rsidRPr="00461D74">
        <w:rPr>
          <w:rFonts w:ascii="Garamond" w:hAnsi="Garamond" w:cstheme="minorHAnsi"/>
          <w:sz w:val="24"/>
          <w:szCs w:val="24"/>
        </w:rPr>
        <w:t xml:space="preserve">. On this </w:t>
      </w:r>
      <w:proofErr w:type="spellStart"/>
      <w:r w:rsidRPr="00461D74">
        <w:rPr>
          <w:rFonts w:ascii="Garamond" w:hAnsi="Garamond" w:cstheme="minorHAnsi"/>
          <w:sz w:val="24"/>
          <w:szCs w:val="24"/>
        </w:rPr>
        <w:t>Rawlsian</w:t>
      </w:r>
      <w:proofErr w:type="spellEnd"/>
      <w:r w:rsidRPr="00461D74">
        <w:rPr>
          <w:rFonts w:ascii="Garamond" w:hAnsi="Garamond" w:cstheme="minorHAnsi"/>
          <w:sz w:val="24"/>
          <w:szCs w:val="24"/>
        </w:rPr>
        <w:t xml:space="preserve"> view, </w:t>
      </w:r>
      <w:r w:rsidR="00AC517A" w:rsidRPr="00461D74">
        <w:rPr>
          <w:rFonts w:ascii="Garamond" w:hAnsi="Garamond" w:cstheme="minorHAnsi"/>
          <w:sz w:val="24"/>
          <w:szCs w:val="24"/>
        </w:rPr>
        <w:t>most</w:t>
      </w:r>
      <w:r w:rsidRPr="00461D74">
        <w:rPr>
          <w:rFonts w:ascii="Garamond" w:hAnsi="Garamond" w:cstheme="minorHAnsi"/>
          <w:sz w:val="24"/>
          <w:szCs w:val="24"/>
        </w:rPr>
        <w:t xml:space="preserve"> of us, at least in contemporary western liberal society, can </w:t>
      </w:r>
      <w:proofErr w:type="spellStart"/>
      <w:r w:rsidRPr="00461D74">
        <w:rPr>
          <w:rFonts w:ascii="Garamond" w:hAnsi="Garamond" w:cstheme="minorHAnsi"/>
          <w:sz w:val="24"/>
          <w:szCs w:val="24"/>
        </w:rPr>
        <w:t>uncontroversially</w:t>
      </w:r>
      <w:proofErr w:type="spellEnd"/>
      <w:r w:rsidRPr="00461D74">
        <w:rPr>
          <w:rFonts w:ascii="Garamond" w:hAnsi="Garamond" w:cstheme="minorHAnsi"/>
          <w:sz w:val="24"/>
          <w:szCs w:val="24"/>
        </w:rPr>
        <w:t xml:space="preserve"> </w:t>
      </w:r>
      <w:r w:rsidR="00F655E6">
        <w:rPr>
          <w:rFonts w:ascii="Garamond" w:hAnsi="Garamond" w:cstheme="minorHAnsi"/>
          <w:sz w:val="24"/>
          <w:szCs w:val="24"/>
        </w:rPr>
        <w:t xml:space="preserve">accept </w:t>
      </w:r>
      <w:r w:rsidRPr="00461D74">
        <w:rPr>
          <w:rFonts w:ascii="Garamond" w:hAnsi="Garamond" w:cstheme="minorHAnsi"/>
          <w:sz w:val="24"/>
          <w:szCs w:val="24"/>
        </w:rPr>
        <w:t>an account of justice as fairness</w:t>
      </w:r>
      <w:r w:rsidR="00AC517A" w:rsidRPr="00461D74">
        <w:rPr>
          <w:rFonts w:ascii="Garamond" w:hAnsi="Garamond" w:cstheme="minorHAnsi"/>
          <w:sz w:val="24"/>
          <w:szCs w:val="24"/>
        </w:rPr>
        <w:t xml:space="preserve"> – Rawls identifies this as</w:t>
      </w:r>
      <w:r w:rsidR="00D03FCD" w:rsidRPr="00461D74">
        <w:rPr>
          <w:rFonts w:ascii="Garamond" w:hAnsi="Garamond" w:cstheme="minorHAnsi"/>
          <w:sz w:val="24"/>
          <w:szCs w:val="24"/>
        </w:rPr>
        <w:t xml:space="preserve"> the</w:t>
      </w:r>
      <w:r w:rsidRPr="00461D74">
        <w:rPr>
          <w:rFonts w:ascii="Garamond" w:hAnsi="Garamond" w:cstheme="minorHAnsi"/>
          <w:sz w:val="24"/>
          <w:szCs w:val="24"/>
        </w:rPr>
        <w:t xml:space="preserve"> overlapping consensus.</w:t>
      </w:r>
      <w:r w:rsidRPr="00461D74">
        <w:rPr>
          <w:rStyle w:val="FootnoteReference"/>
          <w:rFonts w:ascii="Garamond" w:hAnsi="Garamond" w:cstheme="minorHAnsi"/>
          <w:sz w:val="24"/>
          <w:szCs w:val="24"/>
        </w:rPr>
        <w:footnoteReference w:id="434"/>
      </w:r>
      <w:r w:rsidRPr="00461D74">
        <w:rPr>
          <w:rFonts w:ascii="Garamond" w:hAnsi="Garamond" w:cstheme="minorHAnsi"/>
          <w:sz w:val="24"/>
          <w:szCs w:val="24"/>
        </w:rPr>
        <w:t xml:space="preserve"> The idea of an overlapping consensus can ground our premises about the priority of justice</w:t>
      </w:r>
      <w:r w:rsidR="00AC517A" w:rsidRPr="00461D74">
        <w:rPr>
          <w:rFonts w:ascii="Garamond" w:hAnsi="Garamond" w:cstheme="minorHAnsi"/>
          <w:sz w:val="24"/>
          <w:szCs w:val="24"/>
        </w:rPr>
        <w:t>;</w:t>
      </w:r>
      <w:r w:rsidRPr="00461D74">
        <w:rPr>
          <w:rFonts w:ascii="Garamond" w:hAnsi="Garamond" w:cstheme="minorHAnsi"/>
          <w:sz w:val="24"/>
          <w:szCs w:val="24"/>
        </w:rPr>
        <w:t xml:space="preserve"> we can then </w:t>
      </w:r>
      <w:r w:rsidR="00AC517A" w:rsidRPr="00461D74">
        <w:rPr>
          <w:rFonts w:ascii="Garamond" w:hAnsi="Garamond" w:cstheme="minorHAnsi"/>
          <w:sz w:val="24"/>
          <w:szCs w:val="24"/>
        </w:rPr>
        <w:t>offer our</w:t>
      </w:r>
      <w:r w:rsidRPr="00461D74">
        <w:rPr>
          <w:rFonts w:ascii="Garamond" w:hAnsi="Garamond" w:cstheme="minorHAnsi"/>
          <w:sz w:val="24"/>
          <w:szCs w:val="24"/>
        </w:rPr>
        <w:t xml:space="preserve"> allegiance to this idea. A problem </w:t>
      </w:r>
      <w:r w:rsidR="00AC517A" w:rsidRPr="00461D74">
        <w:rPr>
          <w:rFonts w:ascii="Garamond" w:hAnsi="Garamond" w:cstheme="minorHAnsi"/>
          <w:sz w:val="24"/>
          <w:szCs w:val="24"/>
        </w:rPr>
        <w:t xml:space="preserve">that emerges </w:t>
      </w:r>
      <w:r w:rsidRPr="00461D74">
        <w:rPr>
          <w:rFonts w:ascii="Garamond" w:hAnsi="Garamond" w:cstheme="minorHAnsi"/>
          <w:sz w:val="24"/>
          <w:szCs w:val="24"/>
        </w:rPr>
        <w:t xml:space="preserve">for Rawls’ account is that allegiance to this </w:t>
      </w:r>
      <w:r w:rsidR="00AC517A" w:rsidRPr="00461D74">
        <w:rPr>
          <w:rFonts w:ascii="Garamond" w:hAnsi="Garamond" w:cstheme="minorHAnsi"/>
          <w:sz w:val="24"/>
          <w:szCs w:val="24"/>
        </w:rPr>
        <w:t xml:space="preserve">conception </w:t>
      </w:r>
      <w:r w:rsidRPr="00461D74">
        <w:rPr>
          <w:rFonts w:ascii="Garamond" w:hAnsi="Garamond" w:cstheme="minorHAnsi"/>
          <w:sz w:val="24"/>
          <w:szCs w:val="24"/>
        </w:rPr>
        <w:t xml:space="preserve">of justice, </w:t>
      </w:r>
      <w:r w:rsidR="00AC517A" w:rsidRPr="00461D74">
        <w:rPr>
          <w:rFonts w:ascii="Garamond" w:hAnsi="Garamond" w:cstheme="minorHAnsi"/>
          <w:sz w:val="24"/>
          <w:szCs w:val="24"/>
        </w:rPr>
        <w:t>wh</w:t>
      </w:r>
      <w:r w:rsidR="00E07CCE" w:rsidRPr="00461D74">
        <w:rPr>
          <w:rFonts w:ascii="Garamond" w:hAnsi="Garamond" w:cstheme="minorHAnsi"/>
          <w:sz w:val="24"/>
          <w:szCs w:val="24"/>
        </w:rPr>
        <w:t xml:space="preserve">ich </w:t>
      </w:r>
      <w:r w:rsidR="00E0325C">
        <w:rPr>
          <w:rFonts w:ascii="Garamond" w:hAnsi="Garamond" w:cstheme="minorHAnsi"/>
          <w:sz w:val="24"/>
          <w:szCs w:val="24"/>
        </w:rPr>
        <w:t>entails</w:t>
      </w:r>
      <w:r w:rsidR="00E0325C" w:rsidRPr="00461D74">
        <w:rPr>
          <w:rFonts w:ascii="Garamond" w:hAnsi="Garamond" w:cstheme="minorHAnsi"/>
          <w:sz w:val="24"/>
          <w:szCs w:val="24"/>
        </w:rPr>
        <w:t xml:space="preserve"> </w:t>
      </w:r>
      <w:r w:rsidR="00AC517A" w:rsidRPr="00461D74">
        <w:rPr>
          <w:rFonts w:ascii="Garamond" w:hAnsi="Garamond" w:cstheme="minorHAnsi"/>
          <w:sz w:val="24"/>
          <w:szCs w:val="24"/>
        </w:rPr>
        <w:t xml:space="preserve">the </w:t>
      </w:r>
      <w:r w:rsidRPr="00461D74">
        <w:rPr>
          <w:rFonts w:ascii="Garamond" w:hAnsi="Garamond" w:cstheme="minorHAnsi"/>
          <w:sz w:val="24"/>
          <w:szCs w:val="24"/>
        </w:rPr>
        <w:t xml:space="preserve">priority of the right over the good, </w:t>
      </w:r>
      <w:r w:rsidR="00E0325C">
        <w:rPr>
          <w:rFonts w:ascii="Garamond" w:hAnsi="Garamond" w:cstheme="minorHAnsi"/>
          <w:sz w:val="24"/>
          <w:szCs w:val="24"/>
        </w:rPr>
        <w:t xml:space="preserve">is that it </w:t>
      </w:r>
      <w:r w:rsidR="00AC517A" w:rsidRPr="00461D74">
        <w:rPr>
          <w:rFonts w:ascii="Garamond" w:hAnsi="Garamond" w:cstheme="minorHAnsi"/>
          <w:sz w:val="24"/>
          <w:szCs w:val="24"/>
        </w:rPr>
        <w:t>remains</w:t>
      </w:r>
      <w:r w:rsidRPr="00461D74">
        <w:rPr>
          <w:rFonts w:ascii="Garamond" w:hAnsi="Garamond" w:cstheme="minorHAnsi"/>
          <w:sz w:val="24"/>
          <w:szCs w:val="24"/>
        </w:rPr>
        <w:t xml:space="preserve"> somewhat</w:t>
      </w:r>
      <w:r w:rsidR="00AC517A" w:rsidRPr="00461D74">
        <w:rPr>
          <w:rFonts w:ascii="Garamond" w:hAnsi="Garamond" w:cstheme="minorHAnsi"/>
          <w:sz w:val="24"/>
          <w:szCs w:val="24"/>
        </w:rPr>
        <w:t xml:space="preserve"> </w:t>
      </w:r>
      <w:r w:rsidRPr="00461D74">
        <w:rPr>
          <w:rFonts w:ascii="Garamond" w:hAnsi="Garamond" w:cstheme="minorHAnsi"/>
          <w:sz w:val="24"/>
          <w:szCs w:val="24"/>
        </w:rPr>
        <w:t>abstract</w:t>
      </w:r>
      <w:r w:rsidR="00AC517A" w:rsidRPr="00461D74">
        <w:rPr>
          <w:rFonts w:ascii="Garamond" w:hAnsi="Garamond" w:cstheme="minorHAnsi"/>
          <w:sz w:val="24"/>
          <w:szCs w:val="24"/>
        </w:rPr>
        <w:t xml:space="preserve"> and underspecified. So for example, each individual person could potentially assign a different relative </w:t>
      </w:r>
      <w:r w:rsidRPr="00461D74">
        <w:rPr>
          <w:rFonts w:ascii="Garamond" w:hAnsi="Garamond" w:cstheme="minorHAnsi"/>
          <w:sz w:val="24"/>
          <w:szCs w:val="24"/>
        </w:rPr>
        <w:t xml:space="preserve">priority to different </w:t>
      </w:r>
      <w:r w:rsidR="00AC517A" w:rsidRPr="00461D74">
        <w:rPr>
          <w:rFonts w:ascii="Garamond" w:hAnsi="Garamond" w:cstheme="minorHAnsi"/>
          <w:sz w:val="24"/>
          <w:szCs w:val="24"/>
        </w:rPr>
        <w:t xml:space="preserve">principles </w:t>
      </w:r>
      <w:r w:rsidRPr="00461D74">
        <w:rPr>
          <w:rFonts w:ascii="Garamond" w:hAnsi="Garamond" w:cstheme="minorHAnsi"/>
          <w:sz w:val="24"/>
          <w:szCs w:val="24"/>
        </w:rPr>
        <w:t xml:space="preserve">that </w:t>
      </w:r>
      <w:r w:rsidR="00AC517A" w:rsidRPr="00461D74">
        <w:rPr>
          <w:rFonts w:ascii="Garamond" w:hAnsi="Garamond" w:cstheme="minorHAnsi"/>
          <w:sz w:val="24"/>
          <w:szCs w:val="24"/>
        </w:rPr>
        <w:t xml:space="preserve">they happen to </w:t>
      </w:r>
      <w:r w:rsidRPr="00461D74">
        <w:rPr>
          <w:rFonts w:ascii="Garamond" w:hAnsi="Garamond" w:cstheme="minorHAnsi"/>
          <w:sz w:val="24"/>
          <w:szCs w:val="24"/>
        </w:rPr>
        <w:t>hold.</w:t>
      </w:r>
      <w:r w:rsidRPr="00461D74">
        <w:rPr>
          <w:rStyle w:val="FootnoteReference"/>
          <w:rFonts w:ascii="Garamond" w:hAnsi="Garamond" w:cstheme="minorHAnsi"/>
          <w:sz w:val="24"/>
          <w:szCs w:val="24"/>
        </w:rPr>
        <w:footnoteReference w:id="435"/>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On Dewey’s account</w:t>
      </w:r>
      <w:r w:rsidR="00F655E6">
        <w:rPr>
          <w:rFonts w:ascii="Garamond" w:hAnsi="Garamond" w:cstheme="minorHAnsi"/>
          <w:sz w:val="24"/>
          <w:szCs w:val="24"/>
        </w:rPr>
        <w:t>,</w:t>
      </w:r>
      <w:r w:rsidRPr="00461D74">
        <w:rPr>
          <w:rFonts w:ascii="Garamond" w:hAnsi="Garamond" w:cstheme="minorHAnsi"/>
          <w:sz w:val="24"/>
          <w:szCs w:val="24"/>
        </w:rPr>
        <w:t xml:space="preserve"> the individual is primarily attached in a political sense to her own community. But on the Deweyan view, local democratic </w:t>
      </w:r>
      <w:r w:rsidRPr="00461D74">
        <w:rPr>
          <w:rFonts w:ascii="Garamond" w:hAnsi="Garamond" w:cstheme="minorHAnsi"/>
          <w:sz w:val="24"/>
          <w:szCs w:val="24"/>
        </w:rPr>
        <w:lastRenderedPageBreak/>
        <w:t xml:space="preserve">activities are more effective and robust when </w:t>
      </w:r>
      <w:r w:rsidR="00E07CCE" w:rsidRPr="00461D74">
        <w:rPr>
          <w:rFonts w:ascii="Garamond" w:hAnsi="Garamond" w:cstheme="minorHAnsi"/>
          <w:sz w:val="24"/>
          <w:szCs w:val="24"/>
        </w:rPr>
        <w:t>the community</w:t>
      </w:r>
      <w:r w:rsidRPr="00461D74">
        <w:rPr>
          <w:rFonts w:ascii="Garamond" w:hAnsi="Garamond" w:cstheme="minorHAnsi"/>
          <w:sz w:val="24"/>
          <w:szCs w:val="24"/>
        </w:rPr>
        <w:t xml:space="preserve"> is inclusive of democratic dialogue between various communities</w:t>
      </w:r>
      <w:r w:rsidR="00981FB9" w:rsidRPr="00461D74">
        <w:rPr>
          <w:rFonts w:ascii="Garamond" w:hAnsi="Garamond" w:cstheme="minorHAnsi"/>
          <w:sz w:val="24"/>
          <w:szCs w:val="24"/>
        </w:rPr>
        <w:t xml:space="preserve"> (or publics)</w:t>
      </w:r>
      <w:r w:rsidRPr="00461D74">
        <w:rPr>
          <w:rFonts w:ascii="Garamond" w:hAnsi="Garamond" w:cstheme="minorHAnsi"/>
          <w:sz w:val="24"/>
          <w:szCs w:val="24"/>
        </w:rPr>
        <w:t xml:space="preserve">. On this view, while the individual in the first instance offers her allegiance to her own community, she understands that the </w:t>
      </w:r>
      <w:r w:rsidR="00B57E6A" w:rsidRPr="00461D74">
        <w:rPr>
          <w:rFonts w:ascii="Garamond" w:hAnsi="Garamond" w:cstheme="minorHAnsi"/>
          <w:sz w:val="24"/>
          <w:szCs w:val="24"/>
        </w:rPr>
        <w:t xml:space="preserve">political </w:t>
      </w:r>
      <w:r w:rsidRPr="00461D74">
        <w:rPr>
          <w:rFonts w:ascii="Garamond" w:hAnsi="Garamond" w:cstheme="minorHAnsi"/>
          <w:sz w:val="24"/>
          <w:szCs w:val="24"/>
        </w:rPr>
        <w:t>process does not end at the level of local community</w:t>
      </w:r>
      <w:r w:rsidR="00981FB9" w:rsidRPr="00461D74">
        <w:rPr>
          <w:rFonts w:ascii="Garamond" w:hAnsi="Garamond" w:cstheme="minorHAnsi"/>
          <w:sz w:val="24"/>
          <w:szCs w:val="24"/>
        </w:rPr>
        <w:t xml:space="preserve">; and that a truly </w:t>
      </w:r>
      <w:r w:rsidRPr="00461D74">
        <w:rPr>
          <w:rFonts w:ascii="Garamond" w:hAnsi="Garamond" w:cstheme="minorHAnsi"/>
          <w:sz w:val="24"/>
          <w:szCs w:val="24"/>
        </w:rPr>
        <w:t xml:space="preserve">effective local democracy is </w:t>
      </w:r>
      <w:r w:rsidR="00981FB9" w:rsidRPr="00461D74">
        <w:rPr>
          <w:rFonts w:ascii="Garamond" w:hAnsi="Garamond" w:cstheme="minorHAnsi"/>
          <w:sz w:val="24"/>
          <w:szCs w:val="24"/>
        </w:rPr>
        <w:t xml:space="preserve">sustained by engaging in a deliberative dialogue </w:t>
      </w:r>
      <w:r w:rsidRPr="00461D74">
        <w:rPr>
          <w:rFonts w:ascii="Garamond" w:hAnsi="Garamond" w:cstheme="minorHAnsi"/>
          <w:sz w:val="24"/>
          <w:szCs w:val="24"/>
        </w:rPr>
        <w:t>with other communities</w:t>
      </w:r>
      <w:r w:rsidR="00981FB9" w:rsidRPr="00461D74">
        <w:rPr>
          <w:rFonts w:ascii="Garamond" w:hAnsi="Garamond" w:cstheme="minorHAnsi"/>
          <w:sz w:val="24"/>
          <w:szCs w:val="24"/>
        </w:rPr>
        <w:t>. Yet, this sort of inter-community dialogue can only be realised with the help of the state and its institutions</w:t>
      </w:r>
      <w:r w:rsidRPr="00461D74">
        <w:rPr>
          <w:rFonts w:ascii="Garamond" w:hAnsi="Garamond" w:cstheme="minorHAnsi"/>
          <w:sz w:val="24"/>
          <w:szCs w:val="24"/>
        </w:rPr>
        <w:t>. Dewey</w:t>
      </w:r>
      <w:r w:rsidR="00981FB9" w:rsidRPr="00461D74">
        <w:rPr>
          <w:rFonts w:ascii="Garamond" w:hAnsi="Garamond" w:cstheme="minorHAnsi"/>
          <w:sz w:val="24"/>
          <w:szCs w:val="24"/>
        </w:rPr>
        <w:t>, therefore,</w:t>
      </w:r>
      <w:r w:rsidRPr="00461D74">
        <w:rPr>
          <w:rFonts w:ascii="Garamond" w:hAnsi="Garamond" w:cstheme="minorHAnsi"/>
          <w:sz w:val="24"/>
          <w:szCs w:val="24"/>
        </w:rPr>
        <w:t xml:space="preserve"> </w:t>
      </w:r>
      <w:r w:rsidR="00981FB9" w:rsidRPr="00461D74">
        <w:rPr>
          <w:rFonts w:ascii="Garamond" w:hAnsi="Garamond" w:cstheme="minorHAnsi"/>
          <w:sz w:val="24"/>
          <w:szCs w:val="24"/>
        </w:rPr>
        <w:t xml:space="preserve">argues that </w:t>
      </w:r>
      <w:r w:rsidRPr="00461D74">
        <w:rPr>
          <w:rFonts w:ascii="Garamond" w:hAnsi="Garamond" w:cstheme="minorHAnsi"/>
          <w:sz w:val="24"/>
          <w:szCs w:val="24"/>
        </w:rPr>
        <w:t xml:space="preserve">the state </w:t>
      </w:r>
      <w:r w:rsidR="00981FB9" w:rsidRPr="00461D74">
        <w:rPr>
          <w:rFonts w:ascii="Garamond" w:hAnsi="Garamond" w:cstheme="minorHAnsi"/>
          <w:sz w:val="24"/>
          <w:szCs w:val="24"/>
        </w:rPr>
        <w:t xml:space="preserve">should act </w:t>
      </w:r>
      <w:r w:rsidRPr="00461D74">
        <w:rPr>
          <w:rFonts w:ascii="Garamond" w:hAnsi="Garamond" w:cstheme="minorHAnsi"/>
          <w:sz w:val="24"/>
          <w:szCs w:val="24"/>
        </w:rPr>
        <w:t xml:space="preserve">as a secondary form of association. </w:t>
      </w:r>
      <w:r w:rsidR="009D1A8F">
        <w:rPr>
          <w:rFonts w:ascii="Garamond" w:hAnsi="Garamond" w:cstheme="minorHAnsi"/>
          <w:sz w:val="24"/>
          <w:szCs w:val="24"/>
        </w:rPr>
        <w:t>Here</w:t>
      </w:r>
      <w:r w:rsidRPr="00461D74">
        <w:rPr>
          <w:rFonts w:ascii="Garamond" w:hAnsi="Garamond" w:cstheme="minorHAnsi"/>
          <w:sz w:val="24"/>
          <w:szCs w:val="24"/>
        </w:rPr>
        <w:t xml:space="preserve">, we </w:t>
      </w:r>
      <w:r w:rsidR="00FE5EDF" w:rsidRPr="00461D74">
        <w:rPr>
          <w:rFonts w:ascii="Garamond" w:hAnsi="Garamond" w:cstheme="minorHAnsi"/>
          <w:sz w:val="24"/>
          <w:szCs w:val="24"/>
        </w:rPr>
        <w:t xml:space="preserve">are forced </w:t>
      </w:r>
      <w:r w:rsidR="00981FB9" w:rsidRPr="00461D74">
        <w:rPr>
          <w:rFonts w:ascii="Garamond" w:hAnsi="Garamond" w:cstheme="minorHAnsi"/>
          <w:sz w:val="24"/>
          <w:szCs w:val="24"/>
        </w:rPr>
        <w:t xml:space="preserve">to </w:t>
      </w:r>
      <w:r w:rsidRPr="00461D74">
        <w:rPr>
          <w:rFonts w:ascii="Garamond" w:hAnsi="Garamond" w:cstheme="minorHAnsi"/>
          <w:sz w:val="24"/>
          <w:szCs w:val="24"/>
        </w:rPr>
        <w:t xml:space="preserve">connect our local </w:t>
      </w:r>
      <w:r w:rsidR="00981FB9" w:rsidRPr="00461D74">
        <w:rPr>
          <w:rFonts w:ascii="Garamond" w:hAnsi="Garamond" w:cstheme="minorHAnsi"/>
          <w:sz w:val="24"/>
          <w:szCs w:val="24"/>
        </w:rPr>
        <w:t xml:space="preserve">participatory </w:t>
      </w:r>
      <w:r w:rsidRPr="00461D74">
        <w:rPr>
          <w:rFonts w:ascii="Garamond" w:hAnsi="Garamond" w:cstheme="minorHAnsi"/>
          <w:sz w:val="24"/>
          <w:szCs w:val="24"/>
        </w:rPr>
        <w:t xml:space="preserve">politics of the common good to this </w:t>
      </w:r>
      <w:r w:rsidR="00981FB9" w:rsidRPr="00461D74">
        <w:rPr>
          <w:rFonts w:ascii="Garamond" w:hAnsi="Garamond" w:cstheme="minorHAnsi"/>
          <w:sz w:val="24"/>
          <w:szCs w:val="24"/>
        </w:rPr>
        <w:t xml:space="preserve">larger </w:t>
      </w:r>
      <w:r w:rsidRPr="00461D74">
        <w:rPr>
          <w:rFonts w:ascii="Garamond" w:hAnsi="Garamond" w:cstheme="minorHAnsi"/>
          <w:sz w:val="24"/>
          <w:szCs w:val="24"/>
        </w:rPr>
        <w:t xml:space="preserve">democratic sphere </w:t>
      </w:r>
      <w:r w:rsidR="00981FB9" w:rsidRPr="00461D74">
        <w:rPr>
          <w:rFonts w:ascii="Garamond" w:hAnsi="Garamond" w:cstheme="minorHAnsi"/>
          <w:sz w:val="24"/>
          <w:szCs w:val="24"/>
        </w:rPr>
        <w:t xml:space="preserve">– namely, the state – </w:t>
      </w:r>
      <w:r w:rsidR="00FE5EDF" w:rsidRPr="00461D74">
        <w:rPr>
          <w:rFonts w:ascii="Garamond" w:hAnsi="Garamond" w:cstheme="minorHAnsi"/>
          <w:sz w:val="24"/>
          <w:szCs w:val="24"/>
        </w:rPr>
        <w:t>because</w:t>
      </w:r>
      <w:r w:rsidR="00981FB9" w:rsidRPr="00461D74">
        <w:rPr>
          <w:rFonts w:ascii="Garamond" w:hAnsi="Garamond" w:cstheme="minorHAnsi"/>
          <w:sz w:val="24"/>
          <w:szCs w:val="24"/>
        </w:rPr>
        <w:t xml:space="preserve"> the problems that are </w:t>
      </w:r>
      <w:r w:rsidR="00FE5EDF" w:rsidRPr="00461D74">
        <w:rPr>
          <w:rFonts w:ascii="Garamond" w:hAnsi="Garamond" w:cstheme="minorHAnsi"/>
          <w:sz w:val="24"/>
          <w:szCs w:val="24"/>
        </w:rPr>
        <w:t>generated</w:t>
      </w:r>
      <w:r w:rsidR="00981FB9" w:rsidRPr="00461D74">
        <w:rPr>
          <w:rFonts w:ascii="Garamond" w:hAnsi="Garamond" w:cstheme="minorHAnsi"/>
          <w:sz w:val="24"/>
          <w:szCs w:val="24"/>
        </w:rPr>
        <w:t xml:space="preserve"> by the </w:t>
      </w:r>
      <w:r w:rsidR="00FE5EDF" w:rsidRPr="00461D74">
        <w:rPr>
          <w:rFonts w:ascii="Garamond" w:hAnsi="Garamond" w:cstheme="minorHAnsi"/>
          <w:sz w:val="24"/>
          <w:szCs w:val="24"/>
        </w:rPr>
        <w:t>presence of a large number of communities can only be settled thr</w:t>
      </w:r>
      <w:r w:rsidR="00E07CCE" w:rsidRPr="00461D74">
        <w:rPr>
          <w:rFonts w:ascii="Garamond" w:hAnsi="Garamond" w:cstheme="minorHAnsi"/>
          <w:sz w:val="24"/>
          <w:szCs w:val="24"/>
        </w:rPr>
        <w:t>ough</w:t>
      </w:r>
      <w:r w:rsidR="00FE5EDF" w:rsidRPr="00461D74">
        <w:rPr>
          <w:rFonts w:ascii="Garamond" w:hAnsi="Garamond" w:cstheme="minorHAnsi"/>
          <w:sz w:val="24"/>
          <w:szCs w:val="24"/>
        </w:rPr>
        <w:t xml:space="preserve"> the mechanisms</w:t>
      </w:r>
      <w:r w:rsidR="009D1A8F">
        <w:rPr>
          <w:rFonts w:ascii="Garamond" w:hAnsi="Garamond" w:cstheme="minorHAnsi"/>
          <w:sz w:val="24"/>
          <w:szCs w:val="24"/>
        </w:rPr>
        <w:t xml:space="preserve"> </w:t>
      </w:r>
      <w:r w:rsidR="00F655E6">
        <w:rPr>
          <w:rFonts w:ascii="Garamond" w:hAnsi="Garamond" w:cstheme="minorHAnsi"/>
          <w:sz w:val="24"/>
          <w:szCs w:val="24"/>
        </w:rPr>
        <w:t xml:space="preserve">that </w:t>
      </w:r>
      <w:r w:rsidR="009D1A8F">
        <w:rPr>
          <w:rFonts w:ascii="Garamond" w:hAnsi="Garamond" w:cstheme="minorHAnsi"/>
          <w:sz w:val="24"/>
          <w:szCs w:val="24"/>
        </w:rPr>
        <w:t>exist in</w:t>
      </w:r>
      <w:r w:rsidR="00FE5EDF" w:rsidRPr="00461D74">
        <w:rPr>
          <w:rFonts w:ascii="Garamond" w:hAnsi="Garamond" w:cstheme="minorHAnsi"/>
          <w:sz w:val="24"/>
          <w:szCs w:val="24"/>
        </w:rPr>
        <w:t>, and the resources</w:t>
      </w:r>
      <w:r w:rsidR="009D1A8F">
        <w:rPr>
          <w:rFonts w:ascii="Garamond" w:hAnsi="Garamond" w:cstheme="minorHAnsi"/>
          <w:sz w:val="24"/>
          <w:szCs w:val="24"/>
        </w:rPr>
        <w:t xml:space="preserve"> afforded by</w:t>
      </w:r>
      <w:r w:rsidR="00FE5EDF" w:rsidRPr="00461D74">
        <w:rPr>
          <w:rFonts w:ascii="Garamond" w:hAnsi="Garamond" w:cstheme="minorHAnsi"/>
          <w:sz w:val="24"/>
          <w:szCs w:val="24"/>
        </w:rPr>
        <w:t>, the state.</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w:t>
      </w:r>
      <w:r w:rsidR="00FE5EDF" w:rsidRPr="00461D74">
        <w:rPr>
          <w:rFonts w:ascii="Garamond" w:hAnsi="Garamond" w:cstheme="minorHAnsi"/>
          <w:sz w:val="24"/>
          <w:szCs w:val="24"/>
        </w:rPr>
        <w:t>refore, the</w:t>
      </w:r>
      <w:r w:rsidRPr="00461D74">
        <w:rPr>
          <w:rFonts w:ascii="Garamond" w:hAnsi="Garamond" w:cstheme="minorHAnsi"/>
          <w:sz w:val="24"/>
          <w:szCs w:val="24"/>
        </w:rPr>
        <w:t xml:space="preserve"> construction of the wider democratic sphere is </w:t>
      </w:r>
      <w:r w:rsidR="00FE5EDF" w:rsidRPr="00461D74">
        <w:rPr>
          <w:rFonts w:ascii="Garamond" w:hAnsi="Garamond" w:cstheme="minorHAnsi"/>
          <w:sz w:val="24"/>
          <w:szCs w:val="24"/>
        </w:rPr>
        <w:t xml:space="preserve">a necessary component </w:t>
      </w:r>
      <w:r w:rsidRPr="00461D74">
        <w:rPr>
          <w:rFonts w:ascii="Garamond" w:hAnsi="Garamond" w:cstheme="minorHAnsi"/>
          <w:sz w:val="24"/>
          <w:szCs w:val="24"/>
        </w:rPr>
        <w:t xml:space="preserve">of political activity at the level of </w:t>
      </w:r>
      <w:r w:rsidR="00E07CCE" w:rsidRPr="00461D74">
        <w:rPr>
          <w:rFonts w:ascii="Garamond" w:hAnsi="Garamond" w:cstheme="minorHAnsi"/>
          <w:sz w:val="24"/>
          <w:szCs w:val="24"/>
        </w:rPr>
        <w:t xml:space="preserve">the </w:t>
      </w:r>
      <w:r w:rsidRPr="00461D74">
        <w:rPr>
          <w:rFonts w:ascii="Garamond" w:hAnsi="Garamond" w:cstheme="minorHAnsi"/>
          <w:sz w:val="24"/>
          <w:szCs w:val="24"/>
        </w:rPr>
        <w:t>local community</w:t>
      </w:r>
      <w:r w:rsidR="008E2CE7" w:rsidRPr="00461D74">
        <w:rPr>
          <w:rFonts w:ascii="Garamond" w:hAnsi="Garamond" w:cstheme="minorHAnsi"/>
          <w:sz w:val="24"/>
          <w:szCs w:val="24"/>
        </w:rPr>
        <w:t>. In addition,</w:t>
      </w:r>
      <w:r w:rsidR="00FE5EDF" w:rsidRPr="00461D74">
        <w:rPr>
          <w:rFonts w:ascii="Garamond" w:hAnsi="Garamond" w:cstheme="minorHAnsi"/>
          <w:sz w:val="24"/>
          <w:szCs w:val="24"/>
        </w:rPr>
        <w:t xml:space="preserve"> </w:t>
      </w:r>
      <w:r w:rsidR="008E2CE7" w:rsidRPr="00461D74">
        <w:rPr>
          <w:rFonts w:ascii="Garamond" w:hAnsi="Garamond" w:cstheme="minorHAnsi"/>
          <w:sz w:val="24"/>
          <w:szCs w:val="24"/>
        </w:rPr>
        <w:t>the individual’s good is irreducibly social</w:t>
      </w:r>
      <w:r w:rsidR="00D2562D" w:rsidRPr="00461D74">
        <w:rPr>
          <w:rFonts w:ascii="Garamond" w:hAnsi="Garamond" w:cstheme="minorHAnsi"/>
          <w:sz w:val="24"/>
          <w:szCs w:val="24"/>
        </w:rPr>
        <w:t xml:space="preserve">. Phrased </w:t>
      </w:r>
      <w:r w:rsidR="008E2CE7" w:rsidRPr="00461D74">
        <w:rPr>
          <w:rFonts w:ascii="Garamond" w:hAnsi="Garamond" w:cstheme="minorHAnsi"/>
          <w:sz w:val="24"/>
          <w:szCs w:val="24"/>
        </w:rPr>
        <w:t xml:space="preserve">differently, Dewey </w:t>
      </w:r>
      <w:r w:rsidR="00D2562D" w:rsidRPr="00461D74">
        <w:rPr>
          <w:rFonts w:ascii="Garamond" w:hAnsi="Garamond" w:cstheme="minorHAnsi"/>
          <w:sz w:val="24"/>
          <w:szCs w:val="24"/>
        </w:rPr>
        <w:t xml:space="preserve">defines </w:t>
      </w:r>
      <w:r w:rsidR="008E2CE7" w:rsidRPr="00461D74">
        <w:rPr>
          <w:rFonts w:ascii="Garamond" w:hAnsi="Garamond" w:cstheme="minorHAnsi"/>
          <w:sz w:val="24"/>
          <w:szCs w:val="24"/>
        </w:rPr>
        <w:t>the</w:t>
      </w:r>
      <w:r w:rsidRPr="00461D74">
        <w:rPr>
          <w:rFonts w:ascii="Garamond" w:hAnsi="Garamond" w:cstheme="minorHAnsi"/>
          <w:sz w:val="24"/>
          <w:szCs w:val="24"/>
        </w:rPr>
        <w:t xml:space="preserve"> individual good</w:t>
      </w:r>
      <w:r w:rsidR="00D2562D" w:rsidRPr="00461D74">
        <w:rPr>
          <w:rFonts w:ascii="Garamond" w:hAnsi="Garamond" w:cstheme="minorHAnsi"/>
          <w:sz w:val="24"/>
          <w:szCs w:val="24"/>
        </w:rPr>
        <w:t>’s</w:t>
      </w:r>
      <w:r w:rsidRPr="00461D74">
        <w:rPr>
          <w:rFonts w:ascii="Garamond" w:hAnsi="Garamond" w:cstheme="minorHAnsi"/>
          <w:sz w:val="24"/>
          <w:szCs w:val="24"/>
        </w:rPr>
        <w:t xml:space="preserve"> </w:t>
      </w:r>
      <w:r w:rsidR="00D2562D" w:rsidRPr="00461D74">
        <w:rPr>
          <w:rFonts w:ascii="Garamond" w:hAnsi="Garamond" w:cstheme="minorHAnsi"/>
          <w:sz w:val="24"/>
          <w:szCs w:val="24"/>
        </w:rPr>
        <w:t xml:space="preserve">as conceptually interlinked with his conception of the common good, and therefore, the individual’s good is </w:t>
      </w:r>
      <w:r w:rsidR="008E2CE7" w:rsidRPr="00461D74">
        <w:rPr>
          <w:rFonts w:ascii="Garamond" w:hAnsi="Garamond" w:cstheme="minorHAnsi"/>
          <w:sz w:val="24"/>
          <w:szCs w:val="24"/>
        </w:rPr>
        <w:t>irreducibly</w:t>
      </w:r>
      <w:r w:rsidR="00FE5EDF" w:rsidRPr="00461D74">
        <w:rPr>
          <w:rFonts w:ascii="Garamond" w:hAnsi="Garamond" w:cstheme="minorHAnsi"/>
          <w:sz w:val="24"/>
          <w:szCs w:val="24"/>
        </w:rPr>
        <w:t xml:space="preserve"> </w:t>
      </w:r>
      <w:r w:rsidRPr="00461D74">
        <w:rPr>
          <w:rFonts w:ascii="Garamond" w:hAnsi="Garamond" w:cstheme="minorHAnsi"/>
          <w:sz w:val="24"/>
          <w:szCs w:val="24"/>
        </w:rPr>
        <w:t xml:space="preserve">connected to </w:t>
      </w:r>
      <w:r w:rsidR="00D2562D" w:rsidRPr="00461D74">
        <w:rPr>
          <w:rFonts w:ascii="Garamond" w:hAnsi="Garamond" w:cstheme="minorHAnsi"/>
          <w:sz w:val="24"/>
          <w:szCs w:val="24"/>
        </w:rPr>
        <w:t xml:space="preserve">Dewey’s notion </w:t>
      </w:r>
      <w:r w:rsidRPr="00461D74">
        <w:rPr>
          <w:rFonts w:ascii="Garamond" w:hAnsi="Garamond" w:cstheme="minorHAnsi"/>
          <w:sz w:val="24"/>
          <w:szCs w:val="24"/>
        </w:rPr>
        <w:t xml:space="preserve">of the </w:t>
      </w:r>
      <w:r w:rsidR="00556849" w:rsidRPr="00461D74">
        <w:rPr>
          <w:rFonts w:ascii="Garamond" w:hAnsi="Garamond" w:cstheme="minorHAnsi"/>
          <w:sz w:val="24"/>
          <w:szCs w:val="24"/>
        </w:rPr>
        <w:t xml:space="preserve">common </w:t>
      </w:r>
      <w:r w:rsidR="00FE5EDF" w:rsidRPr="00461D74">
        <w:rPr>
          <w:rFonts w:ascii="Garamond" w:hAnsi="Garamond" w:cstheme="minorHAnsi"/>
          <w:sz w:val="24"/>
          <w:szCs w:val="24"/>
        </w:rPr>
        <w:t>good</w:t>
      </w:r>
      <w:r w:rsidR="009D1A8F">
        <w:rPr>
          <w:rFonts w:ascii="Garamond" w:hAnsi="Garamond" w:cstheme="minorHAnsi"/>
          <w:sz w:val="24"/>
          <w:szCs w:val="24"/>
        </w:rPr>
        <w:t xml:space="preserve"> </w:t>
      </w:r>
      <w:r w:rsidR="00F67D2C" w:rsidRPr="00461D74">
        <w:rPr>
          <w:rFonts w:ascii="Garamond" w:hAnsi="Garamond" w:cstheme="minorHAnsi"/>
          <w:sz w:val="24"/>
          <w:szCs w:val="24"/>
        </w:rPr>
        <w:t>–</w:t>
      </w:r>
      <w:r w:rsidR="009D1A8F">
        <w:rPr>
          <w:rFonts w:ascii="Garamond" w:hAnsi="Garamond" w:cstheme="minorHAnsi"/>
          <w:sz w:val="24"/>
          <w:szCs w:val="24"/>
        </w:rPr>
        <w:t xml:space="preserve"> </w:t>
      </w:r>
      <w:r w:rsidR="00F67D2C" w:rsidRPr="00461D74">
        <w:rPr>
          <w:rFonts w:ascii="Garamond" w:hAnsi="Garamond" w:cstheme="minorHAnsi"/>
          <w:sz w:val="24"/>
          <w:szCs w:val="24"/>
        </w:rPr>
        <w:t xml:space="preserve">namely, </w:t>
      </w:r>
      <w:r w:rsidR="00F655E6">
        <w:rPr>
          <w:rFonts w:ascii="Garamond" w:hAnsi="Garamond" w:cstheme="minorHAnsi"/>
          <w:sz w:val="24"/>
          <w:szCs w:val="24"/>
        </w:rPr>
        <w:t>g</w:t>
      </w:r>
      <w:r w:rsidR="00F67D2C" w:rsidRPr="00461D74">
        <w:rPr>
          <w:rFonts w:ascii="Garamond" w:hAnsi="Garamond" w:cstheme="minorHAnsi"/>
          <w:sz w:val="24"/>
          <w:szCs w:val="24"/>
        </w:rPr>
        <w:t>rowth</w:t>
      </w:r>
      <w:r w:rsidR="00D2562D" w:rsidRPr="00461D74">
        <w:rPr>
          <w:rFonts w:ascii="Garamond" w:hAnsi="Garamond" w:cstheme="minorHAnsi"/>
          <w:sz w:val="24"/>
          <w:szCs w:val="24"/>
        </w:rPr>
        <w:t xml:space="preserve">. </w:t>
      </w:r>
      <w:r w:rsidR="001E2430">
        <w:rPr>
          <w:rFonts w:ascii="Garamond" w:hAnsi="Garamond" w:cstheme="minorHAnsi"/>
          <w:sz w:val="24"/>
          <w:szCs w:val="24"/>
        </w:rPr>
        <w:t xml:space="preserve">Now, </w:t>
      </w:r>
      <w:r w:rsidR="00D2562D" w:rsidRPr="00461D74">
        <w:rPr>
          <w:rFonts w:ascii="Garamond" w:hAnsi="Garamond" w:cstheme="minorHAnsi"/>
          <w:sz w:val="24"/>
          <w:szCs w:val="24"/>
        </w:rPr>
        <w:t>Dewey</w:t>
      </w:r>
      <w:r w:rsidR="00F655E6">
        <w:rPr>
          <w:rFonts w:ascii="Garamond" w:hAnsi="Garamond" w:cstheme="minorHAnsi"/>
          <w:sz w:val="24"/>
          <w:szCs w:val="24"/>
        </w:rPr>
        <w:t xml:space="preserve"> conceives of</w:t>
      </w:r>
      <w:r w:rsidR="00D2562D" w:rsidRPr="00461D74">
        <w:rPr>
          <w:rFonts w:ascii="Garamond" w:hAnsi="Garamond" w:cstheme="minorHAnsi"/>
          <w:sz w:val="24"/>
          <w:szCs w:val="24"/>
        </w:rPr>
        <w:t xml:space="preserve"> </w:t>
      </w:r>
      <w:r w:rsidR="00F655E6">
        <w:rPr>
          <w:rFonts w:ascii="Garamond" w:hAnsi="Garamond" w:cstheme="minorHAnsi"/>
          <w:sz w:val="24"/>
          <w:szCs w:val="24"/>
        </w:rPr>
        <w:t>g</w:t>
      </w:r>
      <w:r w:rsidR="008E2CE7" w:rsidRPr="00461D74">
        <w:rPr>
          <w:rFonts w:ascii="Garamond" w:hAnsi="Garamond" w:cstheme="minorHAnsi"/>
          <w:sz w:val="24"/>
          <w:szCs w:val="24"/>
        </w:rPr>
        <w:t xml:space="preserve">rowth </w:t>
      </w:r>
      <w:r w:rsidR="00F655E6">
        <w:rPr>
          <w:rFonts w:ascii="Garamond" w:hAnsi="Garamond" w:cstheme="minorHAnsi"/>
          <w:sz w:val="24"/>
          <w:szCs w:val="24"/>
        </w:rPr>
        <w:t>as</w:t>
      </w:r>
      <w:r w:rsidR="008E2CE7" w:rsidRPr="00461D74">
        <w:rPr>
          <w:rFonts w:ascii="Garamond" w:hAnsi="Garamond" w:cstheme="minorHAnsi"/>
          <w:sz w:val="24"/>
          <w:szCs w:val="24"/>
        </w:rPr>
        <w:t xml:space="preserve"> </w:t>
      </w:r>
      <w:r w:rsidR="001E2430">
        <w:rPr>
          <w:rFonts w:ascii="Garamond" w:hAnsi="Garamond" w:cstheme="minorHAnsi"/>
          <w:sz w:val="24"/>
          <w:szCs w:val="24"/>
        </w:rPr>
        <w:t xml:space="preserve">to an important extent </w:t>
      </w:r>
      <w:r w:rsidR="008E2CE7" w:rsidRPr="00461D74">
        <w:rPr>
          <w:rFonts w:ascii="Garamond" w:hAnsi="Garamond" w:cstheme="minorHAnsi"/>
          <w:sz w:val="24"/>
          <w:szCs w:val="24"/>
        </w:rPr>
        <w:t>realised</w:t>
      </w:r>
      <w:r w:rsidR="00F67D2C" w:rsidRPr="00461D74">
        <w:rPr>
          <w:rFonts w:ascii="Garamond" w:hAnsi="Garamond" w:cstheme="minorHAnsi"/>
          <w:sz w:val="24"/>
          <w:szCs w:val="24"/>
        </w:rPr>
        <w:t xml:space="preserve"> </w:t>
      </w:r>
      <w:r w:rsidR="008E2CE7" w:rsidRPr="00461D74">
        <w:rPr>
          <w:rFonts w:ascii="Garamond" w:hAnsi="Garamond" w:cstheme="minorHAnsi"/>
          <w:sz w:val="24"/>
          <w:szCs w:val="24"/>
        </w:rPr>
        <w:t>through</w:t>
      </w:r>
      <w:r w:rsidR="00FE5EDF" w:rsidRPr="00461D74">
        <w:rPr>
          <w:rFonts w:ascii="Garamond" w:hAnsi="Garamond" w:cstheme="minorHAnsi"/>
          <w:sz w:val="24"/>
          <w:szCs w:val="24"/>
        </w:rPr>
        <w:t xml:space="preserve"> </w:t>
      </w:r>
      <w:r w:rsidR="00D2562D" w:rsidRPr="00461D74">
        <w:rPr>
          <w:rFonts w:ascii="Garamond" w:hAnsi="Garamond" w:cstheme="minorHAnsi"/>
          <w:sz w:val="24"/>
          <w:szCs w:val="24"/>
        </w:rPr>
        <w:t xml:space="preserve">the </w:t>
      </w:r>
      <w:r w:rsidR="008E2CE7" w:rsidRPr="00461D74">
        <w:rPr>
          <w:rFonts w:ascii="Garamond" w:hAnsi="Garamond" w:cstheme="minorHAnsi"/>
          <w:sz w:val="24"/>
          <w:szCs w:val="24"/>
        </w:rPr>
        <w:t xml:space="preserve">active </w:t>
      </w:r>
      <w:r w:rsidR="00FE5EDF" w:rsidRPr="00461D74">
        <w:rPr>
          <w:rFonts w:ascii="Garamond" w:hAnsi="Garamond" w:cstheme="minorHAnsi"/>
          <w:sz w:val="24"/>
          <w:szCs w:val="24"/>
        </w:rPr>
        <w:t>participation</w:t>
      </w:r>
      <w:r w:rsidR="00F67D2C" w:rsidRPr="00461D74">
        <w:rPr>
          <w:rFonts w:ascii="Garamond" w:hAnsi="Garamond" w:cstheme="minorHAnsi"/>
          <w:sz w:val="24"/>
          <w:szCs w:val="24"/>
        </w:rPr>
        <w:t xml:space="preserve"> </w:t>
      </w:r>
      <w:r w:rsidR="00D2562D" w:rsidRPr="00461D74">
        <w:rPr>
          <w:rFonts w:ascii="Garamond" w:hAnsi="Garamond" w:cstheme="minorHAnsi"/>
          <w:sz w:val="24"/>
          <w:szCs w:val="24"/>
        </w:rPr>
        <w:t>of individuals with</w:t>
      </w:r>
      <w:r w:rsidR="00F67D2C" w:rsidRPr="00461D74">
        <w:rPr>
          <w:rFonts w:ascii="Garamond" w:hAnsi="Garamond" w:cstheme="minorHAnsi"/>
          <w:sz w:val="24"/>
          <w:szCs w:val="24"/>
        </w:rPr>
        <w:t xml:space="preserve">in </w:t>
      </w:r>
      <w:r w:rsidR="00D2562D" w:rsidRPr="00461D74">
        <w:rPr>
          <w:rFonts w:ascii="Garamond" w:hAnsi="Garamond" w:cstheme="minorHAnsi"/>
          <w:sz w:val="24"/>
          <w:szCs w:val="24"/>
        </w:rPr>
        <w:t xml:space="preserve">the context of </w:t>
      </w:r>
      <w:r w:rsidR="008E2CE7" w:rsidRPr="00461D74">
        <w:rPr>
          <w:rFonts w:ascii="Garamond" w:hAnsi="Garamond" w:cstheme="minorHAnsi"/>
          <w:sz w:val="24"/>
          <w:szCs w:val="24"/>
        </w:rPr>
        <w:t xml:space="preserve">a </w:t>
      </w:r>
      <w:r w:rsidR="00F67D2C" w:rsidRPr="00461D74">
        <w:rPr>
          <w:rFonts w:ascii="Garamond" w:hAnsi="Garamond" w:cstheme="minorHAnsi"/>
          <w:sz w:val="24"/>
          <w:szCs w:val="24"/>
        </w:rPr>
        <w:t xml:space="preserve">deliberative democratic </w:t>
      </w:r>
      <w:r w:rsidR="008E2CE7" w:rsidRPr="00461D74">
        <w:rPr>
          <w:rFonts w:ascii="Garamond" w:hAnsi="Garamond" w:cstheme="minorHAnsi"/>
          <w:sz w:val="24"/>
          <w:szCs w:val="24"/>
        </w:rPr>
        <w:t xml:space="preserve">form of </w:t>
      </w:r>
      <w:r w:rsidR="00F67D2C" w:rsidRPr="00461D74">
        <w:rPr>
          <w:rFonts w:ascii="Garamond" w:hAnsi="Garamond" w:cstheme="minorHAnsi"/>
          <w:sz w:val="24"/>
          <w:szCs w:val="24"/>
        </w:rPr>
        <w:t>inquiry</w:t>
      </w:r>
      <w:r w:rsidR="00FE5EDF" w:rsidRPr="00461D74">
        <w:rPr>
          <w:rFonts w:ascii="Garamond" w:hAnsi="Garamond" w:cstheme="minorHAnsi"/>
          <w:sz w:val="24"/>
          <w:szCs w:val="24"/>
        </w:rPr>
        <w:t xml:space="preserve">, not only </w:t>
      </w:r>
      <w:r w:rsidR="00F67D2C" w:rsidRPr="00461D74">
        <w:rPr>
          <w:rFonts w:ascii="Garamond" w:hAnsi="Garamond" w:cstheme="minorHAnsi"/>
          <w:sz w:val="24"/>
          <w:szCs w:val="24"/>
        </w:rPr>
        <w:t xml:space="preserve">as part of a resolution of social problems at the level of </w:t>
      </w:r>
      <w:r w:rsidR="00FE5EDF" w:rsidRPr="00461D74">
        <w:rPr>
          <w:rFonts w:ascii="Garamond" w:hAnsi="Garamond" w:cstheme="minorHAnsi"/>
          <w:sz w:val="24"/>
          <w:szCs w:val="24"/>
        </w:rPr>
        <w:t xml:space="preserve">local communities, but also </w:t>
      </w:r>
      <w:r w:rsidR="00F67D2C" w:rsidRPr="00461D74">
        <w:rPr>
          <w:rFonts w:ascii="Garamond" w:hAnsi="Garamond" w:cstheme="minorHAnsi"/>
          <w:sz w:val="24"/>
          <w:szCs w:val="24"/>
        </w:rPr>
        <w:t xml:space="preserve">for the sake of </w:t>
      </w:r>
      <w:r w:rsidR="008E2CE7" w:rsidRPr="00461D74">
        <w:rPr>
          <w:rFonts w:ascii="Garamond" w:hAnsi="Garamond" w:cstheme="minorHAnsi"/>
          <w:sz w:val="24"/>
          <w:szCs w:val="24"/>
        </w:rPr>
        <w:t>offering a resolution to</w:t>
      </w:r>
      <w:r w:rsidR="00FE5EDF" w:rsidRPr="00461D74">
        <w:rPr>
          <w:rFonts w:ascii="Garamond" w:hAnsi="Garamond" w:cstheme="minorHAnsi"/>
          <w:sz w:val="24"/>
          <w:szCs w:val="24"/>
        </w:rPr>
        <w:t xml:space="preserve"> the </w:t>
      </w:r>
      <w:r w:rsidR="008E2CE7" w:rsidRPr="00461D74">
        <w:rPr>
          <w:rFonts w:ascii="Garamond" w:hAnsi="Garamond" w:cstheme="minorHAnsi"/>
          <w:sz w:val="24"/>
          <w:szCs w:val="24"/>
        </w:rPr>
        <w:t xml:space="preserve">types of </w:t>
      </w:r>
      <w:r w:rsidR="00F67D2C" w:rsidRPr="00461D74">
        <w:rPr>
          <w:rFonts w:ascii="Garamond" w:hAnsi="Garamond" w:cstheme="minorHAnsi"/>
          <w:sz w:val="24"/>
          <w:szCs w:val="24"/>
        </w:rPr>
        <w:t xml:space="preserve">problems </w:t>
      </w:r>
      <w:r w:rsidR="008E2CE7" w:rsidRPr="00461D74">
        <w:rPr>
          <w:rFonts w:ascii="Garamond" w:hAnsi="Garamond" w:cstheme="minorHAnsi"/>
          <w:sz w:val="24"/>
          <w:szCs w:val="24"/>
        </w:rPr>
        <w:t xml:space="preserve">which emerge under conditions that are characteristic of </w:t>
      </w:r>
      <w:r w:rsidR="00F67D2C" w:rsidRPr="00461D74">
        <w:rPr>
          <w:rFonts w:ascii="Garamond" w:hAnsi="Garamond" w:cstheme="minorHAnsi"/>
          <w:sz w:val="24"/>
          <w:szCs w:val="24"/>
        </w:rPr>
        <w:t>large-scale</w:t>
      </w:r>
      <w:r w:rsidR="00FE5EDF" w:rsidRPr="00461D74">
        <w:rPr>
          <w:rFonts w:ascii="Garamond" w:hAnsi="Garamond" w:cstheme="minorHAnsi"/>
          <w:sz w:val="24"/>
          <w:szCs w:val="24"/>
        </w:rPr>
        <w:t xml:space="preserve"> political </w:t>
      </w:r>
      <w:r w:rsidR="008E2CE7" w:rsidRPr="00461D74">
        <w:rPr>
          <w:rFonts w:ascii="Garamond" w:hAnsi="Garamond" w:cstheme="minorHAnsi"/>
          <w:sz w:val="24"/>
          <w:szCs w:val="24"/>
        </w:rPr>
        <w:t>systems</w:t>
      </w:r>
      <w:r w:rsidR="00F67D2C" w:rsidRPr="00461D74">
        <w:rPr>
          <w:rFonts w:ascii="Garamond" w:hAnsi="Garamond" w:cstheme="minorHAnsi"/>
          <w:sz w:val="24"/>
          <w:szCs w:val="24"/>
        </w:rPr>
        <w:t xml:space="preserve"> </w:t>
      </w:r>
      <w:r w:rsidR="008E2CE7" w:rsidRPr="00461D74">
        <w:rPr>
          <w:rFonts w:ascii="Garamond" w:hAnsi="Garamond" w:cstheme="minorHAnsi"/>
          <w:sz w:val="24"/>
          <w:szCs w:val="24"/>
        </w:rPr>
        <w:t>(</w:t>
      </w:r>
      <w:r w:rsidR="001E2430">
        <w:rPr>
          <w:rFonts w:ascii="Garamond" w:hAnsi="Garamond" w:cstheme="minorHAnsi"/>
          <w:sz w:val="24"/>
          <w:szCs w:val="24"/>
        </w:rPr>
        <w:t xml:space="preserve">i.e., </w:t>
      </w:r>
      <w:r w:rsidR="00F67D2C" w:rsidRPr="00461D74">
        <w:rPr>
          <w:rFonts w:ascii="Garamond" w:hAnsi="Garamond" w:cstheme="minorHAnsi"/>
          <w:sz w:val="24"/>
          <w:szCs w:val="24"/>
        </w:rPr>
        <w:t>the state and its institutions</w:t>
      </w:r>
      <w:r w:rsidR="008E2CE7" w:rsidRPr="00461D74">
        <w:rPr>
          <w:rFonts w:ascii="Garamond" w:hAnsi="Garamond" w:cstheme="minorHAnsi"/>
          <w:sz w:val="24"/>
          <w:szCs w:val="24"/>
        </w:rPr>
        <w:t>)</w:t>
      </w:r>
      <w:r w:rsidR="00FE5EDF" w:rsidRPr="00461D74">
        <w:rPr>
          <w:rFonts w:ascii="Garamond" w:hAnsi="Garamond" w:cstheme="minorHAnsi"/>
          <w:sz w:val="24"/>
          <w:szCs w:val="24"/>
        </w:rPr>
        <w:t xml:space="preserve">. </w:t>
      </w:r>
      <w:r w:rsidRPr="00461D74">
        <w:rPr>
          <w:rFonts w:ascii="Garamond" w:hAnsi="Garamond" w:cstheme="minorHAnsi"/>
          <w:sz w:val="24"/>
          <w:szCs w:val="24"/>
        </w:rPr>
        <w:t>This active participatory form of democracy, once it is internalized and accepted by the individual</w:t>
      </w:r>
      <w:r w:rsidR="002E7BC3" w:rsidRPr="00461D74">
        <w:rPr>
          <w:rFonts w:ascii="Garamond" w:hAnsi="Garamond" w:cstheme="minorHAnsi"/>
          <w:sz w:val="24"/>
          <w:szCs w:val="24"/>
        </w:rPr>
        <w:t>,</w:t>
      </w:r>
      <w:r w:rsidRPr="00461D74">
        <w:rPr>
          <w:rFonts w:ascii="Garamond" w:hAnsi="Garamond" w:cstheme="minorHAnsi"/>
          <w:sz w:val="24"/>
          <w:szCs w:val="24"/>
        </w:rPr>
        <w:t xml:space="preserve"> can </w:t>
      </w:r>
      <w:r w:rsidR="002E7BC3" w:rsidRPr="00461D74">
        <w:rPr>
          <w:rFonts w:ascii="Garamond" w:hAnsi="Garamond" w:cstheme="minorHAnsi"/>
          <w:sz w:val="24"/>
          <w:szCs w:val="24"/>
        </w:rPr>
        <w:t xml:space="preserve">be understood </w:t>
      </w:r>
      <w:r w:rsidRPr="00461D74">
        <w:rPr>
          <w:rFonts w:ascii="Garamond" w:hAnsi="Garamond" w:cstheme="minorHAnsi"/>
          <w:sz w:val="24"/>
          <w:szCs w:val="24"/>
        </w:rPr>
        <w:t>as a democratic conception of the good</w:t>
      </w:r>
      <w:r w:rsidR="00E07CCE" w:rsidRPr="00461D74">
        <w:rPr>
          <w:rFonts w:ascii="Garamond" w:hAnsi="Garamond" w:cstheme="minorHAnsi"/>
          <w:sz w:val="24"/>
          <w:szCs w:val="24"/>
        </w:rPr>
        <w:t xml:space="preserve"> </w:t>
      </w:r>
      <w:r w:rsidR="00556849" w:rsidRPr="00461D74">
        <w:rPr>
          <w:rFonts w:ascii="Garamond" w:hAnsi="Garamond" w:cstheme="minorHAnsi"/>
          <w:sz w:val="24"/>
          <w:szCs w:val="24"/>
        </w:rPr>
        <w:t>–</w:t>
      </w:r>
      <w:r w:rsidR="00E07CCE" w:rsidRPr="00461D74">
        <w:rPr>
          <w:rFonts w:ascii="Garamond" w:hAnsi="Garamond" w:cstheme="minorHAnsi"/>
          <w:sz w:val="24"/>
          <w:szCs w:val="24"/>
        </w:rPr>
        <w:t xml:space="preserve"> </w:t>
      </w:r>
      <w:r w:rsidR="00556849" w:rsidRPr="00461D74">
        <w:rPr>
          <w:rFonts w:ascii="Garamond" w:hAnsi="Garamond" w:cstheme="minorHAnsi"/>
          <w:sz w:val="24"/>
          <w:szCs w:val="24"/>
        </w:rPr>
        <w:t>namely, democracy as a way of life</w:t>
      </w:r>
      <w:r w:rsidR="00E07CCE" w:rsidRPr="00461D74">
        <w:rPr>
          <w:rFonts w:ascii="Garamond" w:hAnsi="Garamond" w:cstheme="minorHAnsi"/>
          <w:sz w:val="24"/>
          <w:szCs w:val="24"/>
        </w:rPr>
        <w:t xml:space="preserve"> </w:t>
      </w:r>
      <w:r w:rsidR="00556849" w:rsidRPr="00461D74">
        <w:rPr>
          <w:rFonts w:ascii="Garamond" w:hAnsi="Garamond" w:cstheme="minorHAnsi"/>
          <w:sz w:val="24"/>
          <w:szCs w:val="24"/>
        </w:rPr>
        <w:t>–</w:t>
      </w:r>
      <w:r w:rsidR="00E07CCE" w:rsidRPr="00461D74">
        <w:rPr>
          <w:rFonts w:ascii="Garamond" w:hAnsi="Garamond" w:cstheme="minorHAnsi"/>
          <w:sz w:val="24"/>
          <w:szCs w:val="24"/>
        </w:rPr>
        <w:t xml:space="preserve"> </w:t>
      </w:r>
      <w:r w:rsidR="002E7BC3" w:rsidRPr="00461D74">
        <w:rPr>
          <w:rFonts w:ascii="Garamond" w:hAnsi="Garamond" w:cstheme="minorHAnsi"/>
          <w:sz w:val="24"/>
          <w:szCs w:val="24"/>
        </w:rPr>
        <w:t>that can form the basis of</w:t>
      </w:r>
      <w:r w:rsidRPr="00461D74">
        <w:rPr>
          <w:rFonts w:ascii="Garamond" w:hAnsi="Garamond" w:cstheme="minorHAnsi"/>
          <w:sz w:val="24"/>
          <w:szCs w:val="24"/>
        </w:rPr>
        <w:t xml:space="preserve"> </w:t>
      </w:r>
      <w:r w:rsidR="002E7BC3" w:rsidRPr="00461D74">
        <w:rPr>
          <w:rFonts w:ascii="Garamond" w:hAnsi="Garamond" w:cstheme="minorHAnsi"/>
          <w:sz w:val="24"/>
          <w:szCs w:val="24"/>
        </w:rPr>
        <w:t xml:space="preserve">the </w:t>
      </w:r>
      <w:r w:rsidRPr="00461D74">
        <w:rPr>
          <w:rFonts w:ascii="Garamond" w:hAnsi="Garamond" w:cstheme="minorHAnsi"/>
          <w:sz w:val="24"/>
          <w:szCs w:val="24"/>
        </w:rPr>
        <w:t xml:space="preserve">individual’s allegiance </w:t>
      </w:r>
      <w:r w:rsidR="00556849" w:rsidRPr="00461D74">
        <w:rPr>
          <w:rFonts w:ascii="Garamond" w:hAnsi="Garamond" w:cstheme="minorHAnsi"/>
          <w:sz w:val="24"/>
          <w:szCs w:val="24"/>
        </w:rPr>
        <w:t xml:space="preserve">not only </w:t>
      </w:r>
      <w:r w:rsidRPr="00461D74">
        <w:rPr>
          <w:rFonts w:ascii="Garamond" w:hAnsi="Garamond" w:cstheme="minorHAnsi"/>
          <w:sz w:val="24"/>
          <w:szCs w:val="24"/>
        </w:rPr>
        <w:t xml:space="preserve">to her local community, </w:t>
      </w:r>
      <w:r w:rsidR="00556849" w:rsidRPr="00461D74">
        <w:rPr>
          <w:rFonts w:ascii="Garamond" w:hAnsi="Garamond" w:cstheme="minorHAnsi"/>
          <w:sz w:val="24"/>
          <w:szCs w:val="24"/>
        </w:rPr>
        <w:t xml:space="preserve">but </w:t>
      </w:r>
      <w:r w:rsidRPr="00461D74">
        <w:rPr>
          <w:rFonts w:ascii="Garamond" w:hAnsi="Garamond" w:cstheme="minorHAnsi"/>
          <w:sz w:val="24"/>
          <w:szCs w:val="24"/>
        </w:rPr>
        <w:t xml:space="preserve">to the </w:t>
      </w:r>
      <w:r w:rsidR="00556849" w:rsidRPr="00461D74">
        <w:rPr>
          <w:rFonts w:ascii="Garamond" w:hAnsi="Garamond" w:cstheme="minorHAnsi"/>
          <w:sz w:val="24"/>
          <w:szCs w:val="24"/>
        </w:rPr>
        <w:t xml:space="preserve">larger </w:t>
      </w:r>
      <w:r w:rsidRPr="00461D74">
        <w:rPr>
          <w:rFonts w:ascii="Garamond" w:hAnsi="Garamond" w:cstheme="minorHAnsi"/>
          <w:sz w:val="24"/>
          <w:szCs w:val="24"/>
        </w:rPr>
        <w:lastRenderedPageBreak/>
        <w:t xml:space="preserve">community </w:t>
      </w:r>
      <w:r w:rsidR="00556849" w:rsidRPr="00461D74">
        <w:rPr>
          <w:rFonts w:ascii="Garamond" w:hAnsi="Garamond" w:cstheme="minorHAnsi"/>
          <w:sz w:val="24"/>
          <w:szCs w:val="24"/>
        </w:rPr>
        <w:t>that comprise</w:t>
      </w:r>
      <w:r w:rsidR="00072B51" w:rsidRPr="00461D74">
        <w:rPr>
          <w:rFonts w:ascii="Garamond" w:hAnsi="Garamond" w:cstheme="minorHAnsi"/>
          <w:sz w:val="24"/>
          <w:szCs w:val="24"/>
        </w:rPr>
        <w:t>s</w:t>
      </w:r>
      <w:r w:rsidR="00556849" w:rsidRPr="00461D74">
        <w:rPr>
          <w:rFonts w:ascii="Garamond" w:hAnsi="Garamond" w:cstheme="minorHAnsi"/>
          <w:sz w:val="24"/>
          <w:szCs w:val="24"/>
        </w:rPr>
        <w:t xml:space="preserve"> the state</w:t>
      </w:r>
      <w:r w:rsidRPr="00461D74">
        <w:rPr>
          <w:rFonts w:ascii="Garamond" w:hAnsi="Garamond" w:cstheme="minorHAnsi"/>
          <w:sz w:val="24"/>
          <w:szCs w:val="24"/>
        </w:rPr>
        <w:t>.</w:t>
      </w:r>
      <w:r w:rsidR="00916A35" w:rsidRPr="00461D74">
        <w:rPr>
          <w:rFonts w:ascii="Garamond" w:hAnsi="Garamond" w:cstheme="minorHAnsi"/>
          <w:sz w:val="24"/>
          <w:szCs w:val="24"/>
        </w:rPr>
        <w:t xml:space="preserve"> Thus, it would seem that Dewey’s account can offer a better framework for understanding the relationship of allegiance between the state and its citizenry</w:t>
      </w:r>
      <w:r w:rsidR="00B57E6A" w:rsidRPr="00461D74">
        <w:rPr>
          <w:rFonts w:ascii="Garamond" w:hAnsi="Garamond" w:cstheme="minorHAnsi"/>
          <w:sz w:val="24"/>
          <w:szCs w:val="24"/>
        </w:rPr>
        <w:t xml:space="preserve">, precisely because </w:t>
      </w:r>
      <w:r w:rsidR="00F655E6">
        <w:rPr>
          <w:rFonts w:ascii="Garamond" w:hAnsi="Garamond" w:cstheme="minorHAnsi"/>
          <w:sz w:val="24"/>
          <w:szCs w:val="24"/>
        </w:rPr>
        <w:t>g</w:t>
      </w:r>
      <w:r w:rsidR="00B57E6A" w:rsidRPr="00461D74">
        <w:rPr>
          <w:rFonts w:ascii="Garamond" w:hAnsi="Garamond" w:cstheme="minorHAnsi"/>
          <w:sz w:val="24"/>
          <w:szCs w:val="24"/>
        </w:rPr>
        <w:t>rowth</w:t>
      </w:r>
      <w:r w:rsidR="002E7BC3" w:rsidRPr="00461D74">
        <w:rPr>
          <w:rFonts w:ascii="Garamond" w:hAnsi="Garamond" w:cstheme="minorHAnsi"/>
          <w:sz w:val="24"/>
          <w:szCs w:val="24"/>
        </w:rPr>
        <w:t xml:space="preserve"> </w:t>
      </w:r>
      <w:r w:rsidR="00B03327">
        <w:rPr>
          <w:rFonts w:ascii="Garamond" w:hAnsi="Garamond" w:cstheme="minorHAnsi"/>
          <w:sz w:val="24"/>
          <w:szCs w:val="24"/>
        </w:rPr>
        <w:t xml:space="preserve">– </w:t>
      </w:r>
      <w:r w:rsidR="00B57E6A" w:rsidRPr="00461D74">
        <w:rPr>
          <w:rFonts w:ascii="Garamond" w:hAnsi="Garamond" w:cstheme="minorHAnsi"/>
          <w:sz w:val="24"/>
          <w:szCs w:val="24"/>
        </w:rPr>
        <w:t>the Deweyan common good</w:t>
      </w:r>
      <w:r w:rsidR="002E7BC3" w:rsidRPr="00461D74">
        <w:rPr>
          <w:rFonts w:ascii="Garamond" w:hAnsi="Garamond" w:cstheme="minorHAnsi"/>
          <w:sz w:val="24"/>
          <w:szCs w:val="24"/>
        </w:rPr>
        <w:t xml:space="preserve"> </w:t>
      </w:r>
      <w:r w:rsidR="00B03327">
        <w:rPr>
          <w:rFonts w:ascii="Garamond" w:hAnsi="Garamond" w:cstheme="minorHAnsi"/>
          <w:sz w:val="24"/>
          <w:szCs w:val="24"/>
        </w:rPr>
        <w:t xml:space="preserve">– </w:t>
      </w:r>
      <w:r w:rsidR="00B57E6A" w:rsidRPr="00461D74">
        <w:rPr>
          <w:rFonts w:ascii="Garamond" w:hAnsi="Garamond" w:cstheme="minorHAnsi"/>
          <w:sz w:val="24"/>
          <w:szCs w:val="24"/>
        </w:rPr>
        <w:t xml:space="preserve">is conceptually equivalent </w:t>
      </w:r>
      <w:r w:rsidR="00D2562D" w:rsidRPr="00461D74">
        <w:rPr>
          <w:rFonts w:ascii="Garamond" w:hAnsi="Garamond" w:cstheme="minorHAnsi"/>
          <w:sz w:val="24"/>
          <w:szCs w:val="24"/>
        </w:rPr>
        <w:t xml:space="preserve">(or analogous) </w:t>
      </w:r>
      <w:r w:rsidR="00B57E6A" w:rsidRPr="00461D74">
        <w:rPr>
          <w:rFonts w:ascii="Garamond" w:hAnsi="Garamond" w:cstheme="minorHAnsi"/>
          <w:sz w:val="24"/>
          <w:szCs w:val="24"/>
        </w:rPr>
        <w:t>to MacIntyre’s definition of the common good</w:t>
      </w:r>
      <w:r w:rsidR="00916A35" w:rsidRPr="00461D74">
        <w:rPr>
          <w:rFonts w:ascii="Garamond" w:hAnsi="Garamond" w:cstheme="minorHAnsi"/>
          <w:sz w:val="24"/>
          <w:szCs w:val="24"/>
        </w:rPr>
        <w:t>.</w:t>
      </w:r>
    </w:p>
    <w:p w:rsidR="00665157" w:rsidRDefault="00016049" w:rsidP="00EA367A">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 xml:space="preserve">With respect to the second set of criticisms </w:t>
      </w:r>
      <w:r w:rsidR="0085765A" w:rsidRPr="00461D74">
        <w:rPr>
          <w:rFonts w:ascii="Garamond" w:hAnsi="Garamond" w:cstheme="minorHAnsi"/>
          <w:sz w:val="24"/>
          <w:szCs w:val="24"/>
        </w:rPr>
        <w:t xml:space="preserve">raised against </w:t>
      </w:r>
      <w:r w:rsidRPr="00461D74">
        <w:rPr>
          <w:rFonts w:ascii="Garamond" w:hAnsi="Garamond" w:cstheme="minorHAnsi"/>
          <w:sz w:val="24"/>
          <w:szCs w:val="24"/>
        </w:rPr>
        <w:t>MacIntyre</w:t>
      </w:r>
      <w:r w:rsidR="00D03FCD" w:rsidRPr="00461D74">
        <w:rPr>
          <w:rFonts w:ascii="Garamond" w:hAnsi="Garamond" w:cstheme="minorHAnsi"/>
          <w:sz w:val="24"/>
          <w:szCs w:val="24"/>
        </w:rPr>
        <w:t xml:space="preserve"> </w:t>
      </w:r>
      <w:r w:rsidRPr="00461D74">
        <w:rPr>
          <w:rFonts w:ascii="Garamond" w:hAnsi="Garamond" w:cstheme="minorHAnsi"/>
          <w:sz w:val="24"/>
          <w:szCs w:val="24"/>
        </w:rPr>
        <w:t xml:space="preserve">(covered broadly under items two (G2) and three (G3) in </w:t>
      </w:r>
      <w:r w:rsidRPr="00461D74">
        <w:rPr>
          <w:rFonts w:ascii="Garamond" w:hAnsi="Garamond" w:cstheme="minorHAnsi"/>
          <w:i/>
          <w:iCs/>
          <w:sz w:val="24"/>
          <w:szCs w:val="24"/>
        </w:rPr>
        <w:t>the guidelines towards a political solution</w:t>
      </w:r>
      <w:r w:rsidRPr="00461D74">
        <w:rPr>
          <w:rFonts w:ascii="Garamond" w:hAnsi="Garamond" w:cstheme="minorHAnsi"/>
          <w:sz w:val="24"/>
          <w:szCs w:val="24"/>
        </w:rPr>
        <w:t xml:space="preserve"> </w:t>
      </w:r>
      <w:r w:rsidR="00D376C8" w:rsidRPr="00461D74">
        <w:rPr>
          <w:rFonts w:ascii="Garamond" w:hAnsi="Garamond" w:cstheme="minorHAnsi"/>
          <w:sz w:val="24"/>
          <w:szCs w:val="24"/>
        </w:rPr>
        <w:t>I outlined in</w:t>
      </w:r>
      <w:r w:rsidRPr="00461D74">
        <w:rPr>
          <w:rFonts w:ascii="Garamond" w:hAnsi="Garamond" w:cstheme="minorHAnsi"/>
          <w:sz w:val="24"/>
          <w:szCs w:val="24"/>
        </w:rPr>
        <w:t xml:space="preserve"> section </w:t>
      </w:r>
      <w:r w:rsidR="00D376C8" w:rsidRPr="00461D74">
        <w:rPr>
          <w:rFonts w:ascii="Garamond" w:hAnsi="Garamond" w:cstheme="minorHAnsi"/>
          <w:sz w:val="24"/>
          <w:szCs w:val="24"/>
        </w:rPr>
        <w:t>2</w:t>
      </w:r>
      <w:r w:rsidRPr="00461D74">
        <w:rPr>
          <w:rFonts w:ascii="Garamond" w:hAnsi="Garamond" w:cstheme="minorHAnsi"/>
          <w:sz w:val="24"/>
          <w:szCs w:val="24"/>
        </w:rPr>
        <w:t xml:space="preserve">.1), we </w:t>
      </w:r>
      <w:r w:rsidR="0085765A" w:rsidRPr="00461D74">
        <w:rPr>
          <w:rFonts w:ascii="Garamond" w:hAnsi="Garamond" w:cstheme="minorHAnsi"/>
          <w:sz w:val="24"/>
          <w:szCs w:val="24"/>
        </w:rPr>
        <w:t xml:space="preserve">saw </w:t>
      </w:r>
      <w:r w:rsidRPr="00461D74">
        <w:rPr>
          <w:rFonts w:ascii="Garamond" w:hAnsi="Garamond" w:cstheme="minorHAnsi"/>
          <w:sz w:val="24"/>
          <w:szCs w:val="24"/>
        </w:rPr>
        <w:t xml:space="preserve">that </w:t>
      </w:r>
      <w:r w:rsidR="003C6E41">
        <w:rPr>
          <w:rFonts w:ascii="Garamond" w:hAnsi="Garamond" w:cstheme="minorHAnsi"/>
          <w:sz w:val="24"/>
          <w:szCs w:val="24"/>
        </w:rPr>
        <w:t>Osborne</w:t>
      </w:r>
      <w:r w:rsidR="003C6E41" w:rsidRPr="00461D74">
        <w:rPr>
          <w:rFonts w:ascii="Garamond" w:hAnsi="Garamond" w:cstheme="minorHAnsi"/>
          <w:sz w:val="24"/>
          <w:szCs w:val="24"/>
        </w:rPr>
        <w:t xml:space="preserve"> </w:t>
      </w:r>
      <w:r w:rsidR="0085765A" w:rsidRPr="00461D74">
        <w:rPr>
          <w:rFonts w:ascii="Garamond" w:hAnsi="Garamond" w:cstheme="minorHAnsi"/>
          <w:sz w:val="24"/>
          <w:szCs w:val="24"/>
        </w:rPr>
        <w:t>argued, rather convincingly</w:t>
      </w:r>
      <w:r w:rsidRPr="00461D74">
        <w:rPr>
          <w:rFonts w:ascii="Garamond" w:hAnsi="Garamond" w:cstheme="minorHAnsi"/>
          <w:sz w:val="24"/>
          <w:szCs w:val="24"/>
        </w:rPr>
        <w:t xml:space="preserve">, </w:t>
      </w:r>
      <w:r w:rsidR="0085765A" w:rsidRPr="00461D74">
        <w:rPr>
          <w:rFonts w:ascii="Garamond" w:hAnsi="Garamond" w:cstheme="minorHAnsi"/>
          <w:sz w:val="24"/>
          <w:szCs w:val="24"/>
        </w:rPr>
        <w:t xml:space="preserve">that </w:t>
      </w:r>
      <w:r w:rsidRPr="00461D74">
        <w:rPr>
          <w:rFonts w:ascii="Garamond" w:hAnsi="Garamond" w:cstheme="minorHAnsi"/>
          <w:sz w:val="24"/>
          <w:szCs w:val="24"/>
        </w:rPr>
        <w:t xml:space="preserve">MacIntyre’s politics </w:t>
      </w:r>
      <w:r w:rsidR="0085765A" w:rsidRPr="00461D74">
        <w:rPr>
          <w:rFonts w:ascii="Garamond" w:hAnsi="Garamond" w:cstheme="minorHAnsi"/>
          <w:sz w:val="24"/>
          <w:szCs w:val="24"/>
        </w:rPr>
        <w:t xml:space="preserve">could not be viewed as properly political from the Aristotelian-Thomist standpoint – that is, </w:t>
      </w:r>
      <w:r w:rsidRPr="00461D74">
        <w:rPr>
          <w:rFonts w:ascii="Garamond" w:hAnsi="Garamond" w:cstheme="minorHAnsi"/>
          <w:sz w:val="24"/>
          <w:szCs w:val="24"/>
        </w:rPr>
        <w:t xml:space="preserve">MacIntyre’s account of </w:t>
      </w:r>
      <w:r w:rsidR="0085765A" w:rsidRPr="00461D74">
        <w:rPr>
          <w:rFonts w:ascii="Garamond" w:hAnsi="Garamond" w:cstheme="minorHAnsi"/>
          <w:sz w:val="24"/>
          <w:szCs w:val="24"/>
        </w:rPr>
        <w:t xml:space="preserve">local </w:t>
      </w:r>
      <w:r w:rsidRPr="00461D74">
        <w:rPr>
          <w:rFonts w:ascii="Garamond" w:hAnsi="Garamond" w:cstheme="minorHAnsi"/>
          <w:sz w:val="24"/>
          <w:szCs w:val="24"/>
        </w:rPr>
        <w:t>communities is pre-political</w:t>
      </w:r>
      <w:r w:rsidR="00EA367A">
        <w:rPr>
          <w:rFonts w:ascii="Garamond" w:hAnsi="Garamond" w:cstheme="minorHAnsi"/>
          <w:sz w:val="24"/>
          <w:szCs w:val="24"/>
        </w:rPr>
        <w:t xml:space="preserve"> because Aristotelian and Thomistic politics necessitate a </w:t>
      </w:r>
      <w:r w:rsidR="00EA367A" w:rsidRPr="00EA367A">
        <w:rPr>
          <w:rFonts w:ascii="Garamond" w:hAnsi="Garamond" w:cstheme="minorHAnsi"/>
          <w:i/>
          <w:sz w:val="24"/>
          <w:szCs w:val="24"/>
        </w:rPr>
        <w:t>complete</w:t>
      </w:r>
      <w:r w:rsidR="00EA367A">
        <w:rPr>
          <w:rFonts w:ascii="Garamond" w:hAnsi="Garamond" w:cstheme="minorHAnsi"/>
          <w:sz w:val="24"/>
          <w:szCs w:val="24"/>
        </w:rPr>
        <w:t xml:space="preserve"> conception of the common good</w:t>
      </w:r>
      <w:r w:rsidRPr="00461D74">
        <w:rPr>
          <w:rFonts w:ascii="Garamond" w:hAnsi="Garamond" w:cstheme="minorHAnsi"/>
          <w:sz w:val="24"/>
          <w:szCs w:val="24"/>
        </w:rPr>
        <w:t xml:space="preserve">. </w:t>
      </w:r>
      <w:r w:rsidR="00EA367A">
        <w:rPr>
          <w:rFonts w:ascii="Garamond" w:hAnsi="Garamond" w:cstheme="minorHAnsi"/>
          <w:sz w:val="24"/>
          <w:szCs w:val="24"/>
        </w:rPr>
        <w:t xml:space="preserve">For </w:t>
      </w:r>
      <w:r w:rsidRPr="00461D74">
        <w:rPr>
          <w:rFonts w:ascii="Garamond" w:hAnsi="Garamond" w:cstheme="minorHAnsi"/>
          <w:sz w:val="24"/>
          <w:szCs w:val="24"/>
        </w:rPr>
        <w:t>on a properly Aristotelian-Thomist view of politics, the common good as a whole can only be advanced in complete communities – communities that are self-sufficient</w:t>
      </w:r>
      <w:r w:rsidR="00EA367A">
        <w:rPr>
          <w:rFonts w:ascii="Garamond" w:hAnsi="Garamond" w:cstheme="minorHAnsi"/>
          <w:sz w:val="24"/>
          <w:szCs w:val="24"/>
        </w:rPr>
        <w:t>,</w:t>
      </w:r>
      <w:r w:rsidR="004A4632" w:rsidRPr="00461D74">
        <w:rPr>
          <w:rFonts w:ascii="Garamond" w:hAnsi="Garamond" w:cstheme="minorHAnsi"/>
          <w:sz w:val="24"/>
          <w:szCs w:val="24"/>
        </w:rPr>
        <w:t xml:space="preserve"> capable of exercising coercive power</w:t>
      </w:r>
      <w:r w:rsidR="00EA367A">
        <w:rPr>
          <w:rFonts w:ascii="Garamond" w:hAnsi="Garamond" w:cstheme="minorHAnsi"/>
          <w:sz w:val="24"/>
          <w:szCs w:val="24"/>
        </w:rPr>
        <w:t xml:space="preserve"> and act in self defense</w:t>
      </w:r>
      <w:r w:rsidRPr="00461D74">
        <w:rPr>
          <w:rFonts w:ascii="Garamond" w:hAnsi="Garamond" w:cstheme="minorHAnsi"/>
          <w:sz w:val="24"/>
          <w:szCs w:val="24"/>
        </w:rPr>
        <w:t xml:space="preserve">. </w:t>
      </w:r>
      <w:r w:rsidR="004A4632" w:rsidRPr="00461D74">
        <w:rPr>
          <w:rFonts w:ascii="Garamond" w:hAnsi="Garamond" w:cstheme="minorHAnsi"/>
          <w:sz w:val="24"/>
          <w:szCs w:val="24"/>
        </w:rPr>
        <w:t xml:space="preserve">Nevertheless, </w:t>
      </w:r>
      <w:r w:rsidR="00F767BE" w:rsidRPr="00461D74">
        <w:rPr>
          <w:rFonts w:ascii="Garamond" w:hAnsi="Garamond" w:cstheme="minorHAnsi"/>
          <w:sz w:val="24"/>
          <w:szCs w:val="24"/>
        </w:rPr>
        <w:t>i</w:t>
      </w:r>
      <w:r w:rsidRPr="00461D74">
        <w:rPr>
          <w:rFonts w:ascii="Garamond" w:hAnsi="Garamond" w:cstheme="minorHAnsi"/>
          <w:sz w:val="24"/>
          <w:szCs w:val="24"/>
        </w:rPr>
        <w:t xml:space="preserve">n MacIntyre’s </w:t>
      </w:r>
      <w:r w:rsidR="00F767BE" w:rsidRPr="00461D74">
        <w:rPr>
          <w:rFonts w:ascii="Garamond" w:hAnsi="Garamond" w:cstheme="minorHAnsi"/>
          <w:sz w:val="24"/>
          <w:szCs w:val="24"/>
        </w:rPr>
        <w:t>account</w:t>
      </w:r>
      <w:r w:rsidRPr="00461D74">
        <w:rPr>
          <w:rFonts w:ascii="Garamond" w:hAnsi="Garamond" w:cstheme="minorHAnsi"/>
          <w:sz w:val="24"/>
          <w:szCs w:val="24"/>
        </w:rPr>
        <w:t xml:space="preserve">, </w:t>
      </w:r>
      <w:r w:rsidR="00F767BE" w:rsidRPr="00461D74">
        <w:rPr>
          <w:rFonts w:ascii="Garamond" w:hAnsi="Garamond" w:cstheme="minorHAnsi"/>
          <w:sz w:val="24"/>
          <w:szCs w:val="24"/>
        </w:rPr>
        <w:t xml:space="preserve">an appropriate conception of the </w:t>
      </w:r>
      <w:r w:rsidRPr="00461D74">
        <w:rPr>
          <w:rFonts w:ascii="Garamond" w:hAnsi="Garamond" w:cstheme="minorHAnsi"/>
          <w:sz w:val="24"/>
          <w:szCs w:val="24"/>
        </w:rPr>
        <w:t xml:space="preserve">common good can only be advanced in the </w:t>
      </w:r>
      <w:r w:rsidR="00F767BE" w:rsidRPr="00461D74">
        <w:rPr>
          <w:rFonts w:ascii="Garamond" w:hAnsi="Garamond" w:cstheme="minorHAnsi"/>
          <w:sz w:val="24"/>
          <w:szCs w:val="24"/>
        </w:rPr>
        <w:t xml:space="preserve">sort of </w:t>
      </w:r>
      <w:r w:rsidRPr="00461D74">
        <w:rPr>
          <w:rFonts w:ascii="Garamond" w:hAnsi="Garamond" w:cstheme="minorHAnsi"/>
          <w:sz w:val="24"/>
          <w:szCs w:val="24"/>
        </w:rPr>
        <w:t xml:space="preserve">politics </w:t>
      </w:r>
      <w:r w:rsidR="00F767BE" w:rsidRPr="00461D74">
        <w:rPr>
          <w:rFonts w:ascii="Garamond" w:hAnsi="Garamond" w:cstheme="minorHAnsi"/>
          <w:sz w:val="24"/>
          <w:szCs w:val="24"/>
        </w:rPr>
        <w:t>undertaken by</w:t>
      </w:r>
      <w:r w:rsidR="00100F82" w:rsidRPr="00461D74">
        <w:rPr>
          <w:rFonts w:ascii="Garamond" w:hAnsi="Garamond" w:cstheme="minorHAnsi"/>
          <w:sz w:val="24"/>
          <w:szCs w:val="24"/>
        </w:rPr>
        <w:t xml:space="preserve"> </w:t>
      </w:r>
      <w:r w:rsidR="004A4632" w:rsidRPr="00461D74">
        <w:rPr>
          <w:rFonts w:ascii="Garamond" w:hAnsi="Garamond" w:cstheme="minorHAnsi"/>
          <w:sz w:val="24"/>
          <w:szCs w:val="24"/>
        </w:rPr>
        <w:t xml:space="preserve">small-scale </w:t>
      </w:r>
      <w:r w:rsidR="00F767BE" w:rsidRPr="00461D74">
        <w:rPr>
          <w:rFonts w:ascii="Garamond" w:hAnsi="Garamond" w:cstheme="minorHAnsi"/>
          <w:sz w:val="24"/>
          <w:szCs w:val="24"/>
        </w:rPr>
        <w:t xml:space="preserve">political associations and </w:t>
      </w:r>
      <w:r w:rsidRPr="00461D74">
        <w:rPr>
          <w:rFonts w:ascii="Garamond" w:hAnsi="Garamond" w:cstheme="minorHAnsi"/>
          <w:sz w:val="24"/>
          <w:szCs w:val="24"/>
        </w:rPr>
        <w:t>local communities</w:t>
      </w:r>
      <w:r w:rsidR="00F767BE" w:rsidRPr="00461D74">
        <w:rPr>
          <w:rFonts w:ascii="Garamond" w:hAnsi="Garamond" w:cstheme="minorHAnsi"/>
          <w:sz w:val="24"/>
          <w:szCs w:val="24"/>
        </w:rPr>
        <w:t>,</w:t>
      </w:r>
      <w:r w:rsidRPr="00461D74">
        <w:rPr>
          <w:rFonts w:ascii="Garamond" w:hAnsi="Garamond" w:cstheme="minorHAnsi"/>
          <w:sz w:val="24"/>
          <w:szCs w:val="24"/>
        </w:rPr>
        <w:t xml:space="preserve"> even though MacIntyre </w:t>
      </w:r>
      <w:r w:rsidR="00F767BE" w:rsidRPr="00461D74">
        <w:rPr>
          <w:rFonts w:ascii="Garamond" w:hAnsi="Garamond" w:cstheme="minorHAnsi"/>
          <w:sz w:val="24"/>
          <w:szCs w:val="24"/>
        </w:rPr>
        <w:t xml:space="preserve">also </w:t>
      </w:r>
      <w:r w:rsidRPr="00461D74">
        <w:rPr>
          <w:rFonts w:ascii="Garamond" w:hAnsi="Garamond" w:cstheme="minorHAnsi"/>
          <w:sz w:val="24"/>
          <w:szCs w:val="24"/>
        </w:rPr>
        <w:t>admit</w:t>
      </w:r>
      <w:r w:rsidR="00F767BE" w:rsidRPr="00461D74">
        <w:rPr>
          <w:rFonts w:ascii="Garamond" w:hAnsi="Garamond" w:cstheme="minorHAnsi"/>
          <w:sz w:val="24"/>
          <w:szCs w:val="24"/>
        </w:rPr>
        <w:t>s</w:t>
      </w:r>
      <w:r w:rsidRPr="00461D74">
        <w:rPr>
          <w:rFonts w:ascii="Garamond" w:hAnsi="Garamond" w:cstheme="minorHAnsi"/>
          <w:sz w:val="24"/>
          <w:szCs w:val="24"/>
        </w:rPr>
        <w:t xml:space="preserve"> that such communities are not self-sufficient</w:t>
      </w:r>
      <w:r w:rsidR="00BF055C">
        <w:rPr>
          <w:rFonts w:ascii="Garamond" w:hAnsi="Garamond" w:cstheme="minorHAnsi"/>
          <w:sz w:val="24"/>
          <w:szCs w:val="24"/>
        </w:rPr>
        <w:t xml:space="preserve"> nor capable of self defense</w:t>
      </w:r>
      <w:r w:rsidRPr="00461D74">
        <w:rPr>
          <w:rFonts w:ascii="Garamond" w:hAnsi="Garamond" w:cstheme="minorHAnsi"/>
          <w:sz w:val="24"/>
          <w:szCs w:val="24"/>
        </w:rPr>
        <w:t xml:space="preserve">. Not only does this view not sit well within the confines of an Aristotelian-Thomist politics, but it seems reasonable to think that state level politics has an important role to play in advancing the common good of local communities. </w:t>
      </w:r>
      <w:r w:rsidR="001C634D">
        <w:rPr>
          <w:rFonts w:ascii="Garamond" w:hAnsi="Garamond" w:cstheme="minorHAnsi"/>
          <w:sz w:val="24"/>
          <w:szCs w:val="24"/>
        </w:rPr>
        <w:t>We</w:t>
      </w:r>
      <w:r w:rsidR="00796538" w:rsidRPr="00461D74">
        <w:rPr>
          <w:rFonts w:ascii="Garamond" w:hAnsi="Garamond" w:cstheme="minorHAnsi"/>
          <w:sz w:val="24"/>
          <w:szCs w:val="24"/>
        </w:rPr>
        <w:t xml:space="preserve"> </w:t>
      </w:r>
      <w:r w:rsidR="001C634D">
        <w:rPr>
          <w:rFonts w:ascii="Garamond" w:hAnsi="Garamond" w:cstheme="minorHAnsi"/>
          <w:sz w:val="24"/>
          <w:szCs w:val="24"/>
        </w:rPr>
        <w:t>noted</w:t>
      </w:r>
      <w:r w:rsidR="001C634D" w:rsidRPr="00461D74">
        <w:rPr>
          <w:rFonts w:ascii="Garamond" w:hAnsi="Garamond" w:cstheme="minorHAnsi"/>
          <w:sz w:val="24"/>
          <w:szCs w:val="24"/>
        </w:rPr>
        <w:t xml:space="preserve"> </w:t>
      </w:r>
      <w:r w:rsidRPr="00461D74">
        <w:rPr>
          <w:rFonts w:ascii="Garamond" w:hAnsi="Garamond" w:cstheme="minorHAnsi"/>
          <w:sz w:val="24"/>
          <w:szCs w:val="24"/>
        </w:rPr>
        <w:t>earlier that on MacIntyre’s view, local communities are dependent on important goods which can only be achieved within the confines of the state. Thus,</w:t>
      </w:r>
      <w:r w:rsidR="009C1E54" w:rsidRPr="00461D74">
        <w:rPr>
          <w:rFonts w:ascii="Garamond" w:hAnsi="Garamond" w:cstheme="minorHAnsi"/>
          <w:sz w:val="24"/>
          <w:szCs w:val="24"/>
        </w:rPr>
        <w:t xml:space="preserve"> by ignoring (or marginalising) the state from our political considerations, we </w:t>
      </w:r>
      <w:r w:rsidR="00EA367A">
        <w:rPr>
          <w:rFonts w:ascii="Garamond" w:hAnsi="Garamond" w:cstheme="minorHAnsi"/>
          <w:sz w:val="24"/>
          <w:szCs w:val="24"/>
        </w:rPr>
        <w:t>undermine our capacity for advancing</w:t>
      </w:r>
      <w:r w:rsidR="009C1E54" w:rsidRPr="00461D74">
        <w:rPr>
          <w:rFonts w:ascii="Garamond" w:hAnsi="Garamond" w:cstheme="minorHAnsi"/>
          <w:sz w:val="24"/>
          <w:szCs w:val="24"/>
        </w:rPr>
        <w:t xml:space="preserve"> the kind of politics that is </w:t>
      </w:r>
      <w:r w:rsidR="00EA367A">
        <w:rPr>
          <w:rFonts w:ascii="Garamond" w:hAnsi="Garamond" w:cstheme="minorHAnsi"/>
          <w:sz w:val="24"/>
          <w:szCs w:val="24"/>
        </w:rPr>
        <w:t>capable of</w:t>
      </w:r>
      <w:r w:rsidR="009C1E54" w:rsidRPr="00461D74">
        <w:rPr>
          <w:rFonts w:ascii="Garamond" w:hAnsi="Garamond" w:cstheme="minorHAnsi"/>
          <w:sz w:val="24"/>
          <w:szCs w:val="24"/>
        </w:rPr>
        <w:t xml:space="preserve"> defend</w:t>
      </w:r>
      <w:r w:rsidR="00EA367A">
        <w:rPr>
          <w:rFonts w:ascii="Garamond" w:hAnsi="Garamond" w:cstheme="minorHAnsi"/>
          <w:sz w:val="24"/>
          <w:szCs w:val="24"/>
        </w:rPr>
        <w:t>ing</w:t>
      </w:r>
      <w:r w:rsidR="009C1E54" w:rsidRPr="00461D74">
        <w:rPr>
          <w:rFonts w:ascii="Garamond" w:hAnsi="Garamond" w:cstheme="minorHAnsi"/>
          <w:sz w:val="24"/>
          <w:szCs w:val="24"/>
        </w:rPr>
        <w:t xml:space="preserve"> MacIntyre’s local communities</w:t>
      </w:r>
      <w:r w:rsidRPr="00461D74">
        <w:rPr>
          <w:rFonts w:ascii="Garamond" w:hAnsi="Garamond" w:cstheme="minorHAnsi"/>
          <w:sz w:val="24"/>
          <w:szCs w:val="24"/>
        </w:rPr>
        <w:t>.</w:t>
      </w:r>
    </w:p>
    <w:p w:rsidR="00665157" w:rsidRDefault="00F655E6">
      <w:pPr>
        <w:spacing w:line="360" w:lineRule="auto"/>
        <w:ind w:left="66" w:firstLine="654"/>
        <w:jc w:val="both"/>
        <w:rPr>
          <w:rFonts w:ascii="Garamond" w:hAnsi="Garamond" w:cstheme="minorHAnsi"/>
          <w:sz w:val="24"/>
          <w:szCs w:val="24"/>
        </w:rPr>
      </w:pPr>
      <w:r>
        <w:rPr>
          <w:rFonts w:ascii="Garamond" w:hAnsi="Garamond" w:cstheme="minorHAnsi"/>
          <w:sz w:val="24"/>
          <w:szCs w:val="24"/>
        </w:rPr>
        <w:t>I</w:t>
      </w:r>
      <w:r w:rsidR="00016049" w:rsidRPr="00461D74">
        <w:rPr>
          <w:rFonts w:ascii="Garamond" w:hAnsi="Garamond" w:cstheme="minorHAnsi"/>
          <w:sz w:val="24"/>
          <w:szCs w:val="24"/>
        </w:rPr>
        <w:t xml:space="preserve">n my view, Dewey’s account is best equipped to </w:t>
      </w:r>
      <w:r w:rsidR="00461F46" w:rsidRPr="00461D74">
        <w:rPr>
          <w:rFonts w:ascii="Garamond" w:hAnsi="Garamond" w:cstheme="minorHAnsi"/>
          <w:sz w:val="24"/>
          <w:szCs w:val="24"/>
        </w:rPr>
        <w:t>offer a resolution to these sorts of problems</w:t>
      </w:r>
      <w:r w:rsidR="00016049" w:rsidRPr="00461D74">
        <w:rPr>
          <w:rFonts w:ascii="Garamond" w:hAnsi="Garamond" w:cstheme="minorHAnsi"/>
          <w:sz w:val="24"/>
          <w:szCs w:val="24"/>
        </w:rPr>
        <w:t xml:space="preserve">. We observed that the </w:t>
      </w:r>
      <w:r w:rsidR="00461F46" w:rsidRPr="00461D74">
        <w:rPr>
          <w:rFonts w:ascii="Garamond" w:hAnsi="Garamond" w:cstheme="minorHAnsi"/>
          <w:sz w:val="24"/>
          <w:szCs w:val="24"/>
        </w:rPr>
        <w:t xml:space="preserve">reading </w:t>
      </w:r>
      <w:r w:rsidR="00016049" w:rsidRPr="00461D74">
        <w:rPr>
          <w:rFonts w:ascii="Garamond" w:hAnsi="Garamond" w:cstheme="minorHAnsi"/>
          <w:sz w:val="24"/>
          <w:szCs w:val="24"/>
        </w:rPr>
        <w:t xml:space="preserve">of Dewey advanced by </w:t>
      </w:r>
      <w:proofErr w:type="spellStart"/>
      <w:r w:rsidR="00016049" w:rsidRPr="00461D74">
        <w:rPr>
          <w:rFonts w:ascii="Garamond" w:hAnsi="Garamond" w:cstheme="minorHAnsi"/>
          <w:sz w:val="24"/>
          <w:szCs w:val="24"/>
        </w:rPr>
        <w:lastRenderedPageBreak/>
        <w:t>Honneth</w:t>
      </w:r>
      <w:proofErr w:type="spellEnd"/>
      <w:r w:rsidR="00461F46" w:rsidRPr="00461D74">
        <w:rPr>
          <w:rFonts w:ascii="Garamond" w:hAnsi="Garamond" w:cstheme="minorHAnsi"/>
          <w:sz w:val="24"/>
          <w:szCs w:val="24"/>
        </w:rPr>
        <w:t xml:space="preserve"> </w:t>
      </w:r>
      <w:r w:rsidR="00016049" w:rsidRPr="00461D74">
        <w:rPr>
          <w:rFonts w:ascii="Garamond" w:hAnsi="Garamond" w:cstheme="minorHAnsi"/>
          <w:sz w:val="24"/>
          <w:szCs w:val="24"/>
        </w:rPr>
        <w:t>show</w:t>
      </w:r>
      <w:r w:rsidR="00461F46" w:rsidRPr="00461D74">
        <w:rPr>
          <w:rFonts w:ascii="Garamond" w:hAnsi="Garamond" w:cstheme="minorHAnsi"/>
          <w:sz w:val="24"/>
          <w:szCs w:val="24"/>
        </w:rPr>
        <w:t>s</w:t>
      </w:r>
      <w:r w:rsidR="00016049" w:rsidRPr="00461D74">
        <w:rPr>
          <w:rFonts w:ascii="Garamond" w:hAnsi="Garamond" w:cstheme="minorHAnsi"/>
          <w:sz w:val="24"/>
          <w:szCs w:val="24"/>
        </w:rPr>
        <w:t xml:space="preserve"> how a pre-political model of social cooperation found in Dewey can </w:t>
      </w:r>
      <w:r w:rsidR="00461F46" w:rsidRPr="00461D74">
        <w:rPr>
          <w:rFonts w:ascii="Garamond" w:hAnsi="Garamond" w:cstheme="minorHAnsi"/>
          <w:sz w:val="24"/>
          <w:szCs w:val="24"/>
        </w:rPr>
        <w:t xml:space="preserve">act as a </w:t>
      </w:r>
      <w:r w:rsidR="00016049" w:rsidRPr="00461D74">
        <w:rPr>
          <w:rFonts w:ascii="Garamond" w:hAnsi="Garamond" w:cstheme="minorHAnsi"/>
          <w:sz w:val="24"/>
          <w:szCs w:val="24"/>
        </w:rPr>
        <w:t xml:space="preserve">building block for a genuine democratic participatory </w:t>
      </w:r>
      <w:r w:rsidR="00461F46" w:rsidRPr="00461D74">
        <w:rPr>
          <w:rFonts w:ascii="Garamond" w:hAnsi="Garamond" w:cstheme="minorHAnsi"/>
          <w:sz w:val="24"/>
          <w:szCs w:val="24"/>
        </w:rPr>
        <w:t xml:space="preserve">form of </w:t>
      </w:r>
      <w:r w:rsidR="00016049" w:rsidRPr="00461D74">
        <w:rPr>
          <w:rFonts w:ascii="Garamond" w:hAnsi="Garamond" w:cstheme="minorHAnsi"/>
          <w:sz w:val="24"/>
          <w:szCs w:val="24"/>
        </w:rPr>
        <w:t>politics</w:t>
      </w:r>
      <w:r w:rsidR="00461F46" w:rsidRPr="00461D74">
        <w:rPr>
          <w:rFonts w:ascii="Garamond" w:hAnsi="Garamond" w:cstheme="minorHAnsi"/>
          <w:sz w:val="24"/>
          <w:szCs w:val="24"/>
        </w:rPr>
        <w:t xml:space="preserve"> that is grounded in deliberation</w:t>
      </w:r>
      <w:r w:rsidR="00AE40D3">
        <w:rPr>
          <w:rFonts w:ascii="Garamond" w:hAnsi="Garamond" w:cstheme="minorHAnsi"/>
          <w:sz w:val="24"/>
          <w:szCs w:val="24"/>
        </w:rPr>
        <w:t>,</w:t>
      </w:r>
      <w:r w:rsidR="00016049" w:rsidRPr="00461D74">
        <w:rPr>
          <w:rFonts w:ascii="Garamond" w:hAnsi="Garamond" w:cstheme="minorHAnsi"/>
          <w:sz w:val="24"/>
          <w:szCs w:val="24"/>
        </w:rPr>
        <w:t xml:space="preserve"> </w:t>
      </w:r>
      <w:r w:rsidR="00AE40D3">
        <w:rPr>
          <w:rFonts w:ascii="Garamond" w:hAnsi="Garamond" w:cstheme="minorHAnsi"/>
          <w:sz w:val="24"/>
          <w:szCs w:val="24"/>
        </w:rPr>
        <w:t xml:space="preserve">and </w:t>
      </w:r>
      <w:r w:rsidR="00016049" w:rsidRPr="00461D74">
        <w:rPr>
          <w:rFonts w:ascii="Garamond" w:hAnsi="Garamond" w:cstheme="minorHAnsi"/>
          <w:sz w:val="24"/>
          <w:szCs w:val="24"/>
        </w:rPr>
        <w:t xml:space="preserve">one that </w:t>
      </w:r>
      <w:r w:rsidR="00AE40D3">
        <w:rPr>
          <w:rFonts w:ascii="Garamond" w:hAnsi="Garamond" w:cstheme="minorHAnsi"/>
          <w:sz w:val="24"/>
          <w:szCs w:val="24"/>
        </w:rPr>
        <w:t>aims at</w:t>
      </w:r>
      <w:r w:rsidR="00461F46" w:rsidRPr="00461D74">
        <w:rPr>
          <w:rFonts w:ascii="Garamond" w:hAnsi="Garamond" w:cstheme="minorHAnsi"/>
          <w:sz w:val="24"/>
          <w:szCs w:val="24"/>
        </w:rPr>
        <w:t xml:space="preserve"> </w:t>
      </w:r>
      <w:r w:rsidR="00016049" w:rsidRPr="00461D74">
        <w:rPr>
          <w:rFonts w:ascii="Garamond" w:hAnsi="Garamond" w:cstheme="minorHAnsi"/>
          <w:sz w:val="24"/>
          <w:szCs w:val="24"/>
        </w:rPr>
        <w:t>develop</w:t>
      </w:r>
      <w:r w:rsidR="00461F46" w:rsidRPr="00461D74">
        <w:rPr>
          <w:rFonts w:ascii="Garamond" w:hAnsi="Garamond" w:cstheme="minorHAnsi"/>
          <w:sz w:val="24"/>
          <w:szCs w:val="24"/>
        </w:rPr>
        <w:t>ing</w:t>
      </w:r>
      <w:r w:rsidR="00016049" w:rsidRPr="00461D74">
        <w:rPr>
          <w:rFonts w:ascii="Garamond" w:hAnsi="Garamond" w:cstheme="minorHAnsi"/>
          <w:sz w:val="24"/>
          <w:szCs w:val="24"/>
        </w:rPr>
        <w:t xml:space="preserve"> intelligent democratic solutions to social problems. </w:t>
      </w:r>
      <w:r w:rsidR="00461F46" w:rsidRPr="00461D74">
        <w:rPr>
          <w:rFonts w:ascii="Garamond" w:hAnsi="Garamond" w:cstheme="minorHAnsi"/>
          <w:sz w:val="24"/>
          <w:szCs w:val="24"/>
        </w:rPr>
        <w:t xml:space="preserve">In addition, </w:t>
      </w:r>
      <w:r w:rsidR="00016049" w:rsidRPr="00461D74">
        <w:rPr>
          <w:rFonts w:ascii="Garamond" w:hAnsi="Garamond" w:cstheme="minorHAnsi"/>
          <w:sz w:val="24"/>
          <w:szCs w:val="24"/>
        </w:rPr>
        <w:t xml:space="preserve">Dewey’s model of social cooperation </w:t>
      </w:r>
      <w:r w:rsidR="00461F46" w:rsidRPr="00461D74">
        <w:rPr>
          <w:rFonts w:ascii="Garamond" w:hAnsi="Garamond" w:cstheme="minorHAnsi"/>
          <w:sz w:val="24"/>
          <w:szCs w:val="24"/>
        </w:rPr>
        <w:t xml:space="preserve">offers an account of </w:t>
      </w:r>
      <w:r w:rsidR="00016049" w:rsidRPr="00461D74">
        <w:rPr>
          <w:rFonts w:ascii="Garamond" w:hAnsi="Garamond" w:cstheme="minorHAnsi"/>
          <w:sz w:val="24"/>
          <w:szCs w:val="24"/>
        </w:rPr>
        <w:t xml:space="preserve">‘public’ </w:t>
      </w:r>
      <w:r w:rsidR="00461F46" w:rsidRPr="00461D74">
        <w:rPr>
          <w:rFonts w:ascii="Garamond" w:hAnsi="Garamond" w:cstheme="minorHAnsi"/>
          <w:sz w:val="24"/>
          <w:szCs w:val="24"/>
        </w:rPr>
        <w:t xml:space="preserve">(or community) which appears more or less allied </w:t>
      </w:r>
      <w:r w:rsidR="00016049" w:rsidRPr="00461D74">
        <w:rPr>
          <w:rFonts w:ascii="Garamond" w:hAnsi="Garamond" w:cstheme="minorHAnsi"/>
          <w:sz w:val="24"/>
          <w:szCs w:val="24"/>
        </w:rPr>
        <w:t>with MacIntyre’s account of communities. On Dewey’s model</w:t>
      </w:r>
      <w:r w:rsidR="00461F46" w:rsidRPr="00461D74">
        <w:rPr>
          <w:rFonts w:ascii="Garamond" w:hAnsi="Garamond" w:cstheme="minorHAnsi"/>
          <w:sz w:val="24"/>
          <w:szCs w:val="24"/>
        </w:rPr>
        <w:t xml:space="preserve"> of social cooperation</w:t>
      </w:r>
      <w:r w:rsidR="00DF4B76" w:rsidRPr="00461D74">
        <w:rPr>
          <w:rFonts w:ascii="Garamond" w:hAnsi="Garamond" w:cstheme="minorHAnsi"/>
          <w:sz w:val="24"/>
          <w:szCs w:val="24"/>
        </w:rPr>
        <w:t xml:space="preserve"> central to his epistemic account of democracy</w:t>
      </w:r>
      <w:r w:rsidR="00461F46" w:rsidRPr="00461D74">
        <w:rPr>
          <w:rFonts w:ascii="Garamond" w:hAnsi="Garamond" w:cstheme="minorHAnsi"/>
          <w:sz w:val="24"/>
          <w:szCs w:val="24"/>
        </w:rPr>
        <w:t>,</w:t>
      </w:r>
      <w:r w:rsidR="00016049" w:rsidRPr="00461D74">
        <w:rPr>
          <w:rFonts w:ascii="Garamond" w:hAnsi="Garamond" w:cstheme="minorHAnsi"/>
          <w:sz w:val="24"/>
          <w:szCs w:val="24"/>
        </w:rPr>
        <w:t xml:space="preserve"> dialogue between various ‘publics’ </w:t>
      </w:r>
      <w:r w:rsidR="00D8527D" w:rsidRPr="00461D74">
        <w:rPr>
          <w:rFonts w:ascii="Garamond" w:hAnsi="Garamond" w:cstheme="minorHAnsi"/>
          <w:sz w:val="24"/>
          <w:szCs w:val="24"/>
        </w:rPr>
        <w:t xml:space="preserve">affords </w:t>
      </w:r>
      <w:r w:rsidR="00461F46" w:rsidRPr="00461D74">
        <w:rPr>
          <w:rFonts w:ascii="Garamond" w:hAnsi="Garamond" w:cstheme="minorHAnsi"/>
          <w:sz w:val="24"/>
          <w:szCs w:val="24"/>
        </w:rPr>
        <w:t xml:space="preserve">more intelligent </w:t>
      </w:r>
      <w:r w:rsidR="00016049" w:rsidRPr="00461D74">
        <w:rPr>
          <w:rFonts w:ascii="Garamond" w:hAnsi="Garamond" w:cstheme="minorHAnsi"/>
          <w:sz w:val="24"/>
          <w:szCs w:val="24"/>
        </w:rPr>
        <w:t xml:space="preserve">solutions </w:t>
      </w:r>
      <w:r w:rsidR="00461F46" w:rsidRPr="00461D74">
        <w:rPr>
          <w:rFonts w:ascii="Garamond" w:hAnsi="Garamond" w:cstheme="minorHAnsi"/>
          <w:sz w:val="24"/>
          <w:szCs w:val="24"/>
        </w:rPr>
        <w:t xml:space="preserve">for the resolution of </w:t>
      </w:r>
      <w:r w:rsidR="00016049" w:rsidRPr="00461D74">
        <w:rPr>
          <w:rFonts w:ascii="Garamond" w:hAnsi="Garamond" w:cstheme="minorHAnsi"/>
          <w:sz w:val="24"/>
          <w:szCs w:val="24"/>
        </w:rPr>
        <w:t>soci</w:t>
      </w:r>
      <w:r w:rsidR="00461F46" w:rsidRPr="00461D74">
        <w:rPr>
          <w:rFonts w:ascii="Garamond" w:hAnsi="Garamond" w:cstheme="minorHAnsi"/>
          <w:sz w:val="24"/>
          <w:szCs w:val="24"/>
        </w:rPr>
        <w:t>al</w:t>
      </w:r>
      <w:r w:rsidR="00016049" w:rsidRPr="00461D74">
        <w:rPr>
          <w:rFonts w:ascii="Garamond" w:hAnsi="Garamond" w:cstheme="minorHAnsi"/>
          <w:sz w:val="24"/>
          <w:szCs w:val="24"/>
        </w:rPr>
        <w:t xml:space="preserve">-political problems. In Dewey’s participatory democracy, social cooperation under the just division of labour </w:t>
      </w:r>
      <w:r w:rsidR="00D8527D" w:rsidRPr="00461D74">
        <w:rPr>
          <w:rFonts w:ascii="Garamond" w:hAnsi="Garamond" w:cstheme="minorHAnsi"/>
          <w:sz w:val="24"/>
          <w:szCs w:val="24"/>
        </w:rPr>
        <w:t xml:space="preserve">provides the space in which all individuals are afforded a fair opportunity </w:t>
      </w:r>
      <w:r w:rsidR="00016049" w:rsidRPr="00461D74">
        <w:rPr>
          <w:rFonts w:ascii="Garamond" w:hAnsi="Garamond" w:cstheme="minorHAnsi"/>
          <w:sz w:val="24"/>
          <w:szCs w:val="24"/>
        </w:rPr>
        <w:t>to flourish</w:t>
      </w:r>
      <w:r w:rsidR="00D8527D" w:rsidRPr="00461D74">
        <w:rPr>
          <w:rFonts w:ascii="Garamond" w:hAnsi="Garamond" w:cstheme="minorHAnsi"/>
          <w:sz w:val="24"/>
          <w:szCs w:val="24"/>
        </w:rPr>
        <w:t>,</w:t>
      </w:r>
      <w:r w:rsidR="00016049" w:rsidRPr="00461D74">
        <w:rPr>
          <w:rFonts w:ascii="Garamond" w:hAnsi="Garamond" w:cstheme="minorHAnsi"/>
          <w:sz w:val="24"/>
          <w:szCs w:val="24"/>
        </w:rPr>
        <w:t xml:space="preserve"> and realize their potential as human beings. </w:t>
      </w:r>
      <w:r w:rsidR="00D8527D" w:rsidRPr="00461D74">
        <w:rPr>
          <w:rFonts w:ascii="Garamond" w:hAnsi="Garamond" w:cstheme="minorHAnsi"/>
          <w:sz w:val="24"/>
          <w:szCs w:val="24"/>
        </w:rPr>
        <w:t>What is noteworthy here is that the model of social cooperation under the just division of labour points us to a model of joint democratic deliberation as a method of jointly solving a variety of social problems. Therefore,</w:t>
      </w:r>
      <w:r w:rsidR="00A6762A" w:rsidRPr="00461D74">
        <w:rPr>
          <w:rFonts w:ascii="Garamond" w:hAnsi="Garamond" w:cstheme="minorHAnsi"/>
          <w:sz w:val="24"/>
          <w:szCs w:val="24"/>
        </w:rPr>
        <w:t xml:space="preserve"> t</w:t>
      </w:r>
      <w:r w:rsidR="00016049" w:rsidRPr="00461D74">
        <w:rPr>
          <w:rFonts w:ascii="Garamond" w:hAnsi="Garamond" w:cstheme="minorHAnsi"/>
          <w:sz w:val="24"/>
          <w:szCs w:val="24"/>
        </w:rPr>
        <w:t xml:space="preserve">he realization of human capabilities in the activity of social cooperation </w:t>
      </w:r>
      <w:r w:rsidR="00890D5B">
        <w:rPr>
          <w:rFonts w:ascii="Garamond" w:hAnsi="Garamond" w:cstheme="minorHAnsi"/>
          <w:sz w:val="24"/>
          <w:szCs w:val="24"/>
        </w:rPr>
        <w:t>affords</w:t>
      </w:r>
      <w:r w:rsidR="00890D5B"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individual the </w:t>
      </w:r>
      <w:r w:rsidR="00A6762A" w:rsidRPr="00461D74">
        <w:rPr>
          <w:rFonts w:ascii="Garamond" w:hAnsi="Garamond" w:cstheme="minorHAnsi"/>
          <w:sz w:val="24"/>
          <w:szCs w:val="24"/>
        </w:rPr>
        <w:t xml:space="preserve">necessary guidance and </w:t>
      </w:r>
      <w:r w:rsidR="00016049" w:rsidRPr="00461D74">
        <w:rPr>
          <w:rFonts w:ascii="Garamond" w:hAnsi="Garamond" w:cstheme="minorHAnsi"/>
          <w:sz w:val="24"/>
          <w:szCs w:val="24"/>
        </w:rPr>
        <w:t>background</w:t>
      </w:r>
      <w:r w:rsidR="00D8527D" w:rsidRPr="00461D74">
        <w:rPr>
          <w:rFonts w:ascii="Garamond" w:hAnsi="Garamond" w:cstheme="minorHAnsi"/>
          <w:sz w:val="24"/>
          <w:szCs w:val="24"/>
        </w:rPr>
        <w:t xml:space="preserve"> </w:t>
      </w:r>
      <w:r w:rsidR="000B03C0">
        <w:rPr>
          <w:rFonts w:ascii="Garamond" w:hAnsi="Garamond" w:cstheme="minorHAnsi"/>
          <w:sz w:val="24"/>
          <w:szCs w:val="24"/>
        </w:rPr>
        <w:t>to</w:t>
      </w:r>
      <w:r w:rsidR="000B03C0" w:rsidRPr="00461D74">
        <w:rPr>
          <w:rFonts w:ascii="Garamond" w:hAnsi="Garamond" w:cstheme="minorHAnsi"/>
          <w:sz w:val="24"/>
          <w:szCs w:val="24"/>
        </w:rPr>
        <w:t xml:space="preserve"> </w:t>
      </w:r>
      <w:r w:rsidR="000B03C0">
        <w:rPr>
          <w:rFonts w:ascii="Garamond" w:hAnsi="Garamond" w:cstheme="minorHAnsi"/>
          <w:sz w:val="24"/>
          <w:szCs w:val="24"/>
        </w:rPr>
        <w:t xml:space="preserve">participate in </w:t>
      </w:r>
      <w:r w:rsidR="00D8527D" w:rsidRPr="00461D74">
        <w:rPr>
          <w:rFonts w:ascii="Garamond" w:hAnsi="Garamond" w:cstheme="minorHAnsi"/>
          <w:sz w:val="24"/>
          <w:szCs w:val="24"/>
        </w:rPr>
        <w:t>generat</w:t>
      </w:r>
      <w:r w:rsidR="000B03C0">
        <w:rPr>
          <w:rFonts w:ascii="Garamond" w:hAnsi="Garamond" w:cstheme="minorHAnsi"/>
          <w:sz w:val="24"/>
          <w:szCs w:val="24"/>
        </w:rPr>
        <w:t>ing</w:t>
      </w:r>
      <w:r w:rsidR="00D8527D" w:rsidRPr="00461D74">
        <w:rPr>
          <w:rFonts w:ascii="Garamond" w:hAnsi="Garamond" w:cstheme="minorHAnsi"/>
          <w:sz w:val="24"/>
          <w:szCs w:val="24"/>
        </w:rPr>
        <w:t xml:space="preserve"> the conditions for democratic participation for the purpose of solving social problems, as well as advancing the growth of the individual, and the community as a whole</w:t>
      </w:r>
      <w:r w:rsidR="00016049" w:rsidRPr="00461D74">
        <w:rPr>
          <w:rFonts w:ascii="Garamond" w:hAnsi="Garamond" w:cstheme="minorHAnsi"/>
          <w:sz w:val="24"/>
          <w:szCs w:val="24"/>
        </w:rPr>
        <w:t xml:space="preserve">. </w:t>
      </w:r>
    </w:p>
    <w:p w:rsidR="0044155A" w:rsidRDefault="00A6762A">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 xml:space="preserve">It seems then that Dewey’s account possesses the resources to address the type of criticism raised against MacIntyre’s account by </w:t>
      </w:r>
      <w:proofErr w:type="spellStart"/>
      <w:r w:rsidRPr="00461D74">
        <w:rPr>
          <w:rFonts w:ascii="Garamond" w:hAnsi="Garamond" w:cstheme="minorHAnsi"/>
          <w:sz w:val="24"/>
          <w:szCs w:val="24"/>
        </w:rPr>
        <w:t>Hibbs</w:t>
      </w:r>
      <w:proofErr w:type="spellEnd"/>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What is significant in Dewey is that he, </w:t>
      </w:r>
      <w:r w:rsidR="00016049" w:rsidRPr="00461D74">
        <w:rPr>
          <w:rFonts w:ascii="Garamond" w:hAnsi="Garamond" w:cstheme="minorHAnsi"/>
          <w:i/>
          <w:iCs/>
          <w:sz w:val="24"/>
          <w:szCs w:val="24"/>
        </w:rPr>
        <w:t>pace</w:t>
      </w:r>
      <w:r w:rsidR="00016049" w:rsidRPr="00461D74">
        <w:rPr>
          <w:rFonts w:ascii="Garamond" w:hAnsi="Garamond" w:cstheme="minorHAnsi"/>
          <w:sz w:val="24"/>
          <w:szCs w:val="24"/>
        </w:rPr>
        <w:t xml:space="preserve"> the communitarians, and in agreement with MacIntyre, believes that the primary forms of political associations are local communities, not the state. On his view the state is only a secondary form of association. In addition, Dewey’s model of social cooperation seeks to </w:t>
      </w:r>
      <w:r w:rsidRPr="00461D74">
        <w:rPr>
          <w:rFonts w:ascii="Garamond" w:hAnsi="Garamond" w:cstheme="minorHAnsi"/>
          <w:sz w:val="24"/>
          <w:szCs w:val="24"/>
        </w:rPr>
        <w:t xml:space="preserve">engender </w:t>
      </w:r>
      <w:r w:rsidR="00016049" w:rsidRPr="00461D74">
        <w:rPr>
          <w:rFonts w:ascii="Garamond" w:hAnsi="Garamond" w:cstheme="minorHAnsi"/>
          <w:sz w:val="24"/>
          <w:szCs w:val="24"/>
        </w:rPr>
        <w:t xml:space="preserve">a </w:t>
      </w:r>
      <w:r w:rsidRPr="00461D74">
        <w:rPr>
          <w:rFonts w:ascii="Garamond" w:hAnsi="Garamond" w:cstheme="minorHAnsi"/>
          <w:sz w:val="24"/>
          <w:szCs w:val="24"/>
        </w:rPr>
        <w:t xml:space="preserve">kind </w:t>
      </w:r>
      <w:r w:rsidR="00016049" w:rsidRPr="00461D74">
        <w:rPr>
          <w:rFonts w:ascii="Garamond" w:hAnsi="Garamond" w:cstheme="minorHAnsi"/>
          <w:sz w:val="24"/>
          <w:szCs w:val="24"/>
        </w:rPr>
        <w:t xml:space="preserve">of politics, the realization of which </w:t>
      </w:r>
      <w:r w:rsidRPr="00461D74">
        <w:rPr>
          <w:rFonts w:ascii="Garamond" w:hAnsi="Garamond" w:cstheme="minorHAnsi"/>
          <w:sz w:val="24"/>
          <w:szCs w:val="24"/>
        </w:rPr>
        <w:t xml:space="preserve">can intelligently generate </w:t>
      </w:r>
      <w:r w:rsidR="00016049" w:rsidRPr="00461D74">
        <w:rPr>
          <w:rFonts w:ascii="Garamond" w:hAnsi="Garamond" w:cstheme="minorHAnsi"/>
          <w:sz w:val="24"/>
          <w:szCs w:val="24"/>
        </w:rPr>
        <w:t xml:space="preserve">political solutions to various social problems; </w:t>
      </w:r>
      <w:r w:rsidRPr="00461D74">
        <w:rPr>
          <w:rFonts w:ascii="Garamond" w:hAnsi="Garamond" w:cstheme="minorHAnsi"/>
          <w:sz w:val="24"/>
          <w:szCs w:val="24"/>
        </w:rPr>
        <w:t xml:space="preserve">and </w:t>
      </w:r>
      <w:r w:rsidR="00005D8E" w:rsidRPr="00461D74">
        <w:rPr>
          <w:rFonts w:ascii="Garamond" w:hAnsi="Garamond" w:cstheme="minorHAnsi"/>
          <w:sz w:val="24"/>
          <w:szCs w:val="24"/>
        </w:rPr>
        <w:t xml:space="preserve">Dewey </w:t>
      </w:r>
      <w:r w:rsidRPr="00461D74">
        <w:rPr>
          <w:rFonts w:ascii="Garamond" w:hAnsi="Garamond" w:cstheme="minorHAnsi"/>
          <w:sz w:val="24"/>
          <w:szCs w:val="24"/>
        </w:rPr>
        <w:t xml:space="preserve">seems to offer us </w:t>
      </w:r>
      <w:r w:rsidR="00005D8E" w:rsidRPr="00461D74">
        <w:rPr>
          <w:rFonts w:ascii="Garamond" w:hAnsi="Garamond" w:cstheme="minorHAnsi"/>
          <w:sz w:val="24"/>
          <w:szCs w:val="24"/>
        </w:rPr>
        <w:t xml:space="preserve">the kind of resources that are simply not </w:t>
      </w:r>
      <w:r w:rsidR="003475A5">
        <w:rPr>
          <w:rFonts w:ascii="Garamond" w:hAnsi="Garamond" w:cstheme="minorHAnsi"/>
          <w:sz w:val="24"/>
          <w:szCs w:val="24"/>
        </w:rPr>
        <w:t>afforded</w:t>
      </w:r>
      <w:r w:rsidR="003475A5" w:rsidRPr="00461D74">
        <w:rPr>
          <w:rFonts w:ascii="Garamond" w:hAnsi="Garamond" w:cstheme="minorHAnsi"/>
          <w:sz w:val="24"/>
          <w:szCs w:val="24"/>
        </w:rPr>
        <w:t xml:space="preserve"> </w:t>
      </w:r>
      <w:r w:rsidR="003475A5">
        <w:rPr>
          <w:rFonts w:ascii="Garamond" w:hAnsi="Garamond" w:cstheme="minorHAnsi"/>
          <w:sz w:val="24"/>
          <w:szCs w:val="24"/>
        </w:rPr>
        <w:t>by</w:t>
      </w:r>
      <w:r w:rsidR="003475A5" w:rsidRPr="00461D74">
        <w:rPr>
          <w:rFonts w:ascii="Garamond" w:hAnsi="Garamond" w:cstheme="minorHAnsi"/>
          <w:sz w:val="24"/>
          <w:szCs w:val="24"/>
        </w:rPr>
        <w:t xml:space="preserve"> </w:t>
      </w:r>
      <w:r w:rsidRPr="00461D74">
        <w:rPr>
          <w:rFonts w:ascii="Garamond" w:hAnsi="Garamond" w:cstheme="minorHAnsi"/>
          <w:sz w:val="24"/>
          <w:szCs w:val="24"/>
        </w:rPr>
        <w:t>MacIntyre</w:t>
      </w:r>
      <w:r w:rsidR="003475A5">
        <w:rPr>
          <w:rFonts w:ascii="Garamond" w:hAnsi="Garamond" w:cstheme="minorHAnsi"/>
          <w:sz w:val="24"/>
          <w:szCs w:val="24"/>
        </w:rPr>
        <w:t>’s account</w:t>
      </w:r>
      <w:r w:rsidR="00016049" w:rsidRPr="00461D74">
        <w:rPr>
          <w:rFonts w:ascii="Garamond" w:hAnsi="Garamond" w:cstheme="minorHAnsi"/>
          <w:sz w:val="24"/>
          <w:szCs w:val="24"/>
        </w:rPr>
        <w:t>.</w:t>
      </w:r>
    </w:p>
    <w:p w:rsidR="0044155A" w:rsidRDefault="00016049">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lastRenderedPageBreak/>
        <w:t xml:space="preserve">On my view, Dewey could certainly agree that there are </w:t>
      </w:r>
      <w:r w:rsidR="00150A73" w:rsidRPr="00461D74">
        <w:rPr>
          <w:rFonts w:ascii="Garamond" w:hAnsi="Garamond" w:cstheme="minorHAnsi"/>
          <w:sz w:val="24"/>
          <w:szCs w:val="24"/>
        </w:rPr>
        <w:t xml:space="preserve">a number of </w:t>
      </w:r>
      <w:r w:rsidRPr="00461D74">
        <w:rPr>
          <w:rFonts w:ascii="Garamond" w:hAnsi="Garamond" w:cstheme="minorHAnsi"/>
          <w:sz w:val="24"/>
          <w:szCs w:val="24"/>
        </w:rPr>
        <w:t xml:space="preserve">possibilities </w:t>
      </w:r>
      <w:r w:rsidR="00150A73" w:rsidRPr="00461D74">
        <w:rPr>
          <w:rFonts w:ascii="Garamond" w:hAnsi="Garamond" w:cstheme="minorHAnsi"/>
          <w:sz w:val="24"/>
          <w:szCs w:val="24"/>
        </w:rPr>
        <w:t xml:space="preserve">that would allow local </w:t>
      </w:r>
      <w:r w:rsidRPr="00461D74">
        <w:rPr>
          <w:rFonts w:ascii="Garamond" w:hAnsi="Garamond" w:cstheme="minorHAnsi"/>
          <w:sz w:val="24"/>
          <w:szCs w:val="24"/>
        </w:rPr>
        <w:t xml:space="preserve">communities to protect various substantive conceptions of the good </w:t>
      </w:r>
      <w:r w:rsidR="00150A73" w:rsidRPr="00461D74">
        <w:rPr>
          <w:rFonts w:ascii="Garamond" w:hAnsi="Garamond" w:cstheme="minorHAnsi"/>
          <w:sz w:val="24"/>
          <w:szCs w:val="24"/>
        </w:rPr>
        <w:t xml:space="preserve">against interference by the state, </w:t>
      </w:r>
      <w:r w:rsidRPr="00461D74">
        <w:rPr>
          <w:rFonts w:ascii="Garamond" w:hAnsi="Garamond" w:cstheme="minorHAnsi"/>
          <w:sz w:val="24"/>
          <w:szCs w:val="24"/>
        </w:rPr>
        <w:t>in way</w:t>
      </w:r>
      <w:r w:rsidR="00150A73" w:rsidRPr="00461D74">
        <w:rPr>
          <w:rFonts w:ascii="Garamond" w:hAnsi="Garamond" w:cstheme="minorHAnsi"/>
          <w:sz w:val="24"/>
          <w:szCs w:val="24"/>
        </w:rPr>
        <w:t>s</w:t>
      </w:r>
      <w:r w:rsidRPr="00461D74">
        <w:rPr>
          <w:rFonts w:ascii="Garamond" w:hAnsi="Garamond" w:cstheme="minorHAnsi"/>
          <w:sz w:val="24"/>
          <w:szCs w:val="24"/>
        </w:rPr>
        <w:t xml:space="preserve"> that </w:t>
      </w:r>
      <w:r w:rsidR="00150A73" w:rsidRPr="00461D74">
        <w:rPr>
          <w:rFonts w:ascii="Garamond" w:hAnsi="Garamond" w:cstheme="minorHAnsi"/>
          <w:sz w:val="24"/>
          <w:szCs w:val="24"/>
        </w:rPr>
        <w:t xml:space="preserve">remain </w:t>
      </w:r>
      <w:r w:rsidRPr="00461D74">
        <w:rPr>
          <w:rFonts w:ascii="Garamond" w:hAnsi="Garamond" w:cstheme="minorHAnsi"/>
          <w:sz w:val="24"/>
          <w:szCs w:val="24"/>
        </w:rPr>
        <w:t xml:space="preserve">compatible with </w:t>
      </w:r>
      <w:r w:rsidR="00CC3ADC" w:rsidRPr="00461D74">
        <w:rPr>
          <w:rFonts w:ascii="Garamond" w:hAnsi="Garamond" w:cstheme="minorHAnsi"/>
          <w:sz w:val="24"/>
          <w:szCs w:val="24"/>
        </w:rPr>
        <w:t>the</w:t>
      </w:r>
      <w:r w:rsidR="00150A73" w:rsidRPr="00461D74">
        <w:rPr>
          <w:rFonts w:ascii="Garamond" w:hAnsi="Garamond" w:cstheme="minorHAnsi"/>
          <w:sz w:val="24"/>
          <w:szCs w:val="24"/>
        </w:rPr>
        <w:t xml:space="preserve"> </w:t>
      </w:r>
      <w:r w:rsidRPr="00461D74">
        <w:rPr>
          <w:rFonts w:ascii="Garamond" w:hAnsi="Garamond" w:cstheme="minorHAnsi"/>
          <w:sz w:val="24"/>
          <w:szCs w:val="24"/>
        </w:rPr>
        <w:t>procedural character</w:t>
      </w:r>
      <w:r w:rsidR="00150A73" w:rsidRPr="00461D74">
        <w:rPr>
          <w:rFonts w:ascii="Garamond" w:hAnsi="Garamond" w:cstheme="minorHAnsi"/>
          <w:sz w:val="24"/>
          <w:szCs w:val="24"/>
        </w:rPr>
        <w:t>istics</w:t>
      </w:r>
      <w:r w:rsidR="00CC3ADC" w:rsidRPr="00461D74">
        <w:rPr>
          <w:rFonts w:ascii="Garamond" w:hAnsi="Garamond" w:cstheme="minorHAnsi"/>
          <w:sz w:val="24"/>
          <w:szCs w:val="24"/>
        </w:rPr>
        <w:t xml:space="preserve"> of the state</w:t>
      </w:r>
      <w:r w:rsidRPr="00461D74">
        <w:rPr>
          <w:rFonts w:ascii="Garamond" w:hAnsi="Garamond" w:cstheme="minorHAnsi"/>
          <w:sz w:val="24"/>
          <w:szCs w:val="24"/>
        </w:rPr>
        <w:t xml:space="preserve">. Indeed, </w:t>
      </w:r>
      <w:proofErr w:type="spellStart"/>
      <w:r w:rsidRPr="00461D74">
        <w:rPr>
          <w:rFonts w:ascii="Garamond" w:hAnsi="Garamond" w:cstheme="minorHAnsi"/>
          <w:sz w:val="24"/>
          <w:szCs w:val="24"/>
        </w:rPr>
        <w:t>Honneth</w:t>
      </w:r>
      <w:proofErr w:type="spellEnd"/>
      <w:r w:rsidR="00D03FCD" w:rsidRPr="00461D74">
        <w:rPr>
          <w:rStyle w:val="FootnoteReference"/>
          <w:rFonts w:ascii="Garamond" w:hAnsi="Garamond" w:cstheme="minorHAnsi"/>
          <w:sz w:val="24"/>
          <w:szCs w:val="24"/>
        </w:rPr>
        <w:footnoteReference w:id="436"/>
      </w:r>
      <w:r w:rsidRPr="00461D74">
        <w:rPr>
          <w:rFonts w:ascii="Garamond" w:hAnsi="Garamond" w:cstheme="minorHAnsi"/>
          <w:sz w:val="24"/>
          <w:szCs w:val="24"/>
        </w:rPr>
        <w:t xml:space="preserve"> contends that Dewey’s alternative epistemic procedural account is in fact a fruitful </w:t>
      </w:r>
      <w:r w:rsidRPr="00461D74">
        <w:rPr>
          <w:rFonts w:ascii="Garamond" w:hAnsi="Garamond" w:cstheme="minorHAnsi"/>
          <w:i/>
          <w:iCs/>
          <w:sz w:val="24"/>
          <w:szCs w:val="24"/>
        </w:rPr>
        <w:t>via media</w:t>
      </w:r>
      <w:r w:rsidRPr="00461D74">
        <w:rPr>
          <w:rFonts w:ascii="Garamond" w:hAnsi="Garamond" w:cstheme="minorHAnsi"/>
          <w:sz w:val="24"/>
          <w:szCs w:val="24"/>
        </w:rPr>
        <w:t xml:space="preserve"> between overly </w:t>
      </w:r>
      <w:proofErr w:type="spellStart"/>
      <w:r w:rsidRPr="00461D74">
        <w:rPr>
          <w:rFonts w:ascii="Garamond" w:hAnsi="Garamond" w:cstheme="minorHAnsi"/>
          <w:sz w:val="24"/>
          <w:szCs w:val="24"/>
        </w:rPr>
        <w:t>proceduralist</w:t>
      </w:r>
      <w:proofErr w:type="spellEnd"/>
      <w:r w:rsidRPr="00461D74">
        <w:rPr>
          <w:rFonts w:ascii="Garamond" w:hAnsi="Garamond" w:cstheme="minorHAnsi"/>
          <w:sz w:val="24"/>
          <w:szCs w:val="24"/>
        </w:rPr>
        <w:t xml:space="preserve"> accounts that are unrealistically </w:t>
      </w:r>
      <w:r w:rsidR="00CC3ADC" w:rsidRPr="00461D74">
        <w:rPr>
          <w:rFonts w:ascii="Garamond" w:hAnsi="Garamond" w:cstheme="minorHAnsi"/>
          <w:sz w:val="24"/>
          <w:szCs w:val="24"/>
        </w:rPr>
        <w:t xml:space="preserve">abstract (or </w:t>
      </w:r>
      <w:r w:rsidRPr="00461D74">
        <w:rPr>
          <w:rFonts w:ascii="Garamond" w:hAnsi="Garamond" w:cstheme="minorHAnsi"/>
          <w:sz w:val="24"/>
          <w:szCs w:val="24"/>
        </w:rPr>
        <w:t>ideal</w:t>
      </w:r>
      <w:r w:rsidR="00CC3ADC" w:rsidRPr="00461D74">
        <w:rPr>
          <w:rFonts w:ascii="Garamond" w:hAnsi="Garamond" w:cstheme="minorHAnsi"/>
          <w:sz w:val="24"/>
          <w:szCs w:val="24"/>
        </w:rPr>
        <w:t>)</w:t>
      </w:r>
      <w:r w:rsidRPr="00461D74">
        <w:rPr>
          <w:rFonts w:ascii="Garamond" w:hAnsi="Garamond" w:cstheme="minorHAnsi"/>
          <w:sz w:val="24"/>
          <w:szCs w:val="24"/>
        </w:rPr>
        <w:t>, and substantive republican account</w:t>
      </w:r>
      <w:r w:rsidR="00CC3ADC" w:rsidRPr="00461D74">
        <w:rPr>
          <w:rFonts w:ascii="Garamond" w:hAnsi="Garamond" w:cstheme="minorHAnsi"/>
          <w:sz w:val="24"/>
          <w:szCs w:val="24"/>
        </w:rPr>
        <w:t>s</w:t>
      </w:r>
      <w:r w:rsidRPr="00461D74">
        <w:rPr>
          <w:rFonts w:ascii="Garamond" w:hAnsi="Garamond" w:cstheme="minorHAnsi"/>
          <w:sz w:val="24"/>
          <w:szCs w:val="24"/>
        </w:rPr>
        <w:t xml:space="preserve"> that entirely focus on the virtues</w:t>
      </w:r>
      <w:r w:rsidR="00CC3ADC" w:rsidRPr="00461D74">
        <w:rPr>
          <w:rFonts w:ascii="Garamond" w:hAnsi="Garamond" w:cstheme="minorHAnsi"/>
          <w:sz w:val="24"/>
          <w:szCs w:val="24"/>
        </w:rPr>
        <w:t xml:space="preserve"> of the citizenry</w:t>
      </w:r>
      <w:r w:rsidRPr="00461D74">
        <w:rPr>
          <w:rFonts w:ascii="Garamond" w:hAnsi="Garamond" w:cstheme="minorHAnsi"/>
          <w:sz w:val="24"/>
          <w:szCs w:val="24"/>
        </w:rPr>
        <w:t>.</w:t>
      </w:r>
    </w:p>
    <w:p w:rsidR="00665157" w:rsidRDefault="00016049">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 xml:space="preserve">Lastly, Dewey’s alternative account views the role of state government as the vehicle in which the various ‘publics’ (or communities in </w:t>
      </w:r>
      <w:proofErr w:type="spellStart"/>
      <w:r w:rsidRPr="00461D74">
        <w:rPr>
          <w:rFonts w:ascii="Garamond" w:hAnsi="Garamond" w:cstheme="minorHAnsi"/>
          <w:sz w:val="24"/>
          <w:szCs w:val="24"/>
        </w:rPr>
        <w:t>MacIntyre</w:t>
      </w:r>
      <w:r w:rsidR="00A76629" w:rsidRPr="00461D74">
        <w:rPr>
          <w:rFonts w:ascii="Garamond" w:hAnsi="Garamond" w:cstheme="minorHAnsi"/>
          <w:sz w:val="24"/>
          <w:szCs w:val="24"/>
        </w:rPr>
        <w:t>an</w:t>
      </w:r>
      <w:proofErr w:type="spellEnd"/>
      <w:r w:rsidR="00A76629" w:rsidRPr="00461D74">
        <w:rPr>
          <w:rFonts w:ascii="Garamond" w:hAnsi="Garamond" w:cstheme="minorHAnsi"/>
          <w:sz w:val="24"/>
          <w:szCs w:val="24"/>
        </w:rPr>
        <w:t xml:space="preserve"> terminology</w:t>
      </w:r>
      <w:r w:rsidRPr="00461D74">
        <w:rPr>
          <w:rFonts w:ascii="Garamond" w:hAnsi="Garamond" w:cstheme="minorHAnsi"/>
          <w:sz w:val="24"/>
          <w:szCs w:val="24"/>
        </w:rPr>
        <w:t>) are engaged in a joint problem solving process with the</w:t>
      </w:r>
      <w:r w:rsidR="00A76629" w:rsidRPr="00461D74">
        <w:rPr>
          <w:rFonts w:ascii="Garamond" w:hAnsi="Garamond" w:cstheme="minorHAnsi"/>
          <w:sz w:val="24"/>
          <w:szCs w:val="24"/>
        </w:rPr>
        <w:t xml:space="preserve"> express</w:t>
      </w:r>
      <w:r w:rsidRPr="00461D74">
        <w:rPr>
          <w:rFonts w:ascii="Garamond" w:hAnsi="Garamond" w:cstheme="minorHAnsi"/>
          <w:sz w:val="24"/>
          <w:szCs w:val="24"/>
        </w:rPr>
        <w:t xml:space="preserve"> aim of resolving various social problems.</w:t>
      </w:r>
      <w:r w:rsidRPr="00461D74">
        <w:rPr>
          <w:rStyle w:val="FootnoteReference"/>
          <w:rFonts w:ascii="Garamond" w:hAnsi="Garamond" w:cstheme="minorHAnsi"/>
          <w:sz w:val="24"/>
          <w:szCs w:val="24"/>
        </w:rPr>
        <w:footnoteReference w:id="437"/>
      </w:r>
      <w:r w:rsidRPr="00461D74">
        <w:rPr>
          <w:rFonts w:ascii="Garamond" w:hAnsi="Garamond" w:cstheme="minorHAnsi"/>
          <w:sz w:val="24"/>
          <w:szCs w:val="24"/>
        </w:rPr>
        <w:t xml:space="preserve"> Hence Dewey’s politics, in contrast to that of MacIntyre, sees an important place for state level politics. Recall that MacIntyre’s account rejects the possibility of genuine politics at the state level</w:t>
      </w:r>
      <w:r w:rsidR="00A76629" w:rsidRPr="00461D74">
        <w:rPr>
          <w:rFonts w:ascii="Garamond" w:hAnsi="Garamond" w:cstheme="minorHAnsi"/>
          <w:sz w:val="24"/>
          <w:szCs w:val="24"/>
        </w:rPr>
        <w:t>.</w:t>
      </w:r>
      <w:r w:rsidR="00A76629" w:rsidRPr="00461D74" w:rsidDel="00A76629">
        <w:rPr>
          <w:rFonts w:ascii="Garamond" w:hAnsi="Garamond" w:cstheme="minorHAnsi"/>
          <w:sz w:val="24"/>
          <w:szCs w:val="24"/>
        </w:rPr>
        <w:t xml:space="preserve"> </w:t>
      </w:r>
      <w:r w:rsidR="0044155A">
        <w:rPr>
          <w:rFonts w:ascii="Garamond" w:hAnsi="Garamond" w:cstheme="minorHAnsi"/>
          <w:sz w:val="24"/>
          <w:szCs w:val="24"/>
        </w:rPr>
        <w:t>F</w:t>
      </w:r>
      <w:r w:rsidR="00A76629" w:rsidRPr="00461D74">
        <w:rPr>
          <w:rFonts w:ascii="Garamond" w:hAnsi="Garamond" w:cstheme="minorHAnsi"/>
          <w:sz w:val="24"/>
          <w:szCs w:val="24"/>
        </w:rPr>
        <w:t xml:space="preserve">rom an Aristotelian-Thomist perspective </w:t>
      </w:r>
      <w:r w:rsidR="0044155A">
        <w:rPr>
          <w:rFonts w:ascii="Garamond" w:hAnsi="Garamond" w:cstheme="minorHAnsi"/>
          <w:sz w:val="24"/>
          <w:szCs w:val="24"/>
        </w:rPr>
        <w:t xml:space="preserve">however </w:t>
      </w:r>
      <w:r w:rsidRPr="00461D74">
        <w:rPr>
          <w:rFonts w:ascii="Garamond" w:hAnsi="Garamond" w:cstheme="minorHAnsi"/>
          <w:sz w:val="24"/>
          <w:szCs w:val="24"/>
        </w:rPr>
        <w:t xml:space="preserve">the common good as a whole can only be advanced within </w:t>
      </w:r>
      <w:r w:rsidR="00A76629" w:rsidRPr="00461D74">
        <w:rPr>
          <w:rFonts w:ascii="Garamond" w:hAnsi="Garamond" w:cstheme="minorHAnsi"/>
          <w:sz w:val="24"/>
          <w:szCs w:val="24"/>
        </w:rPr>
        <w:t xml:space="preserve">the sort of </w:t>
      </w:r>
      <w:r w:rsidRPr="00461D74">
        <w:rPr>
          <w:rFonts w:ascii="Garamond" w:hAnsi="Garamond" w:cstheme="minorHAnsi"/>
          <w:sz w:val="24"/>
          <w:szCs w:val="24"/>
        </w:rPr>
        <w:t xml:space="preserve">communities that </w:t>
      </w:r>
      <w:r w:rsidR="00A76629" w:rsidRPr="00461D74">
        <w:rPr>
          <w:rFonts w:ascii="Garamond" w:hAnsi="Garamond" w:cstheme="minorHAnsi"/>
          <w:sz w:val="24"/>
          <w:szCs w:val="24"/>
        </w:rPr>
        <w:t xml:space="preserve">are </w:t>
      </w:r>
      <w:r w:rsidR="006326A8">
        <w:rPr>
          <w:rFonts w:ascii="Garamond" w:hAnsi="Garamond" w:cstheme="minorHAnsi"/>
          <w:sz w:val="24"/>
          <w:szCs w:val="24"/>
        </w:rPr>
        <w:t xml:space="preserve">to a meaningful degree </w:t>
      </w:r>
      <w:r w:rsidR="00A76629" w:rsidRPr="00461D74">
        <w:rPr>
          <w:rFonts w:ascii="Garamond" w:hAnsi="Garamond" w:cstheme="minorHAnsi"/>
          <w:sz w:val="24"/>
          <w:szCs w:val="24"/>
        </w:rPr>
        <w:t>self-sufficient</w:t>
      </w:r>
      <w:r w:rsidR="006326A8">
        <w:rPr>
          <w:rFonts w:ascii="Garamond" w:hAnsi="Garamond" w:cstheme="minorHAnsi"/>
          <w:sz w:val="24"/>
          <w:szCs w:val="24"/>
        </w:rPr>
        <w:t>,</w:t>
      </w:r>
      <w:r w:rsidR="00A76629" w:rsidRPr="00461D74">
        <w:rPr>
          <w:rFonts w:ascii="Garamond" w:hAnsi="Garamond" w:cstheme="minorHAnsi"/>
          <w:sz w:val="24"/>
          <w:szCs w:val="24"/>
        </w:rPr>
        <w:t xml:space="preserve"> and </w:t>
      </w:r>
      <w:r w:rsidR="006326A8">
        <w:rPr>
          <w:rFonts w:ascii="Garamond" w:hAnsi="Garamond" w:cstheme="minorHAnsi"/>
          <w:sz w:val="24"/>
          <w:szCs w:val="24"/>
        </w:rPr>
        <w:t>therefore</w:t>
      </w:r>
      <w:r w:rsidR="006326A8" w:rsidRPr="00461D74">
        <w:rPr>
          <w:rFonts w:ascii="Garamond" w:hAnsi="Garamond" w:cstheme="minorHAnsi"/>
          <w:sz w:val="24"/>
          <w:szCs w:val="24"/>
        </w:rPr>
        <w:t xml:space="preserve"> </w:t>
      </w:r>
      <w:r w:rsidR="00A76629" w:rsidRPr="00461D74">
        <w:rPr>
          <w:rFonts w:ascii="Garamond" w:hAnsi="Garamond" w:cstheme="minorHAnsi"/>
          <w:sz w:val="24"/>
          <w:szCs w:val="24"/>
        </w:rPr>
        <w:t xml:space="preserve">capable of </w:t>
      </w:r>
      <w:r w:rsidRPr="00461D74">
        <w:rPr>
          <w:rFonts w:ascii="Garamond" w:hAnsi="Garamond" w:cstheme="minorHAnsi"/>
          <w:sz w:val="24"/>
          <w:szCs w:val="24"/>
        </w:rPr>
        <w:t>defend</w:t>
      </w:r>
      <w:r w:rsidR="00A76629" w:rsidRPr="00461D74">
        <w:rPr>
          <w:rFonts w:ascii="Garamond" w:hAnsi="Garamond" w:cstheme="minorHAnsi"/>
          <w:sz w:val="24"/>
          <w:szCs w:val="24"/>
        </w:rPr>
        <w:t>ing</w:t>
      </w:r>
      <w:r w:rsidRPr="00461D74">
        <w:rPr>
          <w:rFonts w:ascii="Garamond" w:hAnsi="Garamond" w:cstheme="minorHAnsi"/>
          <w:sz w:val="24"/>
          <w:szCs w:val="24"/>
        </w:rPr>
        <w:t xml:space="preserve"> themselves. Considered in this light, </w:t>
      </w:r>
      <w:r w:rsidR="00A76629" w:rsidRPr="00461D74">
        <w:rPr>
          <w:rFonts w:ascii="Garamond" w:hAnsi="Garamond" w:cstheme="minorHAnsi"/>
          <w:sz w:val="24"/>
          <w:szCs w:val="24"/>
        </w:rPr>
        <w:t xml:space="preserve">discussion of </w:t>
      </w:r>
      <w:r w:rsidRPr="00461D74">
        <w:rPr>
          <w:rFonts w:ascii="Garamond" w:hAnsi="Garamond" w:cstheme="minorHAnsi"/>
          <w:sz w:val="24"/>
          <w:szCs w:val="24"/>
        </w:rPr>
        <w:t xml:space="preserve">state level politics is a necessary constitutive element of a </w:t>
      </w:r>
      <w:r w:rsidR="00A76629" w:rsidRPr="00461D74">
        <w:rPr>
          <w:rFonts w:ascii="Garamond" w:hAnsi="Garamond" w:cstheme="minorHAnsi"/>
          <w:sz w:val="24"/>
          <w:szCs w:val="24"/>
        </w:rPr>
        <w:t xml:space="preserve">kind of </w:t>
      </w:r>
      <w:r w:rsidRPr="00461D74">
        <w:rPr>
          <w:rFonts w:ascii="Garamond" w:hAnsi="Garamond" w:cstheme="minorHAnsi"/>
          <w:sz w:val="24"/>
          <w:szCs w:val="24"/>
        </w:rPr>
        <w:t xml:space="preserve">politics that </w:t>
      </w:r>
      <w:r w:rsidR="00E81BAB" w:rsidRPr="00461D74">
        <w:rPr>
          <w:rFonts w:ascii="Garamond" w:hAnsi="Garamond" w:cstheme="minorHAnsi"/>
          <w:sz w:val="24"/>
          <w:szCs w:val="24"/>
        </w:rPr>
        <w:t>is capable of</w:t>
      </w:r>
      <w:r w:rsidR="00A76629" w:rsidRPr="00461D74">
        <w:rPr>
          <w:rFonts w:ascii="Garamond" w:hAnsi="Garamond" w:cstheme="minorHAnsi"/>
          <w:sz w:val="24"/>
          <w:szCs w:val="24"/>
        </w:rPr>
        <w:t xml:space="preserve"> </w:t>
      </w:r>
      <w:r w:rsidRPr="00461D74">
        <w:rPr>
          <w:rFonts w:ascii="Garamond" w:hAnsi="Garamond" w:cstheme="minorHAnsi"/>
          <w:sz w:val="24"/>
          <w:szCs w:val="24"/>
        </w:rPr>
        <w:t>realis</w:t>
      </w:r>
      <w:r w:rsidR="00E81BAB" w:rsidRPr="00461D74">
        <w:rPr>
          <w:rFonts w:ascii="Garamond" w:hAnsi="Garamond" w:cstheme="minorHAnsi"/>
          <w:sz w:val="24"/>
          <w:szCs w:val="24"/>
        </w:rPr>
        <w:t>ing</w:t>
      </w:r>
      <w:r w:rsidRPr="00461D74">
        <w:rPr>
          <w:rFonts w:ascii="Garamond" w:hAnsi="Garamond" w:cstheme="minorHAnsi"/>
          <w:sz w:val="24"/>
          <w:szCs w:val="24"/>
        </w:rPr>
        <w:t xml:space="preserve"> the common good</w:t>
      </w:r>
      <w:r w:rsidR="000833D7" w:rsidRPr="00461D74">
        <w:rPr>
          <w:rFonts w:ascii="Garamond" w:hAnsi="Garamond" w:cstheme="minorHAnsi"/>
          <w:sz w:val="24"/>
          <w:szCs w:val="24"/>
        </w:rPr>
        <w:t>.</w:t>
      </w:r>
    </w:p>
    <w:p w:rsidR="00665157" w:rsidRDefault="000833D7">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 xml:space="preserve">Thus Dewey’s account possesses </w:t>
      </w:r>
      <w:r w:rsidR="0020319E" w:rsidRPr="00461D74">
        <w:rPr>
          <w:rFonts w:ascii="Garamond" w:hAnsi="Garamond" w:cstheme="minorHAnsi"/>
          <w:sz w:val="24"/>
          <w:szCs w:val="24"/>
        </w:rPr>
        <w:t>an</w:t>
      </w:r>
      <w:r w:rsidRPr="00461D74">
        <w:rPr>
          <w:rFonts w:ascii="Garamond" w:hAnsi="Garamond" w:cstheme="minorHAnsi"/>
          <w:sz w:val="24"/>
          <w:szCs w:val="24"/>
        </w:rPr>
        <w:t xml:space="preserve"> </w:t>
      </w:r>
      <w:r w:rsidR="0020319E" w:rsidRPr="00461D74">
        <w:rPr>
          <w:rFonts w:ascii="Garamond" w:hAnsi="Garamond" w:cstheme="minorHAnsi"/>
          <w:sz w:val="24"/>
          <w:szCs w:val="24"/>
        </w:rPr>
        <w:t>additional</w:t>
      </w:r>
      <w:r w:rsidRPr="00461D74">
        <w:rPr>
          <w:rFonts w:ascii="Garamond" w:hAnsi="Garamond" w:cstheme="minorHAnsi"/>
          <w:sz w:val="24"/>
          <w:szCs w:val="24"/>
        </w:rPr>
        <w:t xml:space="preserve"> advantage: it is capable of resolving the dilemma that is generated due to Osborne’s criticism of MacIntyre’s conception of the common good, as a conception that is incomplete. On Osborne’s view,</w:t>
      </w:r>
      <w:r w:rsidR="00E81BAB" w:rsidRPr="00461D74">
        <w:rPr>
          <w:rFonts w:ascii="Garamond" w:hAnsi="Garamond" w:cstheme="minorHAnsi"/>
          <w:sz w:val="24"/>
          <w:szCs w:val="24"/>
        </w:rPr>
        <w:t xml:space="preserve"> MacIntyre appears to draw</w:t>
      </w:r>
      <w:r w:rsidRPr="00461D74">
        <w:rPr>
          <w:rFonts w:ascii="Garamond" w:hAnsi="Garamond" w:cstheme="minorHAnsi"/>
          <w:sz w:val="24"/>
          <w:szCs w:val="24"/>
        </w:rPr>
        <w:t>s</w:t>
      </w:r>
      <w:r w:rsidR="00E81BAB" w:rsidRPr="00461D74">
        <w:rPr>
          <w:rFonts w:ascii="Garamond" w:hAnsi="Garamond" w:cstheme="minorHAnsi"/>
          <w:sz w:val="24"/>
          <w:szCs w:val="24"/>
        </w:rPr>
        <w:t xml:space="preserve"> an equivalence between </w:t>
      </w:r>
      <w:r w:rsidRPr="00461D74">
        <w:rPr>
          <w:rFonts w:ascii="Garamond" w:hAnsi="Garamond" w:cstheme="minorHAnsi"/>
          <w:sz w:val="24"/>
          <w:szCs w:val="24"/>
        </w:rPr>
        <w:t xml:space="preserve">on the one hand, </w:t>
      </w:r>
      <w:r w:rsidR="00E81BAB" w:rsidRPr="00461D74">
        <w:rPr>
          <w:rFonts w:ascii="Garamond" w:hAnsi="Garamond" w:cstheme="minorHAnsi"/>
          <w:sz w:val="24"/>
          <w:szCs w:val="24"/>
        </w:rPr>
        <w:t xml:space="preserve">his own definition of the common good, and </w:t>
      </w:r>
      <w:r w:rsidRPr="00461D74">
        <w:rPr>
          <w:rFonts w:ascii="Garamond" w:hAnsi="Garamond" w:cstheme="minorHAnsi"/>
          <w:sz w:val="24"/>
          <w:szCs w:val="24"/>
        </w:rPr>
        <w:t xml:space="preserve">on the other, </w:t>
      </w:r>
      <w:r w:rsidR="00E81BAB" w:rsidRPr="00461D74">
        <w:rPr>
          <w:rFonts w:ascii="Garamond" w:hAnsi="Garamond" w:cstheme="minorHAnsi"/>
          <w:sz w:val="24"/>
          <w:szCs w:val="24"/>
        </w:rPr>
        <w:t>that of Aristotle and Aquin</w:t>
      </w:r>
      <w:r w:rsidRPr="00461D74">
        <w:rPr>
          <w:rFonts w:ascii="Garamond" w:hAnsi="Garamond" w:cstheme="minorHAnsi"/>
          <w:sz w:val="24"/>
          <w:szCs w:val="24"/>
        </w:rPr>
        <w:t xml:space="preserve">as. Osborne then argued that the Aristotelian-Thomistic common good </w:t>
      </w:r>
      <w:r w:rsidRPr="00461D74">
        <w:rPr>
          <w:rFonts w:ascii="Garamond" w:hAnsi="Garamond" w:cstheme="minorHAnsi"/>
          <w:sz w:val="24"/>
          <w:szCs w:val="24"/>
        </w:rPr>
        <w:lastRenderedPageBreak/>
        <w:t>can only be advanced in complete communities that are capable of self-defence, and are able to exercise coercive power; yet, MacIntyre’s politics of small communities and associations do not possess such powers, and therefore are unable to realise the common good as conceived by the Aristotelian-Thomistic tradition.</w:t>
      </w:r>
    </w:p>
    <w:p w:rsidR="00665157" w:rsidRDefault="00016049">
      <w:pPr>
        <w:spacing w:line="360" w:lineRule="auto"/>
        <w:ind w:left="66" w:firstLine="654"/>
        <w:jc w:val="both"/>
        <w:rPr>
          <w:rFonts w:ascii="Garamond" w:hAnsi="Garamond" w:cstheme="minorHAnsi"/>
          <w:sz w:val="24"/>
          <w:szCs w:val="24"/>
          <w:highlight w:val="yellow"/>
        </w:rPr>
      </w:pPr>
      <w:r w:rsidRPr="00461D74">
        <w:rPr>
          <w:rFonts w:ascii="Garamond" w:hAnsi="Garamond" w:cstheme="minorHAnsi"/>
          <w:sz w:val="24"/>
          <w:szCs w:val="24"/>
        </w:rPr>
        <w:t>At this point we can ask</w:t>
      </w:r>
      <w:r w:rsidR="00C1681F" w:rsidRPr="00461D74">
        <w:rPr>
          <w:rFonts w:ascii="Garamond" w:hAnsi="Garamond" w:cstheme="minorHAnsi"/>
          <w:sz w:val="24"/>
          <w:szCs w:val="24"/>
        </w:rPr>
        <w:t>,</w:t>
      </w:r>
      <w:r w:rsidRPr="00461D74">
        <w:rPr>
          <w:rFonts w:ascii="Garamond" w:hAnsi="Garamond" w:cstheme="minorHAnsi"/>
          <w:sz w:val="24"/>
          <w:szCs w:val="24"/>
        </w:rPr>
        <w:t xml:space="preserve"> </w:t>
      </w:r>
      <w:r w:rsidR="000F6BB2" w:rsidRPr="00461D74">
        <w:rPr>
          <w:rFonts w:ascii="Garamond" w:hAnsi="Garamond" w:cstheme="minorHAnsi"/>
          <w:sz w:val="24"/>
          <w:szCs w:val="24"/>
        </w:rPr>
        <w:t xml:space="preserve">in what way </w:t>
      </w:r>
      <w:r w:rsidRPr="00461D74">
        <w:rPr>
          <w:rFonts w:ascii="Garamond" w:hAnsi="Garamond" w:cstheme="minorHAnsi"/>
          <w:sz w:val="24"/>
          <w:szCs w:val="24"/>
        </w:rPr>
        <w:t xml:space="preserve">does Dewey’s </w:t>
      </w:r>
      <w:r w:rsidR="000F6BB2" w:rsidRPr="00461D74">
        <w:rPr>
          <w:rFonts w:ascii="Garamond" w:hAnsi="Garamond" w:cstheme="minorHAnsi"/>
          <w:sz w:val="24"/>
          <w:szCs w:val="24"/>
        </w:rPr>
        <w:t>account offer us</w:t>
      </w:r>
      <w:r w:rsidRPr="00461D74">
        <w:rPr>
          <w:rFonts w:ascii="Garamond" w:hAnsi="Garamond" w:cstheme="minorHAnsi"/>
          <w:sz w:val="24"/>
          <w:szCs w:val="24"/>
        </w:rPr>
        <w:t xml:space="preserve"> a viable alternative </w:t>
      </w:r>
      <w:r w:rsidR="000F6BB2" w:rsidRPr="00461D74">
        <w:rPr>
          <w:rFonts w:ascii="Garamond" w:hAnsi="Garamond" w:cstheme="minorHAnsi"/>
          <w:sz w:val="24"/>
          <w:szCs w:val="24"/>
        </w:rPr>
        <w:t>politic</w:t>
      </w:r>
      <w:r w:rsidR="00C1681F" w:rsidRPr="00461D74">
        <w:rPr>
          <w:rFonts w:ascii="Garamond" w:hAnsi="Garamond" w:cstheme="minorHAnsi"/>
          <w:sz w:val="24"/>
          <w:szCs w:val="24"/>
        </w:rPr>
        <w:t>s</w:t>
      </w:r>
      <w:r w:rsidR="000F6BB2" w:rsidRPr="00461D74">
        <w:rPr>
          <w:rFonts w:ascii="Garamond" w:hAnsi="Garamond" w:cstheme="minorHAnsi"/>
          <w:sz w:val="24"/>
          <w:szCs w:val="24"/>
        </w:rPr>
        <w:t xml:space="preserve"> </w:t>
      </w:r>
      <w:r w:rsidR="00C1681F" w:rsidRPr="00461D74">
        <w:rPr>
          <w:rFonts w:ascii="Garamond" w:hAnsi="Garamond" w:cstheme="minorHAnsi"/>
          <w:sz w:val="24"/>
          <w:szCs w:val="24"/>
        </w:rPr>
        <w:t xml:space="preserve">– one </w:t>
      </w:r>
      <w:r w:rsidR="000F6BB2" w:rsidRPr="00461D74">
        <w:rPr>
          <w:rFonts w:ascii="Garamond" w:hAnsi="Garamond" w:cstheme="minorHAnsi"/>
          <w:sz w:val="24"/>
          <w:szCs w:val="24"/>
        </w:rPr>
        <w:t xml:space="preserve">that MacIntyre could </w:t>
      </w:r>
      <w:r w:rsidR="00C1681F" w:rsidRPr="00461D74">
        <w:rPr>
          <w:rFonts w:ascii="Garamond" w:hAnsi="Garamond" w:cstheme="minorHAnsi"/>
          <w:sz w:val="24"/>
          <w:szCs w:val="24"/>
        </w:rPr>
        <w:t>potentially</w:t>
      </w:r>
      <w:r w:rsidR="000F6BB2" w:rsidRPr="00461D74">
        <w:rPr>
          <w:rFonts w:ascii="Garamond" w:hAnsi="Garamond" w:cstheme="minorHAnsi"/>
          <w:sz w:val="24"/>
          <w:szCs w:val="24"/>
        </w:rPr>
        <w:t xml:space="preserve"> live with</w:t>
      </w:r>
      <w:r w:rsidRPr="00461D74">
        <w:rPr>
          <w:rFonts w:ascii="Garamond" w:hAnsi="Garamond" w:cstheme="minorHAnsi"/>
          <w:sz w:val="24"/>
          <w:szCs w:val="24"/>
        </w:rPr>
        <w:t>? It is my contention that Dewey</w:t>
      </w:r>
      <w:r w:rsidR="00E83970" w:rsidRPr="00461D74">
        <w:rPr>
          <w:rFonts w:ascii="Garamond" w:hAnsi="Garamond" w:cstheme="minorHAnsi"/>
          <w:sz w:val="24"/>
          <w:szCs w:val="24"/>
        </w:rPr>
        <w:t>an democracy is generally</w:t>
      </w:r>
      <w:r w:rsidRPr="00461D74">
        <w:rPr>
          <w:rFonts w:ascii="Garamond" w:hAnsi="Garamond" w:cstheme="minorHAnsi"/>
          <w:sz w:val="24"/>
          <w:szCs w:val="24"/>
        </w:rPr>
        <w:t xml:space="preserve"> aligned with MacIntyre</w:t>
      </w:r>
      <w:r w:rsidR="00E83970" w:rsidRPr="00461D74">
        <w:rPr>
          <w:rFonts w:ascii="Garamond" w:hAnsi="Garamond" w:cstheme="minorHAnsi"/>
          <w:sz w:val="24"/>
          <w:szCs w:val="24"/>
        </w:rPr>
        <w:t>’s overall approach</w:t>
      </w:r>
      <w:r w:rsidRPr="00461D74">
        <w:rPr>
          <w:rFonts w:ascii="Garamond" w:hAnsi="Garamond" w:cstheme="minorHAnsi"/>
          <w:sz w:val="24"/>
          <w:szCs w:val="24"/>
        </w:rPr>
        <w:t xml:space="preserve">. This is because Dewey and MacIntyre both ground their politics on a model of social cooperation within communities. Dewey’s notion of the ‘publics’ in </w:t>
      </w:r>
      <w:r w:rsidR="007A034B">
        <w:rPr>
          <w:rFonts w:ascii="Garamond" w:hAnsi="Garamond" w:cstheme="minorHAnsi"/>
          <w:sz w:val="24"/>
          <w:szCs w:val="24"/>
        </w:rPr>
        <w:t>many</w:t>
      </w:r>
      <w:r w:rsidR="007A034B" w:rsidRPr="00461D74">
        <w:rPr>
          <w:rFonts w:ascii="Garamond" w:hAnsi="Garamond" w:cstheme="minorHAnsi"/>
          <w:sz w:val="24"/>
          <w:szCs w:val="24"/>
        </w:rPr>
        <w:t xml:space="preserve"> </w:t>
      </w:r>
      <w:r w:rsidRPr="00461D74">
        <w:rPr>
          <w:rFonts w:ascii="Garamond" w:hAnsi="Garamond" w:cstheme="minorHAnsi"/>
          <w:sz w:val="24"/>
          <w:szCs w:val="24"/>
        </w:rPr>
        <w:t xml:space="preserve">ways nicely aligns with MacIntyre’s account of communities. </w:t>
      </w:r>
      <w:r w:rsidR="00E83970" w:rsidRPr="00461D74">
        <w:rPr>
          <w:rFonts w:ascii="Garamond" w:hAnsi="Garamond" w:cstheme="minorHAnsi"/>
          <w:sz w:val="24"/>
          <w:szCs w:val="24"/>
        </w:rPr>
        <w:t>Both Dewey and MacIntyre view the individual’s good as close</w:t>
      </w:r>
      <w:r w:rsidR="00916A35" w:rsidRPr="00461D74">
        <w:rPr>
          <w:rFonts w:ascii="Garamond" w:hAnsi="Garamond" w:cstheme="minorHAnsi"/>
          <w:sz w:val="24"/>
          <w:szCs w:val="24"/>
        </w:rPr>
        <w:t>ly connected to the common good</w:t>
      </w:r>
      <w:r w:rsidR="00E83970" w:rsidRPr="00461D74">
        <w:rPr>
          <w:rFonts w:ascii="Garamond" w:hAnsi="Garamond" w:cstheme="minorHAnsi"/>
          <w:sz w:val="24"/>
          <w:szCs w:val="24"/>
        </w:rPr>
        <w:t xml:space="preserve"> and the individual’s good is </w:t>
      </w:r>
      <w:r w:rsidR="00916A35" w:rsidRPr="00461D74">
        <w:rPr>
          <w:rFonts w:ascii="Garamond" w:hAnsi="Garamond" w:cstheme="minorHAnsi"/>
          <w:sz w:val="24"/>
          <w:szCs w:val="24"/>
        </w:rPr>
        <w:t>viewed</w:t>
      </w:r>
      <w:r w:rsidR="00E83970" w:rsidRPr="00461D74">
        <w:rPr>
          <w:rFonts w:ascii="Garamond" w:hAnsi="Garamond" w:cstheme="minorHAnsi"/>
          <w:sz w:val="24"/>
          <w:szCs w:val="24"/>
        </w:rPr>
        <w:t xml:space="preserve"> as irreducibly social. In addition, they attach a non-instrumental value to </w:t>
      </w:r>
      <w:r w:rsidR="00916A35" w:rsidRPr="00461D74">
        <w:rPr>
          <w:rFonts w:ascii="Garamond" w:hAnsi="Garamond" w:cstheme="minorHAnsi"/>
          <w:sz w:val="24"/>
          <w:szCs w:val="24"/>
        </w:rPr>
        <w:t xml:space="preserve">participation in </w:t>
      </w:r>
      <w:r w:rsidR="00E83970" w:rsidRPr="00461D74">
        <w:rPr>
          <w:rFonts w:ascii="Garamond" w:hAnsi="Garamond" w:cstheme="minorHAnsi"/>
          <w:sz w:val="24"/>
          <w:szCs w:val="24"/>
        </w:rPr>
        <w:t>democratic deliberation</w:t>
      </w:r>
      <w:r w:rsidR="00916A35" w:rsidRPr="00461D74">
        <w:rPr>
          <w:rFonts w:ascii="Garamond" w:hAnsi="Garamond" w:cstheme="minorHAnsi"/>
          <w:sz w:val="24"/>
          <w:szCs w:val="24"/>
        </w:rPr>
        <w:t xml:space="preserve"> as the nexus of inquiry. Finally, both Dewey and MacIntyre appear to frame inquiry and deliberation in the context of the social life and practices of communities. Therefore</w:t>
      </w:r>
      <w:r w:rsidRPr="00461D74">
        <w:rPr>
          <w:rFonts w:ascii="Garamond" w:hAnsi="Garamond" w:cstheme="minorHAnsi"/>
          <w:sz w:val="24"/>
          <w:szCs w:val="24"/>
        </w:rPr>
        <w:t xml:space="preserve">, Dewey’s account </w:t>
      </w:r>
      <w:r w:rsidR="007A034B">
        <w:rPr>
          <w:rFonts w:ascii="Garamond" w:hAnsi="Garamond" w:cstheme="minorHAnsi"/>
          <w:sz w:val="24"/>
          <w:szCs w:val="24"/>
        </w:rPr>
        <w:t>appears</w:t>
      </w:r>
      <w:r w:rsidR="007A034B" w:rsidRPr="00461D74">
        <w:rPr>
          <w:rFonts w:ascii="Garamond" w:hAnsi="Garamond" w:cstheme="minorHAnsi"/>
          <w:sz w:val="24"/>
          <w:szCs w:val="24"/>
        </w:rPr>
        <w:t xml:space="preserve"> </w:t>
      </w:r>
      <w:r w:rsidRPr="00461D74">
        <w:rPr>
          <w:rFonts w:ascii="Garamond" w:hAnsi="Garamond" w:cstheme="minorHAnsi"/>
          <w:sz w:val="24"/>
          <w:szCs w:val="24"/>
        </w:rPr>
        <w:t xml:space="preserve">to </w:t>
      </w:r>
      <w:r w:rsidR="007A034B">
        <w:rPr>
          <w:rFonts w:ascii="Garamond" w:hAnsi="Garamond" w:cstheme="minorHAnsi"/>
          <w:sz w:val="24"/>
          <w:szCs w:val="24"/>
        </w:rPr>
        <w:t>afford</w:t>
      </w:r>
      <w:r w:rsidRPr="00461D74">
        <w:rPr>
          <w:rFonts w:ascii="Garamond" w:hAnsi="Garamond" w:cstheme="minorHAnsi"/>
          <w:sz w:val="24"/>
          <w:szCs w:val="24"/>
        </w:rPr>
        <w:t xml:space="preserve"> an alternative pragmatic</w:t>
      </w:r>
      <w:r w:rsidR="00916A35" w:rsidRPr="00461D74">
        <w:rPr>
          <w:rFonts w:ascii="Garamond" w:hAnsi="Garamond" w:cstheme="minorHAnsi"/>
          <w:sz w:val="24"/>
          <w:szCs w:val="24"/>
        </w:rPr>
        <w:t>, yet critical</w:t>
      </w:r>
      <w:r w:rsidR="005717EF" w:rsidRPr="00461D74">
        <w:rPr>
          <w:rFonts w:ascii="Garamond" w:hAnsi="Garamond" w:cstheme="minorHAnsi"/>
          <w:sz w:val="24"/>
          <w:szCs w:val="24"/>
        </w:rPr>
        <w:t>,</w:t>
      </w:r>
      <w:r w:rsidRPr="00461D74">
        <w:rPr>
          <w:rFonts w:ascii="Garamond" w:hAnsi="Garamond" w:cstheme="minorHAnsi"/>
          <w:sz w:val="24"/>
          <w:szCs w:val="24"/>
        </w:rPr>
        <w:t xml:space="preserve"> </w:t>
      </w:r>
      <w:r w:rsidR="000B3BB2" w:rsidRPr="00461D74">
        <w:rPr>
          <w:rFonts w:ascii="Garamond" w:hAnsi="Garamond" w:cstheme="minorHAnsi"/>
          <w:sz w:val="24"/>
          <w:szCs w:val="24"/>
        </w:rPr>
        <w:t xml:space="preserve">form </w:t>
      </w:r>
      <w:r w:rsidR="00916A35" w:rsidRPr="00461D74">
        <w:rPr>
          <w:rFonts w:ascii="Garamond" w:hAnsi="Garamond" w:cstheme="minorHAnsi"/>
          <w:sz w:val="24"/>
          <w:szCs w:val="24"/>
        </w:rPr>
        <w:t xml:space="preserve">of </w:t>
      </w:r>
      <w:r w:rsidRPr="00461D74">
        <w:rPr>
          <w:rFonts w:ascii="Garamond" w:hAnsi="Garamond" w:cstheme="minorHAnsi"/>
          <w:sz w:val="24"/>
          <w:szCs w:val="24"/>
        </w:rPr>
        <w:t>politics</w:t>
      </w:r>
      <w:r w:rsidR="005717EF" w:rsidRPr="00461D74">
        <w:rPr>
          <w:rFonts w:ascii="Garamond" w:hAnsi="Garamond" w:cstheme="minorHAnsi"/>
          <w:sz w:val="24"/>
          <w:szCs w:val="24"/>
        </w:rPr>
        <w:t>,</w:t>
      </w:r>
      <w:r w:rsidRPr="00461D74">
        <w:rPr>
          <w:rFonts w:ascii="Garamond" w:hAnsi="Garamond" w:cstheme="minorHAnsi"/>
          <w:sz w:val="24"/>
          <w:szCs w:val="24"/>
        </w:rPr>
        <w:t xml:space="preserve"> that </w:t>
      </w:r>
      <w:r w:rsidR="000B3BB2" w:rsidRPr="00461D74">
        <w:rPr>
          <w:rFonts w:ascii="Garamond" w:hAnsi="Garamond" w:cstheme="minorHAnsi"/>
          <w:sz w:val="24"/>
          <w:szCs w:val="24"/>
        </w:rPr>
        <w:t>is</w:t>
      </w:r>
      <w:r w:rsidRPr="00461D74">
        <w:rPr>
          <w:rFonts w:ascii="Garamond" w:hAnsi="Garamond" w:cstheme="minorHAnsi"/>
          <w:sz w:val="24"/>
          <w:szCs w:val="24"/>
        </w:rPr>
        <w:t xml:space="preserve"> better </w:t>
      </w:r>
      <w:r w:rsidR="000B3BB2" w:rsidRPr="00461D74">
        <w:rPr>
          <w:rFonts w:ascii="Garamond" w:hAnsi="Garamond" w:cstheme="minorHAnsi"/>
          <w:sz w:val="24"/>
          <w:szCs w:val="24"/>
        </w:rPr>
        <w:t xml:space="preserve">able to </w:t>
      </w:r>
      <w:r w:rsidRPr="00461D74">
        <w:rPr>
          <w:rFonts w:ascii="Garamond" w:hAnsi="Garamond" w:cstheme="minorHAnsi"/>
          <w:sz w:val="24"/>
          <w:szCs w:val="24"/>
        </w:rPr>
        <w:t>engage with the wider liberal discourse</w:t>
      </w:r>
      <w:r w:rsidR="005717EF" w:rsidRPr="00461D74">
        <w:rPr>
          <w:rFonts w:ascii="Garamond" w:hAnsi="Garamond" w:cstheme="minorHAnsi"/>
          <w:sz w:val="24"/>
          <w:szCs w:val="24"/>
        </w:rPr>
        <w:t xml:space="preserve">, and </w:t>
      </w:r>
      <w:r w:rsidR="000B3BB2" w:rsidRPr="00461D74">
        <w:rPr>
          <w:rFonts w:ascii="Garamond" w:hAnsi="Garamond" w:cstheme="minorHAnsi"/>
          <w:sz w:val="24"/>
          <w:szCs w:val="24"/>
        </w:rPr>
        <w:t>which remains steadfast in its optimism of correcting the social problems that emerge under liberal societies.</w:t>
      </w:r>
    </w:p>
    <w:p w:rsidR="00665157" w:rsidRDefault="00016049">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 xml:space="preserve">Finally, recall the problem presented under item four (G4) in </w:t>
      </w:r>
      <w:r w:rsidRPr="00461D74">
        <w:rPr>
          <w:rFonts w:ascii="Garamond" w:hAnsi="Garamond" w:cstheme="minorHAnsi"/>
          <w:i/>
          <w:iCs/>
          <w:sz w:val="24"/>
          <w:szCs w:val="24"/>
        </w:rPr>
        <w:t>the guideline towards a political solution</w:t>
      </w:r>
      <w:r w:rsidRPr="00461D74">
        <w:rPr>
          <w:rFonts w:ascii="Garamond" w:hAnsi="Garamond" w:cstheme="minorHAnsi"/>
          <w:sz w:val="24"/>
          <w:szCs w:val="24"/>
        </w:rPr>
        <w:t xml:space="preserve">: </w:t>
      </w:r>
      <w:r w:rsidR="00882786" w:rsidRPr="00461D74">
        <w:rPr>
          <w:rFonts w:ascii="Garamond" w:hAnsi="Garamond" w:cstheme="minorHAnsi"/>
          <w:sz w:val="24"/>
          <w:szCs w:val="24"/>
        </w:rPr>
        <w:t>w</w:t>
      </w:r>
      <w:r w:rsidR="008978EF" w:rsidRPr="00461D74">
        <w:rPr>
          <w:rFonts w:ascii="Garamond" w:hAnsi="Garamond" w:cstheme="minorHAnsi"/>
          <w:sz w:val="24"/>
          <w:szCs w:val="24"/>
        </w:rPr>
        <w:t xml:space="preserve">ith respect to the problem of neutrality under liberalism, we need to maintain some </w:t>
      </w:r>
      <w:r w:rsidR="00EA1EA5" w:rsidRPr="00461D74">
        <w:rPr>
          <w:rFonts w:ascii="Garamond" w:hAnsi="Garamond" w:cstheme="minorHAnsi"/>
          <w:sz w:val="24"/>
          <w:szCs w:val="24"/>
        </w:rPr>
        <w:t>degree</w:t>
      </w:r>
      <w:r w:rsidR="008978EF" w:rsidRPr="00461D74">
        <w:rPr>
          <w:rFonts w:ascii="Garamond" w:hAnsi="Garamond" w:cstheme="minorHAnsi"/>
          <w:sz w:val="24"/>
          <w:szCs w:val="24"/>
        </w:rPr>
        <w:t xml:space="preserve"> of separation between public and private spheres</w:t>
      </w:r>
      <w:r w:rsidR="00EA1EA5" w:rsidRPr="00461D74">
        <w:rPr>
          <w:rFonts w:ascii="Garamond" w:hAnsi="Garamond" w:cstheme="minorHAnsi"/>
          <w:sz w:val="24"/>
          <w:szCs w:val="24"/>
        </w:rPr>
        <w:t>, yet simultaneously ensure that this distinction remain</w:t>
      </w:r>
      <w:r w:rsidR="005717EF" w:rsidRPr="00461D74">
        <w:rPr>
          <w:rFonts w:ascii="Garamond" w:hAnsi="Garamond" w:cstheme="minorHAnsi"/>
          <w:sz w:val="24"/>
          <w:szCs w:val="24"/>
        </w:rPr>
        <w:t>s</w:t>
      </w:r>
      <w:r w:rsidR="00EA1EA5" w:rsidRPr="00461D74">
        <w:rPr>
          <w:rFonts w:ascii="Garamond" w:hAnsi="Garamond" w:cstheme="minorHAnsi"/>
          <w:sz w:val="24"/>
          <w:szCs w:val="24"/>
        </w:rPr>
        <w:t xml:space="preserve"> instrumental, and that we are able to create the space in which important social and political problems are dealt with in a public fashion, through methods of deliberation and inquiry.</w:t>
      </w:r>
    </w:p>
    <w:p w:rsidR="00665157" w:rsidRDefault="00EA1EA5">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lastRenderedPageBreak/>
        <w:t>Here</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we need a type of politics </w:t>
      </w:r>
      <w:r w:rsidR="00016049" w:rsidRPr="00461D74">
        <w:rPr>
          <w:rFonts w:ascii="Garamond" w:hAnsi="Garamond" w:cstheme="minorHAnsi"/>
          <w:sz w:val="24"/>
          <w:szCs w:val="24"/>
        </w:rPr>
        <w:t xml:space="preserve">that </w:t>
      </w:r>
      <w:r w:rsidR="00BB227E">
        <w:rPr>
          <w:rFonts w:ascii="Garamond" w:hAnsi="Garamond" w:cstheme="minorHAnsi"/>
          <w:sz w:val="24"/>
          <w:szCs w:val="24"/>
        </w:rPr>
        <w:t xml:space="preserve">as a first approximation </w:t>
      </w:r>
      <w:r w:rsidR="00FF098E">
        <w:rPr>
          <w:rFonts w:ascii="Garamond" w:hAnsi="Garamond" w:cstheme="minorHAnsi"/>
          <w:sz w:val="24"/>
          <w:szCs w:val="24"/>
        </w:rPr>
        <w:t>admits</w:t>
      </w:r>
      <w:r w:rsidR="00FF098E" w:rsidRPr="00461D74">
        <w:rPr>
          <w:rFonts w:ascii="Garamond" w:hAnsi="Garamond" w:cstheme="minorHAnsi"/>
          <w:sz w:val="24"/>
          <w:szCs w:val="24"/>
        </w:rPr>
        <w:t xml:space="preserve"> </w:t>
      </w:r>
      <w:r w:rsidR="00016049" w:rsidRPr="00461D74">
        <w:rPr>
          <w:rFonts w:ascii="Garamond" w:hAnsi="Garamond" w:cstheme="minorHAnsi"/>
          <w:sz w:val="24"/>
          <w:szCs w:val="24"/>
        </w:rPr>
        <w:t>the social fact of pluralism</w:t>
      </w:r>
      <w:r w:rsidRPr="00461D74">
        <w:rPr>
          <w:rFonts w:ascii="Garamond" w:hAnsi="Garamond" w:cstheme="minorHAnsi"/>
          <w:sz w:val="24"/>
          <w:szCs w:val="24"/>
        </w:rPr>
        <w:t xml:space="preserve"> and </w:t>
      </w:r>
      <w:r w:rsidR="00FF098E">
        <w:rPr>
          <w:rFonts w:ascii="Garamond" w:hAnsi="Garamond" w:cstheme="minorHAnsi"/>
          <w:sz w:val="24"/>
          <w:szCs w:val="24"/>
        </w:rPr>
        <w:t xml:space="preserve">the </w:t>
      </w:r>
      <w:r w:rsidRPr="00461D74">
        <w:rPr>
          <w:rFonts w:ascii="Garamond" w:hAnsi="Garamond" w:cstheme="minorHAnsi"/>
          <w:sz w:val="24"/>
          <w:szCs w:val="24"/>
        </w:rPr>
        <w:t xml:space="preserve">respect for diverse viewpoints. </w:t>
      </w:r>
      <w:r w:rsidR="00FF098E">
        <w:rPr>
          <w:rFonts w:ascii="Garamond" w:hAnsi="Garamond" w:cstheme="minorHAnsi"/>
          <w:sz w:val="24"/>
          <w:szCs w:val="24"/>
        </w:rPr>
        <w:t>However</w:t>
      </w:r>
      <w:r w:rsidRPr="00461D74">
        <w:rPr>
          <w:rFonts w:ascii="Garamond" w:hAnsi="Garamond" w:cstheme="minorHAnsi"/>
          <w:sz w:val="24"/>
          <w:szCs w:val="24"/>
        </w:rPr>
        <w:t xml:space="preserve">, this can only be a starting point of </w:t>
      </w:r>
      <w:r w:rsidR="007D09E0" w:rsidRPr="00461D74">
        <w:rPr>
          <w:rFonts w:ascii="Garamond" w:hAnsi="Garamond" w:cstheme="minorHAnsi"/>
          <w:sz w:val="24"/>
          <w:szCs w:val="24"/>
        </w:rPr>
        <w:t>deliberation and inquiry</w:t>
      </w:r>
      <w:r w:rsidRPr="00461D74">
        <w:rPr>
          <w:rFonts w:ascii="Garamond" w:hAnsi="Garamond" w:cstheme="minorHAnsi"/>
          <w:sz w:val="24"/>
          <w:szCs w:val="24"/>
        </w:rPr>
        <w:t xml:space="preserve">. </w:t>
      </w:r>
      <w:r w:rsidR="007D09E0" w:rsidRPr="00461D74">
        <w:rPr>
          <w:rFonts w:ascii="Garamond" w:hAnsi="Garamond" w:cstheme="minorHAnsi"/>
          <w:sz w:val="24"/>
          <w:szCs w:val="24"/>
        </w:rPr>
        <w:t xml:space="preserve">Some of the social problems that we encounter are acute and hence they press upon us a demand for collective </w:t>
      </w:r>
      <w:r w:rsidR="007D09E0" w:rsidRPr="00FF098E">
        <w:rPr>
          <w:rFonts w:ascii="Garamond" w:hAnsi="Garamond" w:cstheme="minorHAnsi"/>
          <w:i/>
          <w:sz w:val="24"/>
          <w:szCs w:val="24"/>
        </w:rPr>
        <w:t>public</w:t>
      </w:r>
      <w:r w:rsidR="007D09E0" w:rsidRPr="00461D74">
        <w:rPr>
          <w:rFonts w:ascii="Garamond" w:hAnsi="Garamond" w:cstheme="minorHAnsi"/>
          <w:sz w:val="24"/>
          <w:szCs w:val="24"/>
        </w:rPr>
        <w:t xml:space="preserve"> action, while other problems </w:t>
      </w:r>
      <w:r w:rsidR="00465CAD" w:rsidRPr="00461D74">
        <w:rPr>
          <w:rFonts w:ascii="Garamond" w:hAnsi="Garamond" w:cstheme="minorHAnsi"/>
          <w:sz w:val="24"/>
          <w:szCs w:val="24"/>
        </w:rPr>
        <w:t>can</w:t>
      </w:r>
      <w:r w:rsidR="007D09E0" w:rsidRPr="00461D74">
        <w:rPr>
          <w:rFonts w:ascii="Garamond" w:hAnsi="Garamond" w:cstheme="minorHAnsi"/>
          <w:sz w:val="24"/>
          <w:szCs w:val="24"/>
        </w:rPr>
        <w:t xml:space="preserve"> remain </w:t>
      </w:r>
      <w:r w:rsidR="00465CAD" w:rsidRPr="00461D74">
        <w:rPr>
          <w:rFonts w:ascii="Garamond" w:hAnsi="Garamond" w:cstheme="minorHAnsi"/>
          <w:sz w:val="24"/>
          <w:szCs w:val="24"/>
        </w:rPr>
        <w:t xml:space="preserve">in the </w:t>
      </w:r>
      <w:r w:rsidR="007D09E0" w:rsidRPr="00FF098E">
        <w:rPr>
          <w:rFonts w:ascii="Garamond" w:hAnsi="Garamond" w:cstheme="minorHAnsi"/>
          <w:i/>
          <w:sz w:val="24"/>
          <w:szCs w:val="24"/>
        </w:rPr>
        <w:t>private</w:t>
      </w:r>
      <w:r w:rsidR="007D09E0" w:rsidRPr="00461D74">
        <w:rPr>
          <w:rFonts w:ascii="Garamond" w:hAnsi="Garamond" w:cstheme="minorHAnsi"/>
          <w:sz w:val="24"/>
          <w:szCs w:val="24"/>
        </w:rPr>
        <w:t xml:space="preserve"> </w:t>
      </w:r>
      <w:r w:rsidR="00465CAD" w:rsidRPr="00461D74">
        <w:rPr>
          <w:rFonts w:ascii="Garamond" w:hAnsi="Garamond" w:cstheme="minorHAnsi"/>
          <w:sz w:val="24"/>
          <w:szCs w:val="24"/>
        </w:rPr>
        <w:t xml:space="preserve">sphere </w:t>
      </w:r>
      <w:r w:rsidR="007D09E0" w:rsidRPr="00461D74">
        <w:rPr>
          <w:rFonts w:ascii="Garamond" w:hAnsi="Garamond" w:cstheme="minorHAnsi"/>
          <w:sz w:val="24"/>
          <w:szCs w:val="24"/>
        </w:rPr>
        <w:t xml:space="preserve">since they are not the </w:t>
      </w:r>
      <w:r w:rsidR="00465CAD" w:rsidRPr="00461D74">
        <w:rPr>
          <w:rFonts w:ascii="Garamond" w:hAnsi="Garamond" w:cstheme="minorHAnsi"/>
          <w:sz w:val="24"/>
          <w:szCs w:val="24"/>
        </w:rPr>
        <w:t>kinds</w:t>
      </w:r>
      <w:r w:rsidR="007D09E0" w:rsidRPr="00461D74">
        <w:rPr>
          <w:rFonts w:ascii="Garamond" w:hAnsi="Garamond" w:cstheme="minorHAnsi"/>
          <w:sz w:val="24"/>
          <w:szCs w:val="24"/>
        </w:rPr>
        <w:t xml:space="preserve"> of problems that we need to converge on</w:t>
      </w:r>
      <w:r w:rsidR="00465CAD" w:rsidRPr="00461D74">
        <w:rPr>
          <w:rFonts w:ascii="Garamond" w:hAnsi="Garamond" w:cstheme="minorHAnsi"/>
          <w:sz w:val="24"/>
          <w:szCs w:val="24"/>
        </w:rPr>
        <w:t>,</w:t>
      </w:r>
      <w:r w:rsidR="007D09E0" w:rsidRPr="00461D74">
        <w:rPr>
          <w:rFonts w:ascii="Garamond" w:hAnsi="Garamond" w:cstheme="minorHAnsi"/>
          <w:sz w:val="24"/>
          <w:szCs w:val="24"/>
        </w:rPr>
        <w:t xml:space="preserve"> in order to have a functioning society. Still, social problems emerge in every human community</w:t>
      </w:r>
      <w:r w:rsidR="005717EF" w:rsidRPr="00461D74">
        <w:rPr>
          <w:rFonts w:ascii="Garamond" w:hAnsi="Garamond" w:cstheme="minorHAnsi"/>
          <w:sz w:val="24"/>
          <w:szCs w:val="24"/>
        </w:rPr>
        <w:t>,</w:t>
      </w:r>
      <w:r w:rsidR="007D09E0" w:rsidRPr="00461D74">
        <w:rPr>
          <w:rFonts w:ascii="Garamond" w:hAnsi="Garamond" w:cstheme="minorHAnsi"/>
          <w:sz w:val="24"/>
          <w:szCs w:val="24"/>
        </w:rPr>
        <w:t xml:space="preserve"> and</w:t>
      </w:r>
      <w:r w:rsidR="000D1EF2" w:rsidRPr="00461D74">
        <w:rPr>
          <w:rFonts w:ascii="Garamond" w:hAnsi="Garamond" w:cstheme="minorHAnsi"/>
          <w:sz w:val="24"/>
          <w:szCs w:val="24"/>
        </w:rPr>
        <w:t xml:space="preserve"> </w:t>
      </w:r>
      <w:r w:rsidR="007D09E0" w:rsidRPr="00461D74">
        <w:rPr>
          <w:rFonts w:ascii="Garamond" w:hAnsi="Garamond" w:cstheme="minorHAnsi"/>
          <w:sz w:val="24"/>
          <w:szCs w:val="24"/>
        </w:rPr>
        <w:t xml:space="preserve">with regards to finding appropriate solutions </w:t>
      </w:r>
      <w:r w:rsidR="000D1EF2" w:rsidRPr="00461D74">
        <w:rPr>
          <w:rFonts w:ascii="Garamond" w:hAnsi="Garamond" w:cstheme="minorHAnsi"/>
          <w:sz w:val="24"/>
          <w:szCs w:val="24"/>
        </w:rPr>
        <w:t>w</w:t>
      </w:r>
      <w:r w:rsidRPr="00461D74">
        <w:rPr>
          <w:rFonts w:ascii="Garamond" w:hAnsi="Garamond" w:cstheme="minorHAnsi"/>
          <w:sz w:val="24"/>
          <w:szCs w:val="24"/>
        </w:rPr>
        <w:t xml:space="preserve">e cannot simply accept a form of value pluralism in which any particular set of views is thought to be as reasonable as any other </w:t>
      </w:r>
      <w:r w:rsidR="00D465CA">
        <w:rPr>
          <w:rFonts w:ascii="Garamond" w:hAnsi="Garamond" w:cstheme="minorHAnsi"/>
          <w:sz w:val="24"/>
          <w:szCs w:val="24"/>
        </w:rPr>
        <w:t xml:space="preserve">class of </w:t>
      </w:r>
      <w:r w:rsidRPr="00461D74">
        <w:rPr>
          <w:rFonts w:ascii="Garamond" w:hAnsi="Garamond" w:cstheme="minorHAnsi"/>
          <w:sz w:val="24"/>
          <w:szCs w:val="24"/>
        </w:rPr>
        <w:t>view</w:t>
      </w:r>
      <w:r w:rsidR="00D465CA">
        <w:rPr>
          <w:rFonts w:ascii="Garamond" w:hAnsi="Garamond" w:cstheme="minorHAnsi"/>
          <w:sz w:val="24"/>
          <w:szCs w:val="24"/>
        </w:rPr>
        <w:t>s</w:t>
      </w:r>
      <w:r w:rsidR="000D1EF2" w:rsidRPr="00461D74">
        <w:rPr>
          <w:rFonts w:ascii="Garamond" w:hAnsi="Garamond" w:cstheme="minorHAnsi"/>
          <w:sz w:val="24"/>
          <w:szCs w:val="24"/>
        </w:rPr>
        <w:t xml:space="preserve">. Such an outcome will ensure that deliberation and inquiry – with respect to social problems – remain off limits, and generate the kind of social and political gridlock that ultimately undermines </w:t>
      </w:r>
      <w:r w:rsidR="00F24A0B" w:rsidRPr="00461D74">
        <w:rPr>
          <w:rFonts w:ascii="Garamond" w:hAnsi="Garamond" w:cstheme="minorHAnsi"/>
          <w:sz w:val="24"/>
          <w:szCs w:val="24"/>
        </w:rPr>
        <w:t>the</w:t>
      </w:r>
      <w:r w:rsidR="000D1EF2" w:rsidRPr="00461D74">
        <w:rPr>
          <w:rFonts w:ascii="Garamond" w:hAnsi="Garamond" w:cstheme="minorHAnsi"/>
          <w:sz w:val="24"/>
          <w:szCs w:val="24"/>
        </w:rPr>
        <w:t xml:space="preserve"> collective conviction in the mechanism</w:t>
      </w:r>
      <w:r w:rsidR="00F24A0B" w:rsidRPr="00461D74">
        <w:rPr>
          <w:rFonts w:ascii="Garamond" w:hAnsi="Garamond" w:cstheme="minorHAnsi"/>
          <w:sz w:val="24"/>
          <w:szCs w:val="24"/>
        </w:rPr>
        <w:t xml:space="preserve">s that constitute our liberal </w:t>
      </w:r>
      <w:r w:rsidR="000D1EF2" w:rsidRPr="00461D74">
        <w:rPr>
          <w:rFonts w:ascii="Garamond" w:hAnsi="Garamond" w:cstheme="minorHAnsi"/>
          <w:sz w:val="24"/>
          <w:szCs w:val="24"/>
        </w:rPr>
        <w:t>democratic arrangements.</w:t>
      </w:r>
      <w:r w:rsidR="00465CAD" w:rsidRPr="00461D74">
        <w:rPr>
          <w:rFonts w:ascii="Garamond" w:hAnsi="Garamond" w:cstheme="minorHAnsi"/>
          <w:sz w:val="24"/>
          <w:szCs w:val="24"/>
        </w:rPr>
        <w:t xml:space="preserve"> All things considered, the process of democratic inquiry </w:t>
      </w:r>
      <w:r w:rsidR="00D465CA">
        <w:rPr>
          <w:rFonts w:ascii="Garamond" w:hAnsi="Garamond" w:cstheme="minorHAnsi"/>
          <w:sz w:val="24"/>
          <w:szCs w:val="24"/>
        </w:rPr>
        <w:t>should</w:t>
      </w:r>
      <w:r w:rsidR="00D465CA" w:rsidRPr="00461D74">
        <w:rPr>
          <w:rFonts w:ascii="Garamond" w:hAnsi="Garamond" w:cstheme="minorHAnsi"/>
          <w:sz w:val="24"/>
          <w:szCs w:val="24"/>
        </w:rPr>
        <w:t xml:space="preserve"> </w:t>
      </w:r>
      <w:r w:rsidR="00D465CA">
        <w:rPr>
          <w:rFonts w:ascii="Garamond" w:hAnsi="Garamond" w:cstheme="minorHAnsi"/>
          <w:sz w:val="24"/>
          <w:szCs w:val="24"/>
        </w:rPr>
        <w:t xml:space="preserve">ultimately </w:t>
      </w:r>
      <w:r w:rsidR="00465CAD" w:rsidRPr="00461D74">
        <w:rPr>
          <w:rFonts w:ascii="Garamond" w:hAnsi="Garamond" w:cstheme="minorHAnsi"/>
          <w:sz w:val="24"/>
          <w:szCs w:val="24"/>
        </w:rPr>
        <w:t xml:space="preserve">press upon us </w:t>
      </w:r>
      <w:r w:rsidR="00D465CA">
        <w:rPr>
          <w:rFonts w:ascii="Garamond" w:hAnsi="Garamond" w:cstheme="minorHAnsi"/>
          <w:sz w:val="24"/>
          <w:szCs w:val="24"/>
        </w:rPr>
        <w:t>those</w:t>
      </w:r>
      <w:r w:rsidR="00465CAD" w:rsidRPr="00461D74">
        <w:rPr>
          <w:rFonts w:ascii="Garamond" w:hAnsi="Garamond" w:cstheme="minorHAnsi"/>
          <w:sz w:val="24"/>
          <w:szCs w:val="24"/>
        </w:rPr>
        <w:t xml:space="preserve"> values </w:t>
      </w:r>
      <w:r w:rsidR="00D465CA">
        <w:rPr>
          <w:rFonts w:ascii="Garamond" w:hAnsi="Garamond" w:cstheme="minorHAnsi"/>
          <w:sz w:val="24"/>
          <w:szCs w:val="24"/>
        </w:rPr>
        <w:t>that</w:t>
      </w:r>
      <w:r w:rsidR="00D465CA" w:rsidRPr="00461D74">
        <w:rPr>
          <w:rFonts w:ascii="Garamond" w:hAnsi="Garamond" w:cstheme="minorHAnsi"/>
          <w:sz w:val="24"/>
          <w:szCs w:val="24"/>
        </w:rPr>
        <w:t xml:space="preserve"> </w:t>
      </w:r>
      <w:r w:rsidR="00D465CA">
        <w:rPr>
          <w:rFonts w:ascii="Garamond" w:hAnsi="Garamond" w:cstheme="minorHAnsi"/>
          <w:sz w:val="24"/>
          <w:szCs w:val="24"/>
        </w:rPr>
        <w:t>afford</w:t>
      </w:r>
      <w:r w:rsidR="00D465CA" w:rsidRPr="00461D74">
        <w:rPr>
          <w:rFonts w:ascii="Garamond" w:hAnsi="Garamond" w:cstheme="minorHAnsi"/>
          <w:sz w:val="24"/>
          <w:szCs w:val="24"/>
        </w:rPr>
        <w:t xml:space="preserve"> </w:t>
      </w:r>
      <w:r w:rsidR="00AF3213" w:rsidRPr="00461D74">
        <w:rPr>
          <w:rFonts w:ascii="Garamond" w:hAnsi="Garamond" w:cstheme="minorHAnsi"/>
          <w:sz w:val="24"/>
          <w:szCs w:val="24"/>
        </w:rPr>
        <w:t xml:space="preserve">more optimal </w:t>
      </w:r>
      <w:r w:rsidR="00465CAD" w:rsidRPr="00461D74">
        <w:rPr>
          <w:rFonts w:ascii="Garamond" w:hAnsi="Garamond" w:cstheme="minorHAnsi"/>
          <w:sz w:val="24"/>
          <w:szCs w:val="24"/>
        </w:rPr>
        <w:t xml:space="preserve">resolutions to </w:t>
      </w:r>
      <w:r w:rsidR="00AF3213" w:rsidRPr="00461D74">
        <w:rPr>
          <w:rFonts w:ascii="Garamond" w:hAnsi="Garamond" w:cstheme="minorHAnsi"/>
          <w:sz w:val="24"/>
          <w:szCs w:val="24"/>
        </w:rPr>
        <w:t>various</w:t>
      </w:r>
      <w:r w:rsidR="00465CAD" w:rsidRPr="00461D74">
        <w:rPr>
          <w:rFonts w:ascii="Garamond" w:hAnsi="Garamond" w:cstheme="minorHAnsi"/>
          <w:sz w:val="24"/>
          <w:szCs w:val="24"/>
        </w:rPr>
        <w:t xml:space="preserve"> social and political problems. </w:t>
      </w:r>
      <w:r w:rsidR="00AF3213" w:rsidRPr="00461D74">
        <w:rPr>
          <w:rFonts w:ascii="Garamond" w:hAnsi="Garamond" w:cstheme="minorHAnsi"/>
          <w:sz w:val="24"/>
          <w:szCs w:val="24"/>
        </w:rPr>
        <w:t>Thus</w:t>
      </w:r>
      <w:r w:rsidR="000D1EF2" w:rsidRPr="00461D74">
        <w:rPr>
          <w:rFonts w:ascii="Garamond" w:hAnsi="Garamond" w:cstheme="minorHAnsi"/>
          <w:sz w:val="24"/>
          <w:szCs w:val="24"/>
        </w:rPr>
        <w:t xml:space="preserve">, </w:t>
      </w:r>
      <w:r w:rsidR="00394BAD" w:rsidRPr="00461D74">
        <w:rPr>
          <w:rFonts w:ascii="Garamond" w:hAnsi="Garamond" w:cstheme="minorHAnsi"/>
          <w:sz w:val="24"/>
          <w:szCs w:val="24"/>
        </w:rPr>
        <w:t>in order to avoid the sort of gridlock that blocks inquiry and leads to the neglect of social problems, the process of</w:t>
      </w:r>
      <w:r w:rsidR="000D1EF2" w:rsidRPr="00461D74">
        <w:rPr>
          <w:rFonts w:ascii="Garamond" w:hAnsi="Garamond" w:cstheme="minorHAnsi"/>
          <w:sz w:val="24"/>
          <w:szCs w:val="24"/>
        </w:rPr>
        <w:t xml:space="preserve"> deliberative </w:t>
      </w:r>
      <w:r w:rsidR="00394BAD" w:rsidRPr="00461D74">
        <w:rPr>
          <w:rFonts w:ascii="Garamond" w:hAnsi="Garamond" w:cstheme="minorHAnsi"/>
          <w:sz w:val="24"/>
          <w:szCs w:val="24"/>
        </w:rPr>
        <w:t>democracy</w:t>
      </w:r>
      <w:r w:rsidR="000D1EF2" w:rsidRPr="00461D74">
        <w:rPr>
          <w:rFonts w:ascii="Garamond" w:hAnsi="Garamond" w:cstheme="minorHAnsi"/>
          <w:sz w:val="24"/>
          <w:szCs w:val="24"/>
        </w:rPr>
        <w:t xml:space="preserve"> </w:t>
      </w:r>
      <w:r w:rsidR="00394BAD" w:rsidRPr="00461D74">
        <w:rPr>
          <w:rFonts w:ascii="Garamond" w:hAnsi="Garamond" w:cstheme="minorHAnsi"/>
          <w:sz w:val="24"/>
          <w:szCs w:val="24"/>
        </w:rPr>
        <w:t xml:space="preserve">has to remain open to the possibility of </w:t>
      </w:r>
      <w:r w:rsidR="000D1EF2" w:rsidRPr="00461D74">
        <w:rPr>
          <w:rFonts w:ascii="Garamond" w:hAnsi="Garamond" w:cstheme="minorHAnsi"/>
          <w:sz w:val="24"/>
          <w:szCs w:val="24"/>
        </w:rPr>
        <w:t xml:space="preserve">revising </w:t>
      </w:r>
      <w:r w:rsidR="005958A1">
        <w:rPr>
          <w:rFonts w:ascii="Garamond" w:hAnsi="Garamond" w:cstheme="minorHAnsi"/>
          <w:sz w:val="24"/>
          <w:szCs w:val="24"/>
        </w:rPr>
        <w:t xml:space="preserve">the boundaries between </w:t>
      </w:r>
      <w:r w:rsidR="000D1EF2" w:rsidRPr="00461D74">
        <w:rPr>
          <w:rFonts w:ascii="Garamond" w:hAnsi="Garamond" w:cstheme="minorHAnsi"/>
          <w:sz w:val="24"/>
          <w:szCs w:val="24"/>
        </w:rPr>
        <w:t>public</w:t>
      </w:r>
      <w:r w:rsidR="005958A1">
        <w:rPr>
          <w:rFonts w:ascii="Garamond" w:hAnsi="Garamond" w:cstheme="minorHAnsi"/>
          <w:sz w:val="24"/>
          <w:szCs w:val="24"/>
        </w:rPr>
        <w:t xml:space="preserve"> and </w:t>
      </w:r>
      <w:r w:rsidR="000D1EF2" w:rsidRPr="00461D74">
        <w:rPr>
          <w:rFonts w:ascii="Garamond" w:hAnsi="Garamond" w:cstheme="minorHAnsi"/>
          <w:sz w:val="24"/>
          <w:szCs w:val="24"/>
        </w:rPr>
        <w:t xml:space="preserve">private </w:t>
      </w:r>
      <w:r w:rsidR="005958A1">
        <w:rPr>
          <w:rFonts w:ascii="Garamond" w:hAnsi="Garamond" w:cstheme="minorHAnsi"/>
          <w:sz w:val="24"/>
          <w:szCs w:val="24"/>
        </w:rPr>
        <w:t>spheres, and public/private considerations of collective action</w:t>
      </w:r>
      <w:r w:rsidR="00AF3213" w:rsidRPr="00461D74">
        <w:rPr>
          <w:rFonts w:ascii="Garamond" w:hAnsi="Garamond" w:cstheme="minorHAnsi"/>
          <w:sz w:val="24"/>
          <w:szCs w:val="24"/>
        </w:rPr>
        <w:t>.</w:t>
      </w:r>
      <w:r w:rsidR="00465CAD" w:rsidRPr="00461D74">
        <w:rPr>
          <w:rFonts w:ascii="Garamond" w:hAnsi="Garamond" w:cstheme="minorHAnsi"/>
          <w:sz w:val="24"/>
          <w:szCs w:val="24"/>
        </w:rPr>
        <w:t xml:space="preserve"> </w:t>
      </w:r>
    </w:p>
    <w:p w:rsidR="00665157" w:rsidRDefault="00AF3213">
      <w:pPr>
        <w:spacing w:line="360" w:lineRule="auto"/>
        <w:ind w:left="66" w:firstLine="654"/>
        <w:jc w:val="both"/>
        <w:rPr>
          <w:rFonts w:ascii="Garamond" w:hAnsi="Garamond" w:cstheme="minorHAnsi"/>
          <w:sz w:val="24"/>
          <w:szCs w:val="24"/>
        </w:rPr>
      </w:pPr>
      <w:r w:rsidRPr="00461D74">
        <w:rPr>
          <w:rFonts w:ascii="Garamond" w:hAnsi="Garamond" w:cstheme="minorHAnsi"/>
          <w:sz w:val="24"/>
          <w:szCs w:val="24"/>
        </w:rPr>
        <w:t>Now, I would like to suggest that</w:t>
      </w:r>
      <w:r w:rsidR="00016049"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Misak’s</w:t>
      </w:r>
      <w:proofErr w:type="spellEnd"/>
      <w:r w:rsidR="00016049" w:rsidRPr="00461D74">
        <w:rPr>
          <w:rFonts w:ascii="Garamond" w:hAnsi="Garamond" w:cstheme="minorHAnsi"/>
          <w:sz w:val="24"/>
          <w:szCs w:val="24"/>
        </w:rPr>
        <w:t xml:space="preserve"> pragmatic analysis of liberal politics furnishes us with just such an account. Recall that for </w:t>
      </w:r>
      <w:proofErr w:type="spellStart"/>
      <w:r w:rsidR="00016049" w:rsidRPr="00461D74">
        <w:rPr>
          <w:rFonts w:ascii="Garamond" w:hAnsi="Garamond" w:cstheme="minorHAnsi"/>
          <w:sz w:val="24"/>
          <w:szCs w:val="24"/>
        </w:rPr>
        <w:t>Misak</w:t>
      </w:r>
      <w:proofErr w:type="spellEnd"/>
      <w:r w:rsidR="00016049" w:rsidRPr="00461D74">
        <w:rPr>
          <w:rFonts w:ascii="Garamond" w:hAnsi="Garamond" w:cstheme="minorHAnsi"/>
          <w:sz w:val="24"/>
          <w:szCs w:val="24"/>
        </w:rPr>
        <w:t xml:space="preserve">, convergence on all social and political answers is not only unrealistic, but it is also unhelpful. </w:t>
      </w:r>
      <w:proofErr w:type="spellStart"/>
      <w:r w:rsidR="00016049" w:rsidRPr="00461D74">
        <w:rPr>
          <w:rFonts w:ascii="Garamond" w:hAnsi="Garamond" w:cstheme="minorHAnsi"/>
          <w:sz w:val="24"/>
          <w:szCs w:val="24"/>
        </w:rPr>
        <w:t>Misak’s</w:t>
      </w:r>
      <w:proofErr w:type="spellEnd"/>
      <w:r w:rsidR="00016049" w:rsidRPr="00461D74">
        <w:rPr>
          <w:rFonts w:ascii="Garamond" w:hAnsi="Garamond" w:cstheme="minorHAnsi"/>
          <w:sz w:val="24"/>
          <w:szCs w:val="24"/>
        </w:rPr>
        <w:t xml:space="preserve"> pragmatist account </w:t>
      </w:r>
      <w:r w:rsidR="0089765F">
        <w:rPr>
          <w:rFonts w:ascii="Garamond" w:hAnsi="Garamond" w:cstheme="minorHAnsi"/>
          <w:sz w:val="24"/>
          <w:szCs w:val="24"/>
        </w:rPr>
        <w:t>admits</w:t>
      </w:r>
      <w:r w:rsidR="00016049" w:rsidRPr="00461D74">
        <w:rPr>
          <w:rFonts w:ascii="Garamond" w:hAnsi="Garamond" w:cstheme="minorHAnsi"/>
          <w:sz w:val="24"/>
          <w:szCs w:val="24"/>
        </w:rPr>
        <w:t xml:space="preserve"> the fact that value pluralism </w:t>
      </w:r>
      <w:r w:rsidR="0089765F">
        <w:rPr>
          <w:rFonts w:ascii="Garamond" w:hAnsi="Garamond" w:cstheme="minorHAnsi"/>
          <w:sz w:val="24"/>
          <w:szCs w:val="24"/>
        </w:rPr>
        <w:t>a</w:t>
      </w:r>
      <w:r w:rsidR="00016049" w:rsidRPr="00461D74">
        <w:rPr>
          <w:rFonts w:ascii="Garamond" w:hAnsi="Garamond" w:cstheme="minorHAnsi"/>
          <w:sz w:val="24"/>
          <w:szCs w:val="24"/>
        </w:rPr>
        <w:t xml:space="preserve">s a social fact – but one that is </w:t>
      </w:r>
      <w:r w:rsidR="0089765F">
        <w:rPr>
          <w:rFonts w:ascii="Garamond" w:hAnsi="Garamond" w:cstheme="minorHAnsi"/>
          <w:sz w:val="24"/>
          <w:szCs w:val="24"/>
        </w:rPr>
        <w:t xml:space="preserve">nonetheless </w:t>
      </w:r>
      <w:r w:rsidR="00016049" w:rsidRPr="00461D74">
        <w:rPr>
          <w:rFonts w:ascii="Garamond" w:hAnsi="Garamond" w:cstheme="minorHAnsi"/>
          <w:sz w:val="24"/>
          <w:szCs w:val="24"/>
        </w:rPr>
        <w:t xml:space="preserve">contingent and accidental as opposed to </w:t>
      </w:r>
      <w:r w:rsidR="0089765F">
        <w:rPr>
          <w:rFonts w:ascii="Garamond" w:hAnsi="Garamond" w:cstheme="minorHAnsi"/>
          <w:sz w:val="24"/>
          <w:szCs w:val="24"/>
        </w:rPr>
        <w:t>metaphysical</w:t>
      </w:r>
      <w:r w:rsidR="00951499">
        <w:rPr>
          <w:rFonts w:ascii="Garamond" w:hAnsi="Garamond" w:cstheme="minorHAnsi"/>
          <w:sz w:val="24"/>
          <w:szCs w:val="24"/>
        </w:rPr>
        <w:t xml:space="preserve"> and</w:t>
      </w:r>
      <w:r w:rsidR="0089765F">
        <w:rPr>
          <w:rFonts w:ascii="Garamond" w:hAnsi="Garamond" w:cstheme="minorHAnsi"/>
          <w:sz w:val="24"/>
          <w:szCs w:val="24"/>
        </w:rPr>
        <w:t xml:space="preserve"> sacrosanct</w:t>
      </w:r>
      <w:r w:rsidR="00016049" w:rsidRPr="00461D74">
        <w:rPr>
          <w:rFonts w:ascii="Garamond" w:hAnsi="Garamond" w:cstheme="minorHAnsi"/>
          <w:sz w:val="24"/>
          <w:szCs w:val="24"/>
        </w:rPr>
        <w:t xml:space="preserve">. </w:t>
      </w:r>
      <w:r w:rsidR="005A2081" w:rsidRPr="00461D74">
        <w:rPr>
          <w:rFonts w:ascii="Garamond" w:hAnsi="Garamond" w:cstheme="minorHAnsi"/>
          <w:sz w:val="24"/>
          <w:szCs w:val="24"/>
        </w:rPr>
        <w:t>Here</w:t>
      </w:r>
      <w:r w:rsidR="00016049" w:rsidRPr="00461D74">
        <w:rPr>
          <w:rFonts w:ascii="Garamond" w:hAnsi="Garamond" w:cstheme="minorHAnsi"/>
          <w:sz w:val="24"/>
          <w:szCs w:val="24"/>
        </w:rPr>
        <w:t xml:space="preserve">, we can admit that there are </w:t>
      </w:r>
      <w:r w:rsidR="005A2081" w:rsidRPr="00461D74">
        <w:rPr>
          <w:rFonts w:ascii="Garamond" w:hAnsi="Garamond" w:cstheme="minorHAnsi"/>
          <w:sz w:val="24"/>
          <w:szCs w:val="24"/>
        </w:rPr>
        <w:t xml:space="preserve">numerous </w:t>
      </w:r>
      <w:r w:rsidR="00016049" w:rsidRPr="00461D74">
        <w:rPr>
          <w:rFonts w:ascii="Garamond" w:hAnsi="Garamond" w:cstheme="minorHAnsi"/>
          <w:sz w:val="24"/>
          <w:szCs w:val="24"/>
        </w:rPr>
        <w:t>possibilities for the emergence of conflict</w:t>
      </w:r>
      <w:r w:rsidR="005A2081" w:rsidRPr="00461D74">
        <w:rPr>
          <w:rFonts w:ascii="Garamond" w:hAnsi="Garamond" w:cstheme="minorHAnsi"/>
          <w:sz w:val="24"/>
          <w:szCs w:val="24"/>
        </w:rPr>
        <w:t xml:space="preserve"> between various goods (or values)</w:t>
      </w:r>
      <w:r w:rsidR="005717EF" w:rsidRPr="00461D74">
        <w:rPr>
          <w:rFonts w:ascii="Garamond" w:hAnsi="Garamond" w:cstheme="minorHAnsi"/>
          <w:sz w:val="24"/>
          <w:szCs w:val="24"/>
        </w:rPr>
        <w:t>,</w:t>
      </w:r>
      <w:r w:rsidR="005A2081" w:rsidRPr="00461D74">
        <w:rPr>
          <w:rFonts w:ascii="Garamond" w:hAnsi="Garamond" w:cstheme="minorHAnsi"/>
          <w:sz w:val="24"/>
          <w:szCs w:val="24"/>
        </w:rPr>
        <w:t xml:space="preserve"> and this ought to be the </w:t>
      </w:r>
      <w:r w:rsidR="00016049" w:rsidRPr="00461D74">
        <w:rPr>
          <w:rFonts w:ascii="Garamond" w:hAnsi="Garamond" w:cstheme="minorHAnsi"/>
          <w:sz w:val="24"/>
          <w:szCs w:val="24"/>
        </w:rPr>
        <w:t xml:space="preserve">starting point </w:t>
      </w:r>
      <w:r w:rsidR="005A2081" w:rsidRPr="00461D74">
        <w:rPr>
          <w:rFonts w:ascii="Garamond" w:hAnsi="Garamond" w:cstheme="minorHAnsi"/>
          <w:sz w:val="24"/>
          <w:szCs w:val="24"/>
        </w:rPr>
        <w:t>of inquiry</w:t>
      </w:r>
      <w:r w:rsidR="00016049" w:rsidRPr="00461D74">
        <w:rPr>
          <w:rFonts w:ascii="Garamond" w:hAnsi="Garamond" w:cstheme="minorHAnsi"/>
          <w:sz w:val="24"/>
          <w:szCs w:val="24"/>
        </w:rPr>
        <w:t xml:space="preserve">. We can </w:t>
      </w:r>
      <w:r w:rsidR="005A2081" w:rsidRPr="00461D74">
        <w:rPr>
          <w:rFonts w:ascii="Garamond" w:hAnsi="Garamond" w:cstheme="minorHAnsi"/>
          <w:sz w:val="24"/>
          <w:szCs w:val="24"/>
        </w:rPr>
        <w:t xml:space="preserve">readily </w:t>
      </w:r>
      <w:r w:rsidR="00016049" w:rsidRPr="00461D74">
        <w:rPr>
          <w:rFonts w:ascii="Garamond" w:hAnsi="Garamond" w:cstheme="minorHAnsi"/>
          <w:sz w:val="24"/>
          <w:szCs w:val="24"/>
        </w:rPr>
        <w:t xml:space="preserve">observe that </w:t>
      </w:r>
      <w:r w:rsidR="005A2081" w:rsidRPr="00461D74">
        <w:rPr>
          <w:rFonts w:ascii="Garamond" w:hAnsi="Garamond" w:cstheme="minorHAnsi"/>
          <w:sz w:val="24"/>
          <w:szCs w:val="24"/>
        </w:rPr>
        <w:t>on</w:t>
      </w:r>
      <w:r w:rsidR="00016049" w:rsidRPr="00461D74">
        <w:rPr>
          <w:rFonts w:ascii="Garamond" w:hAnsi="Garamond" w:cstheme="minorHAnsi"/>
          <w:sz w:val="24"/>
          <w:szCs w:val="24"/>
        </w:rPr>
        <w:t xml:space="preserve"> numerous occasions </w:t>
      </w:r>
      <w:r w:rsidR="005A2081" w:rsidRPr="00461D74">
        <w:rPr>
          <w:rFonts w:ascii="Garamond" w:hAnsi="Garamond" w:cstheme="minorHAnsi"/>
          <w:sz w:val="24"/>
          <w:szCs w:val="24"/>
        </w:rPr>
        <w:t xml:space="preserve">we are able to converge and reach </w:t>
      </w:r>
      <w:r w:rsidR="00016049" w:rsidRPr="00461D74">
        <w:rPr>
          <w:rFonts w:ascii="Garamond" w:hAnsi="Garamond" w:cstheme="minorHAnsi"/>
          <w:sz w:val="24"/>
          <w:szCs w:val="24"/>
        </w:rPr>
        <w:t xml:space="preserve">agreement with respect to many of the </w:t>
      </w:r>
      <w:r w:rsidR="005A2081" w:rsidRPr="00461D74">
        <w:rPr>
          <w:rFonts w:ascii="Garamond" w:hAnsi="Garamond" w:cstheme="minorHAnsi"/>
          <w:sz w:val="24"/>
          <w:szCs w:val="24"/>
        </w:rPr>
        <w:t xml:space="preserve">evaluative </w:t>
      </w:r>
      <w:r w:rsidR="00016049" w:rsidRPr="00461D74">
        <w:rPr>
          <w:rFonts w:ascii="Garamond" w:hAnsi="Garamond" w:cstheme="minorHAnsi"/>
          <w:sz w:val="24"/>
          <w:szCs w:val="24"/>
        </w:rPr>
        <w:lastRenderedPageBreak/>
        <w:t xml:space="preserve">judgments </w:t>
      </w:r>
      <w:r w:rsidR="005A2081" w:rsidRPr="00461D74">
        <w:rPr>
          <w:rFonts w:ascii="Garamond" w:hAnsi="Garamond" w:cstheme="minorHAnsi"/>
          <w:sz w:val="24"/>
          <w:szCs w:val="24"/>
        </w:rPr>
        <w:t xml:space="preserve">that </w:t>
      </w:r>
      <w:r w:rsidR="00016049" w:rsidRPr="00461D74">
        <w:rPr>
          <w:rFonts w:ascii="Garamond" w:hAnsi="Garamond" w:cstheme="minorHAnsi"/>
          <w:sz w:val="24"/>
          <w:szCs w:val="24"/>
        </w:rPr>
        <w:t xml:space="preserve">we </w:t>
      </w:r>
      <w:r w:rsidR="005A2081" w:rsidRPr="00461D74">
        <w:rPr>
          <w:rFonts w:ascii="Garamond" w:hAnsi="Garamond" w:cstheme="minorHAnsi"/>
          <w:sz w:val="24"/>
          <w:szCs w:val="24"/>
        </w:rPr>
        <w:t xml:space="preserve">can </w:t>
      </w:r>
      <w:r w:rsidR="00016049" w:rsidRPr="00461D74">
        <w:rPr>
          <w:rFonts w:ascii="Garamond" w:hAnsi="Garamond" w:cstheme="minorHAnsi"/>
          <w:sz w:val="24"/>
          <w:szCs w:val="24"/>
        </w:rPr>
        <w:t xml:space="preserve">make </w:t>
      </w:r>
      <w:r w:rsidR="005A2081" w:rsidRPr="00461D74">
        <w:rPr>
          <w:rFonts w:ascii="Garamond" w:hAnsi="Garamond" w:cstheme="minorHAnsi"/>
          <w:sz w:val="24"/>
          <w:szCs w:val="24"/>
        </w:rPr>
        <w:t xml:space="preserve">as part of </w:t>
      </w:r>
      <w:r w:rsidR="00016049" w:rsidRPr="00461D74">
        <w:rPr>
          <w:rFonts w:ascii="Garamond" w:hAnsi="Garamond" w:cstheme="minorHAnsi"/>
          <w:sz w:val="24"/>
          <w:szCs w:val="24"/>
        </w:rPr>
        <w:t xml:space="preserve">our </w:t>
      </w:r>
      <w:r w:rsidR="005A2081" w:rsidRPr="00461D74">
        <w:rPr>
          <w:rFonts w:ascii="Garamond" w:hAnsi="Garamond" w:cstheme="minorHAnsi"/>
          <w:sz w:val="24"/>
          <w:szCs w:val="24"/>
        </w:rPr>
        <w:t xml:space="preserve">collective </w:t>
      </w:r>
      <w:r w:rsidR="00016049" w:rsidRPr="00461D74">
        <w:rPr>
          <w:rFonts w:ascii="Garamond" w:hAnsi="Garamond" w:cstheme="minorHAnsi"/>
          <w:sz w:val="24"/>
          <w:szCs w:val="24"/>
        </w:rPr>
        <w:t xml:space="preserve">deliberations. </w:t>
      </w:r>
      <w:r w:rsidR="00951499">
        <w:rPr>
          <w:rFonts w:ascii="Garamond" w:hAnsi="Garamond" w:cstheme="minorHAnsi"/>
          <w:sz w:val="24"/>
          <w:szCs w:val="24"/>
        </w:rPr>
        <w:t>Now</w:t>
      </w:r>
      <w:r w:rsidR="005A2081" w:rsidRPr="00461D74">
        <w:rPr>
          <w:rFonts w:ascii="Garamond" w:hAnsi="Garamond" w:cstheme="minorHAnsi"/>
          <w:sz w:val="24"/>
          <w:szCs w:val="24"/>
        </w:rPr>
        <w:t xml:space="preserve">, our main </w:t>
      </w:r>
      <w:r w:rsidR="00016049" w:rsidRPr="00461D74">
        <w:rPr>
          <w:rFonts w:ascii="Garamond" w:hAnsi="Garamond" w:cstheme="minorHAnsi"/>
          <w:sz w:val="24"/>
          <w:szCs w:val="24"/>
        </w:rPr>
        <w:t xml:space="preserve">task </w:t>
      </w:r>
      <w:r w:rsidR="00951499">
        <w:rPr>
          <w:rFonts w:ascii="Garamond" w:hAnsi="Garamond" w:cstheme="minorHAnsi"/>
          <w:sz w:val="24"/>
          <w:szCs w:val="24"/>
        </w:rPr>
        <w:t xml:space="preserve">in the sphere of cooperative collective action </w:t>
      </w:r>
      <w:r w:rsidR="00016049" w:rsidRPr="00461D74">
        <w:rPr>
          <w:rFonts w:ascii="Garamond" w:hAnsi="Garamond" w:cstheme="minorHAnsi"/>
          <w:sz w:val="24"/>
          <w:szCs w:val="24"/>
        </w:rPr>
        <w:t xml:space="preserve">is to develop </w:t>
      </w:r>
      <w:r w:rsidR="005717EF" w:rsidRPr="00461D74">
        <w:rPr>
          <w:rFonts w:ascii="Garamond" w:hAnsi="Garamond" w:cstheme="minorHAnsi"/>
          <w:sz w:val="24"/>
          <w:szCs w:val="24"/>
        </w:rPr>
        <w:t xml:space="preserve">a </w:t>
      </w:r>
      <w:r w:rsidR="00951499">
        <w:rPr>
          <w:rFonts w:ascii="Garamond" w:hAnsi="Garamond" w:cstheme="minorHAnsi"/>
          <w:sz w:val="24"/>
          <w:szCs w:val="24"/>
        </w:rPr>
        <w:t>range</w:t>
      </w:r>
      <w:r w:rsidR="00F21726" w:rsidRPr="00461D74">
        <w:rPr>
          <w:rFonts w:ascii="Garamond" w:hAnsi="Garamond" w:cstheme="minorHAnsi"/>
          <w:sz w:val="24"/>
          <w:szCs w:val="24"/>
        </w:rPr>
        <w:t xml:space="preserve"> of solutions </w:t>
      </w:r>
      <w:r w:rsidR="00016049" w:rsidRPr="00461D74">
        <w:rPr>
          <w:rFonts w:ascii="Garamond" w:hAnsi="Garamond" w:cstheme="minorHAnsi"/>
          <w:sz w:val="24"/>
          <w:szCs w:val="24"/>
        </w:rPr>
        <w:t xml:space="preserve">to </w:t>
      </w:r>
      <w:r w:rsidR="00F21726" w:rsidRPr="00461D74">
        <w:rPr>
          <w:rFonts w:ascii="Garamond" w:hAnsi="Garamond" w:cstheme="minorHAnsi"/>
          <w:sz w:val="24"/>
          <w:szCs w:val="24"/>
        </w:rPr>
        <w:t xml:space="preserve">a contingent </w:t>
      </w:r>
      <w:r w:rsidR="00951499">
        <w:rPr>
          <w:rFonts w:ascii="Garamond" w:hAnsi="Garamond" w:cstheme="minorHAnsi"/>
          <w:sz w:val="24"/>
          <w:szCs w:val="24"/>
        </w:rPr>
        <w:t>class</w:t>
      </w:r>
      <w:r w:rsidR="00951499" w:rsidRPr="00461D74">
        <w:rPr>
          <w:rFonts w:ascii="Garamond" w:hAnsi="Garamond" w:cstheme="minorHAnsi"/>
          <w:sz w:val="24"/>
          <w:szCs w:val="24"/>
        </w:rPr>
        <w:t xml:space="preserve"> </w:t>
      </w:r>
      <w:r w:rsidR="00F21726" w:rsidRPr="00461D74">
        <w:rPr>
          <w:rFonts w:ascii="Garamond" w:hAnsi="Garamond" w:cstheme="minorHAnsi"/>
          <w:sz w:val="24"/>
          <w:szCs w:val="24"/>
        </w:rPr>
        <w:t xml:space="preserve">of social </w:t>
      </w:r>
      <w:r w:rsidR="00016049" w:rsidRPr="00461D74">
        <w:rPr>
          <w:rFonts w:ascii="Garamond" w:hAnsi="Garamond" w:cstheme="minorHAnsi"/>
          <w:sz w:val="24"/>
          <w:szCs w:val="24"/>
        </w:rPr>
        <w:t xml:space="preserve">problems; </w:t>
      </w:r>
      <w:r w:rsidR="00F21726" w:rsidRPr="00461D74">
        <w:rPr>
          <w:rFonts w:ascii="Garamond" w:hAnsi="Garamond" w:cstheme="minorHAnsi"/>
          <w:sz w:val="24"/>
          <w:szCs w:val="24"/>
        </w:rPr>
        <w:t>yet</w:t>
      </w:r>
      <w:r w:rsidR="00016049" w:rsidRPr="00461D74">
        <w:rPr>
          <w:rFonts w:ascii="Garamond" w:hAnsi="Garamond" w:cstheme="minorHAnsi"/>
          <w:sz w:val="24"/>
          <w:szCs w:val="24"/>
        </w:rPr>
        <w:t xml:space="preserve">, this does not </w:t>
      </w:r>
      <w:r w:rsidR="00F21726" w:rsidRPr="00461D74">
        <w:rPr>
          <w:rFonts w:ascii="Garamond" w:hAnsi="Garamond" w:cstheme="minorHAnsi"/>
          <w:sz w:val="24"/>
          <w:szCs w:val="24"/>
        </w:rPr>
        <w:t xml:space="preserve">entail </w:t>
      </w:r>
      <w:r w:rsidR="00016049" w:rsidRPr="00461D74">
        <w:rPr>
          <w:rFonts w:ascii="Garamond" w:hAnsi="Garamond" w:cstheme="minorHAnsi"/>
          <w:sz w:val="24"/>
          <w:szCs w:val="24"/>
        </w:rPr>
        <w:t xml:space="preserve">that all </w:t>
      </w:r>
      <w:r w:rsidR="00F21726" w:rsidRPr="00461D74">
        <w:rPr>
          <w:rFonts w:ascii="Garamond" w:hAnsi="Garamond" w:cstheme="minorHAnsi"/>
          <w:sz w:val="24"/>
          <w:szCs w:val="24"/>
        </w:rPr>
        <w:t xml:space="preserve">of the various </w:t>
      </w:r>
      <w:r w:rsidR="00016049" w:rsidRPr="00461D74">
        <w:rPr>
          <w:rFonts w:ascii="Garamond" w:hAnsi="Garamond" w:cstheme="minorHAnsi"/>
          <w:sz w:val="24"/>
          <w:szCs w:val="24"/>
        </w:rPr>
        <w:t xml:space="preserve">differences </w:t>
      </w:r>
      <w:r w:rsidR="00F21726" w:rsidRPr="00461D74">
        <w:rPr>
          <w:rFonts w:ascii="Garamond" w:hAnsi="Garamond" w:cstheme="minorHAnsi"/>
          <w:sz w:val="24"/>
          <w:szCs w:val="24"/>
        </w:rPr>
        <w:t xml:space="preserve">that separate us </w:t>
      </w:r>
      <w:r w:rsidR="00016049" w:rsidRPr="00461D74">
        <w:rPr>
          <w:rFonts w:ascii="Garamond" w:hAnsi="Garamond" w:cstheme="minorHAnsi"/>
          <w:sz w:val="24"/>
          <w:szCs w:val="24"/>
        </w:rPr>
        <w:t xml:space="preserve">can be reconciled in meaningful ways. This is why </w:t>
      </w:r>
      <w:proofErr w:type="spellStart"/>
      <w:r w:rsidR="00016049" w:rsidRPr="00461D74">
        <w:rPr>
          <w:rFonts w:ascii="Garamond" w:hAnsi="Garamond" w:cstheme="minorHAnsi"/>
          <w:sz w:val="24"/>
          <w:szCs w:val="24"/>
        </w:rPr>
        <w:t>Misak</w:t>
      </w:r>
      <w:proofErr w:type="spellEnd"/>
      <w:r w:rsidR="00016049" w:rsidRPr="00461D74">
        <w:rPr>
          <w:rFonts w:ascii="Garamond" w:hAnsi="Garamond" w:cstheme="minorHAnsi"/>
          <w:sz w:val="24"/>
          <w:szCs w:val="24"/>
        </w:rPr>
        <w:t xml:space="preserve">, </w:t>
      </w:r>
      <w:r w:rsidR="00F21726" w:rsidRPr="00461D74">
        <w:rPr>
          <w:rFonts w:ascii="Garamond" w:hAnsi="Garamond" w:cstheme="minorHAnsi"/>
          <w:sz w:val="24"/>
          <w:szCs w:val="24"/>
        </w:rPr>
        <w:t xml:space="preserve">in agreement </w:t>
      </w:r>
      <w:r w:rsidR="00016049" w:rsidRPr="00461D74">
        <w:rPr>
          <w:rFonts w:ascii="Garamond" w:hAnsi="Garamond" w:cstheme="minorHAnsi"/>
          <w:sz w:val="24"/>
          <w:szCs w:val="24"/>
        </w:rPr>
        <w:t>with the liberal</w:t>
      </w:r>
      <w:r w:rsidR="00F21726" w:rsidRPr="00461D74">
        <w:rPr>
          <w:rFonts w:ascii="Garamond" w:hAnsi="Garamond" w:cstheme="minorHAnsi"/>
          <w:sz w:val="24"/>
          <w:szCs w:val="24"/>
        </w:rPr>
        <w:t xml:space="preserve"> thinker</w:t>
      </w:r>
      <w:r w:rsidR="00016049" w:rsidRPr="00461D74">
        <w:rPr>
          <w:rFonts w:ascii="Garamond" w:hAnsi="Garamond" w:cstheme="minorHAnsi"/>
          <w:sz w:val="24"/>
          <w:szCs w:val="24"/>
        </w:rPr>
        <w:t>, can grant the fact of pluralism</w:t>
      </w:r>
      <w:r w:rsidR="005717EF"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951499">
        <w:rPr>
          <w:rFonts w:ascii="Garamond" w:hAnsi="Garamond" w:cstheme="minorHAnsi"/>
          <w:sz w:val="24"/>
          <w:szCs w:val="24"/>
        </w:rPr>
        <w:t>notwithstanding this agreement</w:t>
      </w:r>
      <w:r w:rsidR="00016049" w:rsidRPr="00461D74">
        <w:rPr>
          <w:rFonts w:ascii="Garamond" w:hAnsi="Garamond" w:cstheme="minorHAnsi"/>
          <w:sz w:val="24"/>
          <w:szCs w:val="24"/>
        </w:rPr>
        <w:t xml:space="preserve">, </w:t>
      </w:r>
      <w:r w:rsidR="00F21726" w:rsidRPr="00461D74">
        <w:rPr>
          <w:rFonts w:ascii="Garamond" w:hAnsi="Garamond" w:cstheme="minorHAnsi"/>
          <w:sz w:val="24"/>
          <w:szCs w:val="24"/>
        </w:rPr>
        <w:t xml:space="preserve">she </w:t>
      </w:r>
      <w:r w:rsidR="00951499">
        <w:rPr>
          <w:rFonts w:ascii="Garamond" w:hAnsi="Garamond" w:cstheme="minorHAnsi"/>
          <w:sz w:val="24"/>
          <w:szCs w:val="24"/>
        </w:rPr>
        <w:t xml:space="preserve">could nonetheless </w:t>
      </w:r>
      <w:r w:rsidR="00F21726" w:rsidRPr="00461D74">
        <w:rPr>
          <w:rFonts w:ascii="Garamond" w:hAnsi="Garamond" w:cstheme="minorHAnsi"/>
          <w:sz w:val="24"/>
          <w:szCs w:val="24"/>
        </w:rPr>
        <w:t xml:space="preserve">side </w:t>
      </w:r>
      <w:r w:rsidR="00016049" w:rsidRPr="00461D74">
        <w:rPr>
          <w:rFonts w:ascii="Garamond" w:hAnsi="Garamond" w:cstheme="minorHAnsi"/>
          <w:sz w:val="24"/>
          <w:szCs w:val="24"/>
        </w:rPr>
        <w:t xml:space="preserve">with the communitarian </w:t>
      </w:r>
      <w:r w:rsidR="001C415C">
        <w:rPr>
          <w:rFonts w:ascii="Garamond" w:hAnsi="Garamond" w:cstheme="minorHAnsi"/>
          <w:sz w:val="24"/>
          <w:szCs w:val="24"/>
        </w:rPr>
        <w:t xml:space="preserve">in holding </w:t>
      </w:r>
      <w:r w:rsidR="00016049" w:rsidRPr="00461D74">
        <w:rPr>
          <w:rFonts w:ascii="Garamond" w:hAnsi="Garamond" w:cstheme="minorHAnsi"/>
          <w:sz w:val="24"/>
          <w:szCs w:val="24"/>
        </w:rPr>
        <w:t xml:space="preserve">that a </w:t>
      </w:r>
      <w:r w:rsidR="00F21726" w:rsidRPr="00461D74">
        <w:rPr>
          <w:rFonts w:ascii="Garamond" w:hAnsi="Garamond" w:cstheme="minorHAnsi"/>
          <w:sz w:val="24"/>
          <w:szCs w:val="24"/>
        </w:rPr>
        <w:t xml:space="preserve">well </w:t>
      </w:r>
      <w:r w:rsidR="00016049" w:rsidRPr="00461D74">
        <w:rPr>
          <w:rFonts w:ascii="Garamond" w:hAnsi="Garamond" w:cstheme="minorHAnsi"/>
          <w:sz w:val="24"/>
          <w:szCs w:val="24"/>
        </w:rPr>
        <w:t xml:space="preserve">functioning society, in order to remain cohesive, must </w:t>
      </w:r>
      <w:r w:rsidR="00951499">
        <w:rPr>
          <w:rFonts w:ascii="Garamond" w:hAnsi="Garamond" w:cstheme="minorHAnsi"/>
          <w:sz w:val="24"/>
          <w:szCs w:val="24"/>
        </w:rPr>
        <w:t xml:space="preserve">first </w:t>
      </w:r>
      <w:r w:rsidR="00016049" w:rsidRPr="00461D74">
        <w:rPr>
          <w:rFonts w:ascii="Garamond" w:hAnsi="Garamond" w:cstheme="minorHAnsi"/>
          <w:sz w:val="24"/>
          <w:szCs w:val="24"/>
        </w:rPr>
        <w:t>consider</w:t>
      </w:r>
      <w:r w:rsidR="00951499">
        <w:rPr>
          <w:rFonts w:ascii="Garamond" w:hAnsi="Garamond" w:cstheme="minorHAnsi"/>
          <w:sz w:val="24"/>
          <w:szCs w:val="24"/>
        </w:rPr>
        <w:t>,</w:t>
      </w:r>
      <w:r w:rsidR="00016049" w:rsidRPr="00461D74">
        <w:rPr>
          <w:rFonts w:ascii="Garamond" w:hAnsi="Garamond" w:cstheme="minorHAnsi"/>
          <w:sz w:val="24"/>
          <w:szCs w:val="24"/>
        </w:rPr>
        <w:t xml:space="preserve"> </w:t>
      </w:r>
      <w:r w:rsidR="00951499">
        <w:rPr>
          <w:rFonts w:ascii="Garamond" w:hAnsi="Garamond" w:cstheme="minorHAnsi"/>
          <w:sz w:val="24"/>
          <w:szCs w:val="24"/>
        </w:rPr>
        <w:t>and later adopt, a range of</w:t>
      </w:r>
      <w:r w:rsidR="00F21726" w:rsidRPr="00461D74">
        <w:rPr>
          <w:rFonts w:ascii="Garamond" w:hAnsi="Garamond" w:cstheme="minorHAnsi"/>
          <w:sz w:val="24"/>
          <w:szCs w:val="24"/>
        </w:rPr>
        <w:t xml:space="preserve"> substantive first-order goods in the public arena</w:t>
      </w:r>
      <w:r w:rsidR="00016049" w:rsidRPr="00461D74">
        <w:rPr>
          <w:rFonts w:ascii="Garamond" w:hAnsi="Garamond" w:cstheme="minorHAnsi"/>
          <w:sz w:val="24"/>
          <w:szCs w:val="24"/>
        </w:rPr>
        <w:t>.</w:t>
      </w:r>
      <w:r w:rsidR="00F21726" w:rsidRPr="00461D74">
        <w:rPr>
          <w:rFonts w:ascii="Garamond" w:hAnsi="Garamond" w:cstheme="minorHAnsi"/>
          <w:sz w:val="24"/>
          <w:szCs w:val="24"/>
        </w:rPr>
        <w:t xml:space="preserve"> Of course, on my view, the pragmati</w:t>
      </w:r>
      <w:r w:rsidR="007A1CE4" w:rsidRPr="00461D74">
        <w:rPr>
          <w:rFonts w:ascii="Garamond" w:hAnsi="Garamond" w:cstheme="minorHAnsi"/>
          <w:sz w:val="24"/>
          <w:szCs w:val="24"/>
        </w:rPr>
        <w:t>st’s</w:t>
      </w:r>
      <w:r w:rsidR="00F21726" w:rsidRPr="00461D74">
        <w:rPr>
          <w:rFonts w:ascii="Garamond" w:hAnsi="Garamond" w:cstheme="minorHAnsi"/>
          <w:sz w:val="24"/>
          <w:szCs w:val="24"/>
        </w:rPr>
        <w:t xml:space="preserve"> position is superior to the communitarian</w:t>
      </w:r>
      <w:r w:rsidR="007A1CE4" w:rsidRPr="00461D74">
        <w:rPr>
          <w:rFonts w:ascii="Garamond" w:hAnsi="Garamond" w:cstheme="minorHAnsi"/>
          <w:sz w:val="24"/>
          <w:szCs w:val="24"/>
        </w:rPr>
        <w:t>,</w:t>
      </w:r>
      <w:r w:rsidR="00F21726" w:rsidRPr="00461D74">
        <w:rPr>
          <w:rFonts w:ascii="Garamond" w:hAnsi="Garamond" w:cstheme="minorHAnsi"/>
          <w:sz w:val="24"/>
          <w:szCs w:val="24"/>
        </w:rPr>
        <w:t xml:space="preserve"> since all substantive appeals are the outcome of widespread </w:t>
      </w:r>
      <w:r w:rsidR="007A1CE4" w:rsidRPr="00461D74">
        <w:rPr>
          <w:rFonts w:ascii="Garamond" w:hAnsi="Garamond" w:cstheme="minorHAnsi"/>
          <w:sz w:val="24"/>
          <w:szCs w:val="24"/>
        </w:rPr>
        <w:t xml:space="preserve">democratic </w:t>
      </w:r>
      <w:r w:rsidR="00F21726" w:rsidRPr="00461D74">
        <w:rPr>
          <w:rFonts w:ascii="Garamond" w:hAnsi="Garamond" w:cstheme="minorHAnsi"/>
          <w:sz w:val="24"/>
          <w:szCs w:val="24"/>
        </w:rPr>
        <w:t>participation in deliberative inquiry.</w:t>
      </w:r>
    </w:p>
    <w:p w:rsidR="00665157" w:rsidRDefault="003E0E4C" w:rsidP="00A87008">
      <w:pPr>
        <w:spacing w:line="360" w:lineRule="auto"/>
        <w:ind w:firstLine="720"/>
        <w:jc w:val="both"/>
        <w:rPr>
          <w:rFonts w:ascii="Garamond" w:hAnsi="Garamond" w:cstheme="minorHAnsi"/>
          <w:sz w:val="24"/>
          <w:szCs w:val="24"/>
        </w:rPr>
      </w:pPr>
      <w:r>
        <w:rPr>
          <w:rFonts w:ascii="Garamond" w:hAnsi="Garamond" w:cstheme="minorHAnsi"/>
          <w:sz w:val="24"/>
          <w:szCs w:val="24"/>
        </w:rPr>
        <w:t>Now, t</w:t>
      </w:r>
      <w:r w:rsidR="00016049" w:rsidRPr="00461D74">
        <w:rPr>
          <w:rFonts w:ascii="Garamond" w:hAnsi="Garamond" w:cstheme="minorHAnsi"/>
          <w:sz w:val="24"/>
          <w:szCs w:val="24"/>
        </w:rPr>
        <w:t xml:space="preserve">he advantage of </w:t>
      </w:r>
      <w:proofErr w:type="spellStart"/>
      <w:r w:rsidR="00016049" w:rsidRPr="00461D74">
        <w:rPr>
          <w:rFonts w:ascii="Garamond" w:hAnsi="Garamond" w:cstheme="minorHAnsi"/>
          <w:sz w:val="24"/>
          <w:szCs w:val="24"/>
        </w:rPr>
        <w:t>Misak</w:t>
      </w:r>
      <w:r w:rsidR="007A1CE4" w:rsidRPr="00461D74">
        <w:rPr>
          <w:rFonts w:ascii="Garamond" w:hAnsi="Garamond" w:cstheme="minorHAnsi"/>
          <w:sz w:val="24"/>
          <w:szCs w:val="24"/>
        </w:rPr>
        <w:t>’s</w:t>
      </w:r>
      <w:proofErr w:type="spellEnd"/>
      <w:r w:rsidR="00016049" w:rsidRPr="00461D74">
        <w:rPr>
          <w:rFonts w:ascii="Garamond" w:hAnsi="Garamond" w:cstheme="minorHAnsi"/>
          <w:sz w:val="24"/>
          <w:szCs w:val="24"/>
        </w:rPr>
        <w:t xml:space="preserve"> pragmatic thesis is that it is effectively falsifiable and hence dynamic – that is</w:t>
      </w:r>
      <w:r w:rsidR="005717EF" w:rsidRPr="00461D74">
        <w:rPr>
          <w:rFonts w:ascii="Garamond" w:hAnsi="Garamond" w:cstheme="minorHAnsi"/>
          <w:sz w:val="24"/>
          <w:szCs w:val="24"/>
        </w:rPr>
        <w:t>,</w:t>
      </w:r>
      <w:r w:rsidR="00016049"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Misak’s</w:t>
      </w:r>
      <w:proofErr w:type="spellEnd"/>
      <w:r w:rsidR="00016049" w:rsidRPr="00461D74">
        <w:rPr>
          <w:rFonts w:ascii="Garamond" w:hAnsi="Garamond" w:cstheme="minorHAnsi"/>
          <w:sz w:val="24"/>
          <w:szCs w:val="24"/>
        </w:rPr>
        <w:t xml:space="preserve"> pragmatic thesis takes the social fact of value pluralism as a starting assumption, yet, her account does not</w:t>
      </w:r>
      <w:r w:rsidR="00842BA6" w:rsidRPr="00461D74">
        <w:rPr>
          <w:rFonts w:ascii="Garamond" w:hAnsi="Garamond" w:cstheme="minorHAnsi"/>
          <w:sz w:val="24"/>
          <w:szCs w:val="24"/>
        </w:rPr>
        <w:t xml:space="preserve"> assign a metaphysical status to </w:t>
      </w:r>
      <w:r w:rsidR="00016049" w:rsidRPr="00461D74">
        <w:rPr>
          <w:rFonts w:ascii="Garamond" w:hAnsi="Garamond" w:cstheme="minorHAnsi"/>
          <w:sz w:val="24"/>
          <w:szCs w:val="24"/>
        </w:rPr>
        <w:t xml:space="preserve">this social fact. We earlier observed that for </w:t>
      </w:r>
      <w:proofErr w:type="spellStart"/>
      <w:r w:rsidR="00016049" w:rsidRPr="00461D74">
        <w:rPr>
          <w:rFonts w:ascii="Garamond" w:hAnsi="Garamond" w:cstheme="minorHAnsi"/>
          <w:sz w:val="24"/>
          <w:szCs w:val="24"/>
        </w:rPr>
        <w:t>Misak</w:t>
      </w:r>
      <w:proofErr w:type="spellEnd"/>
      <w:r w:rsidR="00016049" w:rsidRPr="00461D74">
        <w:rPr>
          <w:rFonts w:ascii="Garamond" w:hAnsi="Garamond" w:cstheme="minorHAnsi"/>
          <w:sz w:val="24"/>
          <w:szCs w:val="24"/>
        </w:rPr>
        <w:t xml:space="preserve">, this </w:t>
      </w:r>
      <w:r w:rsidR="00842BA6" w:rsidRPr="00461D74">
        <w:rPr>
          <w:rFonts w:ascii="Garamond" w:hAnsi="Garamond" w:cstheme="minorHAnsi"/>
          <w:sz w:val="24"/>
          <w:szCs w:val="24"/>
        </w:rPr>
        <w:t xml:space="preserve">kind </w:t>
      </w:r>
      <w:r w:rsidR="00016049" w:rsidRPr="00461D74">
        <w:rPr>
          <w:rFonts w:ascii="Garamond" w:hAnsi="Garamond" w:cstheme="minorHAnsi"/>
          <w:sz w:val="24"/>
          <w:szCs w:val="24"/>
        </w:rPr>
        <w:t xml:space="preserve">of privileging is </w:t>
      </w:r>
      <w:r w:rsidR="00842BA6" w:rsidRPr="00461D74">
        <w:rPr>
          <w:rFonts w:ascii="Garamond" w:hAnsi="Garamond" w:cstheme="minorHAnsi"/>
          <w:sz w:val="24"/>
          <w:szCs w:val="24"/>
        </w:rPr>
        <w:t xml:space="preserve">an unfortunate </w:t>
      </w:r>
      <w:r w:rsidR="00016049" w:rsidRPr="00461D74">
        <w:rPr>
          <w:rFonts w:ascii="Garamond" w:hAnsi="Garamond" w:cstheme="minorHAnsi"/>
          <w:sz w:val="24"/>
          <w:szCs w:val="24"/>
        </w:rPr>
        <w:t xml:space="preserve">characteristic of overly </w:t>
      </w:r>
      <w:proofErr w:type="spellStart"/>
      <w:r w:rsidR="00016049" w:rsidRPr="00461D74">
        <w:rPr>
          <w:rFonts w:ascii="Garamond" w:hAnsi="Garamond" w:cstheme="minorHAnsi"/>
          <w:sz w:val="24"/>
          <w:szCs w:val="24"/>
        </w:rPr>
        <w:t>proceduralist</w:t>
      </w:r>
      <w:proofErr w:type="spellEnd"/>
      <w:r w:rsidR="00016049" w:rsidRPr="00461D74">
        <w:rPr>
          <w:rFonts w:ascii="Garamond" w:hAnsi="Garamond" w:cstheme="minorHAnsi"/>
          <w:sz w:val="24"/>
          <w:szCs w:val="24"/>
        </w:rPr>
        <w:t xml:space="preserve"> </w:t>
      </w:r>
      <w:r w:rsidR="00842BA6" w:rsidRPr="00461D74">
        <w:rPr>
          <w:rFonts w:ascii="Garamond" w:hAnsi="Garamond" w:cstheme="minorHAnsi"/>
          <w:sz w:val="24"/>
          <w:szCs w:val="24"/>
        </w:rPr>
        <w:t xml:space="preserve">liberal </w:t>
      </w:r>
      <w:r w:rsidR="00016049" w:rsidRPr="00461D74">
        <w:rPr>
          <w:rFonts w:ascii="Garamond" w:hAnsi="Garamond" w:cstheme="minorHAnsi"/>
          <w:sz w:val="24"/>
          <w:szCs w:val="24"/>
        </w:rPr>
        <w:t xml:space="preserve">accounts. </w:t>
      </w:r>
      <w:proofErr w:type="spellStart"/>
      <w:r w:rsidR="00016049" w:rsidRPr="00461D74">
        <w:rPr>
          <w:rFonts w:ascii="Garamond" w:hAnsi="Garamond" w:cstheme="minorHAnsi"/>
          <w:sz w:val="24"/>
          <w:szCs w:val="24"/>
        </w:rPr>
        <w:t>Misak’s</w:t>
      </w:r>
      <w:proofErr w:type="spellEnd"/>
      <w:r w:rsidR="00016049" w:rsidRPr="00461D74">
        <w:rPr>
          <w:rFonts w:ascii="Garamond" w:hAnsi="Garamond" w:cstheme="minorHAnsi"/>
          <w:sz w:val="24"/>
          <w:szCs w:val="24"/>
        </w:rPr>
        <w:t xml:space="preserve"> pragmati</w:t>
      </w:r>
      <w:r w:rsidR="00842BA6" w:rsidRPr="00461D74">
        <w:rPr>
          <w:rFonts w:ascii="Garamond" w:hAnsi="Garamond" w:cstheme="minorHAnsi"/>
          <w:sz w:val="24"/>
          <w:szCs w:val="24"/>
        </w:rPr>
        <w:t>st</w:t>
      </w:r>
      <w:r w:rsidR="00016049" w:rsidRPr="00461D74">
        <w:rPr>
          <w:rFonts w:ascii="Garamond" w:hAnsi="Garamond" w:cstheme="minorHAnsi"/>
          <w:sz w:val="24"/>
          <w:szCs w:val="24"/>
        </w:rPr>
        <w:t xml:space="preserve"> account </w:t>
      </w:r>
      <w:r w:rsidR="00842BA6" w:rsidRPr="00461D74">
        <w:rPr>
          <w:rFonts w:ascii="Garamond" w:hAnsi="Garamond" w:cstheme="minorHAnsi"/>
          <w:sz w:val="24"/>
          <w:szCs w:val="24"/>
        </w:rPr>
        <w:t xml:space="preserve">agrees that </w:t>
      </w:r>
      <w:r w:rsidR="00293C2F" w:rsidRPr="00461D74">
        <w:rPr>
          <w:rFonts w:ascii="Garamond" w:hAnsi="Garamond" w:cstheme="minorHAnsi"/>
          <w:sz w:val="24"/>
          <w:szCs w:val="24"/>
        </w:rPr>
        <w:t xml:space="preserve">we begin with </w:t>
      </w:r>
      <w:r w:rsidR="00842BA6" w:rsidRPr="00461D74">
        <w:rPr>
          <w:rFonts w:ascii="Garamond" w:hAnsi="Garamond" w:cstheme="minorHAnsi"/>
          <w:sz w:val="24"/>
          <w:szCs w:val="24"/>
        </w:rPr>
        <w:t>th</w:t>
      </w:r>
      <w:r w:rsidR="00293C2F" w:rsidRPr="00461D74">
        <w:rPr>
          <w:rFonts w:ascii="Garamond" w:hAnsi="Garamond" w:cstheme="minorHAnsi"/>
          <w:sz w:val="24"/>
          <w:szCs w:val="24"/>
        </w:rPr>
        <w:t>e social fact of pluralism</w:t>
      </w:r>
      <w:r>
        <w:rPr>
          <w:rFonts w:ascii="Garamond" w:hAnsi="Garamond" w:cstheme="minorHAnsi"/>
          <w:sz w:val="24"/>
          <w:szCs w:val="24"/>
        </w:rPr>
        <w:t>,</w:t>
      </w:r>
      <w:r w:rsidR="00293C2F" w:rsidRPr="00461D74">
        <w:rPr>
          <w:rFonts w:ascii="Garamond" w:hAnsi="Garamond" w:cstheme="minorHAnsi"/>
          <w:sz w:val="24"/>
          <w:szCs w:val="24"/>
        </w:rPr>
        <w:t xml:space="preserve"> and that some form of pluralism remains</w:t>
      </w:r>
      <w:r w:rsidR="00016049" w:rsidRPr="00461D74">
        <w:rPr>
          <w:rFonts w:ascii="Garamond" w:hAnsi="Garamond" w:cstheme="minorHAnsi"/>
          <w:sz w:val="24"/>
          <w:szCs w:val="24"/>
        </w:rPr>
        <w:t xml:space="preserve"> justified given the particular contingent facts </w:t>
      </w:r>
      <w:r w:rsidR="00293C2F" w:rsidRPr="00461D74">
        <w:rPr>
          <w:rFonts w:ascii="Garamond" w:hAnsi="Garamond" w:cstheme="minorHAnsi"/>
          <w:sz w:val="24"/>
          <w:szCs w:val="24"/>
        </w:rPr>
        <w:t>of liberal</w:t>
      </w:r>
      <w:r w:rsidR="00016049" w:rsidRPr="00461D74">
        <w:rPr>
          <w:rFonts w:ascii="Garamond" w:hAnsi="Garamond" w:cstheme="minorHAnsi"/>
          <w:sz w:val="24"/>
          <w:szCs w:val="24"/>
        </w:rPr>
        <w:t xml:space="preserve"> </w:t>
      </w:r>
      <w:r w:rsidR="00293C2F" w:rsidRPr="00461D74">
        <w:rPr>
          <w:rFonts w:ascii="Garamond" w:hAnsi="Garamond" w:cstheme="minorHAnsi"/>
          <w:sz w:val="24"/>
          <w:szCs w:val="24"/>
        </w:rPr>
        <w:t>society</w:t>
      </w:r>
      <w:r w:rsidR="00016049" w:rsidRPr="00461D74">
        <w:rPr>
          <w:rFonts w:ascii="Garamond" w:hAnsi="Garamond" w:cstheme="minorHAnsi"/>
          <w:sz w:val="24"/>
          <w:szCs w:val="24"/>
        </w:rPr>
        <w:t xml:space="preserve">. </w:t>
      </w:r>
      <w:r w:rsidR="00F823DE" w:rsidRPr="00461D74">
        <w:rPr>
          <w:rFonts w:ascii="Garamond" w:hAnsi="Garamond" w:cstheme="minorHAnsi"/>
          <w:sz w:val="24"/>
          <w:szCs w:val="24"/>
        </w:rPr>
        <w:t>On the other hand, with respect to the fact of pluralism, we cannot accept a foundational pluralist thesis. G</w:t>
      </w:r>
      <w:r w:rsidR="00293C2F" w:rsidRPr="00461D74">
        <w:rPr>
          <w:rFonts w:ascii="Garamond" w:hAnsi="Garamond" w:cstheme="minorHAnsi"/>
          <w:sz w:val="24"/>
          <w:szCs w:val="24"/>
        </w:rPr>
        <w:t xml:space="preserve">iven </w:t>
      </w:r>
      <w:r w:rsidR="00016049" w:rsidRPr="00461D74">
        <w:rPr>
          <w:rFonts w:ascii="Garamond" w:hAnsi="Garamond" w:cstheme="minorHAnsi"/>
          <w:sz w:val="24"/>
          <w:szCs w:val="24"/>
        </w:rPr>
        <w:t>th</w:t>
      </w:r>
      <w:r w:rsidR="00293C2F" w:rsidRPr="00461D74">
        <w:rPr>
          <w:rFonts w:ascii="Garamond" w:hAnsi="Garamond" w:cstheme="minorHAnsi"/>
          <w:sz w:val="24"/>
          <w:szCs w:val="24"/>
        </w:rPr>
        <w:t xml:space="preserve">at new social problems tend to emerge in all human communities, we must remain cognizant </w:t>
      </w:r>
      <w:r w:rsidR="005717EF" w:rsidRPr="00461D74">
        <w:rPr>
          <w:rFonts w:ascii="Garamond" w:hAnsi="Garamond" w:cstheme="minorHAnsi"/>
          <w:sz w:val="24"/>
          <w:szCs w:val="24"/>
        </w:rPr>
        <w:t>of</w:t>
      </w:r>
      <w:r w:rsidR="00293C2F" w:rsidRPr="00461D74">
        <w:rPr>
          <w:rFonts w:ascii="Garamond" w:hAnsi="Garamond" w:cstheme="minorHAnsi"/>
          <w:sz w:val="24"/>
          <w:szCs w:val="24"/>
        </w:rPr>
        <w:t xml:space="preserve"> the changing nature of the social facts </w:t>
      </w:r>
      <w:r>
        <w:rPr>
          <w:rFonts w:ascii="Garamond" w:hAnsi="Garamond" w:cstheme="minorHAnsi"/>
          <w:sz w:val="24"/>
          <w:szCs w:val="24"/>
        </w:rPr>
        <w:t xml:space="preserve">that arise from particular (social) conditions and (social) </w:t>
      </w:r>
      <w:proofErr w:type="spellStart"/>
      <w:r>
        <w:rPr>
          <w:rFonts w:ascii="Garamond" w:hAnsi="Garamond" w:cstheme="minorHAnsi"/>
          <w:sz w:val="24"/>
          <w:szCs w:val="24"/>
        </w:rPr>
        <w:t>problematics</w:t>
      </w:r>
      <w:proofErr w:type="spellEnd"/>
      <w:r w:rsidR="00293C2F" w:rsidRPr="00461D74">
        <w:rPr>
          <w:rFonts w:ascii="Garamond" w:hAnsi="Garamond" w:cstheme="minorHAnsi"/>
          <w:sz w:val="24"/>
          <w:szCs w:val="24"/>
        </w:rPr>
        <w:t xml:space="preserve">. </w:t>
      </w:r>
      <w:r w:rsidR="00A87008">
        <w:rPr>
          <w:rFonts w:ascii="Garamond" w:hAnsi="Garamond" w:cstheme="minorHAnsi"/>
          <w:sz w:val="24"/>
          <w:szCs w:val="24"/>
        </w:rPr>
        <w:t>And l</w:t>
      </w:r>
      <w:r w:rsidR="00293C2F" w:rsidRPr="00461D74">
        <w:rPr>
          <w:rFonts w:ascii="Garamond" w:hAnsi="Garamond" w:cstheme="minorHAnsi"/>
          <w:sz w:val="24"/>
          <w:szCs w:val="24"/>
        </w:rPr>
        <w:t xml:space="preserve">ooking </w:t>
      </w:r>
      <w:r w:rsidR="00016049" w:rsidRPr="00461D74">
        <w:rPr>
          <w:rFonts w:ascii="Garamond" w:hAnsi="Garamond" w:cstheme="minorHAnsi"/>
          <w:sz w:val="24"/>
          <w:szCs w:val="24"/>
        </w:rPr>
        <w:t xml:space="preserve">back at social and intellectual developments from earlier historical periods, we might be inclined to </w:t>
      </w:r>
      <w:r w:rsidR="00293C2F" w:rsidRPr="00461D74">
        <w:rPr>
          <w:rFonts w:ascii="Garamond" w:hAnsi="Garamond" w:cstheme="minorHAnsi"/>
          <w:sz w:val="24"/>
          <w:szCs w:val="24"/>
        </w:rPr>
        <w:t xml:space="preserve">argue </w:t>
      </w:r>
      <w:r w:rsidR="00016049" w:rsidRPr="00461D74">
        <w:rPr>
          <w:rFonts w:ascii="Garamond" w:hAnsi="Garamond" w:cstheme="minorHAnsi"/>
          <w:sz w:val="24"/>
          <w:szCs w:val="24"/>
        </w:rPr>
        <w:t xml:space="preserve">that it is probable that </w:t>
      </w:r>
      <w:r w:rsidR="00F823DE" w:rsidRPr="00461D74">
        <w:rPr>
          <w:rFonts w:ascii="Garamond" w:hAnsi="Garamond" w:cstheme="minorHAnsi"/>
          <w:sz w:val="24"/>
          <w:szCs w:val="24"/>
        </w:rPr>
        <w:t xml:space="preserve">in the future </w:t>
      </w:r>
      <w:r w:rsidR="00016049" w:rsidRPr="00461D74">
        <w:rPr>
          <w:rFonts w:ascii="Garamond" w:hAnsi="Garamond" w:cstheme="minorHAnsi"/>
          <w:sz w:val="24"/>
          <w:szCs w:val="24"/>
        </w:rPr>
        <w:t>social facts that underwrite our procedural models will change.</w:t>
      </w:r>
      <w:r w:rsidR="00A87008">
        <w:rPr>
          <w:rFonts w:ascii="Garamond" w:hAnsi="Garamond" w:cstheme="minorHAnsi"/>
          <w:sz w:val="24"/>
          <w:szCs w:val="24"/>
        </w:rPr>
        <w:t xml:space="preserve"> </w:t>
      </w:r>
      <w:r w:rsidR="004B76E4" w:rsidRPr="00461D74">
        <w:rPr>
          <w:rFonts w:ascii="Garamond" w:hAnsi="Garamond" w:cstheme="minorHAnsi"/>
          <w:sz w:val="24"/>
          <w:szCs w:val="24"/>
        </w:rPr>
        <w:t>Therefore</w:t>
      </w:r>
      <w:r w:rsidR="00016049" w:rsidRPr="00461D74">
        <w:rPr>
          <w:rFonts w:ascii="Garamond" w:hAnsi="Garamond" w:cstheme="minorHAnsi"/>
          <w:sz w:val="24"/>
          <w:szCs w:val="24"/>
        </w:rPr>
        <w:t xml:space="preserve">, </w:t>
      </w:r>
      <w:r w:rsidR="008A710B" w:rsidRPr="00461D74">
        <w:rPr>
          <w:rFonts w:ascii="Garamond" w:hAnsi="Garamond" w:cstheme="minorHAnsi"/>
          <w:sz w:val="24"/>
          <w:szCs w:val="24"/>
        </w:rPr>
        <w:t xml:space="preserve">our </w:t>
      </w:r>
      <w:r w:rsidR="00016049" w:rsidRPr="00461D74">
        <w:rPr>
          <w:rFonts w:ascii="Garamond" w:hAnsi="Garamond" w:cstheme="minorHAnsi"/>
          <w:sz w:val="24"/>
          <w:szCs w:val="24"/>
        </w:rPr>
        <w:t>alternative pragmati</w:t>
      </w:r>
      <w:r w:rsidR="008A710B" w:rsidRPr="00461D74">
        <w:rPr>
          <w:rFonts w:ascii="Garamond" w:hAnsi="Garamond" w:cstheme="minorHAnsi"/>
          <w:sz w:val="24"/>
          <w:szCs w:val="24"/>
        </w:rPr>
        <w:t>st</w:t>
      </w:r>
      <w:r w:rsidR="00016049" w:rsidRPr="00461D74">
        <w:rPr>
          <w:rFonts w:ascii="Garamond" w:hAnsi="Garamond" w:cstheme="minorHAnsi"/>
          <w:sz w:val="24"/>
          <w:szCs w:val="24"/>
        </w:rPr>
        <w:t xml:space="preserve"> account </w:t>
      </w:r>
      <w:r w:rsidR="00A87008">
        <w:rPr>
          <w:rFonts w:ascii="Garamond" w:hAnsi="Garamond" w:cstheme="minorHAnsi"/>
          <w:sz w:val="24"/>
          <w:szCs w:val="24"/>
        </w:rPr>
        <w:t>ought to be</w:t>
      </w:r>
      <w:r w:rsidR="00A87008" w:rsidRPr="00461D74">
        <w:rPr>
          <w:rFonts w:ascii="Garamond" w:hAnsi="Garamond" w:cstheme="minorHAnsi"/>
          <w:sz w:val="24"/>
          <w:szCs w:val="24"/>
        </w:rPr>
        <w:t xml:space="preserve"> </w:t>
      </w:r>
      <w:r w:rsidR="00016049" w:rsidRPr="00461D74">
        <w:rPr>
          <w:rFonts w:ascii="Garamond" w:hAnsi="Garamond" w:cstheme="minorHAnsi"/>
          <w:sz w:val="24"/>
          <w:szCs w:val="24"/>
        </w:rPr>
        <w:t>cognizant of this fact</w:t>
      </w:r>
      <w:r w:rsidR="00A87008">
        <w:rPr>
          <w:rFonts w:ascii="Garamond" w:hAnsi="Garamond" w:cstheme="minorHAnsi"/>
          <w:sz w:val="24"/>
          <w:szCs w:val="24"/>
        </w:rPr>
        <w:t>;</w:t>
      </w:r>
      <w:r w:rsidR="008A710B" w:rsidRPr="00461D74">
        <w:rPr>
          <w:rFonts w:ascii="Garamond" w:hAnsi="Garamond" w:cstheme="minorHAnsi"/>
          <w:sz w:val="24"/>
          <w:szCs w:val="24"/>
        </w:rPr>
        <w:t xml:space="preserve"> and </w:t>
      </w:r>
      <w:r w:rsidR="00A87008">
        <w:rPr>
          <w:rFonts w:ascii="Garamond" w:hAnsi="Garamond" w:cstheme="minorHAnsi"/>
          <w:sz w:val="24"/>
          <w:szCs w:val="24"/>
        </w:rPr>
        <w:t xml:space="preserve">when it is so, </w:t>
      </w:r>
      <w:r w:rsidR="004B76E4" w:rsidRPr="00461D74">
        <w:rPr>
          <w:rFonts w:ascii="Garamond" w:hAnsi="Garamond" w:cstheme="minorHAnsi"/>
          <w:sz w:val="24"/>
          <w:szCs w:val="24"/>
        </w:rPr>
        <w:t xml:space="preserve">it </w:t>
      </w:r>
      <w:r w:rsidR="00A87008">
        <w:rPr>
          <w:rFonts w:ascii="Garamond" w:hAnsi="Garamond" w:cstheme="minorHAnsi"/>
          <w:sz w:val="24"/>
          <w:szCs w:val="24"/>
        </w:rPr>
        <w:t>will be</w:t>
      </w:r>
      <w:r w:rsidR="00A87008" w:rsidRPr="00461D74">
        <w:rPr>
          <w:rFonts w:ascii="Garamond" w:hAnsi="Garamond" w:cstheme="minorHAnsi"/>
          <w:sz w:val="24"/>
          <w:szCs w:val="24"/>
        </w:rPr>
        <w:t xml:space="preserve"> </w:t>
      </w:r>
      <w:r w:rsidR="00A87008">
        <w:rPr>
          <w:rFonts w:ascii="Garamond" w:hAnsi="Garamond" w:cstheme="minorHAnsi"/>
          <w:sz w:val="24"/>
          <w:szCs w:val="24"/>
        </w:rPr>
        <w:t xml:space="preserve">in a </w:t>
      </w:r>
      <w:r w:rsidR="00016049" w:rsidRPr="00461D74">
        <w:rPr>
          <w:rFonts w:ascii="Garamond" w:hAnsi="Garamond" w:cstheme="minorHAnsi"/>
          <w:sz w:val="24"/>
          <w:szCs w:val="24"/>
        </w:rPr>
        <w:t xml:space="preserve">better </w:t>
      </w:r>
      <w:r w:rsidR="00A87008">
        <w:rPr>
          <w:rFonts w:ascii="Garamond" w:hAnsi="Garamond" w:cstheme="minorHAnsi"/>
          <w:sz w:val="24"/>
          <w:szCs w:val="24"/>
        </w:rPr>
        <w:t>position</w:t>
      </w:r>
      <w:r w:rsidR="00A87008" w:rsidRPr="00461D74">
        <w:rPr>
          <w:rFonts w:ascii="Garamond" w:hAnsi="Garamond" w:cstheme="minorHAnsi"/>
          <w:sz w:val="24"/>
          <w:szCs w:val="24"/>
        </w:rPr>
        <w:t xml:space="preserve"> </w:t>
      </w:r>
      <w:r w:rsidR="004B76E4" w:rsidRPr="00461D74">
        <w:rPr>
          <w:rFonts w:ascii="Garamond" w:hAnsi="Garamond" w:cstheme="minorHAnsi"/>
          <w:sz w:val="24"/>
          <w:szCs w:val="24"/>
        </w:rPr>
        <w:t xml:space="preserve">to </w:t>
      </w:r>
      <w:r w:rsidR="008A710B" w:rsidRPr="00461D74">
        <w:rPr>
          <w:rFonts w:ascii="Garamond" w:hAnsi="Garamond" w:cstheme="minorHAnsi"/>
          <w:sz w:val="24"/>
          <w:szCs w:val="24"/>
        </w:rPr>
        <w:t>address the shortcomings of</w:t>
      </w:r>
      <w:r w:rsidR="004B76E4" w:rsidRPr="00461D74">
        <w:rPr>
          <w:rFonts w:ascii="Garamond" w:hAnsi="Garamond" w:cstheme="minorHAnsi"/>
          <w:sz w:val="24"/>
          <w:szCs w:val="24"/>
        </w:rPr>
        <w:t xml:space="preserve"> </w:t>
      </w:r>
      <w:r w:rsidR="008A710B" w:rsidRPr="00461D74">
        <w:rPr>
          <w:rFonts w:ascii="Garamond" w:hAnsi="Garamond" w:cstheme="minorHAnsi"/>
          <w:sz w:val="24"/>
          <w:szCs w:val="24"/>
        </w:rPr>
        <w:lastRenderedPageBreak/>
        <w:t>standard liberal</w:t>
      </w:r>
      <w:r w:rsidR="004B76E4" w:rsidRPr="00461D74">
        <w:rPr>
          <w:rFonts w:ascii="Garamond" w:hAnsi="Garamond" w:cstheme="minorHAnsi"/>
          <w:sz w:val="24"/>
          <w:szCs w:val="24"/>
        </w:rPr>
        <w:t xml:space="preserve"> </w:t>
      </w:r>
      <w:proofErr w:type="spellStart"/>
      <w:r w:rsidR="004B76E4" w:rsidRPr="00461D74">
        <w:rPr>
          <w:rFonts w:ascii="Garamond" w:hAnsi="Garamond" w:cstheme="minorHAnsi"/>
          <w:sz w:val="24"/>
          <w:szCs w:val="24"/>
        </w:rPr>
        <w:t>proceduralist</w:t>
      </w:r>
      <w:proofErr w:type="spellEnd"/>
      <w:r w:rsidR="004B76E4" w:rsidRPr="00461D74">
        <w:rPr>
          <w:rFonts w:ascii="Garamond" w:hAnsi="Garamond" w:cstheme="minorHAnsi"/>
          <w:sz w:val="24"/>
          <w:szCs w:val="24"/>
        </w:rPr>
        <w:t xml:space="preserve"> views, while retaining those </w:t>
      </w:r>
      <w:proofErr w:type="spellStart"/>
      <w:r w:rsidR="004B76E4" w:rsidRPr="00461D74">
        <w:rPr>
          <w:rFonts w:ascii="Garamond" w:hAnsi="Garamond" w:cstheme="minorHAnsi"/>
          <w:sz w:val="24"/>
          <w:szCs w:val="24"/>
        </w:rPr>
        <w:t>proceduralist</w:t>
      </w:r>
      <w:proofErr w:type="spellEnd"/>
      <w:r w:rsidR="004B76E4" w:rsidRPr="00461D74">
        <w:rPr>
          <w:rFonts w:ascii="Garamond" w:hAnsi="Garamond" w:cstheme="minorHAnsi"/>
          <w:sz w:val="24"/>
          <w:szCs w:val="24"/>
        </w:rPr>
        <w:t xml:space="preserve"> characteristics that </w:t>
      </w:r>
      <w:r w:rsidR="00D12143" w:rsidRPr="00461D74">
        <w:rPr>
          <w:rFonts w:ascii="Garamond" w:hAnsi="Garamond" w:cstheme="minorHAnsi"/>
          <w:sz w:val="24"/>
          <w:szCs w:val="24"/>
        </w:rPr>
        <w:t xml:space="preserve">make our </w:t>
      </w:r>
      <w:r w:rsidR="004B76E4" w:rsidRPr="00461D74">
        <w:rPr>
          <w:rFonts w:ascii="Garamond" w:hAnsi="Garamond" w:cstheme="minorHAnsi"/>
          <w:sz w:val="24"/>
          <w:szCs w:val="24"/>
        </w:rPr>
        <w:t>pragmatist position superior to communitarian</w:t>
      </w:r>
      <w:r w:rsidR="00D12143" w:rsidRPr="00461D74">
        <w:rPr>
          <w:rFonts w:ascii="Garamond" w:hAnsi="Garamond" w:cstheme="minorHAnsi"/>
          <w:sz w:val="24"/>
          <w:szCs w:val="24"/>
        </w:rPr>
        <w:t xml:space="preserve"> views</w:t>
      </w:r>
      <w:r w:rsidR="00016049"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68" w:name="_Toc528077844"/>
      <w:r>
        <w:rPr>
          <w:rFonts w:cstheme="majorHAnsi"/>
        </w:rPr>
        <w:t xml:space="preserve">6. </w:t>
      </w:r>
      <w:r w:rsidR="00016049" w:rsidRPr="00F03436">
        <w:rPr>
          <w:rFonts w:cstheme="majorHAnsi"/>
        </w:rPr>
        <w:t>Charting an Alternative</w:t>
      </w:r>
      <w:bookmarkEnd w:id="68"/>
    </w:p>
    <w:p w:rsidR="00665157" w:rsidRDefault="00665157">
      <w:pPr>
        <w:spacing w:line="360" w:lineRule="auto"/>
        <w:jc w:val="both"/>
        <w:rPr>
          <w:rFonts w:ascii="Garamond" w:hAnsi="Garamond" w:cstheme="minorHAnsi"/>
          <w:sz w:val="24"/>
          <w:szCs w:val="24"/>
        </w:rPr>
      </w:pP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At this point MacIntyre might reasonably accept that the alternative politics I’ve elaborated in the above is an improvement over the standard </w:t>
      </w:r>
      <w:r w:rsidR="0055185A" w:rsidRPr="00461D74">
        <w:rPr>
          <w:rFonts w:ascii="Garamond" w:hAnsi="Garamond" w:cstheme="minorHAnsi"/>
          <w:sz w:val="24"/>
          <w:szCs w:val="24"/>
        </w:rPr>
        <w:t xml:space="preserve">liberal </w:t>
      </w:r>
      <w:r w:rsidRPr="00461D74">
        <w:rPr>
          <w:rFonts w:ascii="Garamond" w:hAnsi="Garamond" w:cstheme="minorHAnsi"/>
          <w:sz w:val="24"/>
          <w:szCs w:val="24"/>
        </w:rPr>
        <w:t xml:space="preserve">thesis, and that it represents a position that is closer to </w:t>
      </w:r>
      <w:r w:rsidR="0055185A" w:rsidRPr="00461D74">
        <w:rPr>
          <w:rFonts w:ascii="Garamond" w:hAnsi="Garamond" w:cstheme="minorHAnsi"/>
          <w:sz w:val="24"/>
          <w:szCs w:val="24"/>
        </w:rPr>
        <w:t>his overall aims</w:t>
      </w:r>
      <w:r w:rsidRPr="00461D74">
        <w:rPr>
          <w:rFonts w:ascii="Garamond" w:hAnsi="Garamond" w:cstheme="minorHAnsi"/>
          <w:sz w:val="24"/>
          <w:szCs w:val="24"/>
        </w:rPr>
        <w:t>. Still</w:t>
      </w:r>
      <w:r w:rsidR="0055185A" w:rsidRPr="00461D74">
        <w:rPr>
          <w:rFonts w:ascii="Garamond" w:hAnsi="Garamond" w:cstheme="minorHAnsi"/>
          <w:sz w:val="24"/>
          <w:szCs w:val="24"/>
        </w:rPr>
        <w:t>,</w:t>
      </w:r>
      <w:r w:rsidRPr="00461D74">
        <w:rPr>
          <w:rFonts w:ascii="Garamond" w:hAnsi="Garamond" w:cstheme="minorHAnsi"/>
          <w:sz w:val="24"/>
          <w:szCs w:val="24"/>
        </w:rPr>
        <w:t xml:space="preserve"> he </w:t>
      </w:r>
      <w:r w:rsidR="0055185A" w:rsidRPr="00461D74">
        <w:rPr>
          <w:rFonts w:ascii="Garamond" w:hAnsi="Garamond" w:cstheme="minorHAnsi"/>
          <w:sz w:val="24"/>
          <w:szCs w:val="24"/>
        </w:rPr>
        <w:t xml:space="preserve">could utilise </w:t>
      </w:r>
      <w:r w:rsidRPr="00461D74">
        <w:rPr>
          <w:rFonts w:ascii="Garamond" w:hAnsi="Garamond" w:cstheme="minorHAnsi"/>
          <w:sz w:val="24"/>
          <w:szCs w:val="24"/>
        </w:rPr>
        <w:t>t</w:t>
      </w:r>
      <w:r w:rsidR="00695524">
        <w:rPr>
          <w:rFonts w:ascii="Garamond" w:hAnsi="Garamond" w:cstheme="minorHAnsi"/>
          <w:sz w:val="24"/>
          <w:szCs w:val="24"/>
        </w:rPr>
        <w:t>hree</w:t>
      </w:r>
      <w:r w:rsidRPr="00461D74">
        <w:rPr>
          <w:rFonts w:ascii="Garamond" w:hAnsi="Garamond" w:cstheme="minorHAnsi"/>
          <w:sz w:val="24"/>
          <w:szCs w:val="24"/>
        </w:rPr>
        <w:t xml:space="preserve"> </w:t>
      </w:r>
      <w:r w:rsidR="0055185A" w:rsidRPr="00461D74">
        <w:rPr>
          <w:rFonts w:ascii="Garamond" w:hAnsi="Garamond" w:cstheme="minorHAnsi"/>
          <w:sz w:val="24"/>
          <w:szCs w:val="24"/>
        </w:rPr>
        <w:t xml:space="preserve">different </w:t>
      </w:r>
      <w:r w:rsidRPr="00461D74">
        <w:rPr>
          <w:rFonts w:ascii="Garamond" w:hAnsi="Garamond" w:cstheme="minorHAnsi"/>
          <w:sz w:val="24"/>
          <w:szCs w:val="24"/>
        </w:rPr>
        <w:t xml:space="preserve">strategies </w:t>
      </w:r>
      <w:r w:rsidR="0055185A" w:rsidRPr="00461D74">
        <w:rPr>
          <w:rFonts w:ascii="Garamond" w:hAnsi="Garamond" w:cstheme="minorHAnsi"/>
          <w:sz w:val="24"/>
          <w:szCs w:val="24"/>
        </w:rPr>
        <w:t>to object to the various remedies I have offered</w:t>
      </w:r>
      <w:r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C66538">
      <w:pPr>
        <w:pStyle w:val="Heading3"/>
        <w:spacing w:line="360" w:lineRule="auto"/>
        <w:jc w:val="both"/>
        <w:rPr>
          <w:rFonts w:cstheme="majorHAnsi"/>
        </w:rPr>
      </w:pPr>
      <w:bookmarkStart w:id="69" w:name="_Toc528077845"/>
      <w:r>
        <w:rPr>
          <w:rFonts w:cstheme="majorHAnsi"/>
        </w:rPr>
        <w:t xml:space="preserve">6.1 </w:t>
      </w:r>
      <w:r w:rsidR="00016049" w:rsidRPr="00F03436">
        <w:rPr>
          <w:rFonts w:cstheme="majorHAnsi"/>
        </w:rPr>
        <w:t>MacIntyre’s Reply</w:t>
      </w:r>
      <w:bookmarkEnd w:id="69"/>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First, MacIntyre could </w:t>
      </w:r>
      <w:r w:rsidR="0055185A" w:rsidRPr="00461D74">
        <w:rPr>
          <w:rFonts w:ascii="Garamond" w:hAnsi="Garamond" w:cstheme="minorHAnsi"/>
          <w:sz w:val="24"/>
          <w:szCs w:val="24"/>
        </w:rPr>
        <w:t>argue that what I have offered is not sufficiently realistic.</w:t>
      </w:r>
      <w:r w:rsidRPr="00461D74">
        <w:rPr>
          <w:rFonts w:ascii="Garamond" w:hAnsi="Garamond" w:cstheme="minorHAnsi"/>
          <w:sz w:val="24"/>
          <w:szCs w:val="24"/>
        </w:rPr>
        <w:t xml:space="preserve"> He might maintain that the ideas and suggestions I have presented are utopian and </w:t>
      </w:r>
      <w:r w:rsidR="00C1307B">
        <w:rPr>
          <w:rFonts w:ascii="Garamond" w:hAnsi="Garamond" w:cstheme="minorHAnsi"/>
          <w:sz w:val="24"/>
          <w:szCs w:val="24"/>
        </w:rPr>
        <w:t xml:space="preserve">therefore </w:t>
      </w:r>
      <w:r w:rsidRPr="00461D74">
        <w:rPr>
          <w:rFonts w:ascii="Garamond" w:hAnsi="Garamond" w:cstheme="minorHAnsi"/>
          <w:sz w:val="24"/>
          <w:szCs w:val="24"/>
        </w:rPr>
        <w:t>a sort of wishful thinking. He could hold that liberalism as a tradition</w:t>
      </w:r>
      <w:r w:rsidR="0055185A" w:rsidRPr="00461D74">
        <w:rPr>
          <w:rFonts w:ascii="Garamond" w:hAnsi="Garamond" w:cstheme="minorHAnsi"/>
          <w:sz w:val="24"/>
          <w:szCs w:val="24"/>
        </w:rPr>
        <w:t>,</w:t>
      </w:r>
      <w:r w:rsidRPr="00461D74">
        <w:rPr>
          <w:rFonts w:ascii="Garamond" w:hAnsi="Garamond" w:cstheme="minorHAnsi"/>
          <w:sz w:val="24"/>
          <w:szCs w:val="24"/>
        </w:rPr>
        <w:t xml:space="preserve"> and liberal politics in particular</w:t>
      </w:r>
      <w:r w:rsidR="0055185A" w:rsidRPr="00461D74">
        <w:rPr>
          <w:rFonts w:ascii="Garamond" w:hAnsi="Garamond" w:cstheme="minorHAnsi"/>
          <w:sz w:val="24"/>
          <w:szCs w:val="24"/>
        </w:rPr>
        <w:t>,</w:t>
      </w:r>
      <w:r w:rsidRPr="00461D74">
        <w:rPr>
          <w:rFonts w:ascii="Garamond" w:hAnsi="Garamond" w:cstheme="minorHAnsi"/>
          <w:sz w:val="24"/>
          <w:szCs w:val="24"/>
        </w:rPr>
        <w:t xml:space="preserve"> are beyond the pale so to speak. </w:t>
      </w:r>
      <w:r w:rsidR="0055185A" w:rsidRPr="00461D74">
        <w:rPr>
          <w:rFonts w:ascii="Garamond" w:hAnsi="Garamond" w:cstheme="minorHAnsi"/>
          <w:sz w:val="24"/>
          <w:szCs w:val="24"/>
        </w:rPr>
        <w:t xml:space="preserve">By utilising this strategy </w:t>
      </w:r>
      <w:r w:rsidRPr="00461D74">
        <w:rPr>
          <w:rFonts w:ascii="Garamond" w:hAnsi="Garamond" w:cstheme="minorHAnsi"/>
          <w:sz w:val="24"/>
          <w:szCs w:val="24"/>
        </w:rPr>
        <w:t xml:space="preserve">he could </w:t>
      </w:r>
      <w:r w:rsidR="0055185A" w:rsidRPr="00461D74">
        <w:rPr>
          <w:rFonts w:ascii="Garamond" w:hAnsi="Garamond" w:cstheme="minorHAnsi"/>
          <w:sz w:val="24"/>
          <w:szCs w:val="24"/>
        </w:rPr>
        <w:t xml:space="preserve">argue </w:t>
      </w:r>
      <w:r w:rsidRPr="00461D74">
        <w:rPr>
          <w:rFonts w:ascii="Garamond" w:hAnsi="Garamond" w:cstheme="minorHAnsi"/>
          <w:sz w:val="24"/>
          <w:szCs w:val="24"/>
        </w:rPr>
        <w:t xml:space="preserve">that </w:t>
      </w:r>
      <w:r w:rsidR="0055185A" w:rsidRPr="00461D74">
        <w:rPr>
          <w:rFonts w:ascii="Garamond" w:hAnsi="Garamond" w:cstheme="minorHAnsi"/>
          <w:sz w:val="24"/>
          <w:szCs w:val="24"/>
        </w:rPr>
        <w:t xml:space="preserve">the particular remedies that I </w:t>
      </w:r>
      <w:r w:rsidR="00C1307B">
        <w:rPr>
          <w:rFonts w:ascii="Garamond" w:hAnsi="Garamond" w:cstheme="minorHAnsi"/>
          <w:sz w:val="24"/>
          <w:szCs w:val="24"/>
        </w:rPr>
        <w:t>have advanced in this chapter</w:t>
      </w:r>
      <w:r w:rsidR="00C1307B" w:rsidRPr="00461D74">
        <w:rPr>
          <w:rFonts w:ascii="Garamond" w:hAnsi="Garamond" w:cstheme="minorHAnsi"/>
          <w:sz w:val="24"/>
          <w:szCs w:val="24"/>
        </w:rPr>
        <w:t xml:space="preserve"> </w:t>
      </w:r>
      <w:r w:rsidR="00C1307B">
        <w:rPr>
          <w:rFonts w:ascii="Garamond" w:hAnsi="Garamond" w:cstheme="minorHAnsi"/>
          <w:sz w:val="24"/>
          <w:szCs w:val="24"/>
        </w:rPr>
        <w:t>– as a</w:t>
      </w:r>
      <w:r w:rsidR="00C1307B" w:rsidRPr="00461D74">
        <w:rPr>
          <w:rFonts w:ascii="Garamond" w:hAnsi="Garamond" w:cstheme="minorHAnsi"/>
          <w:sz w:val="24"/>
          <w:szCs w:val="24"/>
        </w:rPr>
        <w:t xml:space="preserve"> </w:t>
      </w:r>
      <w:r w:rsidR="0055185A" w:rsidRPr="00461D74">
        <w:rPr>
          <w:rFonts w:ascii="Garamond" w:hAnsi="Garamond" w:cstheme="minorHAnsi"/>
          <w:sz w:val="24"/>
          <w:szCs w:val="24"/>
        </w:rPr>
        <w:t>resolution of the problems that emerge under his account</w:t>
      </w:r>
      <w:r w:rsidR="00C1307B">
        <w:rPr>
          <w:rFonts w:ascii="Garamond" w:hAnsi="Garamond" w:cstheme="minorHAnsi"/>
          <w:sz w:val="24"/>
          <w:szCs w:val="24"/>
        </w:rPr>
        <w:t xml:space="preserve"> –</w:t>
      </w:r>
      <w:r w:rsidR="0055185A" w:rsidRPr="00461D74">
        <w:rPr>
          <w:rFonts w:ascii="Garamond" w:hAnsi="Garamond" w:cstheme="minorHAnsi"/>
          <w:sz w:val="24"/>
          <w:szCs w:val="24"/>
        </w:rPr>
        <w:t xml:space="preserve"> </w:t>
      </w:r>
      <w:r w:rsidRPr="00461D74">
        <w:rPr>
          <w:rFonts w:ascii="Garamond" w:hAnsi="Garamond" w:cstheme="minorHAnsi"/>
          <w:sz w:val="24"/>
          <w:szCs w:val="24"/>
        </w:rPr>
        <w:t xml:space="preserve">only seems to work because I have not grasped the magnitude of the problems that are inherent in </w:t>
      </w:r>
      <w:r w:rsidR="0055185A" w:rsidRPr="00461D74">
        <w:rPr>
          <w:rFonts w:ascii="Garamond" w:hAnsi="Garamond" w:cstheme="minorHAnsi"/>
          <w:sz w:val="24"/>
          <w:szCs w:val="24"/>
        </w:rPr>
        <w:t xml:space="preserve">the </w:t>
      </w:r>
      <w:r w:rsidR="00C1307B">
        <w:rPr>
          <w:rFonts w:ascii="Garamond" w:hAnsi="Garamond" w:cstheme="minorHAnsi"/>
          <w:sz w:val="24"/>
          <w:szCs w:val="24"/>
        </w:rPr>
        <w:t xml:space="preserve">political </w:t>
      </w:r>
      <w:r w:rsidR="0055185A" w:rsidRPr="00461D74">
        <w:rPr>
          <w:rFonts w:ascii="Garamond" w:hAnsi="Garamond" w:cstheme="minorHAnsi"/>
          <w:sz w:val="24"/>
          <w:szCs w:val="24"/>
        </w:rPr>
        <w:t xml:space="preserve">activity of </w:t>
      </w:r>
      <w:r w:rsidRPr="00461D74">
        <w:rPr>
          <w:rFonts w:ascii="Garamond" w:hAnsi="Garamond" w:cstheme="minorHAnsi"/>
          <w:sz w:val="24"/>
          <w:szCs w:val="24"/>
        </w:rPr>
        <w:t xml:space="preserve">the liberal state. On this view, he could hold that the state, the market, and related institutions are too entrenched to be manageable in a piece-meal way; and that correcting his account with additional conceptual resources which I have offered him is still inadequate as a resolution to the </w:t>
      </w:r>
      <w:r w:rsidR="0055185A" w:rsidRPr="00461D74">
        <w:rPr>
          <w:rFonts w:ascii="Garamond" w:hAnsi="Garamond" w:cstheme="minorHAnsi"/>
          <w:sz w:val="24"/>
          <w:szCs w:val="24"/>
        </w:rPr>
        <w:t xml:space="preserve">numerous </w:t>
      </w:r>
      <w:r w:rsidRPr="00461D74">
        <w:rPr>
          <w:rFonts w:ascii="Garamond" w:hAnsi="Garamond" w:cstheme="minorHAnsi"/>
          <w:sz w:val="24"/>
          <w:szCs w:val="24"/>
        </w:rPr>
        <w:t xml:space="preserve">problems that plague </w:t>
      </w:r>
      <w:r w:rsidR="0055185A" w:rsidRPr="00461D74">
        <w:rPr>
          <w:rFonts w:ascii="Garamond" w:hAnsi="Garamond" w:cstheme="minorHAnsi"/>
          <w:sz w:val="24"/>
          <w:szCs w:val="24"/>
        </w:rPr>
        <w:t xml:space="preserve">the liberal state and </w:t>
      </w:r>
      <w:r w:rsidRPr="00461D74">
        <w:rPr>
          <w:rFonts w:ascii="Garamond" w:hAnsi="Garamond" w:cstheme="minorHAnsi"/>
          <w:sz w:val="24"/>
          <w:szCs w:val="24"/>
        </w:rPr>
        <w:t xml:space="preserve">liberalism </w:t>
      </w:r>
      <w:r w:rsidR="0055185A" w:rsidRPr="00461D74">
        <w:rPr>
          <w:rFonts w:ascii="Garamond" w:hAnsi="Garamond" w:cstheme="minorHAnsi"/>
          <w:sz w:val="24"/>
          <w:szCs w:val="24"/>
        </w:rPr>
        <w:t>more generally</w:t>
      </w:r>
      <w:r w:rsidRPr="00461D74">
        <w:rPr>
          <w:rFonts w:ascii="Garamond" w:hAnsi="Garamond" w:cstheme="minorHAnsi"/>
          <w:sz w:val="24"/>
          <w:szCs w:val="24"/>
        </w:rPr>
        <w:t xml:space="preserve">. MacIntyre could accuse me of being too </w:t>
      </w:r>
      <w:r w:rsidR="0055185A" w:rsidRPr="00461D74">
        <w:rPr>
          <w:rFonts w:ascii="Garamond" w:hAnsi="Garamond" w:cstheme="minorHAnsi"/>
          <w:sz w:val="24"/>
          <w:szCs w:val="24"/>
        </w:rPr>
        <w:t>naive (</w:t>
      </w:r>
      <w:r w:rsidRPr="00461D74">
        <w:rPr>
          <w:rFonts w:ascii="Garamond" w:hAnsi="Garamond" w:cstheme="minorHAnsi"/>
          <w:sz w:val="24"/>
          <w:szCs w:val="24"/>
        </w:rPr>
        <w:t>or utopian</w:t>
      </w:r>
      <w:r w:rsidR="0055185A" w:rsidRPr="00461D74">
        <w:rPr>
          <w:rFonts w:ascii="Garamond" w:hAnsi="Garamond" w:cstheme="minorHAnsi"/>
          <w:sz w:val="24"/>
          <w:szCs w:val="24"/>
        </w:rPr>
        <w:t>)</w:t>
      </w:r>
      <w:r w:rsidRPr="00461D74">
        <w:rPr>
          <w:rFonts w:ascii="Garamond" w:hAnsi="Garamond" w:cstheme="minorHAnsi"/>
          <w:sz w:val="24"/>
          <w:szCs w:val="24"/>
        </w:rPr>
        <w:t xml:space="preserve"> in believing that we could somehow reform the </w:t>
      </w:r>
      <w:r w:rsidR="0055185A" w:rsidRPr="00461D74">
        <w:rPr>
          <w:rFonts w:ascii="Garamond" w:hAnsi="Garamond" w:cstheme="minorHAnsi"/>
          <w:sz w:val="24"/>
          <w:szCs w:val="24"/>
        </w:rPr>
        <w:t xml:space="preserve">liberal </w:t>
      </w:r>
      <w:r w:rsidRPr="00461D74">
        <w:rPr>
          <w:rFonts w:ascii="Garamond" w:hAnsi="Garamond" w:cstheme="minorHAnsi"/>
          <w:sz w:val="24"/>
          <w:szCs w:val="24"/>
        </w:rPr>
        <w:t xml:space="preserve">state in appropriate ways. </w:t>
      </w:r>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lastRenderedPageBreak/>
        <w:tab/>
        <w:t xml:space="preserve">Still, I think that </w:t>
      </w:r>
      <w:r w:rsidR="002022B1" w:rsidRPr="00461D74">
        <w:rPr>
          <w:rFonts w:ascii="Garamond" w:hAnsi="Garamond" w:cstheme="minorHAnsi"/>
          <w:sz w:val="24"/>
          <w:szCs w:val="24"/>
        </w:rPr>
        <w:t>this kind of strategy isn’t terribly productive</w:t>
      </w:r>
      <w:r w:rsidRPr="00461D74">
        <w:rPr>
          <w:rFonts w:ascii="Garamond" w:hAnsi="Garamond" w:cstheme="minorHAnsi"/>
          <w:sz w:val="24"/>
          <w:szCs w:val="24"/>
        </w:rPr>
        <w:t>. Why? Because it leaves him to either fall back on a kind of tenuous rejection of the state by local communities, tenuous because these communities remain dependent on the state to a considerable extent and so must transact with it</w:t>
      </w:r>
      <w:r w:rsidR="001C415C">
        <w:rPr>
          <w:rFonts w:ascii="Garamond" w:hAnsi="Garamond" w:cstheme="minorHAnsi"/>
          <w:sz w:val="24"/>
          <w:szCs w:val="24"/>
        </w:rPr>
        <w:t>;</w:t>
      </w:r>
      <w:r w:rsidR="00C1307B">
        <w:rPr>
          <w:rFonts w:ascii="Garamond" w:hAnsi="Garamond" w:cstheme="minorHAnsi"/>
          <w:sz w:val="24"/>
          <w:szCs w:val="24"/>
        </w:rPr>
        <w:t xml:space="preserve"> or</w:t>
      </w:r>
      <w:r w:rsidRPr="00461D74">
        <w:rPr>
          <w:rFonts w:ascii="Garamond" w:hAnsi="Garamond" w:cstheme="minorHAnsi"/>
          <w:sz w:val="24"/>
          <w:szCs w:val="24"/>
        </w:rPr>
        <w:t xml:space="preserve"> MacIntyre could take a more radical approach that would be more consistent with the Marxist </w:t>
      </w:r>
      <w:r w:rsidR="00C1307B">
        <w:rPr>
          <w:rFonts w:ascii="Garamond" w:hAnsi="Garamond" w:cstheme="minorHAnsi"/>
          <w:sz w:val="24"/>
          <w:szCs w:val="24"/>
        </w:rPr>
        <w:t>outlook</w:t>
      </w:r>
      <w:r w:rsidRPr="00461D74">
        <w:rPr>
          <w:rFonts w:ascii="Garamond" w:hAnsi="Garamond" w:cstheme="minorHAnsi"/>
          <w:sz w:val="24"/>
          <w:szCs w:val="24"/>
        </w:rPr>
        <w:t xml:space="preserve"> in his work.</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Should he fall back on the first option, his account encounters the </w:t>
      </w:r>
      <w:r w:rsidR="00C1307B">
        <w:rPr>
          <w:rFonts w:ascii="Garamond" w:hAnsi="Garamond" w:cstheme="minorHAnsi"/>
          <w:sz w:val="24"/>
          <w:szCs w:val="24"/>
        </w:rPr>
        <w:t xml:space="preserve">range of </w:t>
      </w:r>
      <w:r w:rsidRPr="00461D74">
        <w:rPr>
          <w:rFonts w:ascii="Garamond" w:hAnsi="Garamond" w:cstheme="minorHAnsi"/>
          <w:sz w:val="24"/>
          <w:szCs w:val="24"/>
        </w:rPr>
        <w:t xml:space="preserve">problems </w:t>
      </w:r>
      <w:r w:rsidR="00C1307B">
        <w:rPr>
          <w:rFonts w:ascii="Garamond" w:hAnsi="Garamond" w:cstheme="minorHAnsi"/>
          <w:sz w:val="24"/>
          <w:szCs w:val="24"/>
        </w:rPr>
        <w:t xml:space="preserve">– problems </w:t>
      </w:r>
      <w:r w:rsidRPr="00461D74">
        <w:rPr>
          <w:rFonts w:ascii="Garamond" w:hAnsi="Garamond" w:cstheme="minorHAnsi"/>
          <w:sz w:val="24"/>
          <w:szCs w:val="24"/>
        </w:rPr>
        <w:t xml:space="preserve">that </w:t>
      </w:r>
      <w:r w:rsidR="00C1307B">
        <w:rPr>
          <w:rFonts w:ascii="Garamond" w:hAnsi="Garamond" w:cstheme="minorHAnsi"/>
          <w:sz w:val="24"/>
          <w:szCs w:val="24"/>
        </w:rPr>
        <w:t xml:space="preserve">by now should be quite clear – </w:t>
      </w:r>
      <w:r w:rsidRPr="00461D74">
        <w:rPr>
          <w:rFonts w:ascii="Garamond" w:hAnsi="Garamond" w:cstheme="minorHAnsi"/>
          <w:sz w:val="24"/>
          <w:szCs w:val="24"/>
        </w:rPr>
        <w:t xml:space="preserve">generated by his politics, and so he must offer us a way of making sense how his tenuous rejection of the state is </w:t>
      </w:r>
      <w:r w:rsidR="00C1307B">
        <w:rPr>
          <w:rFonts w:ascii="Garamond" w:hAnsi="Garamond" w:cstheme="minorHAnsi"/>
          <w:sz w:val="24"/>
          <w:szCs w:val="24"/>
        </w:rPr>
        <w:t xml:space="preserve">any better at advancing and defending </w:t>
      </w:r>
      <w:r w:rsidRPr="00461D74">
        <w:rPr>
          <w:rFonts w:ascii="Garamond" w:hAnsi="Garamond" w:cstheme="minorHAnsi"/>
          <w:sz w:val="24"/>
          <w:szCs w:val="24"/>
        </w:rPr>
        <w:t>a local politics of the common good, than the modified account which I have offered him. Why? First, because it seems that if contemporary liberal society is in</w:t>
      </w:r>
      <w:r w:rsidR="00991829" w:rsidRPr="00461D74">
        <w:rPr>
          <w:rFonts w:ascii="Garamond" w:hAnsi="Garamond" w:cstheme="minorHAnsi"/>
          <w:sz w:val="24"/>
          <w:szCs w:val="24"/>
        </w:rPr>
        <w:t>deed in</w:t>
      </w:r>
      <w:r w:rsidRPr="00461D74">
        <w:rPr>
          <w:rFonts w:ascii="Garamond" w:hAnsi="Garamond" w:cstheme="minorHAnsi"/>
          <w:sz w:val="24"/>
          <w:szCs w:val="24"/>
        </w:rPr>
        <w:t xml:space="preserve"> as bad </w:t>
      </w:r>
      <w:r w:rsidR="00991829" w:rsidRPr="00461D74">
        <w:rPr>
          <w:rFonts w:ascii="Garamond" w:hAnsi="Garamond" w:cstheme="minorHAnsi"/>
          <w:sz w:val="24"/>
          <w:szCs w:val="24"/>
        </w:rPr>
        <w:t xml:space="preserve">of </w:t>
      </w:r>
      <w:r w:rsidRPr="00461D74">
        <w:rPr>
          <w:rFonts w:ascii="Garamond" w:hAnsi="Garamond" w:cstheme="minorHAnsi"/>
          <w:sz w:val="24"/>
          <w:szCs w:val="24"/>
        </w:rPr>
        <w:t xml:space="preserve">a shape as MacIntyre tells us it is, it </w:t>
      </w:r>
      <w:r w:rsidR="00C1307B">
        <w:rPr>
          <w:rFonts w:ascii="Garamond" w:hAnsi="Garamond" w:cstheme="minorHAnsi"/>
          <w:sz w:val="24"/>
          <w:szCs w:val="24"/>
        </w:rPr>
        <w:t xml:space="preserve">seems reasonable to conclude </w:t>
      </w:r>
      <w:r w:rsidRPr="00461D74">
        <w:rPr>
          <w:rFonts w:ascii="Garamond" w:hAnsi="Garamond" w:cstheme="minorHAnsi"/>
          <w:sz w:val="24"/>
          <w:szCs w:val="24"/>
        </w:rPr>
        <w:t xml:space="preserve">that that the state of affairs </w:t>
      </w:r>
      <w:r w:rsidR="00991829" w:rsidRPr="00461D74">
        <w:rPr>
          <w:rFonts w:ascii="Garamond" w:hAnsi="Garamond" w:cstheme="minorHAnsi"/>
          <w:sz w:val="24"/>
          <w:szCs w:val="24"/>
        </w:rPr>
        <w:t xml:space="preserve">in liberal societies </w:t>
      </w:r>
      <w:r w:rsidRPr="00461D74">
        <w:rPr>
          <w:rFonts w:ascii="Garamond" w:hAnsi="Garamond" w:cstheme="minorHAnsi"/>
          <w:sz w:val="24"/>
          <w:szCs w:val="24"/>
        </w:rPr>
        <w:t xml:space="preserve">are not going to </w:t>
      </w:r>
      <w:r w:rsidR="00991829" w:rsidRPr="00461D74">
        <w:rPr>
          <w:rFonts w:ascii="Garamond" w:hAnsi="Garamond" w:cstheme="minorHAnsi"/>
          <w:sz w:val="24"/>
          <w:szCs w:val="24"/>
        </w:rPr>
        <w:t>get better</w:t>
      </w:r>
      <w:r w:rsidRPr="00461D74">
        <w:rPr>
          <w:rFonts w:ascii="Garamond" w:hAnsi="Garamond" w:cstheme="minorHAnsi"/>
          <w:sz w:val="24"/>
          <w:szCs w:val="24"/>
        </w:rPr>
        <w:t xml:space="preserve">, </w:t>
      </w:r>
      <w:r w:rsidR="00BB6C20">
        <w:rPr>
          <w:rFonts w:ascii="Garamond" w:hAnsi="Garamond" w:cstheme="minorHAnsi"/>
          <w:sz w:val="24"/>
          <w:szCs w:val="24"/>
        </w:rPr>
        <w:t>and perhaps more ominously</w:t>
      </w:r>
      <w:r w:rsidR="00BB6C20" w:rsidRPr="00461D74">
        <w:rPr>
          <w:rFonts w:ascii="Garamond" w:hAnsi="Garamond" w:cstheme="minorHAnsi"/>
          <w:sz w:val="24"/>
          <w:szCs w:val="24"/>
        </w:rPr>
        <w:t xml:space="preserve"> </w:t>
      </w:r>
      <w:r w:rsidR="00BB6C20">
        <w:rPr>
          <w:rFonts w:ascii="Garamond" w:hAnsi="Garamond" w:cstheme="minorHAnsi"/>
          <w:sz w:val="24"/>
          <w:szCs w:val="24"/>
        </w:rPr>
        <w:t xml:space="preserve">the case could be made </w:t>
      </w:r>
      <w:r w:rsidR="00991829" w:rsidRPr="00461D74">
        <w:rPr>
          <w:rFonts w:ascii="Garamond" w:hAnsi="Garamond" w:cstheme="minorHAnsi"/>
          <w:sz w:val="24"/>
          <w:szCs w:val="24"/>
        </w:rPr>
        <w:t xml:space="preserve">that conditions </w:t>
      </w:r>
      <w:r w:rsidR="00BB6C20">
        <w:rPr>
          <w:rFonts w:ascii="Garamond" w:hAnsi="Garamond" w:cstheme="minorHAnsi"/>
          <w:sz w:val="24"/>
          <w:szCs w:val="24"/>
        </w:rPr>
        <w:t xml:space="preserve">for dialogue and resolution </w:t>
      </w:r>
      <w:r w:rsidRPr="00461D74">
        <w:rPr>
          <w:rFonts w:ascii="Garamond" w:hAnsi="Garamond" w:cstheme="minorHAnsi"/>
          <w:sz w:val="24"/>
          <w:szCs w:val="24"/>
        </w:rPr>
        <w:t xml:space="preserve">are going to </w:t>
      </w:r>
      <w:r w:rsidR="00BB6C20">
        <w:rPr>
          <w:rFonts w:ascii="Garamond" w:hAnsi="Garamond" w:cstheme="minorHAnsi"/>
          <w:sz w:val="24"/>
          <w:szCs w:val="24"/>
        </w:rPr>
        <w:t>further deteriorate</w:t>
      </w:r>
      <w:r w:rsidRPr="00461D74">
        <w:rPr>
          <w:rFonts w:ascii="Garamond" w:hAnsi="Garamond" w:cstheme="minorHAnsi"/>
          <w:sz w:val="24"/>
          <w:szCs w:val="24"/>
        </w:rPr>
        <w:t xml:space="preserve">. </w:t>
      </w:r>
      <w:r w:rsidR="00991829" w:rsidRPr="00461D74">
        <w:rPr>
          <w:rFonts w:ascii="Garamond" w:hAnsi="Garamond" w:cstheme="minorHAnsi"/>
          <w:sz w:val="24"/>
          <w:szCs w:val="24"/>
        </w:rPr>
        <w:t xml:space="preserve">Yet, the upshot of such a pessimistic conclusion cannot be </w:t>
      </w:r>
      <w:r w:rsidR="00BB6C20">
        <w:rPr>
          <w:rFonts w:ascii="Garamond" w:hAnsi="Garamond" w:cstheme="minorHAnsi"/>
          <w:sz w:val="24"/>
          <w:szCs w:val="24"/>
        </w:rPr>
        <w:t xml:space="preserve">a collective </w:t>
      </w:r>
      <w:r w:rsidR="00991829" w:rsidRPr="00461D74">
        <w:rPr>
          <w:rFonts w:ascii="Garamond" w:hAnsi="Garamond" w:cstheme="minorHAnsi"/>
          <w:sz w:val="24"/>
          <w:szCs w:val="24"/>
        </w:rPr>
        <w:t xml:space="preserve">surrender </w:t>
      </w:r>
      <w:r w:rsidR="00B621E2" w:rsidRPr="00461D74">
        <w:rPr>
          <w:rFonts w:ascii="Garamond" w:hAnsi="Garamond" w:cstheme="minorHAnsi"/>
          <w:sz w:val="24"/>
          <w:szCs w:val="24"/>
        </w:rPr>
        <w:t>to</w:t>
      </w:r>
      <w:r w:rsidR="00991829" w:rsidRPr="00461D74">
        <w:rPr>
          <w:rFonts w:ascii="Garamond" w:hAnsi="Garamond" w:cstheme="minorHAnsi"/>
          <w:sz w:val="24"/>
          <w:szCs w:val="24"/>
        </w:rPr>
        <w:t xml:space="preserve"> nihilism. </w:t>
      </w:r>
      <w:r w:rsidR="00B621E2" w:rsidRPr="00461D74">
        <w:rPr>
          <w:rFonts w:ascii="Garamond" w:hAnsi="Garamond" w:cstheme="minorHAnsi"/>
          <w:sz w:val="24"/>
          <w:szCs w:val="24"/>
        </w:rPr>
        <w:t xml:space="preserve">It seems to me that if the problems that face the contemporary liberal state are as dire as MacIntyre suggests, </w:t>
      </w:r>
      <w:r w:rsidRPr="00461D74">
        <w:rPr>
          <w:rFonts w:ascii="Garamond" w:hAnsi="Garamond" w:cstheme="minorHAnsi"/>
          <w:sz w:val="24"/>
          <w:szCs w:val="24"/>
        </w:rPr>
        <w:t xml:space="preserve">we need to </w:t>
      </w:r>
      <w:r w:rsidR="00B621E2" w:rsidRPr="00461D74">
        <w:rPr>
          <w:rFonts w:ascii="Garamond" w:hAnsi="Garamond" w:cstheme="minorHAnsi"/>
          <w:sz w:val="24"/>
          <w:szCs w:val="24"/>
        </w:rPr>
        <w:t>make a much more concerted effort in</w:t>
      </w:r>
      <w:r w:rsidRPr="00461D74">
        <w:rPr>
          <w:rFonts w:ascii="Garamond" w:hAnsi="Garamond" w:cstheme="minorHAnsi"/>
          <w:sz w:val="24"/>
          <w:szCs w:val="24"/>
        </w:rPr>
        <w:t xml:space="preserve"> </w:t>
      </w:r>
      <w:r w:rsidR="00B621E2" w:rsidRPr="00461D74">
        <w:rPr>
          <w:rFonts w:ascii="Garamond" w:hAnsi="Garamond" w:cstheme="minorHAnsi"/>
          <w:sz w:val="24"/>
          <w:szCs w:val="24"/>
        </w:rPr>
        <w:t xml:space="preserve">addressing and </w:t>
      </w:r>
      <w:r w:rsidRPr="00461D74">
        <w:rPr>
          <w:rFonts w:ascii="Garamond" w:hAnsi="Garamond" w:cstheme="minorHAnsi"/>
          <w:sz w:val="24"/>
          <w:szCs w:val="24"/>
        </w:rPr>
        <w:t>correct</w:t>
      </w:r>
      <w:r w:rsidR="00B621E2" w:rsidRPr="00461D74">
        <w:rPr>
          <w:rFonts w:ascii="Garamond" w:hAnsi="Garamond" w:cstheme="minorHAnsi"/>
          <w:sz w:val="24"/>
          <w:szCs w:val="24"/>
        </w:rPr>
        <w:t>ing</w:t>
      </w:r>
      <w:r w:rsidRPr="00461D74">
        <w:rPr>
          <w:rFonts w:ascii="Garamond" w:hAnsi="Garamond" w:cstheme="minorHAnsi"/>
          <w:sz w:val="24"/>
          <w:szCs w:val="24"/>
        </w:rPr>
        <w:t xml:space="preserve"> </w:t>
      </w:r>
      <w:r w:rsidR="00B621E2" w:rsidRPr="00461D74">
        <w:rPr>
          <w:rFonts w:ascii="Garamond" w:hAnsi="Garamond" w:cstheme="minorHAnsi"/>
          <w:sz w:val="24"/>
          <w:szCs w:val="24"/>
        </w:rPr>
        <w:t>them</w:t>
      </w:r>
      <w:r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Second, if our situation is indeed as gloomy as MacIntyre describes, and so there isn’t much we can do to reform the liberal state and the corresponding (liberal) political order, his approach of defending local communities, by </w:t>
      </w:r>
      <w:r w:rsidR="00A04042">
        <w:rPr>
          <w:rFonts w:ascii="Garamond" w:hAnsi="Garamond" w:cstheme="minorHAnsi"/>
          <w:sz w:val="24"/>
          <w:szCs w:val="24"/>
        </w:rPr>
        <w:t xml:space="preserve">the way of </w:t>
      </w:r>
      <w:r w:rsidRPr="00461D74">
        <w:rPr>
          <w:rFonts w:ascii="Garamond" w:hAnsi="Garamond" w:cstheme="minorHAnsi"/>
          <w:sz w:val="24"/>
          <w:szCs w:val="24"/>
        </w:rPr>
        <w:t xml:space="preserve">limiting their interaction with the state, appears to be </w:t>
      </w:r>
      <w:r w:rsidR="00A04042">
        <w:rPr>
          <w:rFonts w:ascii="Garamond" w:hAnsi="Garamond" w:cstheme="minorHAnsi"/>
          <w:sz w:val="24"/>
          <w:szCs w:val="24"/>
        </w:rPr>
        <w:t xml:space="preserve">similarly </w:t>
      </w:r>
      <w:r w:rsidRPr="00461D74">
        <w:rPr>
          <w:rFonts w:ascii="Garamond" w:hAnsi="Garamond" w:cstheme="minorHAnsi"/>
          <w:sz w:val="24"/>
          <w:szCs w:val="24"/>
        </w:rPr>
        <w:t>futile</w:t>
      </w:r>
      <w:r w:rsidR="001F7D6B" w:rsidRPr="00461D74">
        <w:rPr>
          <w:rFonts w:ascii="Garamond" w:hAnsi="Garamond" w:cstheme="minorHAnsi"/>
          <w:sz w:val="24"/>
          <w:szCs w:val="24"/>
        </w:rPr>
        <w:t xml:space="preserve">, </w:t>
      </w:r>
      <w:r w:rsidR="00A04042">
        <w:rPr>
          <w:rFonts w:ascii="Garamond" w:hAnsi="Garamond" w:cstheme="minorHAnsi"/>
          <w:sz w:val="24"/>
          <w:szCs w:val="24"/>
        </w:rPr>
        <w:t xml:space="preserve">perhaps </w:t>
      </w:r>
      <w:r w:rsidR="001F7D6B" w:rsidRPr="00461D74">
        <w:rPr>
          <w:rFonts w:ascii="Garamond" w:hAnsi="Garamond" w:cstheme="minorHAnsi"/>
          <w:sz w:val="24"/>
          <w:szCs w:val="24"/>
        </w:rPr>
        <w:t>even</w:t>
      </w:r>
      <w:r w:rsidR="00A04042">
        <w:rPr>
          <w:rFonts w:ascii="Garamond" w:hAnsi="Garamond" w:cstheme="minorHAnsi"/>
          <w:sz w:val="24"/>
          <w:szCs w:val="24"/>
        </w:rPr>
        <w:t xml:space="preserve"> more futile and</w:t>
      </w:r>
      <w:r w:rsidRPr="00461D74">
        <w:rPr>
          <w:rFonts w:ascii="Garamond" w:hAnsi="Garamond" w:cstheme="minorHAnsi"/>
          <w:sz w:val="24"/>
          <w:szCs w:val="24"/>
        </w:rPr>
        <w:t xml:space="preserve"> utopian</w:t>
      </w:r>
      <w:r w:rsidR="00A04042">
        <w:rPr>
          <w:rFonts w:ascii="Garamond" w:hAnsi="Garamond" w:cstheme="minorHAnsi"/>
          <w:sz w:val="24"/>
          <w:szCs w:val="24"/>
        </w:rPr>
        <w:t xml:space="preserve"> than the pragmatic version I have outlined thus far</w:t>
      </w:r>
      <w:r w:rsidRPr="00461D74">
        <w:rPr>
          <w:rFonts w:ascii="Garamond" w:hAnsi="Garamond" w:cstheme="minorHAnsi"/>
          <w:sz w:val="24"/>
          <w:szCs w:val="24"/>
        </w:rPr>
        <w:t xml:space="preserve">. </w:t>
      </w:r>
      <w:r w:rsidR="001C415C">
        <w:rPr>
          <w:rFonts w:ascii="Garamond" w:hAnsi="Garamond" w:cstheme="minorHAnsi"/>
          <w:sz w:val="24"/>
          <w:szCs w:val="24"/>
        </w:rPr>
        <w:t>For</w:t>
      </w:r>
      <w:r w:rsidR="00896F0B">
        <w:rPr>
          <w:rFonts w:ascii="Garamond" w:hAnsi="Garamond" w:cstheme="minorHAnsi"/>
          <w:sz w:val="24"/>
          <w:szCs w:val="24"/>
        </w:rPr>
        <w:t>, i</w:t>
      </w:r>
      <w:r w:rsidR="001F7D6B" w:rsidRPr="00461D74">
        <w:rPr>
          <w:rFonts w:ascii="Garamond" w:hAnsi="Garamond" w:cstheme="minorHAnsi"/>
          <w:sz w:val="24"/>
          <w:szCs w:val="24"/>
        </w:rPr>
        <w:t>f</w:t>
      </w:r>
      <w:r w:rsidRPr="00461D74">
        <w:rPr>
          <w:rFonts w:ascii="Garamond" w:hAnsi="Garamond" w:cstheme="minorHAnsi"/>
          <w:sz w:val="24"/>
          <w:szCs w:val="24"/>
        </w:rPr>
        <w:t xml:space="preserve"> local communities are </w:t>
      </w:r>
      <w:r w:rsidR="00896F0B">
        <w:rPr>
          <w:rFonts w:ascii="Garamond" w:hAnsi="Garamond" w:cstheme="minorHAnsi"/>
          <w:sz w:val="24"/>
          <w:szCs w:val="24"/>
        </w:rPr>
        <w:t xml:space="preserve">indeed </w:t>
      </w:r>
      <w:r w:rsidRPr="00461D74">
        <w:rPr>
          <w:rFonts w:ascii="Garamond" w:hAnsi="Garamond" w:cstheme="minorHAnsi"/>
          <w:sz w:val="24"/>
          <w:szCs w:val="24"/>
        </w:rPr>
        <w:t xml:space="preserve">to a considerable extent dependent on the state for important common goods, </w:t>
      </w:r>
      <w:r w:rsidR="001F7D6B" w:rsidRPr="00461D74">
        <w:rPr>
          <w:rFonts w:ascii="Garamond" w:hAnsi="Garamond" w:cstheme="minorHAnsi"/>
          <w:sz w:val="24"/>
          <w:szCs w:val="24"/>
        </w:rPr>
        <w:t>it seem</w:t>
      </w:r>
      <w:r w:rsidR="00896F0B">
        <w:rPr>
          <w:rFonts w:ascii="Garamond" w:hAnsi="Garamond" w:cstheme="minorHAnsi"/>
          <w:sz w:val="24"/>
          <w:szCs w:val="24"/>
        </w:rPr>
        <w:t>s</w:t>
      </w:r>
      <w:r w:rsidRPr="00461D74">
        <w:rPr>
          <w:rFonts w:ascii="Garamond" w:hAnsi="Garamond" w:cstheme="minorHAnsi"/>
          <w:sz w:val="24"/>
          <w:szCs w:val="24"/>
        </w:rPr>
        <w:t xml:space="preserve"> difficult to </w:t>
      </w:r>
      <w:r w:rsidR="00896F0B">
        <w:rPr>
          <w:rFonts w:ascii="Garamond" w:hAnsi="Garamond" w:cstheme="minorHAnsi"/>
          <w:sz w:val="24"/>
          <w:szCs w:val="24"/>
        </w:rPr>
        <w:t xml:space="preserve">then </w:t>
      </w:r>
      <w:r w:rsidRPr="00461D74">
        <w:rPr>
          <w:rFonts w:ascii="Garamond" w:hAnsi="Garamond" w:cstheme="minorHAnsi"/>
          <w:sz w:val="24"/>
          <w:szCs w:val="24"/>
        </w:rPr>
        <w:t xml:space="preserve">isolate the activities of these communities from </w:t>
      </w:r>
      <w:r w:rsidR="001F7D6B" w:rsidRPr="00461D74">
        <w:rPr>
          <w:rFonts w:ascii="Garamond" w:hAnsi="Garamond" w:cstheme="minorHAnsi"/>
          <w:sz w:val="24"/>
          <w:szCs w:val="24"/>
        </w:rPr>
        <w:t xml:space="preserve">the </w:t>
      </w:r>
      <w:r w:rsidRPr="00461D74">
        <w:rPr>
          <w:rFonts w:ascii="Garamond" w:hAnsi="Garamond" w:cstheme="minorHAnsi"/>
          <w:sz w:val="24"/>
          <w:szCs w:val="24"/>
        </w:rPr>
        <w:t xml:space="preserve">unsolicited influence </w:t>
      </w:r>
      <w:r w:rsidR="00377ED0">
        <w:rPr>
          <w:rFonts w:ascii="Garamond" w:hAnsi="Garamond" w:cstheme="minorHAnsi"/>
          <w:sz w:val="24"/>
          <w:szCs w:val="24"/>
        </w:rPr>
        <w:t>exerted by</w:t>
      </w:r>
      <w:r w:rsidR="00377ED0" w:rsidRPr="00461D74">
        <w:rPr>
          <w:rFonts w:ascii="Garamond" w:hAnsi="Garamond" w:cstheme="minorHAnsi"/>
          <w:sz w:val="24"/>
          <w:szCs w:val="24"/>
        </w:rPr>
        <w:t xml:space="preserve"> </w:t>
      </w:r>
      <w:r w:rsidRPr="00461D74">
        <w:rPr>
          <w:rFonts w:ascii="Garamond" w:hAnsi="Garamond" w:cstheme="minorHAnsi"/>
          <w:sz w:val="24"/>
          <w:szCs w:val="24"/>
        </w:rPr>
        <w:t xml:space="preserve">the state and its institutions. </w:t>
      </w:r>
      <w:r w:rsidR="001F7D6B" w:rsidRPr="00461D74">
        <w:rPr>
          <w:rFonts w:ascii="Garamond" w:hAnsi="Garamond" w:cstheme="minorHAnsi"/>
          <w:sz w:val="24"/>
          <w:szCs w:val="24"/>
        </w:rPr>
        <w:t>And t</w:t>
      </w:r>
      <w:r w:rsidRPr="00461D74">
        <w:rPr>
          <w:rFonts w:ascii="Garamond" w:hAnsi="Garamond" w:cstheme="minorHAnsi"/>
          <w:sz w:val="24"/>
          <w:szCs w:val="24"/>
        </w:rPr>
        <w:t xml:space="preserve">o this we should add the fact that nearly all </w:t>
      </w:r>
      <w:r w:rsidR="00896F0B">
        <w:rPr>
          <w:rFonts w:ascii="Garamond" w:hAnsi="Garamond" w:cstheme="minorHAnsi"/>
          <w:sz w:val="24"/>
          <w:szCs w:val="24"/>
        </w:rPr>
        <w:t xml:space="preserve">if not most </w:t>
      </w:r>
      <w:r w:rsidRPr="00461D74">
        <w:rPr>
          <w:rFonts w:ascii="Garamond" w:hAnsi="Garamond" w:cstheme="minorHAnsi"/>
          <w:sz w:val="24"/>
          <w:szCs w:val="24"/>
        </w:rPr>
        <w:t xml:space="preserve">of the </w:t>
      </w:r>
      <w:r w:rsidRPr="00461D74">
        <w:rPr>
          <w:rFonts w:ascii="Garamond" w:hAnsi="Garamond" w:cstheme="minorHAnsi"/>
          <w:sz w:val="24"/>
          <w:szCs w:val="24"/>
        </w:rPr>
        <w:lastRenderedPageBreak/>
        <w:t>communities MacIntyre cites as examples of virtuous communities in our recent past have been largely compromised by the state – that is</w:t>
      </w:r>
      <w:r w:rsidR="00C1337D" w:rsidRPr="00461D74">
        <w:rPr>
          <w:rFonts w:ascii="Garamond" w:hAnsi="Garamond" w:cstheme="minorHAnsi"/>
          <w:sz w:val="24"/>
          <w:szCs w:val="24"/>
        </w:rPr>
        <w:t>,</w:t>
      </w:r>
      <w:r w:rsidRPr="00461D74">
        <w:rPr>
          <w:rFonts w:ascii="Garamond" w:hAnsi="Garamond" w:cstheme="minorHAnsi"/>
          <w:sz w:val="24"/>
          <w:szCs w:val="24"/>
        </w:rPr>
        <w:t xml:space="preserve"> these communities are no longer ordered in appropriate ways </w:t>
      </w:r>
      <w:r w:rsidR="00C1337D" w:rsidRPr="00461D74">
        <w:rPr>
          <w:rFonts w:ascii="Garamond" w:hAnsi="Garamond" w:cstheme="minorHAnsi"/>
          <w:sz w:val="24"/>
          <w:szCs w:val="24"/>
        </w:rPr>
        <w:t xml:space="preserve">towards the realisation of </w:t>
      </w:r>
      <w:r w:rsidRPr="00461D74">
        <w:rPr>
          <w:rFonts w:ascii="Garamond" w:hAnsi="Garamond" w:cstheme="minorHAnsi"/>
          <w:sz w:val="24"/>
          <w:szCs w:val="24"/>
        </w:rPr>
        <w:t>the common good</w:t>
      </w:r>
      <w:r w:rsidR="00896F0B">
        <w:rPr>
          <w:rFonts w:ascii="Garamond" w:hAnsi="Garamond" w:cstheme="minorHAnsi"/>
          <w:sz w:val="24"/>
          <w:szCs w:val="24"/>
        </w:rPr>
        <w:t xml:space="preserve"> and therefore no longer exists as the sort of community that MacIntyre has in mind</w:t>
      </w:r>
      <w:r w:rsidRPr="00461D74">
        <w:rPr>
          <w:rFonts w:ascii="Garamond" w:hAnsi="Garamond" w:cstheme="minorHAnsi"/>
          <w:sz w:val="24"/>
          <w:szCs w:val="24"/>
        </w:rPr>
        <w:t xml:space="preserve"> – and </w:t>
      </w:r>
      <w:r w:rsidR="00896F0B">
        <w:rPr>
          <w:rFonts w:ascii="Garamond" w:hAnsi="Garamond" w:cstheme="minorHAnsi"/>
          <w:sz w:val="24"/>
          <w:szCs w:val="24"/>
        </w:rPr>
        <w:t xml:space="preserve">thus, </w:t>
      </w:r>
      <w:r w:rsidRPr="00461D74">
        <w:rPr>
          <w:rFonts w:ascii="Garamond" w:hAnsi="Garamond" w:cstheme="minorHAnsi"/>
          <w:sz w:val="24"/>
          <w:szCs w:val="24"/>
        </w:rPr>
        <w:t>have lost their integrity as virtuous communities.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Therefore it appears that the first option doesn’t </w:t>
      </w:r>
      <w:r w:rsidR="00592C2D" w:rsidRPr="00461D74">
        <w:rPr>
          <w:rFonts w:ascii="Garamond" w:hAnsi="Garamond" w:cstheme="minorHAnsi"/>
          <w:sz w:val="24"/>
          <w:szCs w:val="24"/>
        </w:rPr>
        <w:t>appear to be feasible. If MacIntyre’s suggestion is correct, namely, that the state is able to easily subvert the democratic process in local communities, the idea that local communities can somehow limit their engagement with the state in order to inoculate themselves from its unsolicited and corrosive influence appears fanciful and even futile.</w:t>
      </w:r>
      <w:r w:rsidRPr="00461D74">
        <w:rPr>
          <w:rFonts w:ascii="Garamond" w:hAnsi="Garamond" w:cstheme="minorHAnsi"/>
          <w:sz w:val="24"/>
          <w:szCs w:val="24"/>
        </w:rPr>
        <w:t xml:space="preserve"> Should he therefore fall back on the second option by rejecting any possibility of </w:t>
      </w:r>
      <w:r w:rsidR="0059052D" w:rsidRPr="00461D74">
        <w:rPr>
          <w:rFonts w:ascii="Garamond" w:hAnsi="Garamond" w:cstheme="minorHAnsi"/>
          <w:sz w:val="24"/>
          <w:szCs w:val="24"/>
        </w:rPr>
        <w:t xml:space="preserve">a properly democratic </w:t>
      </w:r>
      <w:r w:rsidRPr="00461D74">
        <w:rPr>
          <w:rFonts w:ascii="Garamond" w:hAnsi="Garamond" w:cstheme="minorHAnsi"/>
          <w:sz w:val="24"/>
          <w:szCs w:val="24"/>
        </w:rPr>
        <w:t xml:space="preserve">politics in the liberal state, he has to countenance a more radical Marxist orientation for his political project. But MacIntyre has already rejected social engineering possibilities that are </w:t>
      </w:r>
      <w:r w:rsidR="0059052D" w:rsidRPr="00461D74">
        <w:rPr>
          <w:rFonts w:ascii="Garamond" w:hAnsi="Garamond" w:cstheme="minorHAnsi"/>
          <w:sz w:val="24"/>
          <w:szCs w:val="24"/>
        </w:rPr>
        <w:t xml:space="preserve">potentially </w:t>
      </w:r>
      <w:r w:rsidRPr="00461D74">
        <w:rPr>
          <w:rFonts w:ascii="Garamond" w:hAnsi="Garamond" w:cstheme="minorHAnsi"/>
          <w:sz w:val="24"/>
          <w:szCs w:val="24"/>
        </w:rPr>
        <w:t>available to the Marxist</w:t>
      </w:r>
      <w:r w:rsidR="0059052D" w:rsidRPr="00461D74">
        <w:rPr>
          <w:rFonts w:ascii="Garamond" w:hAnsi="Garamond" w:cstheme="minorHAnsi"/>
          <w:sz w:val="24"/>
          <w:szCs w:val="24"/>
        </w:rPr>
        <w:t xml:space="preserve"> thinker</w:t>
      </w:r>
      <w:r w:rsidRPr="00461D74">
        <w:rPr>
          <w:rFonts w:ascii="Garamond" w:hAnsi="Garamond" w:cstheme="minorHAnsi"/>
          <w:sz w:val="24"/>
          <w:szCs w:val="24"/>
        </w:rPr>
        <w:t>. For he has already faulted Marxism for its deterministic approach</w:t>
      </w:r>
      <w:r w:rsidR="00263DED" w:rsidRPr="00461D74">
        <w:rPr>
          <w:rFonts w:ascii="Garamond" w:hAnsi="Garamond" w:cstheme="minorHAnsi"/>
          <w:sz w:val="24"/>
          <w:szCs w:val="24"/>
        </w:rPr>
        <w:t>,</w:t>
      </w:r>
      <w:r w:rsidRPr="00461D74">
        <w:rPr>
          <w:rFonts w:ascii="Garamond" w:hAnsi="Garamond" w:cstheme="minorHAnsi"/>
          <w:sz w:val="24"/>
          <w:szCs w:val="24"/>
        </w:rPr>
        <w:t xml:space="preserve"> </w:t>
      </w:r>
      <w:r w:rsidR="001C415C">
        <w:rPr>
          <w:rFonts w:ascii="Garamond" w:hAnsi="Garamond" w:cstheme="minorHAnsi"/>
          <w:sz w:val="24"/>
          <w:szCs w:val="24"/>
        </w:rPr>
        <w:t>and its commitment to the idea</w:t>
      </w:r>
      <w:r w:rsidR="0059052D" w:rsidRPr="00461D74">
        <w:rPr>
          <w:rFonts w:ascii="Garamond" w:hAnsi="Garamond" w:cstheme="minorHAnsi"/>
          <w:sz w:val="24"/>
          <w:szCs w:val="24"/>
        </w:rPr>
        <w:t xml:space="preserve"> </w:t>
      </w:r>
      <w:r w:rsidRPr="00461D74">
        <w:rPr>
          <w:rFonts w:ascii="Garamond" w:hAnsi="Garamond" w:cstheme="minorHAnsi"/>
          <w:sz w:val="24"/>
          <w:szCs w:val="24"/>
        </w:rPr>
        <w:t xml:space="preserve">that </w:t>
      </w:r>
      <w:r w:rsidR="0059052D" w:rsidRPr="00461D74">
        <w:rPr>
          <w:rFonts w:ascii="Garamond" w:hAnsi="Garamond" w:cstheme="minorHAnsi"/>
          <w:sz w:val="24"/>
          <w:szCs w:val="24"/>
        </w:rPr>
        <w:t xml:space="preserve">a revision of </w:t>
      </w:r>
      <w:r w:rsidRPr="00461D74">
        <w:rPr>
          <w:rFonts w:ascii="Garamond" w:hAnsi="Garamond" w:cstheme="minorHAnsi"/>
          <w:sz w:val="24"/>
          <w:szCs w:val="24"/>
        </w:rPr>
        <w:t xml:space="preserve">society and its associated structures is possible in ways </w:t>
      </w:r>
      <w:r w:rsidR="0059052D" w:rsidRPr="00461D74">
        <w:rPr>
          <w:rFonts w:ascii="Garamond" w:hAnsi="Garamond" w:cstheme="minorHAnsi"/>
          <w:sz w:val="24"/>
          <w:szCs w:val="24"/>
        </w:rPr>
        <w:t>that</w:t>
      </w:r>
      <w:r w:rsidRPr="00461D74">
        <w:rPr>
          <w:rFonts w:ascii="Garamond" w:hAnsi="Garamond" w:cstheme="minorHAnsi"/>
          <w:sz w:val="24"/>
          <w:szCs w:val="24"/>
        </w:rPr>
        <w:t xml:space="preserve"> </w:t>
      </w:r>
      <w:r w:rsidR="0059052D" w:rsidRPr="00461D74">
        <w:rPr>
          <w:rFonts w:ascii="Garamond" w:hAnsi="Garamond" w:cstheme="minorHAnsi"/>
          <w:sz w:val="24"/>
          <w:szCs w:val="24"/>
        </w:rPr>
        <w:t>effectively generates desirable outcomes:</w:t>
      </w:r>
      <w:r w:rsidRPr="00461D74">
        <w:rPr>
          <w:rFonts w:ascii="Garamond" w:hAnsi="Garamond" w:cstheme="minorHAnsi"/>
          <w:sz w:val="24"/>
          <w:szCs w:val="24"/>
        </w:rPr>
        <w:t xml:space="preserve"> "Those who make the conquest of state power their aim are always in the end conquered by it.”</w:t>
      </w:r>
      <w:r w:rsidRPr="00461D74">
        <w:rPr>
          <w:rStyle w:val="FootnoteReference"/>
          <w:rFonts w:ascii="Garamond" w:hAnsi="Garamond" w:cstheme="minorHAnsi"/>
          <w:sz w:val="24"/>
          <w:szCs w:val="24"/>
        </w:rPr>
        <w:footnoteReference w:id="438"/>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Still</w:t>
      </w:r>
      <w:r w:rsidR="001C415C">
        <w:rPr>
          <w:rFonts w:ascii="Garamond" w:hAnsi="Garamond" w:cstheme="minorHAnsi"/>
          <w:sz w:val="24"/>
          <w:szCs w:val="24"/>
        </w:rPr>
        <w:t>,</w:t>
      </w:r>
      <w:r w:rsidRPr="00461D74">
        <w:rPr>
          <w:rFonts w:ascii="Garamond" w:hAnsi="Garamond" w:cstheme="minorHAnsi"/>
          <w:sz w:val="24"/>
          <w:szCs w:val="24"/>
        </w:rPr>
        <w:t xml:space="preserve"> </w:t>
      </w:r>
      <w:r w:rsidR="0059052D" w:rsidRPr="00461D74">
        <w:rPr>
          <w:rFonts w:ascii="Garamond" w:hAnsi="Garamond" w:cstheme="minorHAnsi"/>
          <w:sz w:val="24"/>
          <w:szCs w:val="24"/>
        </w:rPr>
        <w:t xml:space="preserve">there remains </w:t>
      </w:r>
      <w:r w:rsidRPr="00461D74">
        <w:rPr>
          <w:rFonts w:ascii="Garamond" w:hAnsi="Garamond" w:cstheme="minorHAnsi"/>
          <w:sz w:val="24"/>
          <w:szCs w:val="24"/>
        </w:rPr>
        <w:t xml:space="preserve">a </w:t>
      </w:r>
      <w:r w:rsidR="00695524">
        <w:rPr>
          <w:rFonts w:ascii="Garamond" w:hAnsi="Garamond" w:cstheme="minorHAnsi"/>
          <w:sz w:val="24"/>
          <w:szCs w:val="24"/>
        </w:rPr>
        <w:t>third</w:t>
      </w:r>
      <w:r w:rsidR="00695524" w:rsidRPr="00461D74">
        <w:rPr>
          <w:rFonts w:ascii="Garamond" w:hAnsi="Garamond" w:cstheme="minorHAnsi"/>
          <w:sz w:val="24"/>
          <w:szCs w:val="24"/>
        </w:rPr>
        <w:t xml:space="preserve"> </w:t>
      </w:r>
      <w:r w:rsidRPr="00461D74">
        <w:rPr>
          <w:rFonts w:ascii="Garamond" w:hAnsi="Garamond" w:cstheme="minorHAnsi"/>
          <w:sz w:val="24"/>
          <w:szCs w:val="24"/>
        </w:rPr>
        <w:t xml:space="preserve">possibility for MacIntyre to push back against the </w:t>
      </w:r>
      <w:r w:rsidR="0059052D" w:rsidRPr="00461D74">
        <w:rPr>
          <w:rFonts w:ascii="Garamond" w:hAnsi="Garamond" w:cstheme="minorHAnsi"/>
          <w:sz w:val="24"/>
          <w:szCs w:val="24"/>
        </w:rPr>
        <w:t>pragmatist alternative I have offered here. MacIntyre</w:t>
      </w:r>
      <w:r w:rsidRPr="00461D74">
        <w:rPr>
          <w:rFonts w:ascii="Garamond" w:hAnsi="Garamond" w:cstheme="minorHAnsi"/>
          <w:sz w:val="24"/>
          <w:szCs w:val="24"/>
        </w:rPr>
        <w:t xml:space="preserve"> could </w:t>
      </w:r>
      <w:r w:rsidR="004F154D">
        <w:rPr>
          <w:rFonts w:ascii="Garamond" w:hAnsi="Garamond" w:cstheme="minorHAnsi"/>
          <w:sz w:val="24"/>
          <w:szCs w:val="24"/>
        </w:rPr>
        <w:t>make a case</w:t>
      </w:r>
      <w:r w:rsidRPr="00461D74">
        <w:rPr>
          <w:rFonts w:ascii="Garamond" w:hAnsi="Garamond" w:cstheme="minorHAnsi"/>
          <w:sz w:val="24"/>
          <w:szCs w:val="24"/>
        </w:rPr>
        <w:t xml:space="preserve"> that the </w:t>
      </w:r>
      <w:r w:rsidR="0059052D" w:rsidRPr="00461D74">
        <w:rPr>
          <w:rFonts w:ascii="Garamond" w:hAnsi="Garamond" w:cstheme="minorHAnsi"/>
          <w:sz w:val="24"/>
          <w:szCs w:val="24"/>
        </w:rPr>
        <w:t xml:space="preserve">alternative </w:t>
      </w:r>
      <w:r w:rsidRPr="00461D74">
        <w:rPr>
          <w:rFonts w:ascii="Garamond" w:hAnsi="Garamond" w:cstheme="minorHAnsi"/>
          <w:sz w:val="24"/>
          <w:szCs w:val="24"/>
        </w:rPr>
        <w:t xml:space="preserve">account </w:t>
      </w:r>
      <w:r w:rsidR="0059052D" w:rsidRPr="00461D74">
        <w:rPr>
          <w:rFonts w:ascii="Garamond" w:hAnsi="Garamond" w:cstheme="minorHAnsi"/>
          <w:sz w:val="24"/>
          <w:szCs w:val="24"/>
        </w:rPr>
        <w:t>I have offered in this chapter remains somewhat abstract and underspecified. Therefore</w:t>
      </w:r>
      <w:r w:rsidRPr="00461D74">
        <w:rPr>
          <w:rFonts w:ascii="Garamond" w:hAnsi="Garamond" w:cstheme="minorHAnsi"/>
          <w:sz w:val="24"/>
          <w:szCs w:val="24"/>
        </w:rPr>
        <w:t xml:space="preserve">, </w:t>
      </w:r>
      <w:r w:rsidR="0059052D" w:rsidRPr="00461D74">
        <w:rPr>
          <w:rFonts w:ascii="Garamond" w:hAnsi="Garamond" w:cstheme="minorHAnsi"/>
          <w:sz w:val="24"/>
          <w:szCs w:val="24"/>
        </w:rPr>
        <w:t>he could argue that</w:t>
      </w:r>
      <w:r w:rsidRPr="00461D74">
        <w:rPr>
          <w:rFonts w:ascii="Garamond" w:hAnsi="Garamond" w:cstheme="minorHAnsi"/>
          <w:sz w:val="24"/>
          <w:szCs w:val="24"/>
        </w:rPr>
        <w:t xml:space="preserve"> the account I have </w:t>
      </w:r>
      <w:r w:rsidR="004F154D">
        <w:rPr>
          <w:rFonts w:ascii="Garamond" w:hAnsi="Garamond" w:cstheme="minorHAnsi"/>
          <w:sz w:val="24"/>
          <w:szCs w:val="24"/>
        </w:rPr>
        <w:t>articulated</w:t>
      </w:r>
      <w:r w:rsidR="004F154D" w:rsidRPr="00461D74">
        <w:rPr>
          <w:rFonts w:ascii="Garamond" w:hAnsi="Garamond" w:cstheme="minorHAnsi"/>
          <w:sz w:val="24"/>
          <w:szCs w:val="24"/>
        </w:rPr>
        <w:t xml:space="preserve"> </w:t>
      </w:r>
      <w:r w:rsidR="0059052D" w:rsidRPr="00461D74">
        <w:rPr>
          <w:rFonts w:ascii="Garamond" w:hAnsi="Garamond" w:cstheme="minorHAnsi"/>
          <w:sz w:val="24"/>
          <w:szCs w:val="24"/>
        </w:rPr>
        <w:t>here</w:t>
      </w:r>
      <w:r w:rsidRPr="00461D74">
        <w:rPr>
          <w:rFonts w:ascii="Garamond" w:hAnsi="Garamond" w:cstheme="minorHAnsi"/>
          <w:sz w:val="24"/>
          <w:szCs w:val="24"/>
        </w:rPr>
        <w:t xml:space="preserve"> doesn’t </w:t>
      </w:r>
      <w:r w:rsidR="00025C68" w:rsidRPr="00461D74">
        <w:rPr>
          <w:rFonts w:ascii="Garamond" w:hAnsi="Garamond" w:cstheme="minorHAnsi"/>
          <w:sz w:val="24"/>
          <w:szCs w:val="24"/>
        </w:rPr>
        <w:t>yet possess</w:t>
      </w:r>
      <w:r w:rsidRPr="00461D74">
        <w:rPr>
          <w:rFonts w:ascii="Garamond" w:hAnsi="Garamond" w:cstheme="minorHAnsi"/>
          <w:sz w:val="24"/>
          <w:szCs w:val="24"/>
        </w:rPr>
        <w:t xml:space="preserve"> the type of specificity and content</w:t>
      </w:r>
      <w:r w:rsidR="00025C68" w:rsidRPr="00461D74">
        <w:rPr>
          <w:rFonts w:ascii="Garamond" w:hAnsi="Garamond" w:cstheme="minorHAnsi"/>
          <w:sz w:val="24"/>
          <w:szCs w:val="24"/>
        </w:rPr>
        <w:t xml:space="preserve"> </w:t>
      </w:r>
      <w:r w:rsidR="0059052D" w:rsidRPr="00461D74">
        <w:rPr>
          <w:rFonts w:ascii="Garamond" w:hAnsi="Garamond" w:cstheme="minorHAnsi"/>
          <w:sz w:val="24"/>
          <w:szCs w:val="24"/>
        </w:rPr>
        <w:t xml:space="preserve">which his account </w:t>
      </w:r>
      <w:r w:rsidRPr="00461D74">
        <w:rPr>
          <w:rFonts w:ascii="Garamond" w:hAnsi="Garamond" w:cstheme="minorHAnsi"/>
          <w:sz w:val="24"/>
          <w:szCs w:val="24"/>
        </w:rPr>
        <w:t xml:space="preserve">lacks, and for which I </w:t>
      </w:r>
      <w:r w:rsidR="004F154D">
        <w:rPr>
          <w:rFonts w:ascii="Garamond" w:hAnsi="Garamond" w:cstheme="minorHAnsi"/>
          <w:sz w:val="24"/>
          <w:szCs w:val="24"/>
        </w:rPr>
        <w:t>earlier</w:t>
      </w:r>
      <w:r w:rsidR="004F154D" w:rsidRPr="00461D74">
        <w:rPr>
          <w:rFonts w:ascii="Garamond" w:hAnsi="Garamond" w:cstheme="minorHAnsi"/>
          <w:sz w:val="24"/>
          <w:szCs w:val="24"/>
        </w:rPr>
        <w:t xml:space="preserve"> </w:t>
      </w:r>
      <w:r w:rsidRPr="00461D74">
        <w:rPr>
          <w:rFonts w:ascii="Garamond" w:hAnsi="Garamond" w:cstheme="minorHAnsi"/>
          <w:sz w:val="24"/>
          <w:szCs w:val="24"/>
        </w:rPr>
        <w:t>faulted him</w:t>
      </w:r>
      <w:r w:rsidR="004F154D">
        <w:rPr>
          <w:rFonts w:ascii="Garamond" w:hAnsi="Garamond" w:cstheme="minorHAnsi"/>
          <w:sz w:val="24"/>
          <w:szCs w:val="24"/>
        </w:rPr>
        <w:t xml:space="preserve"> in Chapter Four</w:t>
      </w:r>
      <w:r w:rsidRPr="00461D74">
        <w:rPr>
          <w:rFonts w:ascii="Garamond" w:hAnsi="Garamond" w:cstheme="minorHAnsi"/>
          <w:sz w:val="24"/>
          <w:szCs w:val="24"/>
        </w:rPr>
        <w:t xml:space="preserve">. I should say that this </w:t>
      </w:r>
      <w:r w:rsidR="00025C68" w:rsidRPr="00461D74">
        <w:rPr>
          <w:rFonts w:ascii="Garamond" w:hAnsi="Garamond" w:cstheme="minorHAnsi"/>
          <w:sz w:val="24"/>
          <w:szCs w:val="24"/>
        </w:rPr>
        <w:t xml:space="preserve">appears to be </w:t>
      </w:r>
      <w:r w:rsidRPr="00461D74">
        <w:rPr>
          <w:rFonts w:ascii="Garamond" w:hAnsi="Garamond" w:cstheme="minorHAnsi"/>
          <w:sz w:val="24"/>
          <w:szCs w:val="24"/>
        </w:rPr>
        <w:t>a reasonable objection</w:t>
      </w:r>
      <w:r w:rsidR="00025C68" w:rsidRPr="00461D74">
        <w:rPr>
          <w:rFonts w:ascii="Garamond" w:hAnsi="Garamond" w:cstheme="minorHAnsi"/>
          <w:sz w:val="24"/>
          <w:szCs w:val="24"/>
        </w:rPr>
        <w:t xml:space="preserve">. My engagement with </w:t>
      </w:r>
      <w:proofErr w:type="spellStart"/>
      <w:r w:rsidRPr="00461D74">
        <w:rPr>
          <w:rFonts w:ascii="Garamond" w:hAnsi="Garamond" w:cstheme="minorHAnsi"/>
          <w:sz w:val="24"/>
          <w:szCs w:val="24"/>
        </w:rPr>
        <w:t>Misak</w:t>
      </w:r>
      <w:proofErr w:type="spellEnd"/>
      <w:r w:rsidRPr="00461D74">
        <w:rPr>
          <w:rFonts w:ascii="Garamond" w:hAnsi="Garamond" w:cstheme="minorHAnsi"/>
          <w:sz w:val="24"/>
          <w:szCs w:val="24"/>
        </w:rPr>
        <w:t xml:space="preserve">, </w:t>
      </w:r>
      <w:proofErr w:type="spellStart"/>
      <w:r w:rsidRPr="00461D74">
        <w:rPr>
          <w:rFonts w:ascii="Garamond" w:hAnsi="Garamond" w:cstheme="minorHAnsi"/>
          <w:sz w:val="24"/>
          <w:szCs w:val="24"/>
        </w:rPr>
        <w:t>Walzer</w:t>
      </w:r>
      <w:proofErr w:type="spellEnd"/>
      <w:r w:rsidRPr="00461D74">
        <w:rPr>
          <w:rFonts w:ascii="Garamond" w:hAnsi="Garamond" w:cstheme="minorHAnsi"/>
          <w:sz w:val="24"/>
          <w:szCs w:val="24"/>
        </w:rPr>
        <w:t xml:space="preserve">, and Dewey, </w:t>
      </w:r>
      <w:r w:rsidR="00025C68" w:rsidRPr="00461D74">
        <w:rPr>
          <w:rFonts w:ascii="Garamond" w:hAnsi="Garamond" w:cstheme="minorHAnsi"/>
          <w:sz w:val="24"/>
          <w:szCs w:val="24"/>
        </w:rPr>
        <w:t xml:space="preserve">thus far, has focused on some general </w:t>
      </w:r>
      <w:r w:rsidRPr="00461D74">
        <w:rPr>
          <w:rFonts w:ascii="Garamond" w:hAnsi="Garamond" w:cstheme="minorHAnsi"/>
          <w:sz w:val="24"/>
          <w:szCs w:val="24"/>
        </w:rPr>
        <w:t xml:space="preserve">conceptual possibilities that </w:t>
      </w:r>
      <w:r w:rsidR="00025C68" w:rsidRPr="00461D74">
        <w:rPr>
          <w:rFonts w:ascii="Garamond" w:hAnsi="Garamond" w:cstheme="minorHAnsi"/>
          <w:sz w:val="24"/>
          <w:szCs w:val="24"/>
        </w:rPr>
        <w:t xml:space="preserve">might prove useful </w:t>
      </w:r>
      <w:r w:rsidR="00025C68" w:rsidRPr="00461D74">
        <w:rPr>
          <w:rFonts w:ascii="Garamond" w:hAnsi="Garamond" w:cstheme="minorHAnsi"/>
          <w:sz w:val="24"/>
          <w:szCs w:val="24"/>
        </w:rPr>
        <w:lastRenderedPageBreak/>
        <w:t>to MacIntyre</w:t>
      </w:r>
      <w:r w:rsidRPr="00461D74">
        <w:rPr>
          <w:rFonts w:ascii="Garamond" w:hAnsi="Garamond" w:cstheme="minorHAnsi"/>
          <w:sz w:val="24"/>
          <w:szCs w:val="24"/>
        </w:rPr>
        <w:t xml:space="preserve">. </w:t>
      </w:r>
      <w:r w:rsidR="00025C68" w:rsidRPr="00461D74">
        <w:rPr>
          <w:rFonts w:ascii="Garamond" w:hAnsi="Garamond" w:cstheme="minorHAnsi"/>
          <w:sz w:val="24"/>
          <w:szCs w:val="24"/>
        </w:rPr>
        <w:t>Nevertheless</w:t>
      </w:r>
      <w:r w:rsidRPr="00461D74">
        <w:rPr>
          <w:rFonts w:ascii="Garamond" w:hAnsi="Garamond" w:cstheme="minorHAnsi"/>
          <w:sz w:val="24"/>
          <w:szCs w:val="24"/>
        </w:rPr>
        <w:t xml:space="preserve">, recall that the </w:t>
      </w:r>
      <w:r w:rsidR="00025C68" w:rsidRPr="00461D74">
        <w:rPr>
          <w:rFonts w:ascii="Garamond" w:hAnsi="Garamond" w:cstheme="minorHAnsi"/>
          <w:sz w:val="24"/>
          <w:szCs w:val="24"/>
        </w:rPr>
        <w:t xml:space="preserve">challenge </w:t>
      </w:r>
      <w:r w:rsidR="00A85501">
        <w:rPr>
          <w:rFonts w:ascii="Garamond" w:hAnsi="Garamond" w:cstheme="minorHAnsi"/>
          <w:sz w:val="24"/>
          <w:szCs w:val="24"/>
        </w:rPr>
        <w:t xml:space="preserve">I </w:t>
      </w:r>
      <w:r w:rsidR="00025C68" w:rsidRPr="00461D74">
        <w:rPr>
          <w:rFonts w:ascii="Garamond" w:hAnsi="Garamond" w:cstheme="minorHAnsi"/>
          <w:sz w:val="24"/>
          <w:szCs w:val="24"/>
        </w:rPr>
        <w:t>posed</w:t>
      </w:r>
      <w:r w:rsidRPr="00461D74">
        <w:rPr>
          <w:rFonts w:ascii="Garamond" w:hAnsi="Garamond" w:cstheme="minorHAnsi"/>
          <w:sz w:val="24"/>
          <w:szCs w:val="24"/>
        </w:rPr>
        <w:t xml:space="preserve"> </w:t>
      </w:r>
      <w:r w:rsidR="00A85501">
        <w:rPr>
          <w:rFonts w:ascii="Garamond" w:hAnsi="Garamond" w:cstheme="minorHAnsi"/>
          <w:sz w:val="24"/>
          <w:szCs w:val="24"/>
        </w:rPr>
        <w:t>earlier</w:t>
      </w:r>
      <w:r w:rsidRPr="00461D74">
        <w:rPr>
          <w:rFonts w:ascii="Garamond" w:hAnsi="Garamond" w:cstheme="minorHAnsi"/>
          <w:sz w:val="24"/>
          <w:szCs w:val="24"/>
        </w:rPr>
        <w:t xml:space="preserve"> </w:t>
      </w:r>
      <w:r w:rsidR="00025C68" w:rsidRPr="00461D74">
        <w:rPr>
          <w:rFonts w:ascii="Garamond" w:hAnsi="Garamond" w:cstheme="minorHAnsi"/>
          <w:sz w:val="24"/>
          <w:szCs w:val="24"/>
        </w:rPr>
        <w:t xml:space="preserve">was that MacIntyre’s account has to outline some practical ways of </w:t>
      </w:r>
      <w:r w:rsidRPr="00461D74">
        <w:rPr>
          <w:rFonts w:ascii="Garamond" w:hAnsi="Garamond" w:cstheme="minorHAnsi"/>
          <w:sz w:val="24"/>
          <w:szCs w:val="24"/>
        </w:rPr>
        <w:t xml:space="preserve">defending local communities. Consequently, </w:t>
      </w:r>
      <w:r w:rsidR="00025C68" w:rsidRPr="00461D74">
        <w:rPr>
          <w:rFonts w:ascii="Garamond" w:hAnsi="Garamond" w:cstheme="minorHAnsi"/>
          <w:sz w:val="24"/>
          <w:szCs w:val="24"/>
        </w:rPr>
        <w:t xml:space="preserve">in order to answer </w:t>
      </w:r>
      <w:r w:rsidR="00A85501">
        <w:rPr>
          <w:rFonts w:ascii="Garamond" w:hAnsi="Garamond" w:cstheme="minorHAnsi"/>
          <w:sz w:val="24"/>
          <w:szCs w:val="24"/>
        </w:rPr>
        <w:t>this sort of</w:t>
      </w:r>
      <w:r w:rsidR="00A85501" w:rsidRPr="00461D74">
        <w:rPr>
          <w:rFonts w:ascii="Garamond" w:hAnsi="Garamond" w:cstheme="minorHAnsi"/>
          <w:sz w:val="24"/>
          <w:szCs w:val="24"/>
        </w:rPr>
        <w:t xml:space="preserve"> </w:t>
      </w:r>
      <w:r w:rsidR="00A85501">
        <w:rPr>
          <w:rFonts w:ascii="Garamond" w:hAnsi="Garamond" w:cstheme="minorHAnsi"/>
          <w:sz w:val="24"/>
          <w:szCs w:val="24"/>
        </w:rPr>
        <w:t>challenge</w:t>
      </w:r>
      <w:r w:rsidR="00025C68" w:rsidRPr="00461D74">
        <w:rPr>
          <w:rFonts w:ascii="Garamond" w:hAnsi="Garamond" w:cstheme="minorHAnsi"/>
          <w:sz w:val="24"/>
          <w:szCs w:val="24"/>
        </w:rPr>
        <w:t xml:space="preserve">, I </w:t>
      </w:r>
      <w:r w:rsidR="00A85501">
        <w:rPr>
          <w:rFonts w:ascii="Garamond" w:hAnsi="Garamond" w:cstheme="minorHAnsi"/>
          <w:sz w:val="24"/>
          <w:szCs w:val="24"/>
        </w:rPr>
        <w:t>ought</w:t>
      </w:r>
      <w:r w:rsidR="00A85501" w:rsidRPr="00461D74">
        <w:rPr>
          <w:rFonts w:ascii="Garamond" w:hAnsi="Garamond" w:cstheme="minorHAnsi"/>
          <w:sz w:val="24"/>
          <w:szCs w:val="24"/>
        </w:rPr>
        <w:t xml:space="preserve"> </w:t>
      </w:r>
      <w:r w:rsidR="00025C68" w:rsidRPr="00461D74">
        <w:rPr>
          <w:rFonts w:ascii="Garamond" w:hAnsi="Garamond" w:cstheme="minorHAnsi"/>
          <w:sz w:val="24"/>
          <w:szCs w:val="24"/>
        </w:rPr>
        <w:t xml:space="preserve">to </w:t>
      </w:r>
      <w:r w:rsidR="00272D63" w:rsidRPr="00461D74">
        <w:rPr>
          <w:rFonts w:ascii="Garamond" w:hAnsi="Garamond" w:cstheme="minorHAnsi"/>
          <w:sz w:val="24"/>
          <w:szCs w:val="24"/>
        </w:rPr>
        <w:t>outline</w:t>
      </w:r>
      <w:r w:rsidR="00025C68" w:rsidRPr="00461D74">
        <w:rPr>
          <w:rFonts w:ascii="Garamond" w:hAnsi="Garamond" w:cstheme="minorHAnsi"/>
          <w:sz w:val="24"/>
          <w:szCs w:val="24"/>
        </w:rPr>
        <w:t xml:space="preserve"> a number of practical </w:t>
      </w:r>
      <w:r w:rsidR="00272D63" w:rsidRPr="00461D74">
        <w:rPr>
          <w:rFonts w:ascii="Garamond" w:hAnsi="Garamond" w:cstheme="minorHAnsi"/>
          <w:sz w:val="24"/>
          <w:szCs w:val="24"/>
        </w:rPr>
        <w:t>steps</w:t>
      </w:r>
      <w:r w:rsidR="00025C68" w:rsidRPr="00461D74">
        <w:rPr>
          <w:rFonts w:ascii="Garamond" w:hAnsi="Garamond" w:cstheme="minorHAnsi"/>
          <w:sz w:val="24"/>
          <w:szCs w:val="24"/>
        </w:rPr>
        <w:t xml:space="preserve"> </w:t>
      </w:r>
      <w:r w:rsidR="00272D63" w:rsidRPr="00461D74">
        <w:rPr>
          <w:rFonts w:ascii="Garamond" w:hAnsi="Garamond" w:cstheme="minorHAnsi"/>
          <w:sz w:val="24"/>
          <w:szCs w:val="24"/>
        </w:rPr>
        <w:t>which MacIntyre can utilise in the defence of local communities.</w:t>
      </w:r>
    </w:p>
    <w:p w:rsidR="00665157" w:rsidRDefault="00272D63">
      <w:pPr>
        <w:spacing w:line="360" w:lineRule="auto"/>
        <w:ind w:firstLine="720"/>
        <w:jc w:val="both"/>
        <w:rPr>
          <w:rFonts w:ascii="Garamond" w:hAnsi="Garamond" w:cstheme="minorHAnsi"/>
          <w:sz w:val="24"/>
          <w:szCs w:val="24"/>
        </w:rPr>
      </w:pPr>
      <w:r w:rsidRPr="00461D74">
        <w:rPr>
          <w:rFonts w:ascii="Garamond" w:hAnsi="Garamond" w:cstheme="minorHAnsi"/>
          <w:sz w:val="24"/>
          <w:szCs w:val="24"/>
        </w:rPr>
        <w:t>But before I can outline some definitive ways by which we reasonably defend democratic processes in local communities, I need to briefly outline a conceptual map o</w:t>
      </w:r>
      <w:r w:rsidR="001C415C">
        <w:rPr>
          <w:rFonts w:ascii="Garamond" w:hAnsi="Garamond" w:cstheme="minorHAnsi"/>
          <w:sz w:val="24"/>
          <w:szCs w:val="24"/>
        </w:rPr>
        <w:t>f</w:t>
      </w:r>
      <w:r w:rsidRPr="00461D74">
        <w:rPr>
          <w:rFonts w:ascii="Garamond" w:hAnsi="Garamond" w:cstheme="minorHAnsi"/>
          <w:sz w:val="24"/>
          <w:szCs w:val="24"/>
        </w:rPr>
        <w:t xml:space="preserve"> the kind of activities that we must undertake.</w:t>
      </w:r>
      <w:r w:rsidR="00016049" w:rsidRPr="00461D74">
        <w:rPr>
          <w:rFonts w:ascii="Garamond" w:hAnsi="Garamond" w:cstheme="minorHAnsi"/>
          <w:sz w:val="24"/>
          <w:szCs w:val="24"/>
        </w:rPr>
        <w:t xml:space="preserve"> </w:t>
      </w:r>
      <w:r w:rsidRPr="00461D74">
        <w:rPr>
          <w:rFonts w:ascii="Garamond" w:hAnsi="Garamond" w:cstheme="minorHAnsi"/>
          <w:sz w:val="24"/>
          <w:szCs w:val="24"/>
        </w:rPr>
        <w:t>I should emphasize that t</w:t>
      </w:r>
      <w:r w:rsidR="00016049" w:rsidRPr="00461D74">
        <w:rPr>
          <w:rFonts w:ascii="Garamond" w:hAnsi="Garamond" w:cstheme="minorHAnsi"/>
          <w:sz w:val="24"/>
          <w:szCs w:val="24"/>
        </w:rPr>
        <w:t xml:space="preserve">his </w:t>
      </w:r>
      <w:r w:rsidRPr="00461D74">
        <w:rPr>
          <w:rFonts w:ascii="Garamond" w:hAnsi="Garamond" w:cstheme="minorHAnsi"/>
          <w:sz w:val="24"/>
          <w:szCs w:val="24"/>
        </w:rPr>
        <w:t xml:space="preserve">task </w:t>
      </w:r>
      <w:r w:rsidR="00016049" w:rsidRPr="00461D74">
        <w:rPr>
          <w:rFonts w:ascii="Garamond" w:hAnsi="Garamond" w:cstheme="minorHAnsi"/>
          <w:sz w:val="24"/>
          <w:szCs w:val="24"/>
        </w:rPr>
        <w:t xml:space="preserve">is different than </w:t>
      </w:r>
      <w:r w:rsidRPr="00461D74">
        <w:rPr>
          <w:rFonts w:ascii="Garamond" w:hAnsi="Garamond" w:cstheme="minorHAnsi"/>
          <w:sz w:val="24"/>
          <w:szCs w:val="24"/>
        </w:rPr>
        <w:t>my engagement</w:t>
      </w:r>
      <w:r w:rsidR="00016049" w:rsidRPr="00461D74">
        <w:rPr>
          <w:rFonts w:ascii="Garamond" w:hAnsi="Garamond" w:cstheme="minorHAnsi"/>
          <w:sz w:val="24"/>
          <w:szCs w:val="24"/>
        </w:rPr>
        <w:t xml:space="preserve"> with </w:t>
      </w:r>
      <w:proofErr w:type="spellStart"/>
      <w:r w:rsidR="00016049" w:rsidRPr="00461D74">
        <w:rPr>
          <w:rFonts w:ascii="Garamond" w:hAnsi="Garamond" w:cstheme="minorHAnsi"/>
          <w:sz w:val="24"/>
          <w:szCs w:val="24"/>
        </w:rPr>
        <w:t>Misak</w:t>
      </w:r>
      <w:proofErr w:type="spellEnd"/>
      <w:r w:rsidR="00016049" w:rsidRPr="00461D74">
        <w:rPr>
          <w:rFonts w:ascii="Garamond" w:hAnsi="Garamond" w:cstheme="minorHAnsi"/>
          <w:sz w:val="24"/>
          <w:szCs w:val="24"/>
        </w:rPr>
        <w:t xml:space="preserve">, </w:t>
      </w:r>
      <w:proofErr w:type="spellStart"/>
      <w:r w:rsidR="00016049" w:rsidRPr="00461D74">
        <w:rPr>
          <w:rFonts w:ascii="Garamond" w:hAnsi="Garamond" w:cstheme="minorHAnsi"/>
          <w:sz w:val="24"/>
          <w:szCs w:val="24"/>
        </w:rPr>
        <w:t>Walzer</w:t>
      </w:r>
      <w:proofErr w:type="spellEnd"/>
      <w:r w:rsidRPr="00461D74">
        <w:rPr>
          <w:rFonts w:ascii="Garamond" w:hAnsi="Garamond" w:cstheme="minorHAnsi"/>
          <w:sz w:val="24"/>
          <w:szCs w:val="24"/>
        </w:rPr>
        <w:t>,</w:t>
      </w:r>
      <w:r w:rsidR="00016049" w:rsidRPr="00461D74">
        <w:rPr>
          <w:rFonts w:ascii="Garamond" w:hAnsi="Garamond" w:cstheme="minorHAnsi"/>
          <w:sz w:val="24"/>
          <w:szCs w:val="24"/>
        </w:rPr>
        <w:t xml:space="preserve"> and Dewey. </w:t>
      </w:r>
      <w:r w:rsidRPr="00461D74">
        <w:rPr>
          <w:rFonts w:ascii="Garamond" w:hAnsi="Garamond" w:cstheme="minorHAnsi"/>
          <w:sz w:val="24"/>
          <w:szCs w:val="24"/>
        </w:rPr>
        <w:t>Here, I will</w:t>
      </w:r>
      <w:r w:rsidR="00016049" w:rsidRPr="00461D74">
        <w:rPr>
          <w:rFonts w:ascii="Garamond" w:hAnsi="Garamond" w:cstheme="minorHAnsi"/>
          <w:sz w:val="24"/>
          <w:szCs w:val="24"/>
        </w:rPr>
        <w:t xml:space="preserve"> outline some the ways </w:t>
      </w:r>
      <w:r w:rsidRPr="00461D74">
        <w:rPr>
          <w:rFonts w:ascii="Garamond" w:hAnsi="Garamond" w:cstheme="minorHAnsi"/>
          <w:sz w:val="24"/>
          <w:szCs w:val="24"/>
        </w:rPr>
        <w:t xml:space="preserve">in which </w:t>
      </w:r>
      <w:r w:rsidR="00016049" w:rsidRPr="00461D74">
        <w:rPr>
          <w:rFonts w:ascii="Garamond" w:hAnsi="Garamond" w:cstheme="minorHAnsi"/>
          <w:sz w:val="24"/>
          <w:szCs w:val="24"/>
        </w:rPr>
        <w:t>a non</w:t>
      </w:r>
      <w:r w:rsidR="001F6C41" w:rsidRPr="00461D74">
        <w:rPr>
          <w:rFonts w:ascii="Garamond" w:hAnsi="Garamond" w:cstheme="minorHAnsi"/>
          <w:sz w:val="24"/>
          <w:szCs w:val="24"/>
        </w:rPr>
        <w:t>-</w:t>
      </w:r>
      <w:r w:rsidR="00016049" w:rsidRPr="00461D74">
        <w:rPr>
          <w:rFonts w:ascii="Garamond" w:hAnsi="Garamond" w:cstheme="minorHAnsi"/>
          <w:sz w:val="24"/>
          <w:szCs w:val="24"/>
        </w:rPr>
        <w:t xml:space="preserve">ideal historically informed approach to political philosophy could </w:t>
      </w:r>
      <w:proofErr w:type="gramStart"/>
      <w:r w:rsidR="00016049" w:rsidRPr="00461D74">
        <w:rPr>
          <w:rFonts w:ascii="Garamond" w:hAnsi="Garamond" w:cstheme="minorHAnsi"/>
          <w:sz w:val="24"/>
          <w:szCs w:val="24"/>
        </w:rPr>
        <w:t>proceed</w:t>
      </w:r>
      <w:proofErr w:type="gramEnd"/>
      <w:r w:rsidR="00016049" w:rsidRPr="00461D74">
        <w:rPr>
          <w:rFonts w:ascii="Garamond" w:hAnsi="Garamond" w:cstheme="minorHAnsi"/>
          <w:sz w:val="24"/>
          <w:szCs w:val="24"/>
        </w:rPr>
        <w:t xml:space="preserve">. Second, we need to engage with the type of political philosophy that utilises history </w:t>
      </w:r>
      <w:r w:rsidR="00F34BAC">
        <w:rPr>
          <w:rFonts w:ascii="Garamond" w:hAnsi="Garamond" w:cstheme="minorHAnsi"/>
          <w:sz w:val="24"/>
          <w:szCs w:val="24"/>
        </w:rPr>
        <w:t>in order to consider</w:t>
      </w:r>
      <w:r w:rsidR="00016049" w:rsidRPr="00461D74">
        <w:rPr>
          <w:rFonts w:ascii="Garamond" w:hAnsi="Garamond" w:cstheme="minorHAnsi"/>
          <w:sz w:val="24"/>
          <w:szCs w:val="24"/>
        </w:rPr>
        <w:t xml:space="preserve"> how social, political, and historical forces, have limited the democratic opportunity of local communities.</w:t>
      </w:r>
      <w:r w:rsidR="00016049" w:rsidRPr="00461D74">
        <w:rPr>
          <w:rStyle w:val="FootnoteReference"/>
          <w:rFonts w:ascii="Garamond" w:hAnsi="Garamond" w:cstheme="minorHAnsi"/>
          <w:sz w:val="24"/>
          <w:szCs w:val="24"/>
        </w:rPr>
        <w:footnoteReference w:id="439"/>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It is only through </w:t>
      </w:r>
      <w:r w:rsidR="00016049" w:rsidRPr="00461D74">
        <w:rPr>
          <w:rFonts w:ascii="Garamond" w:hAnsi="Garamond" w:cstheme="minorHAnsi"/>
          <w:sz w:val="24"/>
          <w:szCs w:val="24"/>
        </w:rPr>
        <w:t xml:space="preserve">engaging in this second task </w:t>
      </w:r>
      <w:r w:rsidR="0028313E" w:rsidRPr="00461D74">
        <w:rPr>
          <w:rFonts w:ascii="Garamond" w:hAnsi="Garamond" w:cstheme="minorHAnsi"/>
          <w:sz w:val="24"/>
          <w:szCs w:val="24"/>
        </w:rPr>
        <w:t xml:space="preserve">that </w:t>
      </w:r>
      <w:r w:rsidR="00016049" w:rsidRPr="00461D74">
        <w:rPr>
          <w:rFonts w:ascii="Garamond" w:hAnsi="Garamond" w:cstheme="minorHAnsi"/>
          <w:sz w:val="24"/>
          <w:szCs w:val="24"/>
        </w:rPr>
        <w:t xml:space="preserve">we </w:t>
      </w:r>
      <w:r w:rsidRPr="00461D74">
        <w:rPr>
          <w:rFonts w:ascii="Garamond" w:hAnsi="Garamond" w:cstheme="minorHAnsi"/>
          <w:sz w:val="24"/>
          <w:szCs w:val="24"/>
        </w:rPr>
        <w:t xml:space="preserve">can </w:t>
      </w:r>
      <w:r w:rsidR="0028313E" w:rsidRPr="00461D74">
        <w:rPr>
          <w:rFonts w:ascii="Garamond" w:hAnsi="Garamond" w:cstheme="minorHAnsi"/>
          <w:sz w:val="24"/>
          <w:szCs w:val="24"/>
        </w:rPr>
        <w:t xml:space="preserve">specify </w:t>
      </w:r>
      <w:r w:rsidR="00016049" w:rsidRPr="00461D74">
        <w:rPr>
          <w:rFonts w:ascii="Garamond" w:hAnsi="Garamond" w:cstheme="minorHAnsi"/>
          <w:sz w:val="24"/>
          <w:szCs w:val="24"/>
        </w:rPr>
        <w:t xml:space="preserve">the practical content that </w:t>
      </w:r>
      <w:r w:rsidR="0028313E" w:rsidRPr="00461D74">
        <w:rPr>
          <w:rFonts w:ascii="Garamond" w:hAnsi="Garamond" w:cstheme="minorHAnsi"/>
          <w:sz w:val="24"/>
          <w:szCs w:val="24"/>
        </w:rPr>
        <w:t xml:space="preserve">will form the basis for our </w:t>
      </w:r>
      <w:r w:rsidR="00016049" w:rsidRPr="00461D74">
        <w:rPr>
          <w:rFonts w:ascii="Garamond" w:hAnsi="Garamond" w:cstheme="minorHAnsi"/>
          <w:sz w:val="24"/>
          <w:szCs w:val="24"/>
        </w:rPr>
        <w:t xml:space="preserve">alternative </w:t>
      </w:r>
      <w:r w:rsidR="0028313E" w:rsidRPr="00461D74">
        <w:rPr>
          <w:rFonts w:ascii="Garamond" w:hAnsi="Garamond" w:cstheme="minorHAnsi"/>
          <w:sz w:val="24"/>
          <w:szCs w:val="24"/>
        </w:rPr>
        <w:t>pragmatist politics</w:t>
      </w:r>
      <w:r w:rsidR="00016049"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In addition, </w:t>
      </w:r>
      <w:r w:rsidR="009844C3" w:rsidRPr="00461D74">
        <w:rPr>
          <w:rFonts w:ascii="Garamond" w:hAnsi="Garamond" w:cstheme="minorHAnsi"/>
          <w:sz w:val="24"/>
          <w:szCs w:val="24"/>
        </w:rPr>
        <w:t xml:space="preserve">by engaging in this activity we are able to address some of the problems I outlined earlier </w:t>
      </w:r>
      <w:r w:rsidRPr="00461D74">
        <w:rPr>
          <w:rFonts w:ascii="Garamond" w:hAnsi="Garamond" w:cstheme="minorHAnsi"/>
          <w:sz w:val="24"/>
          <w:szCs w:val="24"/>
        </w:rPr>
        <w:t xml:space="preserve">under general guidelines (G5). </w:t>
      </w:r>
      <w:r w:rsidR="009844C3" w:rsidRPr="00461D74">
        <w:rPr>
          <w:rFonts w:ascii="Garamond" w:hAnsi="Garamond" w:cstheme="minorHAnsi"/>
          <w:sz w:val="24"/>
          <w:szCs w:val="24"/>
        </w:rPr>
        <w:t>Hence, an important question that I will briefly examine in the upcoming discussion is:</w:t>
      </w:r>
      <w:r w:rsidRPr="00461D74">
        <w:rPr>
          <w:rFonts w:ascii="Garamond" w:hAnsi="Garamond" w:cstheme="minorHAnsi"/>
          <w:sz w:val="24"/>
          <w:szCs w:val="24"/>
        </w:rPr>
        <w:t xml:space="preserve"> how and in what ways democratic opportunities were limited or otherwise restricted in the course of the political development in recent historical communities.</w:t>
      </w:r>
      <w:r w:rsidR="00AB315F" w:rsidRPr="00461D74">
        <w:rPr>
          <w:rFonts w:ascii="Garamond" w:hAnsi="Garamond" w:cstheme="minorHAnsi"/>
          <w:sz w:val="24"/>
          <w:szCs w:val="24"/>
        </w:rPr>
        <w:t xml:space="preserve"> </w:t>
      </w:r>
      <w:r w:rsidR="00EF3770" w:rsidRPr="00461D74">
        <w:rPr>
          <w:rFonts w:ascii="Garamond" w:hAnsi="Garamond" w:cstheme="minorHAnsi"/>
          <w:sz w:val="24"/>
          <w:szCs w:val="24"/>
        </w:rPr>
        <w:t xml:space="preserve">Now, this task remains at the heart of MacIntyre’s project, </w:t>
      </w:r>
      <w:r w:rsidR="00AB315F" w:rsidRPr="00461D74">
        <w:rPr>
          <w:rFonts w:ascii="Garamond" w:hAnsi="Garamond" w:cstheme="minorHAnsi"/>
          <w:sz w:val="24"/>
          <w:szCs w:val="24"/>
        </w:rPr>
        <w:t xml:space="preserve">since MacIntyre himself </w:t>
      </w:r>
      <w:r w:rsidRPr="00461D74">
        <w:rPr>
          <w:rFonts w:ascii="Garamond" w:hAnsi="Garamond" w:cstheme="minorHAnsi"/>
          <w:sz w:val="24"/>
          <w:szCs w:val="24"/>
        </w:rPr>
        <w:t xml:space="preserve">encourages </w:t>
      </w:r>
      <w:r w:rsidR="00EF3770" w:rsidRPr="00461D74">
        <w:rPr>
          <w:rFonts w:ascii="Garamond" w:hAnsi="Garamond" w:cstheme="minorHAnsi"/>
          <w:sz w:val="24"/>
          <w:szCs w:val="24"/>
        </w:rPr>
        <w:t xml:space="preserve">a kind of moral and political inquiry that </w:t>
      </w:r>
      <w:r w:rsidRPr="00461D74">
        <w:rPr>
          <w:rFonts w:ascii="Garamond" w:hAnsi="Garamond" w:cstheme="minorHAnsi"/>
          <w:sz w:val="24"/>
          <w:szCs w:val="24"/>
        </w:rPr>
        <w:t>connect</w:t>
      </w:r>
      <w:r w:rsidR="00EF3770" w:rsidRPr="00461D74">
        <w:rPr>
          <w:rFonts w:ascii="Garamond" w:hAnsi="Garamond" w:cstheme="minorHAnsi"/>
          <w:sz w:val="24"/>
          <w:szCs w:val="24"/>
        </w:rPr>
        <w:t>s</w:t>
      </w:r>
      <w:r w:rsidRPr="00461D74">
        <w:rPr>
          <w:rFonts w:ascii="Garamond" w:hAnsi="Garamond" w:cstheme="minorHAnsi"/>
          <w:sz w:val="24"/>
          <w:szCs w:val="24"/>
        </w:rPr>
        <w:t xml:space="preserve"> ethics </w:t>
      </w:r>
      <w:r w:rsidR="00AB315F" w:rsidRPr="00461D74">
        <w:rPr>
          <w:rFonts w:ascii="Garamond" w:hAnsi="Garamond" w:cstheme="minorHAnsi"/>
          <w:sz w:val="24"/>
          <w:szCs w:val="24"/>
        </w:rPr>
        <w:t xml:space="preserve">to </w:t>
      </w:r>
      <w:r w:rsidRPr="00461D74">
        <w:rPr>
          <w:rFonts w:ascii="Garamond" w:hAnsi="Garamond" w:cstheme="minorHAnsi"/>
          <w:sz w:val="24"/>
          <w:szCs w:val="24"/>
        </w:rPr>
        <w:t xml:space="preserve">politics </w:t>
      </w:r>
      <w:r w:rsidR="00AB315F" w:rsidRPr="00461D74">
        <w:rPr>
          <w:rFonts w:ascii="Garamond" w:hAnsi="Garamond" w:cstheme="minorHAnsi"/>
          <w:sz w:val="24"/>
          <w:szCs w:val="24"/>
        </w:rPr>
        <w:t xml:space="preserve">and </w:t>
      </w:r>
      <w:r w:rsidRPr="00461D74">
        <w:rPr>
          <w:rFonts w:ascii="Garamond" w:hAnsi="Garamond" w:cstheme="minorHAnsi"/>
          <w:sz w:val="24"/>
          <w:szCs w:val="24"/>
        </w:rPr>
        <w:t xml:space="preserve">history, </w:t>
      </w:r>
      <w:r w:rsidR="00AB315F" w:rsidRPr="00461D74">
        <w:rPr>
          <w:rFonts w:ascii="Garamond" w:hAnsi="Garamond" w:cstheme="minorHAnsi"/>
          <w:sz w:val="24"/>
          <w:szCs w:val="24"/>
        </w:rPr>
        <w:t xml:space="preserve">as well as </w:t>
      </w:r>
      <w:r w:rsidRPr="00461D74">
        <w:rPr>
          <w:rFonts w:ascii="Garamond" w:hAnsi="Garamond" w:cstheme="minorHAnsi"/>
          <w:sz w:val="24"/>
          <w:szCs w:val="24"/>
        </w:rPr>
        <w:lastRenderedPageBreak/>
        <w:t xml:space="preserve">other areas </w:t>
      </w:r>
      <w:r w:rsidR="00AB315F" w:rsidRPr="00461D74">
        <w:rPr>
          <w:rFonts w:ascii="Garamond" w:hAnsi="Garamond" w:cstheme="minorHAnsi"/>
          <w:sz w:val="24"/>
          <w:szCs w:val="24"/>
        </w:rPr>
        <w:t xml:space="preserve">of inquiry </w:t>
      </w:r>
      <w:r w:rsidRPr="00461D74">
        <w:rPr>
          <w:rFonts w:ascii="Garamond" w:hAnsi="Garamond" w:cstheme="minorHAnsi"/>
          <w:sz w:val="24"/>
          <w:szCs w:val="24"/>
        </w:rPr>
        <w:t xml:space="preserve">in </w:t>
      </w:r>
      <w:r w:rsidR="00EF3770" w:rsidRPr="00461D74">
        <w:rPr>
          <w:rFonts w:ascii="Garamond" w:hAnsi="Garamond" w:cstheme="minorHAnsi"/>
          <w:sz w:val="24"/>
          <w:szCs w:val="24"/>
        </w:rPr>
        <w:t xml:space="preserve">the </w:t>
      </w:r>
      <w:r w:rsidR="00AB315F" w:rsidRPr="00461D74">
        <w:rPr>
          <w:rFonts w:ascii="Garamond" w:hAnsi="Garamond" w:cstheme="minorHAnsi"/>
          <w:sz w:val="24"/>
          <w:szCs w:val="24"/>
        </w:rPr>
        <w:t xml:space="preserve">social </w:t>
      </w:r>
      <w:r w:rsidRPr="00461D74">
        <w:rPr>
          <w:rFonts w:ascii="Garamond" w:hAnsi="Garamond" w:cstheme="minorHAnsi"/>
          <w:sz w:val="24"/>
          <w:szCs w:val="24"/>
        </w:rPr>
        <w:t>science</w:t>
      </w:r>
      <w:r w:rsidR="00EF3770" w:rsidRPr="00461D74">
        <w:rPr>
          <w:rFonts w:ascii="Garamond" w:hAnsi="Garamond" w:cstheme="minorHAnsi"/>
          <w:sz w:val="24"/>
          <w:szCs w:val="24"/>
        </w:rPr>
        <w:t>s</w:t>
      </w:r>
      <w:r w:rsidRPr="00461D74">
        <w:rPr>
          <w:rFonts w:ascii="Garamond" w:hAnsi="Garamond" w:cstheme="minorHAnsi"/>
          <w:sz w:val="24"/>
          <w:szCs w:val="24"/>
        </w:rPr>
        <w:t>.</w:t>
      </w:r>
      <w:r w:rsidR="00EF3770" w:rsidRPr="00461D74">
        <w:rPr>
          <w:rFonts w:ascii="Garamond" w:hAnsi="Garamond" w:cstheme="minorHAnsi"/>
          <w:sz w:val="24"/>
          <w:szCs w:val="24"/>
        </w:rPr>
        <w:t xml:space="preserve"> This is of course an ambitious project, and here I cannot offer anything more than some preliminary suggestions.</w:t>
      </w:r>
    </w:p>
    <w:p w:rsidR="00665157" w:rsidRDefault="00665157">
      <w:pPr>
        <w:spacing w:line="360" w:lineRule="auto"/>
        <w:jc w:val="both"/>
        <w:rPr>
          <w:rFonts w:ascii="Garamond" w:hAnsi="Garamond" w:cstheme="minorHAnsi"/>
          <w:sz w:val="24"/>
          <w:szCs w:val="24"/>
        </w:rPr>
      </w:pPr>
    </w:p>
    <w:p w:rsidR="00665157" w:rsidRDefault="00016049">
      <w:pPr>
        <w:pStyle w:val="Heading3"/>
        <w:spacing w:line="360" w:lineRule="auto"/>
        <w:jc w:val="both"/>
        <w:rPr>
          <w:rFonts w:cstheme="majorHAnsi"/>
        </w:rPr>
      </w:pPr>
      <w:bookmarkStart w:id="70" w:name="_Toc528077846"/>
      <w:r w:rsidRPr="00F03436">
        <w:rPr>
          <w:rFonts w:cstheme="majorHAnsi"/>
        </w:rPr>
        <w:t>6.2 Some Possibilities</w:t>
      </w:r>
      <w:bookmarkEnd w:id="70"/>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Generally, the solution that has been on offer by the likes of Breen and </w:t>
      </w:r>
      <w:proofErr w:type="spellStart"/>
      <w:r w:rsidRPr="00461D74">
        <w:rPr>
          <w:rFonts w:ascii="Garamond" w:hAnsi="Garamond" w:cstheme="minorHAnsi"/>
          <w:sz w:val="24"/>
          <w:szCs w:val="24"/>
        </w:rPr>
        <w:t>Hibbs</w:t>
      </w:r>
      <w:proofErr w:type="spellEnd"/>
      <w:r w:rsidRPr="00461D74">
        <w:rPr>
          <w:rFonts w:ascii="Garamond" w:hAnsi="Garamond" w:cstheme="minorHAnsi"/>
          <w:sz w:val="24"/>
          <w:szCs w:val="24"/>
        </w:rPr>
        <w:t xml:space="preserve"> among others is that MacIntyre is operating at the wrong level</w:t>
      </w:r>
      <w:r w:rsidR="00472CF0" w:rsidRPr="00461D74">
        <w:rPr>
          <w:rFonts w:ascii="Garamond" w:hAnsi="Garamond" w:cstheme="minorHAnsi"/>
          <w:sz w:val="24"/>
          <w:szCs w:val="24"/>
        </w:rPr>
        <w:t>,</w:t>
      </w:r>
      <w:r w:rsidRPr="00461D74">
        <w:rPr>
          <w:rFonts w:ascii="Garamond" w:hAnsi="Garamond" w:cstheme="minorHAnsi"/>
          <w:sz w:val="24"/>
          <w:szCs w:val="24"/>
        </w:rPr>
        <w:t xml:space="preserve"> and to correct this </w:t>
      </w:r>
      <w:r w:rsidR="00472CF0" w:rsidRPr="00461D74">
        <w:rPr>
          <w:rFonts w:ascii="Garamond" w:hAnsi="Garamond" w:cstheme="minorHAnsi"/>
          <w:sz w:val="24"/>
          <w:szCs w:val="24"/>
        </w:rPr>
        <w:t xml:space="preserve">we need </w:t>
      </w:r>
      <w:r w:rsidRPr="00461D74">
        <w:rPr>
          <w:rFonts w:ascii="Garamond" w:hAnsi="Garamond" w:cstheme="minorHAnsi"/>
          <w:sz w:val="24"/>
          <w:szCs w:val="24"/>
        </w:rPr>
        <w:t xml:space="preserve">to modify the state in ways that </w:t>
      </w:r>
      <w:r w:rsidR="00472CF0" w:rsidRPr="00461D74">
        <w:rPr>
          <w:rFonts w:ascii="Garamond" w:hAnsi="Garamond" w:cstheme="minorHAnsi"/>
          <w:sz w:val="24"/>
          <w:szCs w:val="24"/>
        </w:rPr>
        <w:t xml:space="preserve">can </w:t>
      </w:r>
      <w:r w:rsidRPr="00461D74">
        <w:rPr>
          <w:rFonts w:ascii="Garamond" w:hAnsi="Garamond" w:cstheme="minorHAnsi"/>
          <w:sz w:val="24"/>
          <w:szCs w:val="24"/>
        </w:rPr>
        <w:t>embod</w:t>
      </w:r>
      <w:r w:rsidR="00472CF0" w:rsidRPr="00461D74">
        <w:rPr>
          <w:rFonts w:ascii="Garamond" w:hAnsi="Garamond" w:cstheme="minorHAnsi"/>
          <w:sz w:val="24"/>
          <w:szCs w:val="24"/>
        </w:rPr>
        <w:t>y</w:t>
      </w:r>
      <w:r w:rsidRPr="00461D74">
        <w:rPr>
          <w:rFonts w:ascii="Garamond" w:hAnsi="Garamond" w:cstheme="minorHAnsi"/>
          <w:sz w:val="24"/>
          <w:szCs w:val="24"/>
        </w:rPr>
        <w:t xml:space="preserve"> important values. I don't want to go as far as they go, since </w:t>
      </w:r>
      <w:r w:rsidR="00472CF0" w:rsidRPr="00461D74">
        <w:rPr>
          <w:rFonts w:ascii="Garamond" w:hAnsi="Garamond" w:cstheme="minorHAnsi"/>
          <w:sz w:val="24"/>
          <w:szCs w:val="24"/>
        </w:rPr>
        <w:t xml:space="preserve">I think that </w:t>
      </w:r>
      <w:r w:rsidRPr="00461D74">
        <w:rPr>
          <w:rFonts w:ascii="Garamond" w:hAnsi="Garamond" w:cstheme="minorHAnsi"/>
          <w:sz w:val="24"/>
          <w:szCs w:val="24"/>
        </w:rPr>
        <w:t>the</w:t>
      </w:r>
      <w:r w:rsidR="00472CF0" w:rsidRPr="00461D74">
        <w:rPr>
          <w:rFonts w:ascii="Garamond" w:hAnsi="Garamond" w:cstheme="minorHAnsi"/>
          <w:sz w:val="24"/>
          <w:szCs w:val="24"/>
        </w:rPr>
        <w:t xml:space="preserve"> kind of </w:t>
      </w:r>
      <w:r w:rsidRPr="00461D74">
        <w:rPr>
          <w:rFonts w:ascii="Garamond" w:hAnsi="Garamond" w:cstheme="minorHAnsi"/>
          <w:sz w:val="24"/>
          <w:szCs w:val="24"/>
        </w:rPr>
        <w:t xml:space="preserve">solution </w:t>
      </w:r>
      <w:r w:rsidR="00472CF0" w:rsidRPr="00461D74">
        <w:rPr>
          <w:rFonts w:ascii="Garamond" w:hAnsi="Garamond" w:cstheme="minorHAnsi"/>
          <w:sz w:val="24"/>
          <w:szCs w:val="24"/>
        </w:rPr>
        <w:t xml:space="preserve">they are </w:t>
      </w:r>
      <w:r w:rsidR="002D5760">
        <w:rPr>
          <w:rFonts w:ascii="Garamond" w:hAnsi="Garamond" w:cstheme="minorHAnsi"/>
          <w:sz w:val="24"/>
          <w:szCs w:val="24"/>
        </w:rPr>
        <w:t>advancing</w:t>
      </w:r>
      <w:r w:rsidR="002D5760" w:rsidRPr="00461D74">
        <w:rPr>
          <w:rFonts w:ascii="Garamond" w:hAnsi="Garamond" w:cstheme="minorHAnsi"/>
          <w:sz w:val="24"/>
          <w:szCs w:val="24"/>
        </w:rPr>
        <w:t xml:space="preserve"> </w:t>
      </w:r>
      <w:r w:rsidR="00472CF0" w:rsidRPr="00461D74">
        <w:rPr>
          <w:rFonts w:ascii="Garamond" w:hAnsi="Garamond" w:cstheme="minorHAnsi"/>
          <w:sz w:val="24"/>
          <w:szCs w:val="24"/>
        </w:rPr>
        <w:t xml:space="preserve">ends up being </w:t>
      </w:r>
      <w:r w:rsidR="002D5760">
        <w:rPr>
          <w:rFonts w:ascii="Garamond" w:hAnsi="Garamond" w:cstheme="minorHAnsi"/>
          <w:sz w:val="24"/>
          <w:szCs w:val="24"/>
        </w:rPr>
        <w:t xml:space="preserve">somewhat </w:t>
      </w:r>
      <w:r w:rsidRPr="00461D74">
        <w:rPr>
          <w:rFonts w:ascii="Garamond" w:hAnsi="Garamond" w:cstheme="minorHAnsi"/>
          <w:sz w:val="24"/>
          <w:szCs w:val="24"/>
        </w:rPr>
        <w:t xml:space="preserve">communitarian and top-down, which in the end MacIntyre </w:t>
      </w:r>
      <w:r w:rsidR="00472CF0" w:rsidRPr="00461D74">
        <w:rPr>
          <w:rFonts w:ascii="Garamond" w:hAnsi="Garamond" w:cstheme="minorHAnsi"/>
          <w:sz w:val="24"/>
          <w:szCs w:val="24"/>
        </w:rPr>
        <w:t xml:space="preserve">could still </w:t>
      </w:r>
      <w:r w:rsidRPr="00461D74">
        <w:rPr>
          <w:rFonts w:ascii="Garamond" w:hAnsi="Garamond" w:cstheme="minorHAnsi"/>
          <w:sz w:val="24"/>
          <w:szCs w:val="24"/>
        </w:rPr>
        <w:t xml:space="preserve">reject. Rather, I </w:t>
      </w:r>
      <w:r w:rsidR="00B9608B">
        <w:rPr>
          <w:rFonts w:ascii="Garamond" w:hAnsi="Garamond" w:cstheme="minorHAnsi"/>
          <w:sz w:val="24"/>
          <w:szCs w:val="24"/>
        </w:rPr>
        <w:t>believe</w:t>
      </w:r>
      <w:r w:rsidR="00B9608B" w:rsidRPr="00461D74">
        <w:rPr>
          <w:rFonts w:ascii="Garamond" w:hAnsi="Garamond" w:cstheme="minorHAnsi"/>
          <w:sz w:val="24"/>
          <w:szCs w:val="24"/>
        </w:rPr>
        <w:t xml:space="preserve"> </w:t>
      </w:r>
      <w:r w:rsidRPr="00461D74">
        <w:rPr>
          <w:rFonts w:ascii="Garamond" w:hAnsi="Garamond" w:cstheme="minorHAnsi"/>
          <w:sz w:val="24"/>
          <w:szCs w:val="24"/>
        </w:rPr>
        <w:t xml:space="preserve">a solution </w:t>
      </w:r>
      <w:r w:rsidR="00383267">
        <w:rPr>
          <w:rFonts w:ascii="Garamond" w:hAnsi="Garamond" w:cstheme="minorHAnsi"/>
          <w:sz w:val="24"/>
          <w:szCs w:val="24"/>
        </w:rPr>
        <w:t>might be</w:t>
      </w:r>
      <w:r w:rsidR="00383267" w:rsidRPr="00461D74">
        <w:rPr>
          <w:rFonts w:ascii="Garamond" w:hAnsi="Garamond" w:cstheme="minorHAnsi"/>
          <w:sz w:val="24"/>
          <w:szCs w:val="24"/>
        </w:rPr>
        <w:t xml:space="preserve"> </w:t>
      </w:r>
      <w:r w:rsidR="00383267">
        <w:rPr>
          <w:rFonts w:ascii="Garamond" w:hAnsi="Garamond" w:cstheme="minorHAnsi"/>
          <w:sz w:val="24"/>
          <w:szCs w:val="24"/>
        </w:rPr>
        <w:t>at hand</w:t>
      </w:r>
      <w:r w:rsidR="00383267" w:rsidRPr="00461D74">
        <w:rPr>
          <w:rFonts w:ascii="Garamond" w:hAnsi="Garamond" w:cstheme="minorHAnsi"/>
          <w:sz w:val="24"/>
          <w:szCs w:val="24"/>
        </w:rPr>
        <w:t xml:space="preserve"> </w:t>
      </w:r>
      <w:r w:rsidRPr="00461D74">
        <w:rPr>
          <w:rFonts w:ascii="Garamond" w:hAnsi="Garamond" w:cstheme="minorHAnsi"/>
          <w:sz w:val="24"/>
          <w:szCs w:val="24"/>
        </w:rPr>
        <w:t xml:space="preserve">if we could </w:t>
      </w:r>
      <w:r w:rsidR="00383267">
        <w:rPr>
          <w:rFonts w:ascii="Garamond" w:hAnsi="Garamond" w:cstheme="minorHAnsi"/>
          <w:sz w:val="24"/>
          <w:szCs w:val="24"/>
        </w:rPr>
        <w:t xml:space="preserve">potentially </w:t>
      </w:r>
      <w:r w:rsidRPr="00461D74">
        <w:rPr>
          <w:rFonts w:ascii="Garamond" w:hAnsi="Garamond" w:cstheme="minorHAnsi"/>
          <w:sz w:val="24"/>
          <w:szCs w:val="24"/>
        </w:rPr>
        <w:t xml:space="preserve">modify the state in a way that </w:t>
      </w:r>
      <w:r w:rsidR="00472CF0" w:rsidRPr="00461D74">
        <w:rPr>
          <w:rFonts w:ascii="Garamond" w:hAnsi="Garamond" w:cstheme="minorHAnsi"/>
          <w:sz w:val="24"/>
          <w:szCs w:val="24"/>
        </w:rPr>
        <w:t>allows it to sustain a degree of authentic</w:t>
      </w:r>
      <w:r w:rsidRPr="00461D74">
        <w:rPr>
          <w:rFonts w:ascii="Garamond" w:hAnsi="Garamond" w:cstheme="minorHAnsi"/>
          <w:sz w:val="24"/>
          <w:szCs w:val="24"/>
        </w:rPr>
        <w:t xml:space="preserve"> neutrality between different conceptions of the good, so that it doesn’t </w:t>
      </w:r>
      <w:r w:rsidR="002D5760">
        <w:rPr>
          <w:rFonts w:ascii="Garamond" w:hAnsi="Garamond" w:cstheme="minorHAnsi"/>
          <w:sz w:val="24"/>
          <w:szCs w:val="24"/>
        </w:rPr>
        <w:t xml:space="preserve">inevitably and </w:t>
      </w:r>
      <w:r w:rsidRPr="00461D74">
        <w:rPr>
          <w:rFonts w:ascii="Garamond" w:hAnsi="Garamond" w:cstheme="minorHAnsi"/>
          <w:sz w:val="24"/>
          <w:szCs w:val="24"/>
        </w:rPr>
        <w:t xml:space="preserve">systematically sneak in </w:t>
      </w:r>
      <w:r w:rsidR="002D5760">
        <w:rPr>
          <w:rFonts w:ascii="Garamond" w:hAnsi="Garamond" w:cstheme="minorHAnsi"/>
          <w:sz w:val="24"/>
          <w:szCs w:val="24"/>
        </w:rPr>
        <w:t>a</w:t>
      </w:r>
      <w:r w:rsidR="002D5760" w:rsidRPr="00461D74">
        <w:rPr>
          <w:rFonts w:ascii="Garamond" w:hAnsi="Garamond" w:cstheme="minorHAnsi"/>
          <w:sz w:val="24"/>
          <w:szCs w:val="24"/>
        </w:rPr>
        <w:t xml:space="preserve"> </w:t>
      </w:r>
      <w:r w:rsidRPr="00461D74">
        <w:rPr>
          <w:rFonts w:ascii="Garamond" w:hAnsi="Garamond" w:cstheme="minorHAnsi"/>
          <w:sz w:val="24"/>
          <w:szCs w:val="24"/>
        </w:rPr>
        <w:t xml:space="preserve">materialist conception </w:t>
      </w:r>
      <w:r w:rsidR="002D5760">
        <w:rPr>
          <w:rFonts w:ascii="Garamond" w:hAnsi="Garamond" w:cstheme="minorHAnsi"/>
          <w:sz w:val="24"/>
          <w:szCs w:val="24"/>
        </w:rPr>
        <w:t xml:space="preserve">of the good (through the back door), </w:t>
      </w:r>
      <w:r w:rsidRPr="00461D74">
        <w:rPr>
          <w:rFonts w:ascii="Garamond" w:hAnsi="Garamond" w:cstheme="minorHAnsi"/>
          <w:sz w:val="24"/>
          <w:szCs w:val="24"/>
        </w:rPr>
        <w:t xml:space="preserve">in place of </w:t>
      </w:r>
      <w:r w:rsidR="002D5760">
        <w:rPr>
          <w:rFonts w:ascii="Garamond" w:hAnsi="Garamond" w:cstheme="minorHAnsi"/>
          <w:sz w:val="24"/>
          <w:szCs w:val="24"/>
        </w:rPr>
        <w:t xml:space="preserve">other </w:t>
      </w:r>
      <w:r w:rsidRPr="00461D74">
        <w:rPr>
          <w:rFonts w:ascii="Garamond" w:hAnsi="Garamond" w:cstheme="minorHAnsi"/>
          <w:sz w:val="24"/>
          <w:szCs w:val="24"/>
        </w:rPr>
        <w:t xml:space="preserve">local conceptions. </w:t>
      </w:r>
      <w:r w:rsidR="00472CF0" w:rsidRPr="00461D74">
        <w:rPr>
          <w:rFonts w:ascii="Garamond" w:hAnsi="Garamond" w:cstheme="minorHAnsi"/>
          <w:sz w:val="24"/>
          <w:szCs w:val="24"/>
        </w:rPr>
        <w:t xml:space="preserve">So how can we </w:t>
      </w:r>
      <w:r w:rsidR="002D5760">
        <w:rPr>
          <w:rFonts w:ascii="Garamond" w:hAnsi="Garamond" w:cstheme="minorHAnsi"/>
          <w:sz w:val="24"/>
          <w:szCs w:val="24"/>
        </w:rPr>
        <w:t>advance</w:t>
      </w:r>
      <w:r w:rsidR="002D5760" w:rsidRPr="00461D74">
        <w:rPr>
          <w:rFonts w:ascii="Garamond" w:hAnsi="Garamond" w:cstheme="minorHAnsi"/>
          <w:sz w:val="24"/>
          <w:szCs w:val="24"/>
        </w:rPr>
        <w:t xml:space="preserve"> </w:t>
      </w:r>
      <w:r w:rsidR="002D5760">
        <w:rPr>
          <w:rFonts w:ascii="Garamond" w:hAnsi="Garamond" w:cstheme="minorHAnsi"/>
          <w:sz w:val="24"/>
          <w:szCs w:val="24"/>
        </w:rPr>
        <w:t>an appropriate sort of</w:t>
      </w:r>
      <w:r w:rsidR="002D5760" w:rsidRPr="00461D74">
        <w:rPr>
          <w:rFonts w:ascii="Garamond" w:hAnsi="Garamond" w:cstheme="minorHAnsi"/>
          <w:sz w:val="24"/>
          <w:szCs w:val="24"/>
        </w:rPr>
        <w:t xml:space="preserve"> </w:t>
      </w:r>
      <w:r w:rsidR="002D5760">
        <w:rPr>
          <w:rFonts w:ascii="Garamond" w:hAnsi="Garamond" w:cstheme="minorHAnsi"/>
          <w:sz w:val="24"/>
          <w:szCs w:val="24"/>
        </w:rPr>
        <w:t>solution</w:t>
      </w:r>
      <w:r w:rsidRPr="00461D74">
        <w:rPr>
          <w:rFonts w:ascii="Garamond" w:hAnsi="Garamond" w:cstheme="minorHAnsi"/>
          <w:sz w:val="24"/>
          <w:szCs w:val="24"/>
        </w:rPr>
        <w:t>? By delineating the boundary between the state and local communities</w:t>
      </w:r>
      <w:r w:rsidR="00EF0C15" w:rsidRPr="00461D74">
        <w:rPr>
          <w:rFonts w:ascii="Garamond" w:hAnsi="Garamond" w:cstheme="minorHAnsi"/>
          <w:sz w:val="24"/>
          <w:szCs w:val="24"/>
        </w:rPr>
        <w:t xml:space="preserve"> in appropriate ways, we </w:t>
      </w:r>
      <w:r w:rsidRPr="00461D74">
        <w:rPr>
          <w:rFonts w:ascii="Garamond" w:hAnsi="Garamond" w:cstheme="minorHAnsi"/>
          <w:sz w:val="24"/>
          <w:szCs w:val="24"/>
        </w:rPr>
        <w:t xml:space="preserve">can </w:t>
      </w:r>
      <w:r w:rsidR="00EF0C15" w:rsidRPr="00461D74">
        <w:rPr>
          <w:rFonts w:ascii="Garamond" w:hAnsi="Garamond" w:cstheme="minorHAnsi"/>
          <w:sz w:val="24"/>
          <w:szCs w:val="24"/>
        </w:rPr>
        <w:t xml:space="preserve">simultaneously </w:t>
      </w:r>
      <w:r w:rsidRPr="00461D74">
        <w:rPr>
          <w:rFonts w:ascii="Garamond" w:hAnsi="Garamond" w:cstheme="minorHAnsi"/>
          <w:sz w:val="24"/>
          <w:szCs w:val="24"/>
        </w:rPr>
        <w:t xml:space="preserve">protect </w:t>
      </w:r>
      <w:r w:rsidR="00472CF0" w:rsidRPr="00461D74">
        <w:rPr>
          <w:rFonts w:ascii="Garamond" w:hAnsi="Garamond" w:cstheme="minorHAnsi"/>
          <w:sz w:val="24"/>
          <w:szCs w:val="24"/>
        </w:rPr>
        <w:t xml:space="preserve">important civil liberties, while at the same time allowing </w:t>
      </w:r>
      <w:r w:rsidR="00EF0C15" w:rsidRPr="00461D74">
        <w:rPr>
          <w:rFonts w:ascii="Garamond" w:hAnsi="Garamond" w:cstheme="minorHAnsi"/>
          <w:sz w:val="24"/>
          <w:szCs w:val="24"/>
        </w:rPr>
        <w:t xml:space="preserve">a degree of local democracy through engaged inquiry and deliberation, that </w:t>
      </w:r>
      <w:r w:rsidR="002D5760">
        <w:rPr>
          <w:rFonts w:ascii="Garamond" w:hAnsi="Garamond" w:cstheme="minorHAnsi"/>
          <w:sz w:val="24"/>
          <w:szCs w:val="24"/>
        </w:rPr>
        <w:t>affords</w:t>
      </w:r>
      <w:r w:rsidR="002D5760" w:rsidRPr="00461D74">
        <w:rPr>
          <w:rFonts w:ascii="Garamond" w:hAnsi="Garamond" w:cstheme="minorHAnsi"/>
          <w:sz w:val="24"/>
          <w:szCs w:val="24"/>
        </w:rPr>
        <w:t xml:space="preserve"> </w:t>
      </w:r>
      <w:r w:rsidR="00EF0C15" w:rsidRPr="00461D74">
        <w:rPr>
          <w:rFonts w:ascii="Garamond" w:hAnsi="Garamond" w:cstheme="minorHAnsi"/>
          <w:sz w:val="24"/>
          <w:szCs w:val="24"/>
        </w:rPr>
        <w:t xml:space="preserve">local </w:t>
      </w:r>
      <w:r w:rsidR="00081266" w:rsidRPr="00461D74">
        <w:rPr>
          <w:rFonts w:ascii="Garamond" w:hAnsi="Garamond" w:cstheme="minorHAnsi"/>
          <w:sz w:val="24"/>
          <w:szCs w:val="24"/>
        </w:rPr>
        <w:t>government</w:t>
      </w:r>
      <w:r w:rsidR="00EF0C15" w:rsidRPr="00461D74">
        <w:rPr>
          <w:rFonts w:ascii="Garamond" w:hAnsi="Garamond" w:cstheme="minorHAnsi"/>
          <w:sz w:val="24"/>
          <w:szCs w:val="24"/>
        </w:rPr>
        <w:t xml:space="preserve"> </w:t>
      </w:r>
      <w:r w:rsidR="002D5760">
        <w:rPr>
          <w:rFonts w:ascii="Garamond" w:hAnsi="Garamond" w:cstheme="minorHAnsi"/>
          <w:sz w:val="24"/>
          <w:szCs w:val="24"/>
        </w:rPr>
        <w:t xml:space="preserve">a meaningful degree of autonomy </w:t>
      </w:r>
      <w:r w:rsidR="00EF0C15" w:rsidRPr="00461D74">
        <w:rPr>
          <w:rFonts w:ascii="Garamond" w:hAnsi="Garamond" w:cstheme="minorHAnsi"/>
          <w:sz w:val="24"/>
          <w:szCs w:val="24"/>
        </w:rPr>
        <w:t xml:space="preserve">to pursue a </w:t>
      </w:r>
      <w:r w:rsidR="002D5760">
        <w:rPr>
          <w:rFonts w:ascii="Garamond" w:hAnsi="Garamond" w:cstheme="minorHAnsi"/>
          <w:sz w:val="24"/>
          <w:szCs w:val="24"/>
        </w:rPr>
        <w:t>class</w:t>
      </w:r>
      <w:r w:rsidR="002D5760" w:rsidRPr="00461D74">
        <w:rPr>
          <w:rFonts w:ascii="Garamond" w:hAnsi="Garamond" w:cstheme="minorHAnsi"/>
          <w:sz w:val="24"/>
          <w:szCs w:val="24"/>
        </w:rPr>
        <w:t xml:space="preserve"> </w:t>
      </w:r>
      <w:r w:rsidR="00EF0C15" w:rsidRPr="00461D74">
        <w:rPr>
          <w:rFonts w:ascii="Garamond" w:hAnsi="Garamond" w:cstheme="minorHAnsi"/>
          <w:sz w:val="24"/>
          <w:szCs w:val="24"/>
        </w:rPr>
        <w:t xml:space="preserve">of goods that </w:t>
      </w:r>
      <w:r w:rsidR="002D5760">
        <w:rPr>
          <w:rFonts w:ascii="Garamond" w:hAnsi="Garamond" w:cstheme="minorHAnsi"/>
          <w:sz w:val="24"/>
          <w:szCs w:val="24"/>
        </w:rPr>
        <w:t>in turn empower</w:t>
      </w:r>
      <w:r w:rsidR="002D5760" w:rsidRPr="00461D74">
        <w:rPr>
          <w:rFonts w:ascii="Garamond" w:hAnsi="Garamond" w:cstheme="minorHAnsi"/>
          <w:sz w:val="24"/>
          <w:szCs w:val="24"/>
        </w:rPr>
        <w:t xml:space="preserve"> </w:t>
      </w:r>
      <w:r w:rsidR="00EF0C15" w:rsidRPr="00461D74">
        <w:rPr>
          <w:rFonts w:ascii="Garamond" w:hAnsi="Garamond" w:cstheme="minorHAnsi"/>
          <w:sz w:val="24"/>
          <w:szCs w:val="24"/>
        </w:rPr>
        <w:t xml:space="preserve">communities to solve </w:t>
      </w:r>
      <w:r w:rsidR="002D5760">
        <w:rPr>
          <w:rFonts w:ascii="Garamond" w:hAnsi="Garamond" w:cstheme="minorHAnsi"/>
          <w:sz w:val="24"/>
          <w:szCs w:val="24"/>
        </w:rPr>
        <w:t>a</w:t>
      </w:r>
      <w:r w:rsidR="002D5760" w:rsidRPr="00461D74">
        <w:rPr>
          <w:rFonts w:ascii="Garamond" w:hAnsi="Garamond" w:cstheme="minorHAnsi"/>
          <w:sz w:val="24"/>
          <w:szCs w:val="24"/>
        </w:rPr>
        <w:t xml:space="preserve"> </w:t>
      </w:r>
      <w:r w:rsidR="002D5760">
        <w:rPr>
          <w:rFonts w:ascii="Garamond" w:hAnsi="Garamond" w:cstheme="minorHAnsi"/>
          <w:sz w:val="24"/>
          <w:szCs w:val="24"/>
        </w:rPr>
        <w:t>range of</w:t>
      </w:r>
      <w:r w:rsidR="002D5760" w:rsidRPr="00461D74">
        <w:rPr>
          <w:rFonts w:ascii="Garamond" w:hAnsi="Garamond" w:cstheme="minorHAnsi"/>
          <w:sz w:val="24"/>
          <w:szCs w:val="24"/>
        </w:rPr>
        <w:t xml:space="preserve"> </w:t>
      </w:r>
      <w:r w:rsidR="00EF0C15" w:rsidRPr="00461D74">
        <w:rPr>
          <w:rFonts w:ascii="Garamond" w:hAnsi="Garamond" w:cstheme="minorHAnsi"/>
          <w:sz w:val="24"/>
          <w:szCs w:val="24"/>
        </w:rPr>
        <w:t>social and political problems they might encounter.</w:t>
      </w:r>
    </w:p>
    <w:p w:rsidR="00665157" w:rsidRDefault="00EF0C15">
      <w:pPr>
        <w:spacing w:line="360" w:lineRule="auto"/>
        <w:ind w:firstLine="720"/>
        <w:jc w:val="both"/>
        <w:rPr>
          <w:rFonts w:ascii="Garamond" w:hAnsi="Garamond" w:cstheme="minorHAnsi"/>
          <w:sz w:val="24"/>
          <w:szCs w:val="24"/>
        </w:rPr>
      </w:pPr>
      <w:r w:rsidRPr="00461D74">
        <w:rPr>
          <w:rFonts w:ascii="Garamond" w:hAnsi="Garamond" w:cstheme="minorHAnsi"/>
          <w:sz w:val="24"/>
          <w:szCs w:val="24"/>
        </w:rPr>
        <w:t>For example</w:t>
      </w:r>
      <w:r w:rsidR="00016049" w:rsidRPr="00461D74">
        <w:rPr>
          <w:rFonts w:ascii="Garamond" w:hAnsi="Garamond" w:cstheme="minorHAnsi"/>
          <w:sz w:val="24"/>
          <w:szCs w:val="24"/>
        </w:rPr>
        <w:t>, when a</w:t>
      </w:r>
      <w:r w:rsidR="00A117B5" w:rsidRPr="00461D74">
        <w:rPr>
          <w:rFonts w:ascii="Garamond" w:hAnsi="Garamond" w:cstheme="minorHAnsi"/>
          <w:sz w:val="24"/>
          <w:szCs w:val="24"/>
        </w:rPr>
        <w:t xml:space="preserve">n </w:t>
      </w:r>
      <w:r w:rsidR="00A02A9D">
        <w:rPr>
          <w:rFonts w:ascii="Garamond" w:hAnsi="Garamond" w:cstheme="minorHAnsi"/>
          <w:sz w:val="24"/>
          <w:szCs w:val="24"/>
        </w:rPr>
        <w:t xml:space="preserve">broad </w:t>
      </w:r>
      <w:r w:rsidR="00A117B5" w:rsidRPr="00461D74">
        <w:rPr>
          <w:rFonts w:ascii="Garamond" w:hAnsi="Garamond" w:cstheme="minorHAnsi"/>
          <w:sz w:val="24"/>
          <w:szCs w:val="24"/>
        </w:rPr>
        <w:t xml:space="preserve">absolutist </w:t>
      </w:r>
      <w:r w:rsidRPr="00461D74">
        <w:rPr>
          <w:rFonts w:ascii="Garamond" w:hAnsi="Garamond" w:cstheme="minorHAnsi"/>
          <w:sz w:val="24"/>
          <w:szCs w:val="24"/>
        </w:rPr>
        <w:t xml:space="preserve">reading </w:t>
      </w:r>
      <w:r w:rsidR="00016049" w:rsidRPr="00461D74">
        <w:rPr>
          <w:rFonts w:ascii="Garamond" w:hAnsi="Garamond" w:cstheme="minorHAnsi"/>
          <w:sz w:val="24"/>
          <w:szCs w:val="24"/>
        </w:rPr>
        <w:t xml:space="preserve">of </w:t>
      </w:r>
      <w:r w:rsidRPr="00461D74">
        <w:rPr>
          <w:rFonts w:ascii="Garamond" w:hAnsi="Garamond" w:cstheme="minorHAnsi"/>
          <w:sz w:val="24"/>
          <w:szCs w:val="24"/>
        </w:rPr>
        <w:t>civil liberties</w:t>
      </w:r>
      <w:r w:rsidR="00016049" w:rsidRPr="00461D74">
        <w:rPr>
          <w:rFonts w:ascii="Garamond" w:hAnsi="Garamond" w:cstheme="minorHAnsi"/>
          <w:sz w:val="24"/>
          <w:szCs w:val="24"/>
        </w:rPr>
        <w:t xml:space="preserve"> (</w:t>
      </w:r>
      <w:r w:rsidRPr="00461D74">
        <w:rPr>
          <w:rFonts w:ascii="Garamond" w:hAnsi="Garamond" w:cstheme="minorHAnsi"/>
          <w:sz w:val="24"/>
          <w:szCs w:val="24"/>
        </w:rPr>
        <w:t xml:space="preserve">such as the </w:t>
      </w:r>
      <w:r w:rsidR="00016049" w:rsidRPr="00461D74">
        <w:rPr>
          <w:rFonts w:ascii="Garamond" w:hAnsi="Garamond" w:cstheme="minorHAnsi"/>
          <w:sz w:val="24"/>
          <w:szCs w:val="24"/>
        </w:rPr>
        <w:t xml:space="preserve">Citizens United 2010 </w:t>
      </w:r>
      <w:r w:rsidRPr="00461D74">
        <w:rPr>
          <w:rFonts w:ascii="Garamond" w:hAnsi="Garamond" w:cstheme="minorHAnsi"/>
          <w:sz w:val="24"/>
          <w:szCs w:val="24"/>
        </w:rPr>
        <w:t>Supreme Court</w:t>
      </w:r>
      <w:r w:rsidR="00016049" w:rsidRPr="00461D74">
        <w:rPr>
          <w:rFonts w:ascii="Garamond" w:hAnsi="Garamond" w:cstheme="minorHAnsi"/>
          <w:sz w:val="24"/>
          <w:szCs w:val="24"/>
        </w:rPr>
        <w:t xml:space="preserve"> case) threatens democratic procedures</w:t>
      </w:r>
      <w:r w:rsidRPr="00461D74">
        <w:rPr>
          <w:rFonts w:ascii="Garamond" w:hAnsi="Garamond" w:cstheme="minorHAnsi"/>
          <w:sz w:val="24"/>
          <w:szCs w:val="24"/>
        </w:rPr>
        <w:t>,</w:t>
      </w:r>
      <w:r w:rsidR="00016049" w:rsidRPr="00461D74">
        <w:rPr>
          <w:rFonts w:ascii="Garamond" w:hAnsi="Garamond" w:cstheme="minorHAnsi"/>
          <w:sz w:val="24"/>
          <w:szCs w:val="24"/>
        </w:rPr>
        <w:t xml:space="preserve"> </w:t>
      </w:r>
      <w:r w:rsidRPr="00461D74">
        <w:rPr>
          <w:rFonts w:ascii="Garamond" w:hAnsi="Garamond" w:cstheme="minorHAnsi"/>
          <w:sz w:val="24"/>
          <w:szCs w:val="24"/>
        </w:rPr>
        <w:t>a</w:t>
      </w:r>
      <w:r w:rsidR="00C020E5" w:rsidRPr="00461D74">
        <w:rPr>
          <w:rFonts w:ascii="Garamond" w:hAnsi="Garamond" w:cstheme="minorHAnsi"/>
          <w:sz w:val="24"/>
          <w:szCs w:val="24"/>
        </w:rPr>
        <w:t>n</w:t>
      </w:r>
      <w:r w:rsidRPr="00461D74">
        <w:rPr>
          <w:rFonts w:ascii="Garamond" w:hAnsi="Garamond" w:cstheme="minorHAnsi"/>
          <w:sz w:val="24"/>
          <w:szCs w:val="24"/>
        </w:rPr>
        <w:t xml:space="preserve"> overtly procedural </w:t>
      </w:r>
      <w:r w:rsidR="00081266" w:rsidRPr="00461D74">
        <w:rPr>
          <w:rFonts w:ascii="Garamond" w:hAnsi="Garamond" w:cstheme="minorHAnsi"/>
          <w:sz w:val="24"/>
          <w:szCs w:val="24"/>
        </w:rPr>
        <w:t>maximalist</w:t>
      </w:r>
      <w:r w:rsidRPr="00461D74">
        <w:rPr>
          <w:rFonts w:ascii="Garamond" w:hAnsi="Garamond" w:cstheme="minorHAnsi"/>
          <w:sz w:val="24"/>
          <w:szCs w:val="24"/>
        </w:rPr>
        <w:t xml:space="preserve"> reading of individual </w:t>
      </w:r>
      <w:r w:rsidR="00081266" w:rsidRPr="00461D74">
        <w:rPr>
          <w:rFonts w:ascii="Garamond" w:hAnsi="Garamond" w:cstheme="minorHAnsi"/>
          <w:sz w:val="24"/>
          <w:szCs w:val="24"/>
        </w:rPr>
        <w:t xml:space="preserve">(private) </w:t>
      </w:r>
      <w:r w:rsidRPr="00461D74">
        <w:rPr>
          <w:rFonts w:ascii="Garamond" w:hAnsi="Garamond" w:cstheme="minorHAnsi"/>
          <w:sz w:val="24"/>
          <w:szCs w:val="24"/>
        </w:rPr>
        <w:t>right</w:t>
      </w:r>
      <w:r w:rsidR="00081266" w:rsidRPr="00461D74">
        <w:rPr>
          <w:rFonts w:ascii="Garamond" w:hAnsi="Garamond" w:cstheme="minorHAnsi"/>
          <w:sz w:val="24"/>
          <w:szCs w:val="24"/>
        </w:rPr>
        <w:t>s</w:t>
      </w:r>
      <w:r w:rsidR="00C020E5" w:rsidRPr="00461D74">
        <w:rPr>
          <w:rFonts w:ascii="Garamond" w:hAnsi="Garamond" w:cstheme="minorHAnsi"/>
          <w:sz w:val="24"/>
          <w:szCs w:val="24"/>
        </w:rPr>
        <w:t xml:space="preserve"> can</w:t>
      </w:r>
      <w:r w:rsidRPr="00461D74">
        <w:rPr>
          <w:rFonts w:ascii="Garamond" w:hAnsi="Garamond" w:cstheme="minorHAnsi"/>
          <w:sz w:val="24"/>
          <w:szCs w:val="24"/>
        </w:rPr>
        <w:t xml:space="preserve"> pose </w:t>
      </w:r>
      <w:r w:rsidR="00016049" w:rsidRPr="00461D74">
        <w:rPr>
          <w:rFonts w:ascii="Garamond" w:hAnsi="Garamond" w:cstheme="minorHAnsi"/>
          <w:sz w:val="24"/>
          <w:szCs w:val="24"/>
        </w:rPr>
        <w:t xml:space="preserve">a </w:t>
      </w:r>
      <w:r w:rsidRPr="00461D74">
        <w:rPr>
          <w:rFonts w:ascii="Garamond" w:hAnsi="Garamond" w:cstheme="minorHAnsi"/>
          <w:sz w:val="24"/>
          <w:szCs w:val="24"/>
        </w:rPr>
        <w:t xml:space="preserve">serious public danger to </w:t>
      </w:r>
      <w:r w:rsidR="00081266" w:rsidRPr="00461D74">
        <w:rPr>
          <w:rFonts w:ascii="Garamond" w:hAnsi="Garamond" w:cstheme="minorHAnsi"/>
          <w:sz w:val="24"/>
          <w:szCs w:val="24"/>
        </w:rPr>
        <w:t xml:space="preserve">both local as well as large-scale </w:t>
      </w:r>
      <w:r w:rsidRPr="00461D74">
        <w:rPr>
          <w:rFonts w:ascii="Garamond" w:hAnsi="Garamond" w:cstheme="minorHAnsi"/>
          <w:sz w:val="24"/>
          <w:szCs w:val="24"/>
        </w:rPr>
        <w:t xml:space="preserve">democratic structures. Therefore, we have to </w:t>
      </w:r>
      <w:r w:rsidR="007F1318" w:rsidRPr="00461D74">
        <w:rPr>
          <w:rFonts w:ascii="Garamond" w:hAnsi="Garamond" w:cstheme="minorHAnsi"/>
          <w:sz w:val="24"/>
          <w:szCs w:val="24"/>
        </w:rPr>
        <w:t xml:space="preserve">be open to making the necessary </w:t>
      </w:r>
      <w:r w:rsidR="00081266" w:rsidRPr="00461D74">
        <w:rPr>
          <w:rFonts w:ascii="Garamond" w:hAnsi="Garamond" w:cstheme="minorHAnsi"/>
          <w:sz w:val="24"/>
          <w:szCs w:val="24"/>
        </w:rPr>
        <w:t>modifications</w:t>
      </w:r>
      <w:r w:rsidR="007F1318" w:rsidRPr="00461D74">
        <w:rPr>
          <w:rFonts w:ascii="Garamond" w:hAnsi="Garamond" w:cstheme="minorHAnsi"/>
          <w:sz w:val="24"/>
          <w:szCs w:val="24"/>
        </w:rPr>
        <w:t xml:space="preserve"> that would, in certain circumstances, limit civil liberties </w:t>
      </w:r>
      <w:r w:rsidR="00E32865">
        <w:rPr>
          <w:rFonts w:ascii="Garamond" w:hAnsi="Garamond" w:cstheme="minorHAnsi"/>
          <w:sz w:val="24"/>
          <w:szCs w:val="24"/>
        </w:rPr>
        <w:t>for the sake of</w:t>
      </w:r>
      <w:r w:rsidR="007F1318" w:rsidRPr="00461D74">
        <w:rPr>
          <w:rFonts w:ascii="Garamond" w:hAnsi="Garamond" w:cstheme="minorHAnsi"/>
          <w:sz w:val="24"/>
          <w:szCs w:val="24"/>
        </w:rPr>
        <w:t xml:space="preserve"> preserv</w:t>
      </w:r>
      <w:r w:rsidR="00E32865">
        <w:rPr>
          <w:rFonts w:ascii="Garamond" w:hAnsi="Garamond" w:cstheme="minorHAnsi"/>
          <w:sz w:val="24"/>
          <w:szCs w:val="24"/>
        </w:rPr>
        <w:t>ing essential</w:t>
      </w:r>
      <w:r w:rsidR="007F1318" w:rsidRPr="00461D74">
        <w:rPr>
          <w:rFonts w:ascii="Garamond" w:hAnsi="Garamond" w:cstheme="minorHAnsi"/>
          <w:sz w:val="24"/>
          <w:szCs w:val="24"/>
        </w:rPr>
        <w:t xml:space="preserve"> </w:t>
      </w:r>
      <w:r w:rsidR="007F1318" w:rsidRPr="00461D74">
        <w:rPr>
          <w:rFonts w:ascii="Garamond" w:hAnsi="Garamond" w:cstheme="minorHAnsi"/>
          <w:sz w:val="24"/>
          <w:szCs w:val="24"/>
        </w:rPr>
        <w:lastRenderedPageBreak/>
        <w:t>public good</w:t>
      </w:r>
      <w:r w:rsidR="00E32865">
        <w:rPr>
          <w:rFonts w:ascii="Garamond" w:hAnsi="Garamond" w:cstheme="minorHAnsi"/>
          <w:sz w:val="24"/>
          <w:szCs w:val="24"/>
        </w:rPr>
        <w:t>s</w:t>
      </w:r>
      <w:r w:rsidR="007F1318"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E32865">
        <w:rPr>
          <w:rFonts w:ascii="Garamond" w:hAnsi="Garamond" w:cstheme="minorHAnsi"/>
          <w:sz w:val="24"/>
          <w:szCs w:val="24"/>
        </w:rPr>
        <w:t>Now, i</w:t>
      </w:r>
      <w:r w:rsidR="009772F4" w:rsidRPr="00461D74">
        <w:rPr>
          <w:rFonts w:ascii="Garamond" w:hAnsi="Garamond" w:cstheme="minorHAnsi"/>
          <w:sz w:val="24"/>
          <w:szCs w:val="24"/>
        </w:rPr>
        <w:t xml:space="preserve">n this example, </w:t>
      </w:r>
      <w:r w:rsidR="006E5589" w:rsidRPr="00461D74">
        <w:rPr>
          <w:rFonts w:ascii="Garamond" w:hAnsi="Garamond" w:cstheme="minorHAnsi"/>
          <w:sz w:val="24"/>
          <w:szCs w:val="24"/>
        </w:rPr>
        <w:t>we</w:t>
      </w:r>
      <w:r w:rsidR="009772F4" w:rsidRPr="00461D74">
        <w:rPr>
          <w:rFonts w:ascii="Garamond" w:hAnsi="Garamond" w:cstheme="minorHAnsi"/>
          <w:sz w:val="24"/>
          <w:szCs w:val="24"/>
        </w:rPr>
        <w:t xml:space="preserve"> end up splitting the difference between liberals and communitarians</w:t>
      </w:r>
      <w:r w:rsidR="006E5589" w:rsidRPr="00461D74">
        <w:rPr>
          <w:rFonts w:ascii="Garamond" w:hAnsi="Garamond" w:cstheme="minorHAnsi"/>
          <w:sz w:val="24"/>
          <w:szCs w:val="24"/>
        </w:rPr>
        <w:t>; moreover, the state, by taking action for the protection of democratic procedures</w:t>
      </w:r>
      <w:r w:rsidR="00BB4B9D">
        <w:rPr>
          <w:rFonts w:ascii="Garamond" w:hAnsi="Garamond" w:cstheme="minorHAnsi"/>
          <w:sz w:val="24"/>
          <w:szCs w:val="24"/>
        </w:rPr>
        <w:t>,</w:t>
      </w:r>
      <w:r w:rsidR="006E5589" w:rsidRPr="00461D74">
        <w:rPr>
          <w:rFonts w:ascii="Garamond" w:hAnsi="Garamond" w:cstheme="minorHAnsi"/>
          <w:sz w:val="24"/>
          <w:szCs w:val="24"/>
        </w:rPr>
        <w:t xml:space="preserve"> </w:t>
      </w:r>
      <w:r w:rsidR="00C94EF0">
        <w:rPr>
          <w:rFonts w:ascii="Garamond" w:hAnsi="Garamond" w:cstheme="minorHAnsi"/>
          <w:sz w:val="24"/>
          <w:szCs w:val="24"/>
        </w:rPr>
        <w:t>can act</w:t>
      </w:r>
      <w:r w:rsidR="006E5589" w:rsidRPr="00461D74">
        <w:rPr>
          <w:rFonts w:ascii="Garamond" w:hAnsi="Garamond" w:cstheme="minorHAnsi"/>
          <w:sz w:val="24"/>
          <w:szCs w:val="24"/>
        </w:rPr>
        <w:t xml:space="preserve"> in way</w:t>
      </w:r>
      <w:r w:rsidR="00C94EF0">
        <w:rPr>
          <w:rFonts w:ascii="Garamond" w:hAnsi="Garamond" w:cstheme="minorHAnsi"/>
          <w:sz w:val="24"/>
          <w:szCs w:val="24"/>
        </w:rPr>
        <w:t>s</w:t>
      </w:r>
      <w:r w:rsidR="006E5589" w:rsidRPr="00461D74">
        <w:rPr>
          <w:rFonts w:ascii="Garamond" w:hAnsi="Garamond" w:cstheme="minorHAnsi"/>
          <w:sz w:val="24"/>
          <w:szCs w:val="24"/>
        </w:rPr>
        <w:t xml:space="preserve"> that displays a greater degree of neutrality.</w:t>
      </w:r>
      <w:r w:rsidR="009772F4" w:rsidRPr="00461D74">
        <w:rPr>
          <w:rFonts w:ascii="Garamond" w:hAnsi="Garamond" w:cstheme="minorHAnsi"/>
          <w:sz w:val="24"/>
          <w:szCs w:val="24"/>
        </w:rPr>
        <w:t xml:space="preserve"> </w:t>
      </w:r>
      <w:r w:rsidR="006E5589" w:rsidRPr="00461D74">
        <w:rPr>
          <w:rFonts w:ascii="Garamond" w:hAnsi="Garamond" w:cstheme="minorHAnsi"/>
          <w:sz w:val="24"/>
          <w:szCs w:val="24"/>
        </w:rPr>
        <w:t>Therefore, we should consider the distinction between public and private spheres as ultimately instrumental</w:t>
      </w:r>
      <w:r w:rsidR="00081266" w:rsidRPr="00461D74">
        <w:rPr>
          <w:rFonts w:ascii="Garamond" w:hAnsi="Garamond" w:cstheme="minorHAnsi"/>
          <w:sz w:val="24"/>
          <w:szCs w:val="24"/>
        </w:rPr>
        <w:t>.</w:t>
      </w:r>
      <w:r w:rsidR="009772F4" w:rsidRPr="00461D74">
        <w:rPr>
          <w:rFonts w:ascii="Garamond" w:hAnsi="Garamond" w:cstheme="minorHAnsi"/>
          <w:sz w:val="24"/>
          <w:szCs w:val="24"/>
        </w:rPr>
        <w:t xml:space="preserve"> </w:t>
      </w:r>
      <w:r w:rsidR="006E5589" w:rsidRPr="00461D74">
        <w:rPr>
          <w:rFonts w:ascii="Garamond" w:hAnsi="Garamond" w:cstheme="minorHAnsi"/>
          <w:sz w:val="24"/>
          <w:szCs w:val="24"/>
        </w:rPr>
        <w:t>W</w:t>
      </w:r>
      <w:r w:rsidR="009772F4" w:rsidRPr="00461D74">
        <w:rPr>
          <w:rFonts w:ascii="Garamond" w:hAnsi="Garamond" w:cstheme="minorHAnsi"/>
          <w:sz w:val="24"/>
          <w:szCs w:val="24"/>
        </w:rPr>
        <w:t xml:space="preserve">henever a public need becomes too </w:t>
      </w:r>
      <w:r w:rsidR="00081266" w:rsidRPr="00461D74">
        <w:rPr>
          <w:rFonts w:ascii="Garamond" w:hAnsi="Garamond" w:cstheme="minorHAnsi"/>
          <w:sz w:val="24"/>
          <w:szCs w:val="24"/>
        </w:rPr>
        <w:t xml:space="preserve">important </w:t>
      </w:r>
      <w:r w:rsidR="006E5589" w:rsidRPr="00461D74">
        <w:rPr>
          <w:rFonts w:ascii="Garamond" w:hAnsi="Garamond" w:cstheme="minorHAnsi"/>
          <w:sz w:val="24"/>
          <w:szCs w:val="24"/>
        </w:rPr>
        <w:t>to ignore –</w:t>
      </w:r>
      <w:r w:rsidR="009772F4" w:rsidRPr="00461D74">
        <w:rPr>
          <w:rFonts w:ascii="Garamond" w:hAnsi="Garamond" w:cstheme="minorHAnsi"/>
          <w:sz w:val="24"/>
          <w:szCs w:val="24"/>
        </w:rPr>
        <w:t xml:space="preserve"> </w:t>
      </w:r>
      <w:r w:rsidR="006E5589" w:rsidRPr="00461D74">
        <w:rPr>
          <w:rFonts w:ascii="Garamond" w:hAnsi="Garamond" w:cstheme="minorHAnsi"/>
          <w:sz w:val="24"/>
          <w:szCs w:val="24"/>
        </w:rPr>
        <w:t>for example</w:t>
      </w:r>
      <w:r w:rsidR="00081266" w:rsidRPr="00461D74">
        <w:rPr>
          <w:rFonts w:ascii="Garamond" w:hAnsi="Garamond" w:cstheme="minorHAnsi"/>
          <w:sz w:val="24"/>
          <w:szCs w:val="24"/>
        </w:rPr>
        <w:t xml:space="preserve"> when </w:t>
      </w:r>
      <w:r w:rsidR="00915A34" w:rsidRPr="00461D74">
        <w:rPr>
          <w:rFonts w:ascii="Garamond" w:hAnsi="Garamond" w:cstheme="minorHAnsi"/>
          <w:sz w:val="24"/>
          <w:szCs w:val="24"/>
        </w:rPr>
        <w:t>the protection of civil liberties ends up</w:t>
      </w:r>
      <w:r w:rsidR="00081266" w:rsidRPr="00461D74">
        <w:rPr>
          <w:rFonts w:ascii="Garamond" w:hAnsi="Garamond" w:cstheme="minorHAnsi"/>
          <w:sz w:val="24"/>
          <w:szCs w:val="24"/>
        </w:rPr>
        <w:t xml:space="preserve"> subvert</w:t>
      </w:r>
      <w:r w:rsidR="00915A34" w:rsidRPr="00461D74">
        <w:rPr>
          <w:rFonts w:ascii="Garamond" w:hAnsi="Garamond" w:cstheme="minorHAnsi"/>
          <w:sz w:val="24"/>
          <w:szCs w:val="24"/>
        </w:rPr>
        <w:t xml:space="preserve">ing </w:t>
      </w:r>
      <w:r w:rsidR="00081266" w:rsidRPr="00461D74">
        <w:rPr>
          <w:rFonts w:ascii="Garamond" w:hAnsi="Garamond" w:cstheme="minorHAnsi"/>
          <w:sz w:val="24"/>
          <w:szCs w:val="24"/>
        </w:rPr>
        <w:t>the democratic process</w:t>
      </w:r>
      <w:r w:rsidR="00915A34" w:rsidRPr="00461D74">
        <w:rPr>
          <w:rFonts w:ascii="Garamond" w:hAnsi="Garamond" w:cstheme="minorHAnsi"/>
          <w:sz w:val="24"/>
          <w:szCs w:val="24"/>
        </w:rPr>
        <w:t>,</w:t>
      </w:r>
      <w:r w:rsidR="00081266" w:rsidRPr="00461D74">
        <w:rPr>
          <w:rFonts w:ascii="Garamond" w:hAnsi="Garamond" w:cstheme="minorHAnsi"/>
          <w:sz w:val="24"/>
          <w:szCs w:val="24"/>
        </w:rPr>
        <w:t xml:space="preserve"> </w:t>
      </w:r>
      <w:r w:rsidR="006E5589" w:rsidRPr="00461D74">
        <w:rPr>
          <w:rFonts w:ascii="Garamond" w:hAnsi="Garamond" w:cstheme="minorHAnsi"/>
          <w:sz w:val="24"/>
          <w:szCs w:val="24"/>
        </w:rPr>
        <w:t xml:space="preserve">and </w:t>
      </w:r>
      <w:r w:rsidR="00915A34" w:rsidRPr="00461D74">
        <w:rPr>
          <w:rFonts w:ascii="Garamond" w:hAnsi="Garamond" w:cstheme="minorHAnsi"/>
          <w:sz w:val="24"/>
          <w:szCs w:val="24"/>
        </w:rPr>
        <w:t xml:space="preserve">directly or indirectly, promotes </w:t>
      </w:r>
      <w:r w:rsidR="006E5589" w:rsidRPr="00461D74">
        <w:rPr>
          <w:rFonts w:ascii="Garamond" w:hAnsi="Garamond" w:cstheme="minorHAnsi"/>
          <w:sz w:val="24"/>
          <w:szCs w:val="24"/>
        </w:rPr>
        <w:t xml:space="preserve">a </w:t>
      </w:r>
      <w:r w:rsidR="00BA3569" w:rsidRPr="00461D74">
        <w:rPr>
          <w:rFonts w:ascii="Garamond" w:hAnsi="Garamond" w:cstheme="minorHAnsi"/>
          <w:sz w:val="24"/>
          <w:szCs w:val="24"/>
        </w:rPr>
        <w:t>particular</w:t>
      </w:r>
      <w:r w:rsidR="006E5589" w:rsidRPr="00461D74">
        <w:rPr>
          <w:rFonts w:ascii="Garamond" w:hAnsi="Garamond" w:cstheme="minorHAnsi"/>
          <w:sz w:val="24"/>
          <w:szCs w:val="24"/>
        </w:rPr>
        <w:t xml:space="preserve"> conception of the good </w:t>
      </w:r>
      <w:r w:rsidR="00BA3569" w:rsidRPr="00461D74">
        <w:rPr>
          <w:rFonts w:ascii="Garamond" w:hAnsi="Garamond" w:cstheme="minorHAnsi"/>
          <w:sz w:val="24"/>
          <w:szCs w:val="24"/>
        </w:rPr>
        <w:t xml:space="preserve">at the expense of the public good </w:t>
      </w:r>
      <w:r w:rsidR="006E5589" w:rsidRPr="00461D74">
        <w:rPr>
          <w:rFonts w:ascii="Garamond" w:hAnsi="Garamond" w:cstheme="minorHAnsi"/>
          <w:sz w:val="24"/>
          <w:szCs w:val="24"/>
        </w:rPr>
        <w:t>–</w:t>
      </w:r>
      <w:r w:rsidR="00081266" w:rsidRPr="00461D74">
        <w:rPr>
          <w:rFonts w:ascii="Garamond" w:hAnsi="Garamond" w:cstheme="minorHAnsi"/>
          <w:sz w:val="24"/>
          <w:szCs w:val="24"/>
        </w:rPr>
        <w:t xml:space="preserve"> we</w:t>
      </w:r>
      <w:r w:rsidR="00BA3569" w:rsidRPr="00461D74">
        <w:rPr>
          <w:rFonts w:ascii="Garamond" w:hAnsi="Garamond" w:cstheme="minorHAnsi"/>
          <w:sz w:val="24"/>
          <w:szCs w:val="24"/>
        </w:rPr>
        <w:t xml:space="preserve"> need the sort of mechanism</w:t>
      </w:r>
      <w:r w:rsidR="00081266" w:rsidRPr="00461D74">
        <w:rPr>
          <w:rFonts w:ascii="Garamond" w:hAnsi="Garamond" w:cstheme="minorHAnsi"/>
          <w:sz w:val="24"/>
          <w:szCs w:val="24"/>
        </w:rPr>
        <w:t xml:space="preserve"> through which we can modify laws and conventions in defense of substantive goods</w:t>
      </w:r>
      <w:r w:rsidR="00BA3569" w:rsidRPr="00461D74">
        <w:rPr>
          <w:rFonts w:ascii="Garamond" w:hAnsi="Garamond" w:cstheme="minorHAnsi"/>
          <w:sz w:val="24"/>
          <w:szCs w:val="24"/>
        </w:rPr>
        <w:t xml:space="preserve"> </w:t>
      </w:r>
      <w:r w:rsidR="00C94EF0">
        <w:rPr>
          <w:rFonts w:ascii="Garamond" w:hAnsi="Garamond" w:cstheme="minorHAnsi"/>
          <w:sz w:val="24"/>
          <w:szCs w:val="24"/>
        </w:rPr>
        <w:t>(</w:t>
      </w:r>
      <w:r w:rsidR="00BA3569" w:rsidRPr="00461D74">
        <w:rPr>
          <w:rFonts w:ascii="Garamond" w:hAnsi="Garamond" w:cstheme="minorHAnsi"/>
          <w:sz w:val="24"/>
          <w:szCs w:val="24"/>
        </w:rPr>
        <w:t>i.e., the concept of</w:t>
      </w:r>
      <w:r w:rsidR="00081266" w:rsidRPr="00461D74">
        <w:rPr>
          <w:rFonts w:ascii="Garamond" w:hAnsi="Garamond" w:cstheme="minorHAnsi"/>
          <w:sz w:val="24"/>
          <w:szCs w:val="24"/>
        </w:rPr>
        <w:t xml:space="preserve"> equal democratic participation</w:t>
      </w:r>
      <w:r w:rsidR="00C94EF0">
        <w:rPr>
          <w:rFonts w:ascii="Garamond" w:hAnsi="Garamond" w:cstheme="minorHAnsi"/>
          <w:sz w:val="24"/>
          <w:szCs w:val="24"/>
        </w:rPr>
        <w:t>)</w:t>
      </w:r>
      <w:r w:rsidR="00081266"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A</w:t>
      </w:r>
      <w:r w:rsidR="006E5589" w:rsidRPr="00461D74">
        <w:rPr>
          <w:rFonts w:ascii="Garamond" w:hAnsi="Garamond" w:cstheme="minorHAnsi"/>
          <w:sz w:val="24"/>
          <w:szCs w:val="24"/>
        </w:rPr>
        <w:t xml:space="preserve">dditionally, by </w:t>
      </w:r>
      <w:r w:rsidR="00B23676" w:rsidRPr="00461D74">
        <w:rPr>
          <w:rFonts w:ascii="Garamond" w:hAnsi="Garamond" w:cstheme="minorHAnsi"/>
          <w:sz w:val="24"/>
          <w:szCs w:val="24"/>
        </w:rPr>
        <w:t>proposing</w:t>
      </w:r>
      <w:r w:rsidR="006E5589" w:rsidRPr="00461D74">
        <w:rPr>
          <w:rFonts w:ascii="Garamond" w:hAnsi="Garamond" w:cstheme="minorHAnsi"/>
          <w:sz w:val="24"/>
          <w:szCs w:val="24"/>
        </w:rPr>
        <w:t xml:space="preserve"> </w:t>
      </w:r>
      <w:r w:rsidR="00B23676" w:rsidRPr="00461D74">
        <w:rPr>
          <w:rFonts w:ascii="Garamond" w:hAnsi="Garamond" w:cstheme="minorHAnsi"/>
          <w:sz w:val="24"/>
          <w:szCs w:val="24"/>
        </w:rPr>
        <w:t xml:space="preserve">mechanisms that advance this </w:t>
      </w:r>
      <w:r w:rsidR="006E5589" w:rsidRPr="00461D74">
        <w:rPr>
          <w:rFonts w:ascii="Garamond" w:hAnsi="Garamond" w:cstheme="minorHAnsi"/>
          <w:sz w:val="24"/>
          <w:szCs w:val="24"/>
        </w:rPr>
        <w:t>form of neutrality</w:t>
      </w:r>
      <w:r w:rsidRPr="00461D74">
        <w:rPr>
          <w:rFonts w:ascii="Garamond" w:hAnsi="Garamond" w:cstheme="minorHAnsi"/>
          <w:sz w:val="24"/>
          <w:szCs w:val="24"/>
        </w:rPr>
        <w:t xml:space="preserve">, we could limit the influence of the market in </w:t>
      </w:r>
      <w:r w:rsidR="00B23676" w:rsidRPr="00461D74">
        <w:rPr>
          <w:rFonts w:ascii="Garamond" w:hAnsi="Garamond" w:cstheme="minorHAnsi"/>
          <w:sz w:val="24"/>
          <w:szCs w:val="24"/>
        </w:rPr>
        <w:t xml:space="preserve">ways that </w:t>
      </w:r>
      <w:r w:rsidR="00A117B5" w:rsidRPr="00461D74">
        <w:rPr>
          <w:rFonts w:ascii="Garamond" w:hAnsi="Garamond" w:cstheme="minorHAnsi"/>
          <w:sz w:val="24"/>
          <w:szCs w:val="24"/>
        </w:rPr>
        <w:t>create</w:t>
      </w:r>
      <w:r w:rsidR="00B23676" w:rsidRPr="00461D74">
        <w:rPr>
          <w:rFonts w:ascii="Garamond" w:hAnsi="Garamond" w:cstheme="minorHAnsi"/>
          <w:sz w:val="24"/>
          <w:szCs w:val="24"/>
        </w:rPr>
        <w:t xml:space="preserve"> a space for </w:t>
      </w:r>
      <w:r w:rsidRPr="00461D74">
        <w:rPr>
          <w:rFonts w:ascii="Garamond" w:hAnsi="Garamond" w:cstheme="minorHAnsi"/>
          <w:sz w:val="24"/>
          <w:szCs w:val="24"/>
        </w:rPr>
        <w:t xml:space="preserve">local conceptions of </w:t>
      </w:r>
      <w:r w:rsidR="00B23676" w:rsidRPr="00461D74">
        <w:rPr>
          <w:rFonts w:ascii="Garamond" w:hAnsi="Garamond" w:cstheme="minorHAnsi"/>
          <w:sz w:val="24"/>
          <w:szCs w:val="24"/>
        </w:rPr>
        <w:t xml:space="preserve">the </w:t>
      </w:r>
      <w:r w:rsidRPr="00461D74">
        <w:rPr>
          <w:rFonts w:ascii="Garamond" w:hAnsi="Garamond" w:cstheme="minorHAnsi"/>
          <w:sz w:val="24"/>
          <w:szCs w:val="24"/>
        </w:rPr>
        <w:t>good</w:t>
      </w:r>
      <w:r w:rsidR="00A117B5" w:rsidRPr="00461D74">
        <w:rPr>
          <w:rFonts w:ascii="Garamond" w:hAnsi="Garamond" w:cstheme="minorHAnsi"/>
          <w:sz w:val="24"/>
          <w:szCs w:val="24"/>
        </w:rPr>
        <w:t xml:space="preserve"> and ensure that</w:t>
      </w:r>
      <w:r w:rsidRPr="00461D74">
        <w:rPr>
          <w:rFonts w:ascii="Garamond" w:hAnsi="Garamond" w:cstheme="minorHAnsi"/>
          <w:sz w:val="24"/>
          <w:szCs w:val="24"/>
        </w:rPr>
        <w:t xml:space="preserve"> market forces</w:t>
      </w:r>
      <w:r w:rsidR="00597ECE">
        <w:rPr>
          <w:rFonts w:ascii="Garamond" w:hAnsi="Garamond" w:cstheme="minorHAnsi"/>
          <w:sz w:val="24"/>
          <w:szCs w:val="24"/>
        </w:rPr>
        <w:t>,</w:t>
      </w:r>
      <w:r w:rsidRPr="00461D74">
        <w:rPr>
          <w:rFonts w:ascii="Garamond" w:hAnsi="Garamond" w:cstheme="minorHAnsi"/>
          <w:sz w:val="24"/>
          <w:szCs w:val="24"/>
        </w:rPr>
        <w:t xml:space="preserve"> under </w:t>
      </w:r>
      <w:r w:rsidR="00A117B5" w:rsidRPr="00461D74">
        <w:rPr>
          <w:rFonts w:ascii="Garamond" w:hAnsi="Garamond" w:cstheme="minorHAnsi"/>
          <w:sz w:val="24"/>
          <w:szCs w:val="24"/>
        </w:rPr>
        <w:t>the cover of ostensibly neutral arguments</w:t>
      </w:r>
      <w:r w:rsidR="00597ECE">
        <w:rPr>
          <w:rFonts w:ascii="Garamond" w:hAnsi="Garamond" w:cstheme="minorHAnsi"/>
          <w:sz w:val="24"/>
          <w:szCs w:val="24"/>
        </w:rPr>
        <w:t>,</w:t>
      </w:r>
      <w:r w:rsidR="00A117B5" w:rsidRPr="00461D74">
        <w:rPr>
          <w:rFonts w:ascii="Garamond" w:hAnsi="Garamond" w:cstheme="minorHAnsi"/>
          <w:sz w:val="24"/>
          <w:szCs w:val="24"/>
        </w:rPr>
        <w:t xml:space="preserve"> </w:t>
      </w:r>
      <w:r w:rsidR="00597ECE">
        <w:rPr>
          <w:rFonts w:ascii="Garamond" w:hAnsi="Garamond" w:cstheme="minorHAnsi"/>
          <w:sz w:val="24"/>
          <w:szCs w:val="24"/>
        </w:rPr>
        <w:t>do not</w:t>
      </w:r>
      <w:r w:rsidR="00597ECE" w:rsidRPr="00461D74">
        <w:rPr>
          <w:rFonts w:ascii="Garamond" w:hAnsi="Garamond" w:cstheme="minorHAnsi"/>
          <w:sz w:val="24"/>
          <w:szCs w:val="24"/>
        </w:rPr>
        <w:t xml:space="preserve"> </w:t>
      </w:r>
      <w:r w:rsidR="00A117B5" w:rsidRPr="00461D74">
        <w:rPr>
          <w:rFonts w:ascii="Garamond" w:hAnsi="Garamond" w:cstheme="minorHAnsi"/>
          <w:sz w:val="24"/>
          <w:szCs w:val="24"/>
        </w:rPr>
        <w:t>undermine the democratic process</w:t>
      </w:r>
      <w:r w:rsidRPr="00461D74">
        <w:rPr>
          <w:rFonts w:ascii="Garamond" w:hAnsi="Garamond" w:cstheme="minorHAnsi"/>
          <w:sz w:val="24"/>
          <w:szCs w:val="24"/>
        </w:rPr>
        <w:t>.</w:t>
      </w:r>
      <w:r w:rsidR="00A117B5" w:rsidRPr="00461D74">
        <w:rPr>
          <w:rStyle w:val="FootnoteReference"/>
          <w:rFonts w:ascii="Garamond" w:hAnsi="Garamond" w:cstheme="minorHAnsi"/>
          <w:sz w:val="24"/>
          <w:szCs w:val="24"/>
        </w:rPr>
        <w:footnoteReference w:id="440"/>
      </w:r>
      <w:r w:rsidRPr="00461D74">
        <w:rPr>
          <w:rFonts w:ascii="Garamond" w:hAnsi="Garamond" w:cstheme="minorHAnsi"/>
          <w:sz w:val="24"/>
          <w:szCs w:val="24"/>
        </w:rPr>
        <w:t xml:space="preserve"> </w:t>
      </w:r>
      <w:r w:rsidR="00872486" w:rsidRPr="00461D74">
        <w:rPr>
          <w:rFonts w:ascii="Garamond" w:hAnsi="Garamond" w:cstheme="minorHAnsi"/>
          <w:sz w:val="24"/>
          <w:szCs w:val="24"/>
        </w:rPr>
        <w:t xml:space="preserve">A </w:t>
      </w:r>
      <w:r w:rsidRPr="00461D74">
        <w:rPr>
          <w:rFonts w:ascii="Garamond" w:hAnsi="Garamond" w:cstheme="minorHAnsi"/>
          <w:sz w:val="24"/>
          <w:szCs w:val="24"/>
        </w:rPr>
        <w:t xml:space="preserve">state </w:t>
      </w:r>
      <w:r w:rsidR="00872486" w:rsidRPr="00461D74">
        <w:rPr>
          <w:rFonts w:ascii="Garamond" w:hAnsi="Garamond" w:cstheme="minorHAnsi"/>
          <w:sz w:val="24"/>
          <w:szCs w:val="24"/>
        </w:rPr>
        <w:t xml:space="preserve">that </w:t>
      </w:r>
      <w:r w:rsidRPr="00461D74">
        <w:rPr>
          <w:rFonts w:ascii="Garamond" w:hAnsi="Garamond" w:cstheme="minorHAnsi"/>
          <w:sz w:val="24"/>
          <w:szCs w:val="24"/>
        </w:rPr>
        <w:t xml:space="preserve">is </w:t>
      </w:r>
      <w:r w:rsidR="00872486" w:rsidRPr="00461D74">
        <w:rPr>
          <w:rFonts w:ascii="Garamond" w:hAnsi="Garamond" w:cstheme="minorHAnsi"/>
          <w:sz w:val="24"/>
          <w:szCs w:val="24"/>
        </w:rPr>
        <w:t>authentically neutral, can accept</w:t>
      </w:r>
      <w:r w:rsidRPr="00461D74">
        <w:rPr>
          <w:rFonts w:ascii="Garamond" w:hAnsi="Garamond" w:cstheme="minorHAnsi"/>
          <w:sz w:val="24"/>
          <w:szCs w:val="24"/>
        </w:rPr>
        <w:t xml:space="preserve"> that </w:t>
      </w:r>
      <w:r w:rsidR="00967BC6">
        <w:rPr>
          <w:rFonts w:ascii="Garamond" w:hAnsi="Garamond" w:cstheme="minorHAnsi"/>
          <w:sz w:val="24"/>
          <w:szCs w:val="24"/>
        </w:rPr>
        <w:t xml:space="preserve">the </w:t>
      </w:r>
      <w:r w:rsidR="00872486" w:rsidRPr="00461D74">
        <w:rPr>
          <w:rFonts w:ascii="Garamond" w:hAnsi="Garamond" w:cstheme="minorHAnsi"/>
          <w:sz w:val="24"/>
          <w:szCs w:val="24"/>
        </w:rPr>
        <w:t>mechanism of the market and the forces that drive it, are in fact not neutral</w:t>
      </w:r>
      <w:r w:rsidRPr="00461D74">
        <w:rPr>
          <w:rFonts w:ascii="Garamond" w:hAnsi="Garamond" w:cstheme="minorHAnsi"/>
          <w:sz w:val="24"/>
          <w:szCs w:val="24"/>
        </w:rPr>
        <w:t xml:space="preserve">. We then end up with </w:t>
      </w:r>
      <w:r w:rsidR="00872486" w:rsidRPr="00461D74">
        <w:rPr>
          <w:rFonts w:ascii="Garamond" w:hAnsi="Garamond" w:cstheme="minorHAnsi"/>
          <w:sz w:val="24"/>
          <w:szCs w:val="24"/>
        </w:rPr>
        <w:t xml:space="preserve">the kind of </w:t>
      </w:r>
      <w:r w:rsidRPr="00461D74">
        <w:rPr>
          <w:rFonts w:ascii="Garamond" w:hAnsi="Garamond" w:cstheme="minorHAnsi"/>
          <w:sz w:val="24"/>
          <w:szCs w:val="24"/>
        </w:rPr>
        <w:t>state that engenders the space for local communities to have the bottom-up democratic participatory deliberative efforts</w:t>
      </w:r>
      <w:r w:rsidR="00872486" w:rsidRPr="00461D74">
        <w:rPr>
          <w:rFonts w:ascii="Garamond" w:hAnsi="Garamond" w:cstheme="minorHAnsi"/>
          <w:sz w:val="24"/>
          <w:szCs w:val="24"/>
        </w:rPr>
        <w:t>,</w:t>
      </w:r>
      <w:r w:rsidRPr="00461D74">
        <w:rPr>
          <w:rFonts w:ascii="Garamond" w:hAnsi="Garamond" w:cstheme="minorHAnsi"/>
          <w:sz w:val="24"/>
          <w:szCs w:val="24"/>
        </w:rPr>
        <w:t xml:space="preserve"> </w:t>
      </w:r>
      <w:r w:rsidR="00967BC6">
        <w:rPr>
          <w:rFonts w:ascii="Garamond" w:hAnsi="Garamond" w:cstheme="minorHAnsi"/>
          <w:sz w:val="24"/>
          <w:szCs w:val="24"/>
        </w:rPr>
        <w:t>aimed at re</w:t>
      </w:r>
      <w:r w:rsidRPr="00461D74">
        <w:rPr>
          <w:rFonts w:ascii="Garamond" w:hAnsi="Garamond" w:cstheme="minorHAnsi"/>
          <w:sz w:val="24"/>
          <w:szCs w:val="24"/>
        </w:rPr>
        <w:t xml:space="preserve">solving </w:t>
      </w:r>
      <w:r w:rsidR="00872486" w:rsidRPr="00461D74">
        <w:rPr>
          <w:rFonts w:ascii="Garamond" w:hAnsi="Garamond" w:cstheme="minorHAnsi"/>
          <w:sz w:val="24"/>
          <w:szCs w:val="24"/>
        </w:rPr>
        <w:t xml:space="preserve">social and political </w:t>
      </w:r>
      <w:r w:rsidRPr="00461D74">
        <w:rPr>
          <w:rFonts w:ascii="Garamond" w:hAnsi="Garamond" w:cstheme="minorHAnsi"/>
          <w:sz w:val="24"/>
          <w:szCs w:val="24"/>
        </w:rPr>
        <w:t>problems</w:t>
      </w:r>
      <w:r w:rsidR="00872486" w:rsidRPr="00461D74">
        <w:rPr>
          <w:rFonts w:ascii="Garamond" w:hAnsi="Garamond" w:cstheme="minorHAnsi"/>
          <w:sz w:val="24"/>
          <w:szCs w:val="24"/>
        </w:rPr>
        <w:t xml:space="preserve"> at the local level</w:t>
      </w:r>
      <w:r w:rsidRPr="00461D74">
        <w:rPr>
          <w:rFonts w:ascii="Garamond" w:hAnsi="Garamond" w:cstheme="minorHAnsi"/>
          <w:sz w:val="24"/>
          <w:szCs w:val="24"/>
        </w:rPr>
        <w:t xml:space="preserve">. Of course </w:t>
      </w:r>
      <w:r w:rsidR="00967BC6">
        <w:rPr>
          <w:rFonts w:ascii="Garamond" w:hAnsi="Garamond" w:cstheme="minorHAnsi"/>
          <w:sz w:val="24"/>
          <w:szCs w:val="24"/>
        </w:rPr>
        <w:t>at time</w:t>
      </w:r>
      <w:r w:rsidR="00BB4B9D">
        <w:rPr>
          <w:rFonts w:ascii="Garamond" w:hAnsi="Garamond" w:cstheme="minorHAnsi"/>
          <w:sz w:val="24"/>
          <w:szCs w:val="24"/>
        </w:rPr>
        <w:t>s</w:t>
      </w:r>
      <w:r w:rsidR="00967BC6">
        <w:rPr>
          <w:rFonts w:ascii="Garamond" w:hAnsi="Garamond" w:cstheme="minorHAnsi"/>
          <w:sz w:val="24"/>
          <w:szCs w:val="24"/>
        </w:rPr>
        <w:t xml:space="preserve"> </w:t>
      </w:r>
      <w:r w:rsidRPr="00461D74">
        <w:rPr>
          <w:rFonts w:ascii="Garamond" w:hAnsi="Garamond" w:cstheme="minorHAnsi"/>
          <w:sz w:val="24"/>
          <w:szCs w:val="24"/>
        </w:rPr>
        <w:t xml:space="preserve">there </w:t>
      </w:r>
      <w:r w:rsidR="00967BC6">
        <w:rPr>
          <w:rFonts w:ascii="Garamond" w:hAnsi="Garamond" w:cstheme="minorHAnsi"/>
          <w:sz w:val="24"/>
          <w:szCs w:val="24"/>
        </w:rPr>
        <w:t>are bound to be considerations of first-order goods at the state-level which potentially violate neutrality; still,</w:t>
      </w:r>
      <w:r w:rsidRPr="00461D74">
        <w:rPr>
          <w:rFonts w:ascii="Garamond" w:hAnsi="Garamond" w:cstheme="minorHAnsi"/>
          <w:sz w:val="24"/>
          <w:szCs w:val="24"/>
        </w:rPr>
        <w:t xml:space="preserve"> my contention is not that the state must endorse neutrality </w:t>
      </w:r>
      <w:r w:rsidR="00872486" w:rsidRPr="00461D74">
        <w:rPr>
          <w:rFonts w:ascii="Garamond" w:hAnsi="Garamond" w:cstheme="minorHAnsi"/>
          <w:sz w:val="24"/>
          <w:szCs w:val="24"/>
        </w:rPr>
        <w:t>as a panacea.</w:t>
      </w:r>
      <w:r w:rsidRPr="00461D74">
        <w:rPr>
          <w:rFonts w:ascii="Garamond" w:hAnsi="Garamond" w:cstheme="minorHAnsi"/>
          <w:sz w:val="24"/>
          <w:szCs w:val="24"/>
        </w:rPr>
        <w:t xml:space="preserve"> </w:t>
      </w:r>
      <w:r w:rsidR="00872486" w:rsidRPr="00461D74">
        <w:rPr>
          <w:rFonts w:ascii="Garamond" w:hAnsi="Garamond" w:cstheme="minorHAnsi"/>
          <w:sz w:val="24"/>
          <w:szCs w:val="24"/>
        </w:rPr>
        <w:t>I</w:t>
      </w:r>
      <w:r w:rsidRPr="00461D74">
        <w:rPr>
          <w:rFonts w:ascii="Garamond" w:hAnsi="Garamond" w:cstheme="minorHAnsi"/>
          <w:sz w:val="24"/>
          <w:szCs w:val="24"/>
        </w:rPr>
        <w:t>nstead</w:t>
      </w:r>
      <w:r w:rsidR="00872486" w:rsidRPr="00461D74">
        <w:rPr>
          <w:rFonts w:ascii="Garamond" w:hAnsi="Garamond" w:cstheme="minorHAnsi"/>
          <w:sz w:val="24"/>
          <w:szCs w:val="24"/>
        </w:rPr>
        <w:t xml:space="preserve">, the kind of </w:t>
      </w:r>
      <w:r w:rsidRPr="00461D74">
        <w:rPr>
          <w:rFonts w:ascii="Garamond" w:hAnsi="Garamond" w:cstheme="minorHAnsi"/>
          <w:sz w:val="24"/>
          <w:szCs w:val="24"/>
        </w:rPr>
        <w:t>state</w:t>
      </w:r>
      <w:r w:rsidR="00872486" w:rsidRPr="00461D74">
        <w:rPr>
          <w:rFonts w:ascii="Garamond" w:hAnsi="Garamond" w:cstheme="minorHAnsi"/>
          <w:sz w:val="24"/>
          <w:szCs w:val="24"/>
        </w:rPr>
        <w:t xml:space="preserve"> I am proposing here </w:t>
      </w:r>
      <w:r w:rsidRPr="00461D74">
        <w:rPr>
          <w:rFonts w:ascii="Garamond" w:hAnsi="Garamond" w:cstheme="minorHAnsi"/>
          <w:sz w:val="24"/>
          <w:szCs w:val="24"/>
        </w:rPr>
        <w:t xml:space="preserve">is more honest and </w:t>
      </w:r>
      <w:r w:rsidR="00967BC6">
        <w:rPr>
          <w:rFonts w:ascii="Garamond" w:hAnsi="Garamond" w:cstheme="minorHAnsi"/>
          <w:sz w:val="24"/>
          <w:szCs w:val="24"/>
        </w:rPr>
        <w:t xml:space="preserve">therefore, </w:t>
      </w:r>
      <w:r w:rsidRPr="00461D74">
        <w:rPr>
          <w:rFonts w:ascii="Garamond" w:hAnsi="Garamond" w:cstheme="minorHAnsi"/>
          <w:sz w:val="24"/>
          <w:szCs w:val="24"/>
        </w:rPr>
        <w:t xml:space="preserve">accepts </w:t>
      </w:r>
      <w:r w:rsidR="00967BC6">
        <w:rPr>
          <w:rFonts w:ascii="Garamond" w:hAnsi="Garamond" w:cstheme="minorHAnsi"/>
          <w:sz w:val="24"/>
          <w:szCs w:val="24"/>
        </w:rPr>
        <w:t>the ways</w:t>
      </w:r>
      <w:r w:rsidRPr="00461D74">
        <w:rPr>
          <w:rFonts w:ascii="Garamond" w:hAnsi="Garamond" w:cstheme="minorHAnsi"/>
          <w:sz w:val="24"/>
          <w:szCs w:val="24"/>
        </w:rPr>
        <w:t xml:space="preserve"> it can </w:t>
      </w:r>
      <w:r w:rsidR="00967BC6">
        <w:rPr>
          <w:rFonts w:ascii="Garamond" w:hAnsi="Garamond" w:cstheme="minorHAnsi"/>
          <w:sz w:val="24"/>
          <w:szCs w:val="24"/>
        </w:rPr>
        <w:t>promote a</w:t>
      </w:r>
      <w:r w:rsidR="00967BC6" w:rsidRPr="00461D74">
        <w:rPr>
          <w:rFonts w:ascii="Garamond" w:hAnsi="Garamond" w:cstheme="minorHAnsi"/>
          <w:sz w:val="24"/>
          <w:szCs w:val="24"/>
        </w:rPr>
        <w:t xml:space="preserve"> </w:t>
      </w:r>
      <w:r w:rsidR="00967BC6">
        <w:rPr>
          <w:rFonts w:ascii="Garamond" w:hAnsi="Garamond" w:cstheme="minorHAnsi"/>
          <w:sz w:val="24"/>
          <w:szCs w:val="24"/>
        </w:rPr>
        <w:t xml:space="preserve">moderate or </w:t>
      </w:r>
      <w:r w:rsidRPr="00461D74">
        <w:rPr>
          <w:rFonts w:ascii="Garamond" w:hAnsi="Garamond" w:cstheme="minorHAnsi"/>
          <w:sz w:val="24"/>
          <w:szCs w:val="24"/>
        </w:rPr>
        <w:t xml:space="preserve">small 'n' </w:t>
      </w:r>
      <w:r w:rsidR="00967BC6">
        <w:rPr>
          <w:rFonts w:ascii="Garamond" w:hAnsi="Garamond" w:cstheme="minorHAnsi"/>
          <w:sz w:val="24"/>
          <w:szCs w:val="24"/>
        </w:rPr>
        <w:t xml:space="preserve">conception of </w:t>
      </w:r>
      <w:r w:rsidRPr="00461D74">
        <w:rPr>
          <w:rFonts w:ascii="Garamond" w:hAnsi="Garamond" w:cstheme="minorHAnsi"/>
          <w:sz w:val="24"/>
          <w:szCs w:val="24"/>
        </w:rPr>
        <w:lastRenderedPageBreak/>
        <w:t>neutral</w:t>
      </w:r>
      <w:r w:rsidR="00967BC6">
        <w:rPr>
          <w:rFonts w:ascii="Garamond" w:hAnsi="Garamond" w:cstheme="minorHAnsi"/>
          <w:sz w:val="24"/>
          <w:szCs w:val="24"/>
        </w:rPr>
        <w:t>ity</w:t>
      </w:r>
      <w:r w:rsidRPr="00461D74">
        <w:rPr>
          <w:rFonts w:ascii="Garamond" w:hAnsi="Garamond" w:cstheme="minorHAnsi"/>
          <w:sz w:val="24"/>
          <w:szCs w:val="24"/>
        </w:rPr>
        <w:t xml:space="preserve">, </w:t>
      </w:r>
      <w:r w:rsidR="00967BC6">
        <w:rPr>
          <w:rFonts w:ascii="Garamond" w:hAnsi="Garamond" w:cstheme="minorHAnsi"/>
          <w:sz w:val="24"/>
          <w:szCs w:val="24"/>
        </w:rPr>
        <w:t>while</w:t>
      </w:r>
      <w:r w:rsidR="00967BC6" w:rsidRPr="00461D74">
        <w:rPr>
          <w:rFonts w:ascii="Garamond" w:hAnsi="Garamond" w:cstheme="minorHAnsi"/>
          <w:sz w:val="24"/>
          <w:szCs w:val="24"/>
        </w:rPr>
        <w:t xml:space="preserve"> </w:t>
      </w:r>
      <w:r w:rsidR="00967BC6">
        <w:rPr>
          <w:rFonts w:ascii="Garamond" w:hAnsi="Garamond" w:cstheme="minorHAnsi"/>
          <w:sz w:val="24"/>
          <w:szCs w:val="24"/>
        </w:rPr>
        <w:t>it simultaneously goes on to specify some of the ways</w:t>
      </w:r>
      <w:r w:rsidR="00967BC6" w:rsidRPr="00461D74">
        <w:rPr>
          <w:rFonts w:ascii="Garamond" w:hAnsi="Garamond" w:cstheme="minorHAnsi"/>
          <w:sz w:val="24"/>
          <w:szCs w:val="24"/>
        </w:rPr>
        <w:t xml:space="preserve"> </w:t>
      </w:r>
      <w:r w:rsidRPr="00461D74">
        <w:rPr>
          <w:rFonts w:ascii="Garamond" w:hAnsi="Garamond" w:cstheme="minorHAnsi"/>
          <w:sz w:val="24"/>
          <w:szCs w:val="24"/>
        </w:rPr>
        <w:t>where it isn't</w:t>
      </w:r>
      <w:r w:rsidR="00872486" w:rsidRPr="00461D74">
        <w:rPr>
          <w:rFonts w:ascii="Garamond" w:hAnsi="Garamond" w:cstheme="minorHAnsi"/>
          <w:sz w:val="24"/>
          <w:szCs w:val="24"/>
        </w:rPr>
        <w:t>,</w:t>
      </w:r>
      <w:r w:rsidRPr="00461D74">
        <w:rPr>
          <w:rFonts w:ascii="Garamond" w:hAnsi="Garamond" w:cstheme="minorHAnsi"/>
          <w:sz w:val="24"/>
          <w:szCs w:val="24"/>
        </w:rPr>
        <w:t xml:space="preserve"> or can’t be</w:t>
      </w:r>
      <w:r w:rsidR="00872486" w:rsidRPr="00461D74">
        <w:rPr>
          <w:rFonts w:ascii="Garamond" w:hAnsi="Garamond" w:cstheme="minorHAnsi"/>
          <w:sz w:val="24"/>
          <w:szCs w:val="24"/>
        </w:rPr>
        <w:t>,</w:t>
      </w:r>
      <w:r w:rsidRPr="00461D74">
        <w:rPr>
          <w:rFonts w:ascii="Garamond" w:hAnsi="Garamond" w:cstheme="minorHAnsi"/>
          <w:sz w:val="24"/>
          <w:szCs w:val="24"/>
        </w:rPr>
        <w:t xml:space="preserve"> neutral, and </w:t>
      </w:r>
      <w:r w:rsidR="00872486" w:rsidRPr="00461D74">
        <w:rPr>
          <w:rFonts w:ascii="Garamond" w:hAnsi="Garamond" w:cstheme="minorHAnsi"/>
          <w:sz w:val="24"/>
          <w:szCs w:val="24"/>
        </w:rPr>
        <w:t xml:space="preserve">offer good reasons as to </w:t>
      </w:r>
      <w:r w:rsidRPr="00461D74">
        <w:rPr>
          <w:rFonts w:ascii="Garamond" w:hAnsi="Garamond" w:cstheme="minorHAnsi"/>
          <w:sz w:val="24"/>
          <w:szCs w:val="24"/>
        </w:rPr>
        <w:t xml:space="preserve">why </w:t>
      </w:r>
      <w:r w:rsidR="00872486" w:rsidRPr="00461D74">
        <w:rPr>
          <w:rFonts w:ascii="Garamond" w:hAnsi="Garamond" w:cstheme="minorHAnsi"/>
          <w:sz w:val="24"/>
          <w:szCs w:val="24"/>
        </w:rPr>
        <w:t xml:space="preserve">neutrality, </w:t>
      </w:r>
      <w:r w:rsidR="00967BC6">
        <w:rPr>
          <w:rFonts w:ascii="Garamond" w:hAnsi="Garamond" w:cstheme="minorHAnsi"/>
          <w:sz w:val="24"/>
          <w:szCs w:val="24"/>
        </w:rPr>
        <w:t xml:space="preserve">at least </w:t>
      </w:r>
      <w:r w:rsidR="00872486" w:rsidRPr="00461D74">
        <w:rPr>
          <w:rFonts w:ascii="Garamond" w:hAnsi="Garamond" w:cstheme="minorHAnsi"/>
          <w:sz w:val="24"/>
          <w:szCs w:val="24"/>
        </w:rPr>
        <w:t>in certain circumstances, could fundamentally undermine important goods.</w:t>
      </w:r>
    </w:p>
    <w:p w:rsidR="00665157" w:rsidRDefault="002674B1">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The kinds of boundary</w:t>
      </w:r>
      <w:r w:rsidR="00882786" w:rsidRPr="00461D74">
        <w:rPr>
          <w:rFonts w:ascii="Garamond" w:hAnsi="Garamond" w:cstheme="minorHAnsi"/>
          <w:sz w:val="24"/>
          <w:szCs w:val="24"/>
        </w:rPr>
        <w:t>-</w:t>
      </w:r>
      <w:r w:rsidRPr="00461D74">
        <w:rPr>
          <w:rFonts w:ascii="Garamond" w:hAnsi="Garamond" w:cstheme="minorHAnsi"/>
          <w:sz w:val="24"/>
          <w:szCs w:val="24"/>
        </w:rPr>
        <w:t xml:space="preserve">setting issues I am proposing here include limitations that restrict </w:t>
      </w:r>
      <w:r w:rsidR="00413FAE">
        <w:rPr>
          <w:rFonts w:ascii="Garamond" w:hAnsi="Garamond" w:cstheme="minorHAnsi"/>
          <w:sz w:val="24"/>
          <w:szCs w:val="24"/>
        </w:rPr>
        <w:t xml:space="preserve">the </w:t>
      </w:r>
      <w:r w:rsidRPr="00461D74">
        <w:rPr>
          <w:rFonts w:ascii="Garamond" w:hAnsi="Garamond" w:cstheme="minorHAnsi"/>
          <w:sz w:val="24"/>
          <w:szCs w:val="24"/>
        </w:rPr>
        <w:t>market</w:t>
      </w:r>
      <w:r w:rsidR="00413FAE">
        <w:rPr>
          <w:rFonts w:ascii="Garamond" w:hAnsi="Garamond" w:cstheme="minorHAnsi"/>
          <w:sz w:val="24"/>
          <w:szCs w:val="24"/>
        </w:rPr>
        <w:t>’s</w:t>
      </w:r>
      <w:r w:rsidRPr="00461D74">
        <w:rPr>
          <w:rFonts w:ascii="Garamond" w:hAnsi="Garamond" w:cstheme="minorHAnsi"/>
          <w:sz w:val="24"/>
          <w:szCs w:val="24"/>
        </w:rPr>
        <w:t xml:space="preserve"> mechanism, </w:t>
      </w:r>
      <w:r w:rsidR="00413FAE">
        <w:rPr>
          <w:rFonts w:ascii="Garamond" w:hAnsi="Garamond" w:cstheme="minorHAnsi"/>
          <w:sz w:val="24"/>
          <w:szCs w:val="24"/>
        </w:rPr>
        <w:t xml:space="preserve">for example </w:t>
      </w:r>
      <w:r w:rsidRPr="00461D74">
        <w:rPr>
          <w:rFonts w:ascii="Garamond" w:hAnsi="Garamond" w:cstheme="minorHAnsi"/>
          <w:sz w:val="24"/>
          <w:szCs w:val="24"/>
        </w:rPr>
        <w:t>when important democratic goods are at stake. By</w:t>
      </w:r>
      <w:r w:rsidR="00016049" w:rsidRPr="00461D74">
        <w:rPr>
          <w:rFonts w:ascii="Garamond" w:hAnsi="Garamond" w:cstheme="minorHAnsi"/>
          <w:sz w:val="24"/>
          <w:szCs w:val="24"/>
        </w:rPr>
        <w:t xml:space="preserve"> setting </w:t>
      </w:r>
      <w:r w:rsidRPr="00461D74">
        <w:rPr>
          <w:rFonts w:ascii="Garamond" w:hAnsi="Garamond" w:cstheme="minorHAnsi"/>
          <w:sz w:val="24"/>
          <w:szCs w:val="24"/>
        </w:rPr>
        <w:t xml:space="preserve">strict boundaries </w:t>
      </w:r>
      <w:r w:rsidR="00597FFA">
        <w:rPr>
          <w:rFonts w:ascii="Garamond" w:hAnsi="Garamond" w:cstheme="minorHAnsi"/>
          <w:sz w:val="24"/>
          <w:szCs w:val="24"/>
        </w:rPr>
        <w:t xml:space="preserve">– boundaries that are nevertheless epistemologically reflexive – </w:t>
      </w:r>
      <w:r w:rsidRPr="00461D74">
        <w:rPr>
          <w:rFonts w:ascii="Garamond" w:hAnsi="Garamond" w:cstheme="minorHAnsi"/>
          <w:sz w:val="24"/>
          <w:szCs w:val="24"/>
        </w:rPr>
        <w:t xml:space="preserve">we can </w:t>
      </w:r>
      <w:r w:rsidR="00016049" w:rsidRPr="00461D74">
        <w:rPr>
          <w:rFonts w:ascii="Garamond" w:hAnsi="Garamond" w:cstheme="minorHAnsi"/>
          <w:sz w:val="24"/>
          <w:szCs w:val="24"/>
        </w:rPr>
        <w:t xml:space="preserve">limit </w:t>
      </w:r>
      <w:r w:rsidRPr="00461D74">
        <w:rPr>
          <w:rFonts w:ascii="Garamond" w:hAnsi="Garamond" w:cstheme="minorHAnsi"/>
          <w:sz w:val="24"/>
          <w:szCs w:val="24"/>
        </w:rPr>
        <w:t xml:space="preserve">market </w:t>
      </w:r>
      <w:r w:rsidR="00016049" w:rsidRPr="00461D74">
        <w:rPr>
          <w:rFonts w:ascii="Garamond" w:hAnsi="Garamond" w:cstheme="minorHAnsi"/>
          <w:sz w:val="24"/>
          <w:szCs w:val="24"/>
        </w:rPr>
        <w:t xml:space="preserve">overreach. </w:t>
      </w:r>
      <w:r w:rsidRPr="00461D74">
        <w:rPr>
          <w:rFonts w:ascii="Garamond" w:hAnsi="Garamond" w:cstheme="minorHAnsi"/>
          <w:sz w:val="24"/>
          <w:szCs w:val="24"/>
        </w:rPr>
        <w:t xml:space="preserve">Here, we </w:t>
      </w:r>
      <w:r w:rsidR="00016049" w:rsidRPr="00461D74">
        <w:rPr>
          <w:rFonts w:ascii="Garamond" w:hAnsi="Garamond" w:cstheme="minorHAnsi"/>
          <w:sz w:val="24"/>
          <w:szCs w:val="24"/>
        </w:rPr>
        <w:t xml:space="preserve">can </w:t>
      </w:r>
      <w:r w:rsidRPr="00461D74">
        <w:rPr>
          <w:rFonts w:ascii="Garamond" w:hAnsi="Garamond" w:cstheme="minorHAnsi"/>
          <w:sz w:val="24"/>
          <w:szCs w:val="24"/>
        </w:rPr>
        <w:t xml:space="preserve">institute </w:t>
      </w:r>
      <w:r w:rsidR="00016049" w:rsidRPr="00461D74">
        <w:rPr>
          <w:rFonts w:ascii="Garamond" w:hAnsi="Garamond" w:cstheme="minorHAnsi"/>
          <w:sz w:val="24"/>
          <w:szCs w:val="24"/>
        </w:rPr>
        <w:t xml:space="preserve">regulatory </w:t>
      </w:r>
      <w:r w:rsidRPr="00461D74">
        <w:rPr>
          <w:rFonts w:ascii="Garamond" w:hAnsi="Garamond" w:cstheme="minorHAnsi"/>
          <w:sz w:val="24"/>
          <w:szCs w:val="24"/>
        </w:rPr>
        <w:t xml:space="preserve">processes </w:t>
      </w:r>
      <w:r w:rsidR="00016049" w:rsidRPr="00461D74">
        <w:rPr>
          <w:rFonts w:ascii="Garamond" w:hAnsi="Garamond" w:cstheme="minorHAnsi"/>
          <w:sz w:val="24"/>
          <w:szCs w:val="24"/>
        </w:rPr>
        <w:t xml:space="preserve">that limit </w:t>
      </w:r>
      <w:r w:rsidRPr="00461D74">
        <w:rPr>
          <w:rFonts w:ascii="Garamond" w:hAnsi="Garamond" w:cstheme="minorHAnsi"/>
          <w:sz w:val="24"/>
          <w:szCs w:val="24"/>
        </w:rPr>
        <w:t xml:space="preserve">market actors, from utilising arguments that tout </w:t>
      </w:r>
      <w:r w:rsidR="00016049" w:rsidRPr="00461D74">
        <w:rPr>
          <w:rFonts w:ascii="Garamond" w:hAnsi="Garamond" w:cstheme="minorHAnsi"/>
          <w:sz w:val="24"/>
          <w:szCs w:val="24"/>
        </w:rPr>
        <w:t>procedural efficiency</w:t>
      </w:r>
      <w:r w:rsidRPr="00461D74">
        <w:rPr>
          <w:rFonts w:ascii="Garamond" w:hAnsi="Garamond" w:cstheme="minorHAnsi"/>
          <w:sz w:val="24"/>
          <w:szCs w:val="24"/>
        </w:rPr>
        <w:t>, at the expense of important goods (or values)</w:t>
      </w:r>
      <w:r w:rsidR="00016049" w:rsidRPr="00461D74">
        <w:rPr>
          <w:rFonts w:ascii="Garamond" w:hAnsi="Garamond" w:cstheme="minorHAnsi"/>
          <w:sz w:val="24"/>
          <w:szCs w:val="24"/>
        </w:rPr>
        <w:t>. Still th</w:t>
      </w:r>
      <w:r w:rsidRPr="00461D74">
        <w:rPr>
          <w:rFonts w:ascii="Garamond" w:hAnsi="Garamond" w:cstheme="minorHAnsi"/>
          <w:sz w:val="24"/>
          <w:szCs w:val="24"/>
        </w:rPr>
        <w:t>is</w:t>
      </w:r>
      <w:r w:rsidR="00016049" w:rsidRPr="00461D74">
        <w:rPr>
          <w:rFonts w:ascii="Garamond" w:hAnsi="Garamond" w:cstheme="minorHAnsi"/>
          <w:sz w:val="24"/>
          <w:szCs w:val="24"/>
        </w:rPr>
        <w:t xml:space="preserve"> process has to be </w:t>
      </w:r>
      <w:proofErr w:type="spellStart"/>
      <w:r w:rsidR="00016049" w:rsidRPr="00461D74">
        <w:rPr>
          <w:rFonts w:ascii="Garamond" w:hAnsi="Garamond" w:cstheme="minorHAnsi"/>
          <w:sz w:val="24"/>
          <w:szCs w:val="24"/>
        </w:rPr>
        <w:t>epistemically</w:t>
      </w:r>
      <w:proofErr w:type="spellEnd"/>
      <w:r w:rsidR="00016049" w:rsidRPr="00461D74">
        <w:rPr>
          <w:rFonts w:ascii="Garamond" w:hAnsi="Garamond" w:cstheme="minorHAnsi"/>
          <w:sz w:val="24"/>
          <w:szCs w:val="24"/>
        </w:rPr>
        <w:t xml:space="preserve"> reflexive</w:t>
      </w:r>
      <w:r w:rsidR="00C0086B">
        <w:rPr>
          <w:rFonts w:ascii="Garamond" w:hAnsi="Garamond" w:cstheme="minorHAnsi"/>
          <w:sz w:val="24"/>
          <w:szCs w:val="24"/>
        </w:rPr>
        <w:t xml:space="preserve"> which means that w</w:t>
      </w:r>
      <w:r w:rsidRPr="00461D74">
        <w:rPr>
          <w:rFonts w:ascii="Garamond" w:hAnsi="Garamond" w:cstheme="minorHAnsi"/>
          <w:sz w:val="24"/>
          <w:szCs w:val="24"/>
        </w:rPr>
        <w:t xml:space="preserve">henever </w:t>
      </w:r>
      <w:r w:rsidR="00016049" w:rsidRPr="00461D74">
        <w:rPr>
          <w:rFonts w:ascii="Garamond" w:hAnsi="Garamond" w:cstheme="minorHAnsi"/>
          <w:sz w:val="24"/>
          <w:szCs w:val="24"/>
        </w:rPr>
        <w:t xml:space="preserve">we find that whatever limits we have </w:t>
      </w:r>
      <w:r w:rsidR="004816D2" w:rsidRPr="00461D74">
        <w:rPr>
          <w:rFonts w:ascii="Garamond" w:hAnsi="Garamond" w:cstheme="minorHAnsi"/>
          <w:sz w:val="24"/>
          <w:szCs w:val="24"/>
        </w:rPr>
        <w:t>introduced are</w:t>
      </w:r>
      <w:r w:rsidR="00016049" w:rsidRPr="00461D74">
        <w:rPr>
          <w:rFonts w:ascii="Garamond" w:hAnsi="Garamond" w:cstheme="minorHAnsi"/>
          <w:sz w:val="24"/>
          <w:szCs w:val="24"/>
        </w:rPr>
        <w:t xml:space="preserve"> inadequate, we </w:t>
      </w:r>
      <w:r w:rsidRPr="00461D74">
        <w:rPr>
          <w:rFonts w:ascii="Garamond" w:hAnsi="Garamond" w:cstheme="minorHAnsi"/>
          <w:sz w:val="24"/>
          <w:szCs w:val="24"/>
        </w:rPr>
        <w:t xml:space="preserve">can </w:t>
      </w:r>
      <w:r w:rsidR="00016049" w:rsidRPr="00461D74">
        <w:rPr>
          <w:rFonts w:ascii="Garamond" w:hAnsi="Garamond" w:cstheme="minorHAnsi"/>
          <w:sz w:val="24"/>
          <w:szCs w:val="24"/>
        </w:rPr>
        <w:t xml:space="preserve">continue </w:t>
      </w:r>
      <w:r w:rsidRPr="00461D74">
        <w:rPr>
          <w:rFonts w:ascii="Garamond" w:hAnsi="Garamond" w:cstheme="minorHAnsi"/>
          <w:sz w:val="24"/>
          <w:szCs w:val="24"/>
        </w:rPr>
        <w:t xml:space="preserve">to </w:t>
      </w:r>
      <w:r w:rsidR="00016049" w:rsidRPr="00461D74">
        <w:rPr>
          <w:rFonts w:ascii="Garamond" w:hAnsi="Garamond" w:cstheme="minorHAnsi"/>
          <w:sz w:val="24"/>
          <w:szCs w:val="24"/>
        </w:rPr>
        <w:t xml:space="preserve">correct </w:t>
      </w:r>
      <w:r w:rsidRPr="00461D74">
        <w:rPr>
          <w:rFonts w:ascii="Garamond" w:hAnsi="Garamond" w:cstheme="minorHAnsi"/>
          <w:sz w:val="24"/>
          <w:szCs w:val="24"/>
        </w:rPr>
        <w:t xml:space="preserve">the various </w:t>
      </w:r>
      <w:r w:rsidR="00016049" w:rsidRPr="00461D74">
        <w:rPr>
          <w:rFonts w:ascii="Garamond" w:hAnsi="Garamond" w:cstheme="minorHAnsi"/>
          <w:sz w:val="24"/>
          <w:szCs w:val="24"/>
        </w:rPr>
        <w:t>input</w:t>
      </w:r>
      <w:r w:rsidRPr="00461D74">
        <w:rPr>
          <w:rFonts w:ascii="Garamond" w:hAnsi="Garamond" w:cstheme="minorHAnsi"/>
          <w:sz w:val="24"/>
          <w:szCs w:val="24"/>
        </w:rPr>
        <w:t xml:space="preserve"> mechanism</w:t>
      </w:r>
      <w:r w:rsidR="00016049" w:rsidRPr="00461D74">
        <w:rPr>
          <w:rFonts w:ascii="Garamond" w:hAnsi="Garamond" w:cstheme="minorHAnsi"/>
          <w:sz w:val="24"/>
          <w:szCs w:val="24"/>
        </w:rPr>
        <w:t>s</w:t>
      </w:r>
      <w:r w:rsidR="004816D2" w:rsidRPr="00461D74">
        <w:rPr>
          <w:rFonts w:ascii="Garamond" w:hAnsi="Garamond" w:cstheme="minorHAnsi"/>
          <w:sz w:val="24"/>
          <w:szCs w:val="24"/>
        </w:rPr>
        <w:t>,</w:t>
      </w:r>
      <w:r w:rsidR="00016049" w:rsidRPr="00461D74">
        <w:rPr>
          <w:rFonts w:ascii="Garamond" w:hAnsi="Garamond" w:cstheme="minorHAnsi"/>
          <w:sz w:val="24"/>
          <w:szCs w:val="24"/>
        </w:rPr>
        <w:t xml:space="preserve"> until we </w:t>
      </w:r>
      <w:r w:rsidR="004816D2" w:rsidRPr="00461D74">
        <w:rPr>
          <w:rFonts w:ascii="Garamond" w:hAnsi="Garamond" w:cstheme="minorHAnsi"/>
          <w:sz w:val="24"/>
          <w:szCs w:val="24"/>
        </w:rPr>
        <w:t>achieve</w:t>
      </w:r>
      <w:r w:rsidRPr="00461D74">
        <w:rPr>
          <w:rFonts w:ascii="Garamond" w:hAnsi="Garamond" w:cstheme="minorHAnsi"/>
          <w:sz w:val="24"/>
          <w:szCs w:val="24"/>
        </w:rPr>
        <w:t xml:space="preserve"> </w:t>
      </w:r>
      <w:r w:rsidR="00016049" w:rsidRPr="00461D74">
        <w:rPr>
          <w:rFonts w:ascii="Garamond" w:hAnsi="Garamond" w:cstheme="minorHAnsi"/>
          <w:sz w:val="24"/>
          <w:szCs w:val="24"/>
        </w:rPr>
        <w:t xml:space="preserve">the right balance. This process naturally can be </w:t>
      </w:r>
      <w:r w:rsidR="004816D2" w:rsidRPr="00461D74">
        <w:rPr>
          <w:rFonts w:ascii="Garamond" w:hAnsi="Garamond" w:cstheme="minorHAnsi"/>
          <w:sz w:val="24"/>
          <w:szCs w:val="24"/>
        </w:rPr>
        <w:t>reversed when the outcomes generate unintended negative consequences</w:t>
      </w:r>
      <w:r w:rsidR="00016049" w:rsidRPr="00461D74">
        <w:rPr>
          <w:rFonts w:ascii="Garamond" w:hAnsi="Garamond" w:cstheme="minorHAnsi"/>
          <w:sz w:val="24"/>
          <w:szCs w:val="24"/>
        </w:rPr>
        <w:t>. So for example</w:t>
      </w:r>
      <w:r w:rsidR="00BB4B9D">
        <w:rPr>
          <w:rFonts w:ascii="Garamond" w:hAnsi="Garamond" w:cstheme="minorHAnsi"/>
          <w:sz w:val="24"/>
          <w:szCs w:val="24"/>
        </w:rPr>
        <w:t>,</w:t>
      </w:r>
      <w:r w:rsidR="00016049" w:rsidRPr="00461D74">
        <w:rPr>
          <w:rFonts w:ascii="Garamond" w:hAnsi="Garamond" w:cstheme="minorHAnsi"/>
          <w:sz w:val="24"/>
          <w:szCs w:val="24"/>
        </w:rPr>
        <w:t xml:space="preserve"> if well-off communities fail to share their resources with poorer communities, we </w:t>
      </w:r>
      <w:r w:rsidR="003860D4" w:rsidRPr="00461D74">
        <w:rPr>
          <w:rFonts w:ascii="Garamond" w:hAnsi="Garamond" w:cstheme="minorHAnsi"/>
          <w:sz w:val="24"/>
          <w:szCs w:val="24"/>
        </w:rPr>
        <w:t xml:space="preserve">ought to use </w:t>
      </w:r>
      <w:r w:rsidR="00016049" w:rsidRPr="00461D74">
        <w:rPr>
          <w:rFonts w:ascii="Garamond" w:hAnsi="Garamond" w:cstheme="minorHAnsi"/>
          <w:sz w:val="24"/>
          <w:szCs w:val="24"/>
        </w:rPr>
        <w:t xml:space="preserve">democratic </w:t>
      </w:r>
      <w:r w:rsidR="003860D4" w:rsidRPr="00461D74">
        <w:rPr>
          <w:rFonts w:ascii="Garamond" w:hAnsi="Garamond" w:cstheme="minorHAnsi"/>
          <w:sz w:val="24"/>
          <w:szCs w:val="24"/>
        </w:rPr>
        <w:t xml:space="preserve">processes at the level of the state, to initiate the required </w:t>
      </w:r>
      <w:r w:rsidR="00016049" w:rsidRPr="00461D74">
        <w:rPr>
          <w:rFonts w:ascii="Garamond" w:hAnsi="Garamond" w:cstheme="minorHAnsi"/>
          <w:sz w:val="24"/>
          <w:szCs w:val="24"/>
        </w:rPr>
        <w:t>correction</w:t>
      </w:r>
      <w:r w:rsidR="003860D4" w:rsidRPr="00461D74">
        <w:rPr>
          <w:rFonts w:ascii="Garamond" w:hAnsi="Garamond" w:cstheme="minorHAnsi"/>
          <w:sz w:val="24"/>
          <w:szCs w:val="24"/>
        </w:rPr>
        <w:t>s</w:t>
      </w:r>
      <w:r w:rsidR="00016049" w:rsidRPr="00461D74">
        <w:rPr>
          <w:rFonts w:ascii="Garamond" w:hAnsi="Garamond" w:cstheme="minorHAnsi"/>
          <w:sz w:val="24"/>
          <w:szCs w:val="24"/>
        </w:rPr>
        <w:t xml:space="preserve"> that override the tendencies of </w:t>
      </w:r>
      <w:r w:rsidR="003860D4" w:rsidRPr="00461D74">
        <w:rPr>
          <w:rFonts w:ascii="Garamond" w:hAnsi="Garamond" w:cstheme="minorHAnsi"/>
          <w:sz w:val="24"/>
          <w:szCs w:val="24"/>
        </w:rPr>
        <w:t xml:space="preserve">local </w:t>
      </w:r>
      <w:r w:rsidR="00016049" w:rsidRPr="00461D74">
        <w:rPr>
          <w:rFonts w:ascii="Garamond" w:hAnsi="Garamond" w:cstheme="minorHAnsi"/>
          <w:sz w:val="24"/>
          <w:szCs w:val="24"/>
        </w:rPr>
        <w:t xml:space="preserve">communities </w:t>
      </w:r>
      <w:r w:rsidR="003860D4" w:rsidRPr="00461D74">
        <w:rPr>
          <w:rFonts w:ascii="Garamond" w:hAnsi="Garamond" w:cstheme="minorHAnsi"/>
          <w:sz w:val="24"/>
          <w:szCs w:val="24"/>
        </w:rPr>
        <w:t xml:space="preserve">that </w:t>
      </w:r>
      <w:r w:rsidR="00016049" w:rsidRPr="00461D74">
        <w:rPr>
          <w:rFonts w:ascii="Garamond" w:hAnsi="Garamond" w:cstheme="minorHAnsi"/>
          <w:sz w:val="24"/>
          <w:szCs w:val="24"/>
        </w:rPr>
        <w:t>obstruct desirable outcomes. Th</w:t>
      </w:r>
      <w:r w:rsidR="003860D4" w:rsidRPr="00461D74">
        <w:rPr>
          <w:rFonts w:ascii="Garamond" w:hAnsi="Garamond" w:cstheme="minorHAnsi"/>
          <w:sz w:val="24"/>
          <w:szCs w:val="24"/>
        </w:rPr>
        <w:t xml:space="preserve">e pragmatist </w:t>
      </w:r>
      <w:r w:rsidR="00016049" w:rsidRPr="00461D74">
        <w:rPr>
          <w:rFonts w:ascii="Garamond" w:hAnsi="Garamond" w:cstheme="minorHAnsi"/>
          <w:sz w:val="24"/>
          <w:szCs w:val="24"/>
        </w:rPr>
        <w:t xml:space="preserve">approach, </w:t>
      </w:r>
      <w:r w:rsidR="003860D4" w:rsidRPr="00461D74">
        <w:rPr>
          <w:rFonts w:ascii="Garamond" w:hAnsi="Garamond" w:cstheme="minorHAnsi"/>
          <w:sz w:val="24"/>
          <w:szCs w:val="24"/>
        </w:rPr>
        <w:t>at its heart</w:t>
      </w:r>
      <w:r w:rsidR="00016049" w:rsidRPr="00461D74">
        <w:rPr>
          <w:rFonts w:ascii="Garamond" w:hAnsi="Garamond" w:cstheme="minorHAnsi"/>
          <w:sz w:val="24"/>
          <w:szCs w:val="24"/>
        </w:rPr>
        <w:t xml:space="preserve">, is all about processes and procedures that are reflexive to </w:t>
      </w:r>
      <w:r w:rsidR="003860D4" w:rsidRPr="00461D74">
        <w:rPr>
          <w:rFonts w:ascii="Garamond" w:hAnsi="Garamond" w:cstheme="minorHAnsi"/>
          <w:sz w:val="24"/>
          <w:szCs w:val="24"/>
        </w:rPr>
        <w:t>the problems that emerge as part of our social and political life</w:t>
      </w:r>
      <w:r w:rsidR="00016049" w:rsidRPr="00461D74">
        <w:rPr>
          <w:rFonts w:ascii="Garamond" w:hAnsi="Garamond" w:cstheme="minorHAnsi"/>
          <w:sz w:val="24"/>
          <w:szCs w:val="24"/>
        </w:rPr>
        <w:t>.</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We then supplement the above processes with an ongoing inter-</w:t>
      </w:r>
      <w:r w:rsidR="003860D4" w:rsidRPr="00461D74">
        <w:rPr>
          <w:rFonts w:ascii="Garamond" w:hAnsi="Garamond" w:cstheme="minorHAnsi"/>
          <w:sz w:val="24"/>
          <w:szCs w:val="24"/>
        </w:rPr>
        <w:t>,</w:t>
      </w:r>
      <w:r w:rsidRPr="00461D74">
        <w:rPr>
          <w:rFonts w:ascii="Garamond" w:hAnsi="Garamond" w:cstheme="minorHAnsi"/>
          <w:sz w:val="24"/>
          <w:szCs w:val="24"/>
        </w:rPr>
        <w:t xml:space="preserve"> or trans-community</w:t>
      </w:r>
      <w:r w:rsidR="003860D4" w:rsidRPr="00461D74">
        <w:rPr>
          <w:rFonts w:ascii="Garamond" w:hAnsi="Garamond" w:cstheme="minorHAnsi"/>
          <w:sz w:val="24"/>
          <w:szCs w:val="24"/>
        </w:rPr>
        <w:t>,</w:t>
      </w:r>
      <w:r w:rsidRPr="00461D74">
        <w:rPr>
          <w:rFonts w:ascii="Garamond" w:hAnsi="Garamond" w:cstheme="minorHAnsi"/>
          <w:sz w:val="24"/>
          <w:szCs w:val="24"/>
        </w:rPr>
        <w:t xml:space="preserve"> dialogue in a way that offers different communities the ability to share resources and help each other. Without such a dialogue any account of distributive justice will suffer. </w:t>
      </w:r>
      <w:r w:rsidR="003627EF" w:rsidRPr="00461D74">
        <w:rPr>
          <w:rFonts w:ascii="Garamond" w:hAnsi="Garamond" w:cstheme="minorHAnsi"/>
          <w:sz w:val="24"/>
          <w:szCs w:val="24"/>
        </w:rPr>
        <w:t>Therefore,</w:t>
      </w:r>
      <w:r w:rsidRPr="00461D74">
        <w:rPr>
          <w:rFonts w:ascii="Garamond" w:hAnsi="Garamond" w:cstheme="minorHAnsi"/>
          <w:sz w:val="24"/>
          <w:szCs w:val="24"/>
        </w:rPr>
        <w:t xml:space="preserve"> we will need </w:t>
      </w:r>
      <w:r w:rsidR="003627EF" w:rsidRPr="00461D74">
        <w:rPr>
          <w:rFonts w:ascii="Garamond" w:hAnsi="Garamond" w:cstheme="minorHAnsi"/>
          <w:sz w:val="24"/>
          <w:szCs w:val="24"/>
        </w:rPr>
        <w:t xml:space="preserve">an </w:t>
      </w:r>
      <w:r w:rsidRPr="00461D74">
        <w:rPr>
          <w:rFonts w:ascii="Garamond" w:hAnsi="Garamond" w:cstheme="minorHAnsi"/>
          <w:sz w:val="24"/>
          <w:szCs w:val="24"/>
        </w:rPr>
        <w:t xml:space="preserve">account of distributive justice </w:t>
      </w:r>
      <w:r w:rsidR="003627EF" w:rsidRPr="00461D74">
        <w:rPr>
          <w:rFonts w:ascii="Garamond" w:hAnsi="Garamond" w:cstheme="minorHAnsi"/>
          <w:sz w:val="24"/>
          <w:szCs w:val="24"/>
        </w:rPr>
        <w:t>that enables effective sharing of</w:t>
      </w:r>
      <w:r w:rsidRPr="00461D74">
        <w:rPr>
          <w:rFonts w:ascii="Garamond" w:hAnsi="Garamond" w:cstheme="minorHAnsi"/>
          <w:sz w:val="24"/>
          <w:szCs w:val="24"/>
        </w:rPr>
        <w:t xml:space="preserve"> resources within a community</w:t>
      </w:r>
      <w:r w:rsidR="003627EF" w:rsidRPr="00461D74">
        <w:rPr>
          <w:rFonts w:ascii="Garamond" w:hAnsi="Garamond" w:cstheme="minorHAnsi"/>
          <w:sz w:val="24"/>
          <w:szCs w:val="24"/>
        </w:rPr>
        <w:t>,</w:t>
      </w:r>
      <w:r w:rsidRPr="00461D74">
        <w:rPr>
          <w:rFonts w:ascii="Garamond" w:hAnsi="Garamond" w:cstheme="minorHAnsi"/>
          <w:sz w:val="24"/>
          <w:szCs w:val="24"/>
        </w:rPr>
        <w:t xml:space="preserve"> and between </w:t>
      </w:r>
      <w:r w:rsidR="003627EF" w:rsidRPr="00461D74">
        <w:rPr>
          <w:rFonts w:ascii="Garamond" w:hAnsi="Garamond" w:cstheme="minorHAnsi"/>
          <w:sz w:val="24"/>
          <w:szCs w:val="24"/>
        </w:rPr>
        <w:t xml:space="preserve">different </w:t>
      </w:r>
      <w:r w:rsidRPr="00461D74">
        <w:rPr>
          <w:rFonts w:ascii="Garamond" w:hAnsi="Garamond" w:cstheme="minorHAnsi"/>
          <w:sz w:val="24"/>
          <w:szCs w:val="24"/>
        </w:rPr>
        <w:t xml:space="preserve">communities. In addition, some communities, cities, </w:t>
      </w:r>
      <w:r w:rsidR="003627EF" w:rsidRPr="00461D74">
        <w:rPr>
          <w:rFonts w:ascii="Garamond" w:hAnsi="Garamond" w:cstheme="minorHAnsi"/>
          <w:sz w:val="24"/>
          <w:szCs w:val="24"/>
        </w:rPr>
        <w:t xml:space="preserve">and </w:t>
      </w:r>
      <w:r w:rsidRPr="00461D74">
        <w:rPr>
          <w:rFonts w:ascii="Garamond" w:hAnsi="Garamond" w:cstheme="minorHAnsi"/>
          <w:sz w:val="24"/>
          <w:szCs w:val="24"/>
        </w:rPr>
        <w:t xml:space="preserve">regions, produce or contribute important external goods that are important </w:t>
      </w:r>
      <w:r w:rsidR="003627EF" w:rsidRPr="00461D74">
        <w:rPr>
          <w:rFonts w:ascii="Garamond" w:hAnsi="Garamond" w:cstheme="minorHAnsi"/>
          <w:sz w:val="24"/>
          <w:szCs w:val="24"/>
        </w:rPr>
        <w:t xml:space="preserve">to the overall efforts of the state, yet </w:t>
      </w:r>
      <w:r w:rsidRPr="00461D74">
        <w:rPr>
          <w:rFonts w:ascii="Garamond" w:hAnsi="Garamond" w:cstheme="minorHAnsi"/>
          <w:sz w:val="24"/>
          <w:szCs w:val="24"/>
        </w:rPr>
        <w:t xml:space="preserve">the preponderance of </w:t>
      </w:r>
      <w:r w:rsidR="003627EF" w:rsidRPr="00461D74">
        <w:rPr>
          <w:rFonts w:ascii="Garamond" w:hAnsi="Garamond" w:cstheme="minorHAnsi"/>
          <w:sz w:val="24"/>
          <w:szCs w:val="24"/>
        </w:rPr>
        <w:t xml:space="preserve">these </w:t>
      </w:r>
      <w:r w:rsidRPr="00461D74">
        <w:rPr>
          <w:rFonts w:ascii="Garamond" w:hAnsi="Garamond" w:cstheme="minorHAnsi"/>
          <w:sz w:val="24"/>
          <w:szCs w:val="24"/>
        </w:rPr>
        <w:t>activities</w:t>
      </w:r>
      <w:r w:rsidR="003627EF" w:rsidRPr="00461D74">
        <w:rPr>
          <w:rFonts w:ascii="Garamond" w:hAnsi="Garamond" w:cstheme="minorHAnsi"/>
          <w:sz w:val="24"/>
          <w:szCs w:val="24"/>
        </w:rPr>
        <w:t xml:space="preserve"> over time can generate undesirable </w:t>
      </w:r>
      <w:r w:rsidR="003627EF" w:rsidRPr="00461D74">
        <w:rPr>
          <w:rFonts w:ascii="Garamond" w:hAnsi="Garamond" w:cstheme="minorHAnsi"/>
          <w:sz w:val="24"/>
          <w:szCs w:val="24"/>
        </w:rPr>
        <w:lastRenderedPageBreak/>
        <w:t>outcomes</w:t>
      </w:r>
      <w:r w:rsidRPr="00461D74">
        <w:rPr>
          <w:rFonts w:ascii="Garamond" w:hAnsi="Garamond" w:cstheme="minorHAnsi"/>
          <w:sz w:val="24"/>
          <w:szCs w:val="24"/>
        </w:rPr>
        <w:t>.</w:t>
      </w:r>
      <w:r w:rsidR="003627EF" w:rsidRPr="00461D74">
        <w:rPr>
          <w:rStyle w:val="FootnoteReference"/>
          <w:rFonts w:ascii="Garamond" w:hAnsi="Garamond" w:cstheme="minorHAnsi"/>
          <w:sz w:val="24"/>
          <w:szCs w:val="24"/>
        </w:rPr>
        <w:footnoteReference w:id="441"/>
      </w:r>
      <w:r w:rsidR="003627EF" w:rsidRPr="00461D74">
        <w:rPr>
          <w:rFonts w:ascii="Garamond" w:hAnsi="Garamond" w:cstheme="minorHAnsi"/>
          <w:sz w:val="24"/>
          <w:szCs w:val="24"/>
        </w:rPr>
        <w:t xml:space="preserve"> Therefore the negative burden that these outcomes pose has to be shared between different communities. </w:t>
      </w:r>
      <w:r w:rsidRPr="00461D74">
        <w:rPr>
          <w:rFonts w:ascii="Garamond" w:hAnsi="Garamond" w:cstheme="minorHAnsi"/>
          <w:sz w:val="24"/>
          <w:szCs w:val="24"/>
        </w:rPr>
        <w:t>In the end</w:t>
      </w:r>
      <w:r w:rsidR="00BB4B9D">
        <w:rPr>
          <w:rFonts w:ascii="Garamond" w:hAnsi="Garamond" w:cstheme="minorHAnsi"/>
          <w:sz w:val="24"/>
          <w:szCs w:val="24"/>
        </w:rPr>
        <w:t>,</w:t>
      </w:r>
      <w:r w:rsidRPr="00461D74">
        <w:rPr>
          <w:rFonts w:ascii="Garamond" w:hAnsi="Garamond" w:cstheme="minorHAnsi"/>
          <w:sz w:val="24"/>
          <w:szCs w:val="24"/>
        </w:rPr>
        <w:t xml:space="preserve"> the right balance has to come through </w:t>
      </w:r>
      <w:r w:rsidR="003627EF" w:rsidRPr="00461D74">
        <w:rPr>
          <w:rFonts w:ascii="Garamond" w:hAnsi="Garamond" w:cstheme="minorHAnsi"/>
          <w:sz w:val="24"/>
          <w:szCs w:val="24"/>
        </w:rPr>
        <w:t xml:space="preserve">publicly pursued </w:t>
      </w:r>
      <w:r w:rsidRPr="00461D74">
        <w:rPr>
          <w:rFonts w:ascii="Garamond" w:hAnsi="Garamond" w:cstheme="minorHAnsi"/>
          <w:sz w:val="24"/>
          <w:szCs w:val="24"/>
        </w:rPr>
        <w:t xml:space="preserve">empirical </w:t>
      </w:r>
      <w:r w:rsidR="003627EF" w:rsidRPr="00461D74">
        <w:rPr>
          <w:rFonts w:ascii="Garamond" w:hAnsi="Garamond" w:cstheme="minorHAnsi"/>
          <w:sz w:val="24"/>
          <w:szCs w:val="24"/>
        </w:rPr>
        <w:t xml:space="preserve">inquiry </w:t>
      </w:r>
      <w:r w:rsidRPr="00461D74">
        <w:rPr>
          <w:rFonts w:ascii="Garamond" w:hAnsi="Garamond" w:cstheme="minorHAnsi"/>
          <w:sz w:val="24"/>
          <w:szCs w:val="24"/>
        </w:rPr>
        <w:t xml:space="preserve">that </w:t>
      </w:r>
      <w:r w:rsidR="00C372D7">
        <w:rPr>
          <w:rFonts w:ascii="Garamond" w:hAnsi="Garamond" w:cstheme="minorHAnsi"/>
          <w:sz w:val="24"/>
          <w:szCs w:val="24"/>
        </w:rPr>
        <w:t>carefully considers</w:t>
      </w:r>
      <w:r w:rsidR="003627EF" w:rsidRPr="00461D74">
        <w:rPr>
          <w:rFonts w:ascii="Garamond" w:hAnsi="Garamond" w:cstheme="minorHAnsi"/>
          <w:sz w:val="24"/>
          <w:szCs w:val="24"/>
        </w:rPr>
        <w:t xml:space="preserve"> </w:t>
      </w:r>
      <w:r w:rsidRPr="00461D74">
        <w:rPr>
          <w:rFonts w:ascii="Garamond" w:hAnsi="Garamond" w:cstheme="minorHAnsi"/>
          <w:sz w:val="24"/>
          <w:szCs w:val="24"/>
        </w:rPr>
        <w:t xml:space="preserve">the effects of various policies and procedures. </w:t>
      </w:r>
      <w:r w:rsidR="003627EF" w:rsidRPr="00461D74">
        <w:rPr>
          <w:rFonts w:ascii="Garamond" w:hAnsi="Garamond" w:cstheme="minorHAnsi"/>
          <w:sz w:val="24"/>
          <w:szCs w:val="24"/>
        </w:rPr>
        <w:t xml:space="preserve">Here, </w:t>
      </w:r>
      <w:r w:rsidRPr="00461D74">
        <w:rPr>
          <w:rFonts w:ascii="Garamond" w:hAnsi="Garamond" w:cstheme="minorHAnsi"/>
          <w:sz w:val="24"/>
          <w:szCs w:val="24"/>
        </w:rPr>
        <w:t xml:space="preserve">the state </w:t>
      </w:r>
      <w:r w:rsidR="003627EF" w:rsidRPr="00461D74">
        <w:rPr>
          <w:rFonts w:ascii="Garamond" w:hAnsi="Garamond" w:cstheme="minorHAnsi"/>
          <w:sz w:val="24"/>
          <w:szCs w:val="24"/>
        </w:rPr>
        <w:t xml:space="preserve">is best positioned to </w:t>
      </w:r>
      <w:r w:rsidRPr="00461D74">
        <w:rPr>
          <w:rFonts w:ascii="Garamond" w:hAnsi="Garamond" w:cstheme="minorHAnsi"/>
          <w:sz w:val="24"/>
          <w:szCs w:val="24"/>
        </w:rPr>
        <w:t xml:space="preserve">facilitate dialogue between communities </w:t>
      </w:r>
      <w:r w:rsidR="003627EF" w:rsidRPr="00461D74">
        <w:rPr>
          <w:rFonts w:ascii="Garamond" w:hAnsi="Garamond" w:cstheme="minorHAnsi"/>
          <w:sz w:val="24"/>
          <w:szCs w:val="24"/>
        </w:rPr>
        <w:t>to ensure fair distribution of both resources, as well as the collective responsibility of managing sub-optimal outcomes</w:t>
      </w:r>
      <w:r w:rsidRPr="00461D74">
        <w:rPr>
          <w:rFonts w:ascii="Garamond" w:hAnsi="Garamond" w:cstheme="minorHAnsi"/>
          <w:sz w:val="24"/>
          <w:szCs w:val="24"/>
        </w:rPr>
        <w:t xml:space="preserve">. </w:t>
      </w:r>
      <w:r w:rsidR="003627EF" w:rsidRPr="00461D74">
        <w:rPr>
          <w:rFonts w:ascii="Garamond" w:hAnsi="Garamond" w:cstheme="minorHAnsi"/>
          <w:sz w:val="24"/>
          <w:szCs w:val="24"/>
        </w:rPr>
        <w:t xml:space="preserve">The above is an example of the kind of democratic </w:t>
      </w:r>
      <w:r w:rsidR="008E49B6" w:rsidRPr="00461D74">
        <w:rPr>
          <w:rFonts w:ascii="Garamond" w:hAnsi="Garamond" w:cstheme="minorHAnsi"/>
          <w:sz w:val="24"/>
          <w:szCs w:val="24"/>
        </w:rPr>
        <w:t xml:space="preserve">processes that are essentially </w:t>
      </w:r>
      <w:proofErr w:type="spellStart"/>
      <w:r w:rsidRPr="00461D74">
        <w:rPr>
          <w:rFonts w:ascii="Garamond" w:hAnsi="Garamond" w:cstheme="minorHAnsi"/>
          <w:sz w:val="24"/>
          <w:szCs w:val="24"/>
        </w:rPr>
        <w:t>epistemically</w:t>
      </w:r>
      <w:proofErr w:type="spellEnd"/>
      <w:r w:rsidRPr="00461D74">
        <w:rPr>
          <w:rFonts w:ascii="Garamond" w:hAnsi="Garamond" w:cstheme="minorHAnsi"/>
          <w:sz w:val="24"/>
          <w:szCs w:val="24"/>
        </w:rPr>
        <w:t xml:space="preserve"> reflexive. </w:t>
      </w:r>
    </w:p>
    <w:p w:rsidR="00665157" w:rsidRDefault="00263DE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I</w:t>
      </w:r>
      <w:r w:rsidR="00016049" w:rsidRPr="00461D74">
        <w:rPr>
          <w:rFonts w:ascii="Garamond" w:hAnsi="Garamond" w:cstheme="minorHAnsi"/>
          <w:sz w:val="24"/>
          <w:szCs w:val="24"/>
        </w:rPr>
        <w:t xml:space="preserve">n my view, the sort of alternative politics I have </w:t>
      </w:r>
      <w:r w:rsidR="008E49B6" w:rsidRPr="00461D74">
        <w:rPr>
          <w:rFonts w:ascii="Garamond" w:hAnsi="Garamond" w:cstheme="minorHAnsi"/>
          <w:sz w:val="24"/>
          <w:szCs w:val="24"/>
        </w:rPr>
        <w:t>outlined thus far</w:t>
      </w:r>
      <w:r w:rsidR="00016049" w:rsidRPr="00461D74">
        <w:rPr>
          <w:rFonts w:ascii="Garamond" w:hAnsi="Garamond" w:cstheme="minorHAnsi"/>
          <w:sz w:val="24"/>
          <w:szCs w:val="24"/>
        </w:rPr>
        <w:t xml:space="preserve"> </w:t>
      </w:r>
      <w:r w:rsidR="008E49B6" w:rsidRPr="00461D74">
        <w:rPr>
          <w:rFonts w:ascii="Garamond" w:hAnsi="Garamond" w:cstheme="minorHAnsi"/>
          <w:sz w:val="24"/>
          <w:szCs w:val="24"/>
        </w:rPr>
        <w:t xml:space="preserve">possesses </w:t>
      </w:r>
      <w:r w:rsidR="00016049" w:rsidRPr="00461D74">
        <w:rPr>
          <w:rFonts w:ascii="Garamond" w:hAnsi="Garamond" w:cstheme="minorHAnsi"/>
          <w:sz w:val="24"/>
          <w:szCs w:val="24"/>
        </w:rPr>
        <w:t xml:space="preserve">an additional advantage. In addition to relieving the various tensions </w:t>
      </w:r>
      <w:r w:rsidR="00BB4B9D">
        <w:rPr>
          <w:rFonts w:ascii="Garamond" w:hAnsi="Garamond" w:cstheme="minorHAnsi"/>
          <w:sz w:val="24"/>
          <w:szCs w:val="24"/>
        </w:rPr>
        <w:t>inherent to</w:t>
      </w:r>
      <w:r w:rsidR="00016049" w:rsidRPr="00461D74">
        <w:rPr>
          <w:rFonts w:ascii="Garamond" w:hAnsi="Garamond" w:cstheme="minorHAnsi"/>
          <w:sz w:val="24"/>
          <w:szCs w:val="24"/>
        </w:rPr>
        <w:t xml:space="preserve"> MacIntyre’s account, it has the benefit of being largely </w:t>
      </w:r>
      <w:r w:rsidR="00BB4B9D">
        <w:rPr>
          <w:rFonts w:ascii="Garamond" w:hAnsi="Garamond" w:cstheme="minorHAnsi"/>
          <w:sz w:val="24"/>
          <w:szCs w:val="24"/>
        </w:rPr>
        <w:t>in line</w:t>
      </w:r>
      <w:r w:rsidR="00016049" w:rsidRPr="00461D74">
        <w:rPr>
          <w:rFonts w:ascii="Garamond" w:hAnsi="Garamond" w:cstheme="minorHAnsi"/>
          <w:sz w:val="24"/>
          <w:szCs w:val="24"/>
        </w:rPr>
        <w:t xml:space="preserve"> with his </w:t>
      </w:r>
      <w:r w:rsidR="00BB4B9D">
        <w:rPr>
          <w:rFonts w:ascii="Garamond" w:hAnsi="Garamond" w:cstheme="minorHAnsi"/>
          <w:sz w:val="24"/>
          <w:szCs w:val="24"/>
        </w:rPr>
        <w:t>overall approach</w:t>
      </w:r>
      <w:r w:rsidR="00016049" w:rsidRPr="00461D74">
        <w:rPr>
          <w:rFonts w:ascii="Garamond" w:hAnsi="Garamond" w:cstheme="minorHAnsi"/>
          <w:sz w:val="24"/>
          <w:szCs w:val="24"/>
        </w:rPr>
        <w:t>. Why? Because it carves up a</w:t>
      </w:r>
      <w:r w:rsidR="0057455B" w:rsidRPr="00461D74">
        <w:rPr>
          <w:rFonts w:ascii="Garamond" w:hAnsi="Garamond" w:cstheme="minorHAnsi"/>
          <w:sz w:val="24"/>
          <w:szCs w:val="24"/>
        </w:rPr>
        <w:t>n authentically neutral</w:t>
      </w:r>
      <w:r w:rsidR="00016049" w:rsidRPr="00461D74">
        <w:rPr>
          <w:rFonts w:ascii="Garamond" w:hAnsi="Garamond" w:cstheme="minorHAnsi"/>
          <w:sz w:val="24"/>
          <w:szCs w:val="24"/>
        </w:rPr>
        <w:t xml:space="preserve"> space </w:t>
      </w:r>
      <w:r w:rsidR="0057455B" w:rsidRPr="00461D74">
        <w:rPr>
          <w:rFonts w:ascii="Garamond" w:hAnsi="Garamond" w:cstheme="minorHAnsi"/>
          <w:sz w:val="24"/>
          <w:szCs w:val="24"/>
        </w:rPr>
        <w:t xml:space="preserve">so that </w:t>
      </w:r>
      <w:r w:rsidR="00016049" w:rsidRPr="00461D74">
        <w:rPr>
          <w:rFonts w:ascii="Garamond" w:hAnsi="Garamond" w:cstheme="minorHAnsi"/>
          <w:sz w:val="24"/>
          <w:szCs w:val="24"/>
        </w:rPr>
        <w:t>first-order appeals</w:t>
      </w:r>
      <w:r w:rsidR="0057455B" w:rsidRPr="00461D74">
        <w:rPr>
          <w:rFonts w:ascii="Garamond" w:hAnsi="Garamond" w:cstheme="minorHAnsi"/>
          <w:sz w:val="24"/>
          <w:szCs w:val="24"/>
        </w:rPr>
        <w:t>,</w:t>
      </w:r>
      <w:r w:rsidR="00016049" w:rsidRPr="00461D74">
        <w:rPr>
          <w:rFonts w:ascii="Garamond" w:hAnsi="Garamond" w:cstheme="minorHAnsi"/>
          <w:sz w:val="24"/>
          <w:szCs w:val="24"/>
        </w:rPr>
        <w:t xml:space="preserve"> for </w:t>
      </w:r>
      <w:r w:rsidR="0057455B" w:rsidRPr="00461D74">
        <w:rPr>
          <w:rFonts w:ascii="Garamond" w:hAnsi="Garamond" w:cstheme="minorHAnsi"/>
          <w:sz w:val="24"/>
          <w:szCs w:val="24"/>
        </w:rPr>
        <w:t>(</w:t>
      </w:r>
      <w:r w:rsidR="00016049" w:rsidRPr="00461D74">
        <w:rPr>
          <w:rFonts w:ascii="Garamond" w:hAnsi="Garamond" w:cstheme="minorHAnsi"/>
          <w:sz w:val="24"/>
          <w:szCs w:val="24"/>
        </w:rPr>
        <w:t>and against</w:t>
      </w:r>
      <w:r w:rsidR="0057455B" w:rsidRPr="00461D74">
        <w:rPr>
          <w:rFonts w:ascii="Garamond" w:hAnsi="Garamond" w:cstheme="minorHAnsi"/>
          <w:sz w:val="24"/>
          <w:szCs w:val="24"/>
        </w:rPr>
        <w:t>)</w:t>
      </w:r>
      <w:r w:rsidR="00016049" w:rsidRPr="00461D74">
        <w:rPr>
          <w:rFonts w:ascii="Garamond" w:hAnsi="Garamond" w:cstheme="minorHAnsi"/>
          <w:sz w:val="24"/>
          <w:szCs w:val="24"/>
        </w:rPr>
        <w:t xml:space="preserve"> substantive conceptions of the good, </w:t>
      </w:r>
      <w:r w:rsidR="0057455B" w:rsidRPr="00461D74">
        <w:rPr>
          <w:rFonts w:ascii="Garamond" w:hAnsi="Garamond" w:cstheme="minorHAnsi"/>
          <w:sz w:val="24"/>
          <w:szCs w:val="24"/>
        </w:rPr>
        <w:t xml:space="preserve">can be advanced within the democratic process of local communities. Moreover, the various local communities which together constitute the state are able to effectively manage </w:t>
      </w:r>
      <w:r w:rsidR="00D440D9">
        <w:rPr>
          <w:rFonts w:ascii="Garamond" w:hAnsi="Garamond" w:cstheme="minorHAnsi"/>
          <w:sz w:val="24"/>
          <w:szCs w:val="24"/>
        </w:rPr>
        <w:t>a</w:t>
      </w:r>
      <w:r w:rsidR="00D440D9" w:rsidRPr="00461D74">
        <w:rPr>
          <w:rFonts w:ascii="Garamond" w:hAnsi="Garamond" w:cstheme="minorHAnsi"/>
          <w:sz w:val="24"/>
          <w:szCs w:val="24"/>
        </w:rPr>
        <w:t xml:space="preserve"> </w:t>
      </w:r>
      <w:r w:rsidR="0057455B" w:rsidRPr="00461D74">
        <w:rPr>
          <w:rFonts w:ascii="Garamond" w:hAnsi="Garamond" w:cstheme="minorHAnsi"/>
          <w:sz w:val="24"/>
          <w:szCs w:val="24"/>
        </w:rPr>
        <w:t xml:space="preserve">diverse </w:t>
      </w:r>
      <w:r w:rsidR="00D440D9">
        <w:rPr>
          <w:rFonts w:ascii="Garamond" w:hAnsi="Garamond" w:cstheme="minorHAnsi"/>
          <w:sz w:val="24"/>
          <w:szCs w:val="24"/>
        </w:rPr>
        <w:t>class</w:t>
      </w:r>
      <w:r w:rsidR="00D440D9" w:rsidRPr="00461D74">
        <w:rPr>
          <w:rFonts w:ascii="Garamond" w:hAnsi="Garamond" w:cstheme="minorHAnsi"/>
          <w:sz w:val="24"/>
          <w:szCs w:val="24"/>
        </w:rPr>
        <w:t xml:space="preserve"> </w:t>
      </w:r>
      <w:r w:rsidR="0057455B" w:rsidRPr="00461D74">
        <w:rPr>
          <w:rFonts w:ascii="Garamond" w:hAnsi="Garamond" w:cstheme="minorHAnsi"/>
          <w:sz w:val="24"/>
          <w:szCs w:val="24"/>
        </w:rPr>
        <w:t>of social and political problems that emerge in all communities, and through this mechanism they are able to advance a more complete conception of the common good as a whole.</w:t>
      </w:r>
      <w:r w:rsidR="00016049" w:rsidRPr="00461D74">
        <w:rPr>
          <w:rFonts w:ascii="Garamond" w:hAnsi="Garamond" w:cstheme="minorHAnsi"/>
          <w:sz w:val="24"/>
          <w:szCs w:val="24"/>
        </w:rPr>
        <w:t xml:space="preserve"> </w:t>
      </w:r>
      <w:r w:rsidR="00EB0B42" w:rsidRPr="00461D74">
        <w:rPr>
          <w:rFonts w:ascii="Garamond" w:hAnsi="Garamond" w:cstheme="minorHAnsi"/>
          <w:sz w:val="24"/>
          <w:szCs w:val="24"/>
        </w:rPr>
        <w:t xml:space="preserve">Now, </w:t>
      </w:r>
      <w:r w:rsidR="003D12B5" w:rsidRPr="00461D74">
        <w:rPr>
          <w:rFonts w:ascii="Garamond" w:hAnsi="Garamond"/>
          <w:sz w:val="24"/>
          <w:szCs w:val="24"/>
        </w:rPr>
        <w:t xml:space="preserve">this wider common good is synonymous with Dewey’s secondary conception of the common good, applied to the nation as a whole; yet, </w:t>
      </w:r>
      <w:r w:rsidR="00CF38EA" w:rsidRPr="00CF38EA">
        <w:rPr>
          <w:rFonts w:ascii="Garamond" w:hAnsi="Garamond"/>
          <w:i/>
          <w:sz w:val="24"/>
          <w:szCs w:val="24"/>
        </w:rPr>
        <w:t>the process that generates this secondary notion of the common good is essentially constituted locally, by the way of participation in deliberative democratic procedures, at the local level</w:t>
      </w:r>
      <w:r w:rsidR="003D12B5" w:rsidRPr="00461D74">
        <w:rPr>
          <w:rFonts w:ascii="Garamond" w:hAnsi="Garamond"/>
          <w:sz w:val="24"/>
          <w:szCs w:val="24"/>
        </w:rPr>
        <w:t xml:space="preserve">. </w:t>
      </w:r>
      <w:r w:rsidR="00016049" w:rsidRPr="00461D74">
        <w:rPr>
          <w:rFonts w:ascii="Garamond" w:hAnsi="Garamond" w:cstheme="minorHAnsi"/>
          <w:sz w:val="24"/>
          <w:szCs w:val="24"/>
        </w:rPr>
        <w:t xml:space="preserve">Here local politics generates </w:t>
      </w:r>
      <w:r w:rsidR="00EB0B42"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space </w:t>
      </w:r>
      <w:r w:rsidR="00EB0B42" w:rsidRPr="00461D74">
        <w:rPr>
          <w:rFonts w:ascii="Garamond" w:hAnsi="Garamond" w:cstheme="minorHAnsi"/>
          <w:sz w:val="24"/>
          <w:szCs w:val="24"/>
        </w:rPr>
        <w:t>that empowers communities to adequately address various problems, and thereby advance important substantive goods.</w:t>
      </w:r>
      <w:r w:rsidR="00EB0B42" w:rsidRPr="00461D74">
        <w:rPr>
          <w:rStyle w:val="FootnoteReference"/>
          <w:rFonts w:ascii="Garamond" w:hAnsi="Garamond" w:cstheme="minorHAnsi"/>
          <w:sz w:val="24"/>
          <w:szCs w:val="24"/>
        </w:rPr>
        <w:footnoteReference w:id="442"/>
      </w:r>
    </w:p>
    <w:p w:rsidR="00665157" w:rsidRDefault="0064375F" w:rsidP="0064375F">
      <w:pPr>
        <w:spacing w:line="360" w:lineRule="auto"/>
        <w:ind w:firstLine="720"/>
        <w:jc w:val="both"/>
        <w:rPr>
          <w:rFonts w:ascii="Garamond" w:hAnsi="Garamond" w:cstheme="minorHAnsi"/>
          <w:sz w:val="24"/>
          <w:szCs w:val="24"/>
        </w:rPr>
      </w:pPr>
      <w:r>
        <w:rPr>
          <w:rFonts w:ascii="Garamond" w:hAnsi="Garamond" w:cstheme="minorHAnsi"/>
          <w:sz w:val="24"/>
          <w:szCs w:val="24"/>
        </w:rPr>
        <w:lastRenderedPageBreak/>
        <w:t>Now g</w:t>
      </w:r>
      <w:r w:rsidR="00016049" w:rsidRPr="00461D74">
        <w:rPr>
          <w:rFonts w:ascii="Garamond" w:hAnsi="Garamond" w:cstheme="minorHAnsi"/>
          <w:sz w:val="24"/>
          <w:szCs w:val="24"/>
        </w:rPr>
        <w:t>iven</w:t>
      </w:r>
      <w:r w:rsidR="00023587" w:rsidRPr="00461D74">
        <w:rPr>
          <w:rFonts w:ascii="Garamond" w:hAnsi="Garamond" w:cstheme="minorHAnsi"/>
          <w:sz w:val="24"/>
          <w:szCs w:val="24"/>
        </w:rPr>
        <w:t xml:space="preserve"> </w:t>
      </w:r>
      <w:r>
        <w:rPr>
          <w:rFonts w:ascii="Garamond" w:hAnsi="Garamond" w:cstheme="minorHAnsi"/>
          <w:sz w:val="24"/>
          <w:szCs w:val="24"/>
        </w:rPr>
        <w:t xml:space="preserve">I argued earlier </w:t>
      </w:r>
      <w:r w:rsidR="00016049" w:rsidRPr="00461D74">
        <w:rPr>
          <w:rFonts w:ascii="Garamond" w:hAnsi="Garamond" w:cstheme="minorHAnsi"/>
          <w:sz w:val="24"/>
          <w:szCs w:val="24"/>
        </w:rPr>
        <w:t xml:space="preserve">that MacIntyre believes that the liberal state </w:t>
      </w:r>
      <w:r w:rsidR="00023587" w:rsidRPr="00461D74">
        <w:rPr>
          <w:rFonts w:ascii="Garamond" w:hAnsi="Garamond" w:cstheme="minorHAnsi"/>
          <w:sz w:val="24"/>
          <w:szCs w:val="24"/>
        </w:rPr>
        <w:t xml:space="preserve">ought to be </w:t>
      </w:r>
      <w:r w:rsidR="00016049" w:rsidRPr="00461D74">
        <w:rPr>
          <w:rFonts w:ascii="Garamond" w:hAnsi="Garamond" w:cstheme="minorHAnsi"/>
          <w:sz w:val="24"/>
          <w:szCs w:val="24"/>
        </w:rPr>
        <w:t xml:space="preserve">more neutral than it </w:t>
      </w:r>
      <w:r w:rsidR="00023587" w:rsidRPr="00461D74">
        <w:rPr>
          <w:rFonts w:ascii="Garamond" w:hAnsi="Garamond" w:cstheme="minorHAnsi"/>
          <w:sz w:val="24"/>
          <w:szCs w:val="24"/>
        </w:rPr>
        <w:t xml:space="preserve">actually </w:t>
      </w:r>
      <w:r w:rsidR="00016049" w:rsidRPr="00461D74">
        <w:rPr>
          <w:rFonts w:ascii="Garamond" w:hAnsi="Garamond" w:cstheme="minorHAnsi"/>
          <w:sz w:val="24"/>
          <w:szCs w:val="24"/>
        </w:rPr>
        <w:t xml:space="preserve">is, </w:t>
      </w:r>
      <w:r w:rsidR="00023587" w:rsidRPr="00461D74">
        <w:rPr>
          <w:rFonts w:ascii="Garamond" w:hAnsi="Garamond" w:cstheme="minorHAnsi"/>
          <w:sz w:val="24"/>
          <w:szCs w:val="24"/>
        </w:rPr>
        <w:t>the kind neutrality I am proposing is able to protect individual civil liberties, while at the same time allowing local communities to deal with various issues that affect them. Therefore, the sort of politics I am advocating here can help render the politics in local communities more meaningful</w:t>
      </w:r>
      <w:r w:rsidR="00263DED"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5F4BAC">
        <w:rPr>
          <w:rFonts w:ascii="Garamond" w:hAnsi="Garamond" w:cstheme="minorHAnsi"/>
          <w:sz w:val="24"/>
          <w:szCs w:val="24"/>
        </w:rPr>
        <w:t xml:space="preserve">precisely </w:t>
      </w:r>
      <w:r w:rsidR="00263DED" w:rsidRPr="00461D74">
        <w:rPr>
          <w:rFonts w:ascii="Garamond" w:hAnsi="Garamond" w:cstheme="minorHAnsi"/>
          <w:sz w:val="24"/>
          <w:szCs w:val="24"/>
        </w:rPr>
        <w:t>b</w:t>
      </w:r>
      <w:r w:rsidR="00016049" w:rsidRPr="00461D74">
        <w:rPr>
          <w:rFonts w:ascii="Garamond" w:hAnsi="Garamond" w:cstheme="minorHAnsi"/>
          <w:sz w:val="24"/>
          <w:szCs w:val="24"/>
        </w:rPr>
        <w:t xml:space="preserve">ecause a </w:t>
      </w:r>
      <w:r w:rsidR="00023587" w:rsidRPr="00461D74">
        <w:rPr>
          <w:rFonts w:ascii="Garamond" w:hAnsi="Garamond" w:cstheme="minorHAnsi"/>
          <w:sz w:val="24"/>
          <w:szCs w:val="24"/>
        </w:rPr>
        <w:t xml:space="preserve">state that authentically </w:t>
      </w:r>
      <w:r w:rsidR="005F4BAC">
        <w:rPr>
          <w:rFonts w:ascii="Garamond" w:hAnsi="Garamond" w:cstheme="minorHAnsi"/>
          <w:sz w:val="24"/>
          <w:szCs w:val="24"/>
        </w:rPr>
        <w:t xml:space="preserve">considers and negotiates concerns on </w:t>
      </w:r>
      <w:r w:rsidR="00016049" w:rsidRPr="00461D74">
        <w:rPr>
          <w:rFonts w:ascii="Garamond" w:hAnsi="Garamond" w:cstheme="minorHAnsi"/>
          <w:sz w:val="24"/>
          <w:szCs w:val="24"/>
        </w:rPr>
        <w:t>neutral</w:t>
      </w:r>
      <w:r w:rsidR="005F4BAC">
        <w:rPr>
          <w:rFonts w:ascii="Garamond" w:hAnsi="Garamond" w:cstheme="minorHAnsi"/>
          <w:sz w:val="24"/>
          <w:szCs w:val="24"/>
        </w:rPr>
        <w:t>ity,</w:t>
      </w:r>
      <w:r w:rsidR="00016049" w:rsidRPr="00461D74">
        <w:rPr>
          <w:rFonts w:ascii="Garamond" w:hAnsi="Garamond" w:cstheme="minorHAnsi"/>
          <w:sz w:val="24"/>
          <w:szCs w:val="24"/>
        </w:rPr>
        <w:t xml:space="preserve"> </w:t>
      </w:r>
      <w:r w:rsidR="00023587" w:rsidRPr="00461D74">
        <w:rPr>
          <w:rFonts w:ascii="Garamond" w:hAnsi="Garamond" w:cstheme="minorHAnsi"/>
          <w:sz w:val="24"/>
          <w:szCs w:val="24"/>
        </w:rPr>
        <w:t>remains</w:t>
      </w:r>
      <w:r w:rsidR="00016049" w:rsidRPr="00461D74">
        <w:rPr>
          <w:rFonts w:ascii="Garamond" w:hAnsi="Garamond" w:cstheme="minorHAnsi"/>
          <w:sz w:val="24"/>
          <w:szCs w:val="24"/>
        </w:rPr>
        <w:t xml:space="preserve"> consciously aware that political questions</w:t>
      </w:r>
      <w:r w:rsidR="002E2004">
        <w:rPr>
          <w:rFonts w:ascii="Garamond" w:hAnsi="Garamond" w:cstheme="minorHAnsi"/>
          <w:sz w:val="24"/>
          <w:szCs w:val="24"/>
        </w:rPr>
        <w:t>,</w:t>
      </w:r>
      <w:r w:rsidR="00016049" w:rsidRPr="00461D74">
        <w:rPr>
          <w:rFonts w:ascii="Garamond" w:hAnsi="Garamond" w:cstheme="minorHAnsi"/>
          <w:sz w:val="24"/>
          <w:szCs w:val="24"/>
        </w:rPr>
        <w:t xml:space="preserve"> are often evaluative</w:t>
      </w:r>
      <w:r w:rsidR="00023587" w:rsidRPr="00461D74">
        <w:rPr>
          <w:rFonts w:ascii="Garamond" w:hAnsi="Garamond" w:cstheme="minorHAnsi"/>
          <w:sz w:val="24"/>
          <w:szCs w:val="24"/>
        </w:rPr>
        <w:t xml:space="preserve">. Such a state </w:t>
      </w:r>
      <w:r w:rsidR="00016049" w:rsidRPr="00461D74">
        <w:rPr>
          <w:rFonts w:ascii="Garamond" w:hAnsi="Garamond" w:cstheme="minorHAnsi"/>
          <w:sz w:val="24"/>
          <w:szCs w:val="24"/>
        </w:rPr>
        <w:t xml:space="preserve">will tend to be cautious </w:t>
      </w:r>
      <w:r w:rsidR="00023587" w:rsidRPr="00461D74">
        <w:rPr>
          <w:rFonts w:ascii="Garamond" w:hAnsi="Garamond" w:cstheme="minorHAnsi"/>
          <w:sz w:val="24"/>
          <w:szCs w:val="24"/>
        </w:rPr>
        <w:t xml:space="preserve">and </w:t>
      </w:r>
      <w:r w:rsidR="002F4690" w:rsidRPr="00461D74">
        <w:rPr>
          <w:rFonts w:ascii="Garamond" w:hAnsi="Garamond" w:cstheme="minorHAnsi"/>
          <w:sz w:val="24"/>
          <w:szCs w:val="24"/>
        </w:rPr>
        <w:t>therefore</w:t>
      </w:r>
      <w:r w:rsidR="00023587" w:rsidRPr="00461D74">
        <w:rPr>
          <w:rFonts w:ascii="Garamond" w:hAnsi="Garamond" w:cstheme="minorHAnsi"/>
          <w:sz w:val="24"/>
          <w:szCs w:val="24"/>
        </w:rPr>
        <w:t xml:space="preserve"> refrain from </w:t>
      </w:r>
      <w:r w:rsidR="00016049" w:rsidRPr="00461D74">
        <w:rPr>
          <w:rFonts w:ascii="Garamond" w:hAnsi="Garamond" w:cstheme="minorHAnsi"/>
          <w:sz w:val="24"/>
          <w:szCs w:val="24"/>
        </w:rPr>
        <w:t xml:space="preserve">smuggling in a substantive conception of the good under </w:t>
      </w:r>
      <w:r w:rsidR="00023587" w:rsidRPr="00461D74">
        <w:rPr>
          <w:rFonts w:ascii="Garamond" w:hAnsi="Garamond" w:cstheme="minorHAnsi"/>
          <w:sz w:val="24"/>
          <w:szCs w:val="24"/>
        </w:rPr>
        <w:t>an ostensibly neutral disguise, which ultimately undermines its claim to</w:t>
      </w:r>
      <w:r w:rsidR="002F4690" w:rsidRPr="00461D74">
        <w:rPr>
          <w:rFonts w:ascii="Garamond" w:hAnsi="Garamond" w:cstheme="minorHAnsi"/>
          <w:sz w:val="24"/>
          <w:szCs w:val="24"/>
        </w:rPr>
        <w:t xml:space="preserve"> </w:t>
      </w:r>
      <w:r w:rsidR="00023587" w:rsidRPr="00461D74">
        <w:rPr>
          <w:rFonts w:ascii="Garamond" w:hAnsi="Garamond" w:cstheme="minorHAnsi"/>
          <w:sz w:val="24"/>
          <w:szCs w:val="24"/>
        </w:rPr>
        <w:t>legitimacy</w:t>
      </w:r>
      <w:r w:rsidR="00016049" w:rsidRPr="00461D74">
        <w:rPr>
          <w:rFonts w:ascii="Garamond" w:hAnsi="Garamond" w:cstheme="minorHAnsi"/>
          <w:sz w:val="24"/>
          <w:szCs w:val="24"/>
        </w:rPr>
        <w:t xml:space="preserve">. The hope here is that a more self-aware state will try to realize a </w:t>
      </w:r>
      <w:r w:rsidR="002F4690" w:rsidRPr="00461D74">
        <w:rPr>
          <w:rFonts w:ascii="Garamond" w:hAnsi="Garamond" w:cstheme="minorHAnsi"/>
          <w:sz w:val="24"/>
          <w:szCs w:val="24"/>
        </w:rPr>
        <w:t xml:space="preserve">kind </w:t>
      </w:r>
      <w:r w:rsidR="00016049" w:rsidRPr="00461D74">
        <w:rPr>
          <w:rFonts w:ascii="Garamond" w:hAnsi="Garamond" w:cstheme="minorHAnsi"/>
          <w:sz w:val="24"/>
          <w:szCs w:val="24"/>
        </w:rPr>
        <w:t xml:space="preserve">of </w:t>
      </w:r>
      <w:r w:rsidR="002F4690" w:rsidRPr="00461D74">
        <w:rPr>
          <w:rFonts w:ascii="Garamond" w:hAnsi="Garamond" w:cstheme="minorHAnsi"/>
          <w:sz w:val="24"/>
          <w:szCs w:val="24"/>
        </w:rPr>
        <w:t xml:space="preserve">institutional framework </w:t>
      </w:r>
      <w:r w:rsidR="00016049" w:rsidRPr="00461D74">
        <w:rPr>
          <w:rFonts w:ascii="Garamond" w:hAnsi="Garamond" w:cstheme="minorHAnsi"/>
          <w:sz w:val="24"/>
          <w:szCs w:val="24"/>
        </w:rPr>
        <w:t xml:space="preserve">that </w:t>
      </w:r>
      <w:r w:rsidR="002F4690" w:rsidRPr="00461D74">
        <w:rPr>
          <w:rFonts w:ascii="Garamond" w:hAnsi="Garamond" w:cstheme="minorHAnsi"/>
          <w:sz w:val="24"/>
          <w:szCs w:val="24"/>
        </w:rPr>
        <w:t>remains authentically</w:t>
      </w:r>
      <w:r w:rsidR="00016049" w:rsidRPr="00461D74">
        <w:rPr>
          <w:rFonts w:ascii="Garamond" w:hAnsi="Garamond" w:cstheme="minorHAnsi"/>
          <w:sz w:val="24"/>
          <w:szCs w:val="24"/>
        </w:rPr>
        <w:t xml:space="preserve"> neutral</w:t>
      </w:r>
      <w:r w:rsidR="002F4690" w:rsidRPr="00461D74">
        <w:rPr>
          <w:rFonts w:ascii="Garamond" w:hAnsi="Garamond" w:cstheme="minorHAnsi"/>
          <w:sz w:val="24"/>
          <w:szCs w:val="24"/>
        </w:rPr>
        <w:t>; such as state is then</w:t>
      </w:r>
      <w:r w:rsidR="00016049" w:rsidRPr="00461D74">
        <w:rPr>
          <w:rFonts w:ascii="Garamond" w:hAnsi="Garamond" w:cstheme="minorHAnsi"/>
          <w:sz w:val="24"/>
          <w:szCs w:val="24"/>
        </w:rPr>
        <w:t xml:space="preserve"> better </w:t>
      </w:r>
      <w:r w:rsidR="002F4690" w:rsidRPr="00461D74">
        <w:rPr>
          <w:rFonts w:ascii="Garamond" w:hAnsi="Garamond" w:cstheme="minorHAnsi"/>
          <w:sz w:val="24"/>
          <w:szCs w:val="24"/>
        </w:rPr>
        <w:t xml:space="preserve">positioned </w:t>
      </w:r>
      <w:r w:rsidR="00016049" w:rsidRPr="00461D74">
        <w:rPr>
          <w:rFonts w:ascii="Garamond" w:hAnsi="Garamond" w:cstheme="minorHAnsi"/>
          <w:sz w:val="24"/>
          <w:szCs w:val="24"/>
        </w:rPr>
        <w:t xml:space="preserve">to </w:t>
      </w:r>
      <w:r w:rsidR="002F4690" w:rsidRPr="00461D74">
        <w:rPr>
          <w:rFonts w:ascii="Garamond" w:hAnsi="Garamond" w:cstheme="minorHAnsi"/>
          <w:sz w:val="24"/>
          <w:szCs w:val="24"/>
        </w:rPr>
        <w:t xml:space="preserve">generate the kind </w:t>
      </w:r>
      <w:r w:rsidR="00016049" w:rsidRPr="00461D74">
        <w:rPr>
          <w:rFonts w:ascii="Garamond" w:hAnsi="Garamond" w:cstheme="minorHAnsi"/>
          <w:sz w:val="24"/>
          <w:szCs w:val="24"/>
        </w:rPr>
        <w:t xml:space="preserve">of </w:t>
      </w:r>
      <w:r w:rsidR="002F4690" w:rsidRPr="00461D74">
        <w:rPr>
          <w:rFonts w:ascii="Garamond" w:hAnsi="Garamond" w:cstheme="minorHAnsi"/>
          <w:sz w:val="24"/>
          <w:szCs w:val="24"/>
        </w:rPr>
        <w:t xml:space="preserve">democratic local </w:t>
      </w:r>
      <w:r w:rsidR="00016049" w:rsidRPr="00461D74">
        <w:rPr>
          <w:rFonts w:ascii="Garamond" w:hAnsi="Garamond" w:cstheme="minorHAnsi"/>
          <w:sz w:val="24"/>
          <w:szCs w:val="24"/>
        </w:rPr>
        <w:t xml:space="preserve">politics that is sensitive to </w:t>
      </w:r>
      <w:r w:rsidR="002F4690" w:rsidRPr="00461D74">
        <w:rPr>
          <w:rFonts w:ascii="Garamond" w:hAnsi="Garamond" w:cstheme="minorHAnsi"/>
          <w:sz w:val="24"/>
          <w:szCs w:val="24"/>
        </w:rPr>
        <w:t xml:space="preserve">important </w:t>
      </w:r>
      <w:r w:rsidR="00016049" w:rsidRPr="00461D74">
        <w:rPr>
          <w:rFonts w:ascii="Garamond" w:hAnsi="Garamond" w:cstheme="minorHAnsi"/>
          <w:sz w:val="24"/>
          <w:szCs w:val="24"/>
        </w:rPr>
        <w:t>first-order appeals</w:t>
      </w:r>
      <w:r w:rsidR="002F4690" w:rsidRPr="00461D74">
        <w:rPr>
          <w:rFonts w:ascii="Garamond" w:hAnsi="Garamond" w:cstheme="minorHAnsi"/>
          <w:sz w:val="24"/>
          <w:szCs w:val="24"/>
        </w:rPr>
        <w:t xml:space="preserve"> (as part of the political process), in certain circumstances</w:t>
      </w:r>
      <w:r w:rsidR="00016049" w:rsidRPr="00461D74">
        <w:rPr>
          <w:rFonts w:ascii="Garamond" w:hAnsi="Garamond" w:cstheme="minorHAnsi"/>
          <w:sz w:val="24"/>
          <w:szCs w:val="24"/>
        </w:rPr>
        <w:t>.</w:t>
      </w:r>
    </w:p>
    <w:p w:rsidR="00665157" w:rsidRDefault="00016049" w:rsidP="00397E9B">
      <w:pPr>
        <w:spacing w:line="360" w:lineRule="auto"/>
        <w:ind w:firstLine="720"/>
        <w:jc w:val="both"/>
        <w:rPr>
          <w:rFonts w:ascii="Garamond" w:hAnsi="Garamond" w:cstheme="minorHAnsi"/>
          <w:sz w:val="24"/>
          <w:szCs w:val="24"/>
        </w:rPr>
      </w:pPr>
      <w:r w:rsidRPr="00461D74">
        <w:rPr>
          <w:rFonts w:ascii="Garamond" w:hAnsi="Garamond" w:cstheme="minorHAnsi"/>
          <w:sz w:val="24"/>
          <w:szCs w:val="24"/>
        </w:rPr>
        <w:t>Thus, substantive first-order appeals will have a distinct place in local politics in a way that is different from the standard liberal accounts</w:t>
      </w:r>
      <w:r w:rsidR="002F4690" w:rsidRPr="00461D74">
        <w:rPr>
          <w:rFonts w:ascii="Garamond" w:hAnsi="Garamond" w:cstheme="minorHAnsi"/>
          <w:sz w:val="24"/>
          <w:szCs w:val="24"/>
        </w:rPr>
        <w:t>;</w:t>
      </w:r>
      <w:r w:rsidRPr="00461D74">
        <w:rPr>
          <w:rFonts w:ascii="Garamond" w:hAnsi="Garamond" w:cstheme="minorHAnsi"/>
          <w:sz w:val="24"/>
          <w:szCs w:val="24"/>
        </w:rPr>
        <w:t xml:space="preserve"> </w:t>
      </w:r>
      <w:r w:rsidR="002F4690" w:rsidRPr="00461D74">
        <w:rPr>
          <w:rFonts w:ascii="Garamond" w:hAnsi="Garamond" w:cstheme="minorHAnsi"/>
          <w:sz w:val="24"/>
          <w:szCs w:val="24"/>
        </w:rPr>
        <w:t>nevertheless, our pragmatist account remains</w:t>
      </w:r>
      <w:r w:rsidRPr="00461D74">
        <w:rPr>
          <w:rFonts w:ascii="Garamond" w:hAnsi="Garamond" w:cstheme="minorHAnsi"/>
          <w:sz w:val="24"/>
          <w:szCs w:val="24"/>
        </w:rPr>
        <w:t xml:space="preserve"> broadly in line with </w:t>
      </w:r>
      <w:r w:rsidR="002F4690" w:rsidRPr="00461D74">
        <w:rPr>
          <w:rFonts w:ascii="Garamond" w:hAnsi="Garamond" w:cstheme="minorHAnsi"/>
          <w:sz w:val="24"/>
          <w:szCs w:val="24"/>
        </w:rPr>
        <w:t>MacIntyre’s conception of democratic politics in local communities</w:t>
      </w:r>
      <w:r w:rsidRPr="00461D74">
        <w:rPr>
          <w:rFonts w:ascii="Garamond" w:hAnsi="Garamond" w:cstheme="minorHAnsi"/>
          <w:sz w:val="24"/>
          <w:szCs w:val="24"/>
        </w:rPr>
        <w:t xml:space="preserve">. At the same time a more neutral politics at the state level will not necessarily presuppose an overtly materialist conception of the good. </w:t>
      </w:r>
      <w:r w:rsidR="00102627" w:rsidRPr="00461D74">
        <w:rPr>
          <w:rFonts w:ascii="Garamond" w:hAnsi="Garamond" w:cstheme="minorHAnsi"/>
          <w:sz w:val="24"/>
          <w:szCs w:val="24"/>
        </w:rPr>
        <w:t>Here</w:t>
      </w:r>
      <w:r w:rsidRPr="00461D74">
        <w:rPr>
          <w:rFonts w:ascii="Garamond" w:hAnsi="Garamond" w:cstheme="minorHAnsi"/>
          <w:sz w:val="24"/>
          <w:szCs w:val="24"/>
        </w:rPr>
        <w:t xml:space="preserve">, </w:t>
      </w:r>
      <w:r w:rsidR="00102627" w:rsidRPr="00461D74">
        <w:rPr>
          <w:rFonts w:ascii="Garamond" w:hAnsi="Garamond" w:cstheme="minorHAnsi"/>
          <w:sz w:val="24"/>
          <w:szCs w:val="24"/>
        </w:rPr>
        <w:t xml:space="preserve">the state would end up engendering </w:t>
      </w:r>
      <w:r w:rsidRPr="00461D74">
        <w:rPr>
          <w:rFonts w:ascii="Garamond" w:hAnsi="Garamond" w:cstheme="minorHAnsi"/>
          <w:sz w:val="24"/>
          <w:szCs w:val="24"/>
        </w:rPr>
        <w:t xml:space="preserve">a more egalitarian space for debate and discussion on </w:t>
      </w:r>
      <w:r w:rsidR="00102627" w:rsidRPr="00461D74">
        <w:rPr>
          <w:rFonts w:ascii="Garamond" w:hAnsi="Garamond" w:cstheme="minorHAnsi"/>
          <w:sz w:val="24"/>
          <w:szCs w:val="24"/>
        </w:rPr>
        <w:t>the proper ordering of various substantive goods that are important to the social and political life of different communities, as well the state as a whole.</w:t>
      </w:r>
    </w:p>
    <w:p w:rsidR="00397E9B" w:rsidRDefault="00397E9B" w:rsidP="00397E9B">
      <w:pPr>
        <w:spacing w:line="360" w:lineRule="auto"/>
        <w:ind w:firstLine="720"/>
        <w:jc w:val="both"/>
        <w:rPr>
          <w:rFonts w:ascii="Garamond" w:hAnsi="Garamond" w:cstheme="minorHAnsi"/>
        </w:rPr>
      </w:pPr>
    </w:p>
    <w:p w:rsidR="00665157" w:rsidRDefault="00016049">
      <w:pPr>
        <w:pStyle w:val="Heading3"/>
        <w:spacing w:line="360" w:lineRule="auto"/>
        <w:jc w:val="both"/>
        <w:rPr>
          <w:rFonts w:cstheme="majorHAnsi"/>
        </w:rPr>
      </w:pPr>
      <w:bookmarkStart w:id="71" w:name="_Toc528077847"/>
      <w:r w:rsidRPr="00F03436">
        <w:rPr>
          <w:rFonts w:cstheme="majorHAnsi"/>
        </w:rPr>
        <w:lastRenderedPageBreak/>
        <w:t>6.3 Political History and Practical Formulations</w:t>
      </w:r>
      <w:bookmarkEnd w:id="71"/>
    </w:p>
    <w:p w:rsidR="00665157" w:rsidRDefault="00016049">
      <w:pPr>
        <w:spacing w:line="360" w:lineRule="auto"/>
        <w:jc w:val="both"/>
        <w:rPr>
          <w:rFonts w:ascii="Garamond" w:hAnsi="Garamond" w:cstheme="minorHAnsi"/>
          <w:sz w:val="24"/>
          <w:szCs w:val="24"/>
        </w:rPr>
      </w:pPr>
      <w:r w:rsidRPr="00461D74">
        <w:rPr>
          <w:rFonts w:ascii="Garamond" w:hAnsi="Garamond" w:cstheme="minorHAnsi"/>
          <w:sz w:val="24"/>
          <w:szCs w:val="24"/>
        </w:rPr>
        <w:t xml:space="preserve">The importance of </w:t>
      </w:r>
      <w:r w:rsidR="00E5731B" w:rsidRPr="00461D74">
        <w:rPr>
          <w:rFonts w:ascii="Garamond" w:hAnsi="Garamond" w:cstheme="minorHAnsi"/>
          <w:sz w:val="24"/>
          <w:szCs w:val="24"/>
        </w:rPr>
        <w:t xml:space="preserve">social and </w:t>
      </w:r>
      <w:r w:rsidRPr="00461D74">
        <w:rPr>
          <w:rFonts w:ascii="Garamond" w:hAnsi="Garamond" w:cstheme="minorHAnsi"/>
          <w:sz w:val="24"/>
          <w:szCs w:val="24"/>
        </w:rPr>
        <w:t xml:space="preserve">political history is </w:t>
      </w:r>
      <w:r w:rsidR="00E5731B" w:rsidRPr="00461D74">
        <w:rPr>
          <w:rFonts w:ascii="Garamond" w:hAnsi="Garamond" w:cstheme="minorHAnsi"/>
          <w:sz w:val="24"/>
          <w:szCs w:val="24"/>
        </w:rPr>
        <w:t xml:space="preserve">by now </w:t>
      </w:r>
      <w:r w:rsidRPr="00461D74">
        <w:rPr>
          <w:rFonts w:ascii="Garamond" w:hAnsi="Garamond" w:cstheme="minorHAnsi"/>
          <w:sz w:val="24"/>
          <w:szCs w:val="24"/>
        </w:rPr>
        <w:t xml:space="preserve">quite obvious to </w:t>
      </w:r>
      <w:r w:rsidR="00E5731B" w:rsidRPr="00461D74">
        <w:rPr>
          <w:rFonts w:ascii="Garamond" w:hAnsi="Garamond" w:cstheme="minorHAnsi"/>
          <w:sz w:val="24"/>
          <w:szCs w:val="24"/>
        </w:rPr>
        <w:t xml:space="preserve">the </w:t>
      </w:r>
      <w:r w:rsidRPr="00461D74">
        <w:rPr>
          <w:rFonts w:ascii="Garamond" w:hAnsi="Garamond" w:cstheme="minorHAnsi"/>
          <w:sz w:val="24"/>
          <w:szCs w:val="24"/>
        </w:rPr>
        <w:t xml:space="preserve">kind of </w:t>
      </w:r>
      <w:r w:rsidR="00E5731B" w:rsidRPr="00461D74">
        <w:rPr>
          <w:rFonts w:ascii="Garamond" w:hAnsi="Garamond" w:cstheme="minorHAnsi"/>
          <w:sz w:val="24"/>
          <w:szCs w:val="24"/>
        </w:rPr>
        <w:t>inquiry that can be understood as allied with the aims of MacIntyre’s philosophy.</w:t>
      </w:r>
      <w:r w:rsidRPr="00461D74">
        <w:rPr>
          <w:rFonts w:ascii="Garamond" w:hAnsi="Garamond" w:cstheme="minorHAnsi"/>
          <w:sz w:val="24"/>
          <w:szCs w:val="24"/>
        </w:rPr>
        <w:t xml:space="preserve"> Still</w:t>
      </w:r>
      <w:r w:rsidR="008041ED" w:rsidRPr="00461D74">
        <w:rPr>
          <w:rFonts w:ascii="Garamond" w:hAnsi="Garamond" w:cstheme="minorHAnsi"/>
          <w:sz w:val="24"/>
          <w:szCs w:val="24"/>
        </w:rPr>
        <w:t>,</w:t>
      </w:r>
      <w:r w:rsidRPr="00461D74">
        <w:rPr>
          <w:rFonts w:ascii="Garamond" w:hAnsi="Garamond" w:cstheme="minorHAnsi"/>
          <w:sz w:val="24"/>
          <w:szCs w:val="24"/>
        </w:rPr>
        <w:t xml:space="preserve"> I would like to draw attention to the fact that the above conceptual map isn’t by itself </w:t>
      </w:r>
      <w:r w:rsidR="00E5731B" w:rsidRPr="00461D74">
        <w:rPr>
          <w:rFonts w:ascii="Garamond" w:hAnsi="Garamond" w:cstheme="minorHAnsi"/>
          <w:sz w:val="24"/>
          <w:szCs w:val="24"/>
        </w:rPr>
        <w:t>enough</w:t>
      </w:r>
      <w:r w:rsidR="00882786" w:rsidRPr="00461D74">
        <w:rPr>
          <w:rFonts w:ascii="Garamond" w:hAnsi="Garamond" w:cstheme="minorHAnsi"/>
          <w:sz w:val="24"/>
          <w:szCs w:val="24"/>
        </w:rPr>
        <w:t>,</w:t>
      </w:r>
      <w:r w:rsidR="00E5731B" w:rsidRPr="00461D74">
        <w:rPr>
          <w:rFonts w:ascii="Garamond" w:hAnsi="Garamond" w:cstheme="minorHAnsi"/>
          <w:sz w:val="24"/>
          <w:szCs w:val="24"/>
        </w:rPr>
        <w:t xml:space="preserve"> because </w:t>
      </w:r>
      <w:r w:rsidRPr="00461D74">
        <w:rPr>
          <w:rFonts w:ascii="Garamond" w:hAnsi="Garamond" w:cstheme="minorHAnsi"/>
          <w:sz w:val="24"/>
          <w:szCs w:val="24"/>
        </w:rPr>
        <w:t xml:space="preserve">we need to </w:t>
      </w:r>
      <w:r w:rsidR="00E5731B" w:rsidRPr="00461D74">
        <w:rPr>
          <w:rFonts w:ascii="Garamond" w:hAnsi="Garamond" w:cstheme="minorHAnsi"/>
          <w:sz w:val="24"/>
          <w:szCs w:val="24"/>
        </w:rPr>
        <w:t xml:space="preserve">understand the </w:t>
      </w:r>
      <w:r w:rsidR="008D408C" w:rsidRPr="00461D74">
        <w:rPr>
          <w:rFonts w:ascii="Garamond" w:hAnsi="Garamond" w:cstheme="minorHAnsi"/>
          <w:sz w:val="24"/>
          <w:szCs w:val="24"/>
        </w:rPr>
        <w:t xml:space="preserve">actual </w:t>
      </w:r>
      <w:r w:rsidR="00E5731B" w:rsidRPr="00461D74">
        <w:rPr>
          <w:rFonts w:ascii="Garamond" w:hAnsi="Garamond" w:cstheme="minorHAnsi"/>
          <w:sz w:val="24"/>
          <w:szCs w:val="24"/>
        </w:rPr>
        <w:t>history in which local</w:t>
      </w:r>
      <w:r w:rsidRPr="00461D74">
        <w:rPr>
          <w:rFonts w:ascii="Garamond" w:hAnsi="Garamond" w:cstheme="minorHAnsi"/>
          <w:sz w:val="24"/>
          <w:szCs w:val="24"/>
        </w:rPr>
        <w:t xml:space="preserve"> democratic politics was undermined. By learning </w:t>
      </w:r>
      <w:r w:rsidR="004C57EB">
        <w:rPr>
          <w:rFonts w:ascii="Garamond" w:hAnsi="Garamond" w:cstheme="minorHAnsi"/>
          <w:sz w:val="24"/>
          <w:szCs w:val="24"/>
        </w:rPr>
        <w:t xml:space="preserve">from history, we can identify </w:t>
      </w:r>
      <w:r w:rsidRPr="00461D74">
        <w:rPr>
          <w:rFonts w:ascii="Garamond" w:hAnsi="Garamond" w:cstheme="minorHAnsi"/>
          <w:sz w:val="24"/>
          <w:szCs w:val="24"/>
        </w:rPr>
        <w:t xml:space="preserve">how democratic politics was undermined in </w:t>
      </w:r>
      <w:r w:rsidR="008D408C" w:rsidRPr="00461D74">
        <w:rPr>
          <w:rFonts w:ascii="Garamond" w:hAnsi="Garamond" w:cstheme="minorHAnsi"/>
          <w:sz w:val="24"/>
          <w:szCs w:val="24"/>
        </w:rPr>
        <w:t>specific (</w:t>
      </w:r>
      <w:r w:rsidRPr="00461D74">
        <w:rPr>
          <w:rFonts w:ascii="Garamond" w:hAnsi="Garamond" w:cstheme="minorHAnsi"/>
          <w:sz w:val="24"/>
          <w:szCs w:val="24"/>
        </w:rPr>
        <w:t>historical</w:t>
      </w:r>
      <w:r w:rsidR="008D408C" w:rsidRPr="00461D74">
        <w:rPr>
          <w:rFonts w:ascii="Garamond" w:hAnsi="Garamond" w:cstheme="minorHAnsi"/>
          <w:sz w:val="24"/>
          <w:szCs w:val="24"/>
        </w:rPr>
        <w:t>)</w:t>
      </w:r>
      <w:r w:rsidRPr="00461D74">
        <w:rPr>
          <w:rFonts w:ascii="Garamond" w:hAnsi="Garamond" w:cstheme="minorHAnsi"/>
          <w:sz w:val="24"/>
          <w:szCs w:val="24"/>
        </w:rPr>
        <w:t xml:space="preserve"> cases, </w:t>
      </w:r>
      <w:r w:rsidR="004C57EB">
        <w:rPr>
          <w:rFonts w:ascii="Garamond" w:hAnsi="Garamond" w:cstheme="minorHAnsi"/>
          <w:sz w:val="24"/>
          <w:szCs w:val="24"/>
        </w:rPr>
        <w:t xml:space="preserve">and </w:t>
      </w:r>
      <w:r w:rsidRPr="00461D74">
        <w:rPr>
          <w:rFonts w:ascii="Garamond" w:hAnsi="Garamond" w:cstheme="minorHAnsi"/>
          <w:sz w:val="24"/>
          <w:szCs w:val="24"/>
        </w:rPr>
        <w:t xml:space="preserve">we can </w:t>
      </w:r>
      <w:r w:rsidR="004C57EB">
        <w:rPr>
          <w:rFonts w:ascii="Garamond" w:hAnsi="Garamond" w:cstheme="minorHAnsi"/>
          <w:sz w:val="24"/>
          <w:szCs w:val="24"/>
        </w:rPr>
        <w:t>then discover more and less effective ways of advancing and articulating a</w:t>
      </w:r>
      <w:r w:rsidR="008D408C" w:rsidRPr="00461D74">
        <w:rPr>
          <w:rFonts w:ascii="Garamond" w:hAnsi="Garamond" w:cstheme="minorHAnsi"/>
          <w:sz w:val="24"/>
          <w:szCs w:val="24"/>
        </w:rPr>
        <w:t xml:space="preserve"> </w:t>
      </w:r>
      <w:r w:rsidRPr="00461D74">
        <w:rPr>
          <w:rFonts w:ascii="Garamond" w:hAnsi="Garamond" w:cstheme="minorHAnsi"/>
          <w:sz w:val="24"/>
          <w:szCs w:val="24"/>
        </w:rPr>
        <w:t xml:space="preserve">politics </w:t>
      </w:r>
      <w:r w:rsidR="008D408C" w:rsidRPr="00461D74">
        <w:rPr>
          <w:rFonts w:ascii="Garamond" w:hAnsi="Garamond" w:cstheme="minorHAnsi"/>
          <w:sz w:val="24"/>
          <w:szCs w:val="24"/>
        </w:rPr>
        <w:t xml:space="preserve">that </w:t>
      </w:r>
      <w:r w:rsidR="004C57EB">
        <w:rPr>
          <w:rFonts w:ascii="Garamond" w:hAnsi="Garamond" w:cstheme="minorHAnsi"/>
          <w:sz w:val="24"/>
          <w:szCs w:val="24"/>
        </w:rPr>
        <w:t>remains</w:t>
      </w:r>
      <w:r w:rsidR="004C57EB" w:rsidRPr="00461D74">
        <w:rPr>
          <w:rFonts w:ascii="Garamond" w:hAnsi="Garamond" w:cstheme="minorHAnsi"/>
          <w:sz w:val="24"/>
          <w:szCs w:val="24"/>
        </w:rPr>
        <w:t xml:space="preserve"> </w:t>
      </w:r>
      <w:r w:rsidR="008D408C" w:rsidRPr="00461D74">
        <w:rPr>
          <w:rFonts w:ascii="Garamond" w:hAnsi="Garamond" w:cstheme="minorHAnsi"/>
          <w:sz w:val="24"/>
          <w:szCs w:val="24"/>
        </w:rPr>
        <w:t>firmly rooted in participation at the local level</w:t>
      </w:r>
      <w:r w:rsidRPr="00461D74">
        <w:rPr>
          <w:rFonts w:ascii="Garamond" w:hAnsi="Garamond" w:cstheme="minorHAnsi"/>
          <w:sz w:val="24"/>
          <w:szCs w:val="24"/>
        </w:rPr>
        <w:t xml:space="preserve">. In order to be brief I will use the example of the United States and concentrate on </w:t>
      </w:r>
      <w:r w:rsidR="008D408C" w:rsidRPr="00461D74">
        <w:rPr>
          <w:rFonts w:ascii="Garamond" w:hAnsi="Garamond" w:cstheme="minorHAnsi"/>
          <w:sz w:val="24"/>
          <w:szCs w:val="24"/>
        </w:rPr>
        <w:t xml:space="preserve">a few </w:t>
      </w:r>
      <w:r w:rsidRPr="00461D74">
        <w:rPr>
          <w:rFonts w:ascii="Garamond" w:hAnsi="Garamond" w:cstheme="minorHAnsi"/>
          <w:sz w:val="24"/>
          <w:szCs w:val="24"/>
        </w:rPr>
        <w:t>examples provided in the work focused on political-economic history by Gerald Friedman.</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Historically in the United States various forms of local democracy </w:t>
      </w:r>
      <w:r w:rsidR="008D408C" w:rsidRPr="00461D74">
        <w:rPr>
          <w:rFonts w:ascii="Garamond" w:hAnsi="Garamond" w:cstheme="minorHAnsi"/>
          <w:sz w:val="24"/>
          <w:szCs w:val="24"/>
        </w:rPr>
        <w:t xml:space="preserve">that initially existed </w:t>
      </w:r>
      <w:r w:rsidRPr="00461D74">
        <w:rPr>
          <w:rFonts w:ascii="Garamond" w:hAnsi="Garamond" w:cstheme="minorHAnsi"/>
          <w:sz w:val="24"/>
          <w:szCs w:val="24"/>
        </w:rPr>
        <w:t xml:space="preserve">have </w:t>
      </w:r>
      <w:r w:rsidR="008D408C" w:rsidRPr="00461D74">
        <w:rPr>
          <w:rFonts w:ascii="Garamond" w:hAnsi="Garamond" w:cstheme="minorHAnsi"/>
          <w:sz w:val="24"/>
          <w:szCs w:val="24"/>
        </w:rPr>
        <w:t>over the course of time become</w:t>
      </w:r>
      <w:r w:rsidRPr="00461D74">
        <w:rPr>
          <w:rFonts w:ascii="Garamond" w:hAnsi="Garamond" w:cstheme="minorHAnsi"/>
          <w:sz w:val="24"/>
          <w:szCs w:val="24"/>
        </w:rPr>
        <w:t xml:space="preserve"> subordinated by state</w:t>
      </w:r>
      <w:r w:rsidR="008D408C" w:rsidRPr="00461D74">
        <w:rPr>
          <w:rFonts w:ascii="Garamond" w:hAnsi="Garamond" w:cstheme="minorHAnsi"/>
          <w:sz w:val="24"/>
          <w:szCs w:val="24"/>
        </w:rPr>
        <w:t xml:space="preserve"> and </w:t>
      </w:r>
      <w:r w:rsidRPr="00461D74">
        <w:rPr>
          <w:rFonts w:ascii="Garamond" w:hAnsi="Garamond" w:cstheme="minorHAnsi"/>
          <w:sz w:val="24"/>
          <w:szCs w:val="24"/>
        </w:rPr>
        <w:t xml:space="preserve">national prerogatives that </w:t>
      </w:r>
      <w:r w:rsidR="008D408C" w:rsidRPr="00461D74">
        <w:rPr>
          <w:rFonts w:ascii="Garamond" w:hAnsi="Garamond" w:cstheme="minorHAnsi"/>
          <w:sz w:val="24"/>
          <w:szCs w:val="24"/>
        </w:rPr>
        <w:t>treated local</w:t>
      </w:r>
      <w:r w:rsidRPr="00461D74">
        <w:rPr>
          <w:rFonts w:ascii="Garamond" w:hAnsi="Garamond" w:cstheme="minorHAnsi"/>
          <w:sz w:val="24"/>
          <w:szCs w:val="24"/>
        </w:rPr>
        <w:t xml:space="preserve"> communities as entirely dependent on the largesse of the state/national government. For example, in the United States Dillon’s rule</w:t>
      </w:r>
      <w:r w:rsidR="004C57EB">
        <w:rPr>
          <w:rFonts w:ascii="Garamond" w:hAnsi="Garamond" w:cstheme="minorHAnsi"/>
          <w:sz w:val="24"/>
          <w:szCs w:val="24"/>
        </w:rPr>
        <w:t>,</w:t>
      </w:r>
      <w:r w:rsidRPr="00461D74">
        <w:rPr>
          <w:rStyle w:val="FootnoteReference"/>
          <w:rFonts w:ascii="Garamond" w:hAnsi="Garamond" w:cstheme="minorHAnsi"/>
          <w:sz w:val="24"/>
          <w:szCs w:val="24"/>
        </w:rPr>
        <w:footnoteReference w:id="443"/>
      </w:r>
      <w:r w:rsidRPr="00461D74">
        <w:rPr>
          <w:rFonts w:ascii="Garamond" w:hAnsi="Garamond" w:cstheme="minorHAnsi"/>
          <w:sz w:val="24"/>
          <w:szCs w:val="24"/>
        </w:rPr>
        <w:t xml:space="preserve"> has been widely used </w:t>
      </w:r>
      <w:r w:rsidR="008D408C" w:rsidRPr="00461D74">
        <w:rPr>
          <w:rFonts w:ascii="Garamond" w:hAnsi="Garamond" w:cstheme="minorHAnsi"/>
          <w:sz w:val="24"/>
          <w:szCs w:val="24"/>
        </w:rPr>
        <w:t xml:space="preserve">by the </w:t>
      </w:r>
      <w:r w:rsidR="00E95FB1" w:rsidRPr="00461D74">
        <w:rPr>
          <w:rFonts w:ascii="Garamond" w:hAnsi="Garamond" w:cstheme="minorHAnsi"/>
          <w:sz w:val="24"/>
          <w:szCs w:val="24"/>
        </w:rPr>
        <w:t xml:space="preserve">federal </w:t>
      </w:r>
      <w:r w:rsidR="008D408C" w:rsidRPr="00461D74">
        <w:rPr>
          <w:rFonts w:ascii="Garamond" w:hAnsi="Garamond" w:cstheme="minorHAnsi"/>
          <w:sz w:val="24"/>
          <w:szCs w:val="24"/>
        </w:rPr>
        <w:t xml:space="preserve">government </w:t>
      </w:r>
      <w:r w:rsidRPr="00461D74">
        <w:rPr>
          <w:rFonts w:ascii="Garamond" w:hAnsi="Garamond" w:cstheme="minorHAnsi"/>
          <w:sz w:val="24"/>
          <w:szCs w:val="24"/>
        </w:rPr>
        <w:t xml:space="preserve">to subordinate local </w:t>
      </w:r>
      <w:r w:rsidR="008D408C" w:rsidRPr="00461D74">
        <w:rPr>
          <w:rFonts w:ascii="Garamond" w:hAnsi="Garamond" w:cstheme="minorHAnsi"/>
          <w:sz w:val="24"/>
          <w:szCs w:val="24"/>
        </w:rPr>
        <w:t>democratic structures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444"/>
      </w:r>
      <w:r w:rsidRPr="00461D74">
        <w:rPr>
          <w:rFonts w:ascii="Garamond" w:hAnsi="Garamond" w:cstheme="minorHAnsi"/>
          <w:sz w:val="24"/>
          <w:szCs w:val="24"/>
        </w:rPr>
        <w:t xml:space="preserve"> This rule is contrasted with a different interpretation variously referred to as Home Rule (or Cooley’s Doctrine).</w:t>
      </w:r>
      <w:r w:rsidRPr="00461D74">
        <w:rPr>
          <w:rStyle w:val="FootnoteReference"/>
          <w:rFonts w:ascii="Garamond" w:hAnsi="Garamond" w:cstheme="minorHAnsi"/>
          <w:sz w:val="24"/>
          <w:szCs w:val="24"/>
        </w:rPr>
        <w:footnoteReference w:id="445"/>
      </w:r>
      <w:r w:rsidRPr="00461D74">
        <w:rPr>
          <w:rFonts w:ascii="Garamond" w:hAnsi="Garamond" w:cstheme="minorHAnsi"/>
          <w:sz w:val="24"/>
          <w:szCs w:val="24"/>
        </w:rPr>
        <w:t xml:space="preserve"> These measures were in large part implemented to protect a sanctified </w:t>
      </w:r>
      <w:r w:rsidR="00E95FB1" w:rsidRPr="00461D74">
        <w:rPr>
          <w:rFonts w:ascii="Garamond" w:hAnsi="Garamond" w:cstheme="minorHAnsi"/>
          <w:sz w:val="24"/>
          <w:szCs w:val="24"/>
        </w:rPr>
        <w:t>(</w:t>
      </w:r>
      <w:r w:rsidRPr="00461D74">
        <w:rPr>
          <w:rFonts w:ascii="Garamond" w:hAnsi="Garamond" w:cstheme="minorHAnsi"/>
          <w:sz w:val="24"/>
          <w:szCs w:val="24"/>
        </w:rPr>
        <w:t>or intensive</w:t>
      </w:r>
      <w:r w:rsidR="00E95FB1" w:rsidRPr="00461D74">
        <w:rPr>
          <w:rFonts w:ascii="Garamond" w:hAnsi="Garamond" w:cstheme="minorHAnsi"/>
          <w:sz w:val="24"/>
          <w:szCs w:val="24"/>
        </w:rPr>
        <w:t>)</w:t>
      </w:r>
      <w:r w:rsidRPr="00461D74">
        <w:rPr>
          <w:rFonts w:ascii="Garamond" w:hAnsi="Garamond" w:cstheme="minorHAnsi"/>
          <w:sz w:val="24"/>
          <w:szCs w:val="24"/>
        </w:rPr>
        <w:t xml:space="preserve"> </w:t>
      </w:r>
      <w:r w:rsidR="00E95FB1" w:rsidRPr="00461D74">
        <w:rPr>
          <w:rFonts w:ascii="Garamond" w:hAnsi="Garamond" w:cstheme="minorHAnsi"/>
          <w:sz w:val="24"/>
          <w:szCs w:val="24"/>
        </w:rPr>
        <w:t xml:space="preserve">conception </w:t>
      </w:r>
      <w:r w:rsidRPr="00461D74">
        <w:rPr>
          <w:rFonts w:ascii="Garamond" w:hAnsi="Garamond" w:cstheme="minorHAnsi"/>
          <w:sz w:val="24"/>
          <w:szCs w:val="24"/>
        </w:rPr>
        <w:t xml:space="preserve">of </w:t>
      </w:r>
      <w:r w:rsidRPr="00461D74">
        <w:rPr>
          <w:rFonts w:ascii="Garamond" w:hAnsi="Garamond" w:cstheme="minorHAnsi"/>
          <w:sz w:val="24"/>
          <w:szCs w:val="24"/>
        </w:rPr>
        <w:lastRenderedPageBreak/>
        <w:t xml:space="preserve">private property rights against </w:t>
      </w:r>
      <w:r w:rsidR="00E95FB1" w:rsidRPr="00461D74">
        <w:rPr>
          <w:rFonts w:ascii="Garamond" w:hAnsi="Garamond" w:cstheme="minorHAnsi"/>
          <w:sz w:val="24"/>
          <w:szCs w:val="24"/>
        </w:rPr>
        <w:t xml:space="preserve">interference </w:t>
      </w:r>
      <w:r w:rsidRPr="00461D74">
        <w:rPr>
          <w:rFonts w:ascii="Garamond" w:hAnsi="Garamond" w:cstheme="minorHAnsi"/>
          <w:sz w:val="24"/>
          <w:szCs w:val="24"/>
        </w:rPr>
        <w:t>by local governments.</w:t>
      </w:r>
      <w:r w:rsidRPr="00461D74">
        <w:rPr>
          <w:rStyle w:val="FootnoteReference"/>
          <w:rFonts w:ascii="Garamond" w:hAnsi="Garamond" w:cstheme="minorHAnsi"/>
          <w:sz w:val="24"/>
          <w:szCs w:val="24"/>
        </w:rPr>
        <w:footnoteReference w:id="446"/>
      </w:r>
      <w:r w:rsidRPr="00461D74">
        <w:rPr>
          <w:rFonts w:ascii="Garamond" w:hAnsi="Garamond" w:cstheme="minorHAnsi"/>
          <w:sz w:val="24"/>
          <w:szCs w:val="24"/>
        </w:rPr>
        <w:t xml:space="preserve"> While in a myriad of different cases local governments have tried to implement measures </w:t>
      </w:r>
      <w:r w:rsidR="00E95FB1" w:rsidRPr="00461D74">
        <w:rPr>
          <w:rFonts w:ascii="Garamond" w:hAnsi="Garamond" w:cstheme="minorHAnsi"/>
          <w:sz w:val="24"/>
          <w:szCs w:val="24"/>
        </w:rPr>
        <w:t xml:space="preserve">that </w:t>
      </w:r>
      <w:r w:rsidRPr="00461D74">
        <w:rPr>
          <w:rFonts w:ascii="Garamond" w:hAnsi="Garamond" w:cstheme="minorHAnsi"/>
          <w:sz w:val="24"/>
          <w:szCs w:val="24"/>
        </w:rPr>
        <w:t xml:space="preserve">embody </w:t>
      </w:r>
      <w:r w:rsidR="00E95FB1" w:rsidRPr="00461D74">
        <w:rPr>
          <w:rFonts w:ascii="Garamond" w:hAnsi="Garamond" w:cstheme="minorHAnsi"/>
          <w:sz w:val="24"/>
          <w:szCs w:val="24"/>
        </w:rPr>
        <w:t>and advance important substantive goods</w:t>
      </w:r>
      <w:r w:rsidRPr="00461D74">
        <w:rPr>
          <w:rFonts w:ascii="Garamond" w:hAnsi="Garamond" w:cstheme="minorHAnsi"/>
          <w:sz w:val="24"/>
          <w:szCs w:val="24"/>
        </w:rPr>
        <w:t>, the</w:t>
      </w:r>
      <w:r w:rsidR="00E95FB1" w:rsidRPr="00461D74">
        <w:rPr>
          <w:rFonts w:ascii="Garamond" w:hAnsi="Garamond" w:cstheme="minorHAnsi"/>
          <w:sz w:val="24"/>
          <w:szCs w:val="24"/>
        </w:rPr>
        <w:t>ir efforts have</w:t>
      </w:r>
      <w:r w:rsidRPr="00461D74">
        <w:rPr>
          <w:rFonts w:ascii="Garamond" w:hAnsi="Garamond" w:cstheme="minorHAnsi"/>
          <w:sz w:val="24"/>
          <w:szCs w:val="24"/>
        </w:rPr>
        <w:t xml:space="preserve"> </w:t>
      </w:r>
      <w:r w:rsidR="00E95FB1" w:rsidRPr="00461D74">
        <w:rPr>
          <w:rFonts w:ascii="Garamond" w:hAnsi="Garamond" w:cstheme="minorHAnsi"/>
          <w:sz w:val="24"/>
          <w:szCs w:val="24"/>
        </w:rPr>
        <w:t xml:space="preserve">largely </w:t>
      </w:r>
      <w:r w:rsidRPr="00461D74">
        <w:rPr>
          <w:rFonts w:ascii="Garamond" w:hAnsi="Garamond" w:cstheme="minorHAnsi"/>
          <w:sz w:val="24"/>
          <w:szCs w:val="24"/>
        </w:rPr>
        <w:t xml:space="preserve">been </w:t>
      </w:r>
      <w:r w:rsidR="00E95FB1" w:rsidRPr="00461D74">
        <w:rPr>
          <w:rFonts w:ascii="Garamond" w:hAnsi="Garamond" w:cstheme="minorHAnsi"/>
          <w:sz w:val="24"/>
          <w:szCs w:val="24"/>
        </w:rPr>
        <w:t>undermined</w:t>
      </w:r>
      <w:r w:rsidRPr="00461D74">
        <w:rPr>
          <w:rFonts w:ascii="Garamond" w:hAnsi="Garamond" w:cstheme="minorHAnsi"/>
          <w:sz w:val="24"/>
          <w:szCs w:val="24"/>
        </w:rPr>
        <w:t xml:space="preserve"> by state or </w:t>
      </w:r>
      <w:r w:rsidR="00E95FB1" w:rsidRPr="00461D74">
        <w:rPr>
          <w:rFonts w:ascii="Garamond" w:hAnsi="Garamond" w:cstheme="minorHAnsi"/>
          <w:sz w:val="24"/>
          <w:szCs w:val="24"/>
        </w:rPr>
        <w:t xml:space="preserve">federal </w:t>
      </w:r>
      <w:r w:rsidRPr="00461D74">
        <w:rPr>
          <w:rFonts w:ascii="Garamond" w:hAnsi="Garamond" w:cstheme="minorHAnsi"/>
          <w:sz w:val="24"/>
          <w:szCs w:val="24"/>
        </w:rPr>
        <w:t>government</w:t>
      </w:r>
      <w:r w:rsidR="00E95FB1" w:rsidRPr="00461D74">
        <w:rPr>
          <w:rFonts w:ascii="Garamond" w:hAnsi="Garamond" w:cstheme="minorHAnsi"/>
          <w:sz w:val="24"/>
          <w:szCs w:val="24"/>
        </w:rPr>
        <w:t xml:space="preserve">, using procedural arguments that were grounded in an </w:t>
      </w:r>
      <w:r w:rsidRPr="00461D74">
        <w:rPr>
          <w:rFonts w:ascii="Garamond" w:hAnsi="Garamond" w:cstheme="minorHAnsi"/>
          <w:sz w:val="24"/>
          <w:szCs w:val="24"/>
        </w:rPr>
        <w:t xml:space="preserve">intensive </w:t>
      </w:r>
      <w:r w:rsidR="00E95FB1" w:rsidRPr="00461D74">
        <w:rPr>
          <w:rFonts w:ascii="Garamond" w:hAnsi="Garamond" w:cstheme="minorHAnsi"/>
          <w:sz w:val="24"/>
          <w:szCs w:val="24"/>
        </w:rPr>
        <w:t xml:space="preserve">(or sanctified) conception of </w:t>
      </w:r>
      <w:r w:rsidRPr="00461D74">
        <w:rPr>
          <w:rFonts w:ascii="Garamond" w:hAnsi="Garamond" w:cstheme="minorHAnsi"/>
          <w:sz w:val="24"/>
          <w:szCs w:val="24"/>
        </w:rPr>
        <w:t>property rights.</w:t>
      </w:r>
      <w:r w:rsidRPr="00461D74">
        <w:rPr>
          <w:rStyle w:val="FootnoteReference"/>
          <w:rFonts w:ascii="Garamond" w:hAnsi="Garamond" w:cstheme="minorHAnsi"/>
          <w:sz w:val="24"/>
          <w:szCs w:val="24"/>
        </w:rPr>
        <w:footnoteReference w:id="447"/>
      </w:r>
      <w:r w:rsidRPr="00461D74">
        <w:rPr>
          <w:rFonts w:ascii="Garamond" w:hAnsi="Garamond" w:cstheme="minorHAnsi"/>
          <w:sz w:val="24"/>
          <w:szCs w:val="24"/>
        </w:rPr>
        <w:t xml:space="preserve"> </w:t>
      </w:r>
      <w:r w:rsidR="00E95FB1" w:rsidRPr="00461D74">
        <w:rPr>
          <w:rFonts w:ascii="Garamond" w:hAnsi="Garamond" w:cstheme="minorHAnsi"/>
          <w:sz w:val="24"/>
          <w:szCs w:val="24"/>
        </w:rPr>
        <w:t>This</w:t>
      </w:r>
      <w:r w:rsidRPr="00461D74">
        <w:rPr>
          <w:rFonts w:ascii="Garamond" w:hAnsi="Garamond" w:cstheme="minorHAnsi"/>
          <w:sz w:val="24"/>
          <w:szCs w:val="24"/>
        </w:rPr>
        <w:t xml:space="preserve"> problem </w:t>
      </w:r>
      <w:r w:rsidR="00E95FB1" w:rsidRPr="00461D74">
        <w:rPr>
          <w:rFonts w:ascii="Garamond" w:hAnsi="Garamond" w:cstheme="minorHAnsi"/>
          <w:sz w:val="24"/>
          <w:szCs w:val="24"/>
        </w:rPr>
        <w:t xml:space="preserve">has historically </w:t>
      </w:r>
      <w:r w:rsidRPr="00461D74">
        <w:rPr>
          <w:rFonts w:ascii="Garamond" w:hAnsi="Garamond" w:cstheme="minorHAnsi"/>
          <w:sz w:val="24"/>
          <w:szCs w:val="24"/>
        </w:rPr>
        <w:t>stem</w:t>
      </w:r>
      <w:r w:rsidR="00E95FB1" w:rsidRPr="00461D74">
        <w:rPr>
          <w:rFonts w:ascii="Garamond" w:hAnsi="Garamond" w:cstheme="minorHAnsi"/>
          <w:sz w:val="24"/>
          <w:szCs w:val="24"/>
        </w:rPr>
        <w:t>med from a conception of</w:t>
      </w:r>
      <w:r w:rsidRPr="00461D74">
        <w:rPr>
          <w:rFonts w:ascii="Garamond" w:hAnsi="Garamond" w:cstheme="minorHAnsi"/>
          <w:sz w:val="24"/>
          <w:szCs w:val="24"/>
        </w:rPr>
        <w:t xml:space="preserve"> local governments</w:t>
      </w:r>
      <w:r w:rsidR="00E95FB1" w:rsidRPr="00461D74">
        <w:rPr>
          <w:rFonts w:ascii="Garamond" w:hAnsi="Garamond" w:cstheme="minorHAnsi"/>
          <w:sz w:val="24"/>
          <w:szCs w:val="24"/>
        </w:rPr>
        <w:t xml:space="preserve"> which denied their</w:t>
      </w:r>
      <w:r w:rsidRPr="00461D74">
        <w:rPr>
          <w:rFonts w:ascii="Garamond" w:hAnsi="Garamond" w:cstheme="minorHAnsi"/>
          <w:sz w:val="24"/>
          <w:szCs w:val="24"/>
        </w:rPr>
        <w:t xml:space="preserve"> </w:t>
      </w:r>
      <w:r w:rsidR="00E95FB1" w:rsidRPr="00461D74">
        <w:rPr>
          <w:rFonts w:ascii="Garamond" w:hAnsi="Garamond" w:cstheme="minorHAnsi"/>
          <w:sz w:val="24"/>
          <w:szCs w:val="24"/>
        </w:rPr>
        <w:t xml:space="preserve">status as </w:t>
      </w:r>
      <w:r w:rsidRPr="00461D74">
        <w:rPr>
          <w:rFonts w:ascii="Garamond" w:hAnsi="Garamond" w:cstheme="minorHAnsi"/>
          <w:sz w:val="24"/>
          <w:szCs w:val="24"/>
        </w:rPr>
        <w:t>public association</w:t>
      </w:r>
      <w:r w:rsidR="0075047B" w:rsidRPr="00461D74">
        <w:rPr>
          <w:rFonts w:ascii="Garamond" w:hAnsi="Garamond" w:cstheme="minorHAnsi"/>
          <w:sz w:val="24"/>
          <w:szCs w:val="24"/>
        </w:rPr>
        <w:t>s</w:t>
      </w:r>
      <w:r w:rsidR="00E95FB1" w:rsidRPr="00461D74">
        <w:rPr>
          <w:rFonts w:ascii="Garamond" w:hAnsi="Garamond" w:cstheme="minorHAnsi"/>
          <w:sz w:val="24"/>
          <w:szCs w:val="24"/>
        </w:rPr>
        <w:t xml:space="preserve"> that could independently promote</w:t>
      </w:r>
      <w:r w:rsidRPr="00461D74">
        <w:rPr>
          <w:rFonts w:ascii="Garamond" w:hAnsi="Garamond" w:cstheme="minorHAnsi"/>
          <w:sz w:val="24"/>
          <w:szCs w:val="24"/>
        </w:rPr>
        <w:t xml:space="preserve"> </w:t>
      </w:r>
      <w:r w:rsidR="00E95FB1" w:rsidRPr="00461D74">
        <w:rPr>
          <w:rFonts w:ascii="Garamond" w:hAnsi="Garamond" w:cstheme="minorHAnsi"/>
          <w:sz w:val="24"/>
          <w:szCs w:val="24"/>
        </w:rPr>
        <w:t xml:space="preserve">the </w:t>
      </w:r>
      <w:r w:rsidRPr="00461D74">
        <w:rPr>
          <w:rFonts w:ascii="Garamond" w:hAnsi="Garamond" w:cstheme="minorHAnsi"/>
          <w:sz w:val="24"/>
          <w:szCs w:val="24"/>
        </w:rPr>
        <w:t xml:space="preserve">public good. Under Dillon’s rule, in the United States, local governments are legally – and therefore to an important extent – treated as </w:t>
      </w:r>
      <w:r w:rsidR="00E95FB1" w:rsidRPr="00461D74">
        <w:rPr>
          <w:rFonts w:ascii="Garamond" w:hAnsi="Garamond" w:cstheme="minorHAnsi"/>
          <w:sz w:val="24"/>
          <w:szCs w:val="24"/>
        </w:rPr>
        <w:t xml:space="preserve">either a </w:t>
      </w:r>
      <w:r w:rsidRPr="00461D74">
        <w:rPr>
          <w:rFonts w:ascii="Garamond" w:hAnsi="Garamond" w:cstheme="minorHAnsi"/>
          <w:sz w:val="24"/>
          <w:szCs w:val="24"/>
        </w:rPr>
        <w:t>municipal corporation</w:t>
      </w:r>
      <w:r w:rsidR="00E95FB1" w:rsidRPr="00461D74">
        <w:rPr>
          <w:rFonts w:ascii="Garamond" w:hAnsi="Garamond" w:cstheme="minorHAnsi"/>
          <w:sz w:val="24"/>
          <w:szCs w:val="24"/>
        </w:rPr>
        <w:t>, or even unincorporated entities</w:t>
      </w:r>
      <w:r w:rsidRPr="00461D74">
        <w:rPr>
          <w:rFonts w:ascii="Garamond" w:hAnsi="Garamond" w:cstheme="minorHAnsi"/>
          <w:sz w:val="24"/>
          <w:szCs w:val="24"/>
        </w:rPr>
        <w:t xml:space="preserve">. </w:t>
      </w:r>
      <w:r w:rsidR="00D93F75" w:rsidRPr="00461D74">
        <w:rPr>
          <w:rFonts w:ascii="Garamond" w:hAnsi="Garamond" w:cstheme="minorHAnsi"/>
          <w:sz w:val="24"/>
          <w:szCs w:val="24"/>
        </w:rPr>
        <w:t>By</w:t>
      </w:r>
      <w:r w:rsidR="00E95FB1" w:rsidRPr="00461D74">
        <w:rPr>
          <w:rFonts w:ascii="Garamond" w:hAnsi="Garamond" w:cstheme="minorHAnsi"/>
          <w:sz w:val="24"/>
          <w:szCs w:val="24"/>
        </w:rPr>
        <w:t xml:space="preserve"> treat</w:t>
      </w:r>
      <w:r w:rsidR="00D93F75" w:rsidRPr="00461D74">
        <w:rPr>
          <w:rFonts w:ascii="Garamond" w:hAnsi="Garamond" w:cstheme="minorHAnsi"/>
          <w:sz w:val="24"/>
          <w:szCs w:val="24"/>
        </w:rPr>
        <w:t>ing</w:t>
      </w:r>
      <w:r w:rsidR="00E95FB1" w:rsidRPr="00461D74">
        <w:rPr>
          <w:rFonts w:ascii="Garamond" w:hAnsi="Garamond" w:cstheme="minorHAnsi"/>
          <w:sz w:val="24"/>
          <w:szCs w:val="24"/>
        </w:rPr>
        <w:t xml:space="preserve"> local democra</w:t>
      </w:r>
      <w:r w:rsidR="00D93F75" w:rsidRPr="00461D74">
        <w:rPr>
          <w:rFonts w:ascii="Garamond" w:hAnsi="Garamond" w:cstheme="minorHAnsi"/>
          <w:sz w:val="24"/>
          <w:szCs w:val="24"/>
        </w:rPr>
        <w:t>tic structures in this way, the federal government essentially rejects a public conception of local government</w:t>
      </w:r>
      <w:r w:rsidR="00DC75F4">
        <w:rPr>
          <w:rFonts w:ascii="Garamond" w:hAnsi="Garamond" w:cstheme="minorHAnsi"/>
          <w:sz w:val="24"/>
          <w:szCs w:val="24"/>
        </w:rPr>
        <w:t>,</w:t>
      </w:r>
      <w:r w:rsidR="00D93F75" w:rsidRPr="00461D74">
        <w:rPr>
          <w:rFonts w:ascii="Garamond" w:hAnsi="Garamond" w:cstheme="minorHAnsi"/>
          <w:sz w:val="24"/>
          <w:szCs w:val="24"/>
        </w:rPr>
        <w:t xml:space="preserve"> and </w:t>
      </w:r>
      <w:r w:rsidR="00DC75F4">
        <w:rPr>
          <w:rFonts w:ascii="Garamond" w:hAnsi="Garamond" w:cstheme="minorHAnsi"/>
          <w:sz w:val="24"/>
          <w:szCs w:val="24"/>
        </w:rPr>
        <w:t xml:space="preserve">by discarding such a conception, large-scale political structures act in ways that undermine </w:t>
      </w:r>
      <w:r w:rsidR="00D93F75" w:rsidRPr="00461D74">
        <w:rPr>
          <w:rFonts w:ascii="Garamond" w:hAnsi="Garamond" w:cstheme="minorHAnsi"/>
          <w:sz w:val="24"/>
          <w:szCs w:val="24"/>
        </w:rPr>
        <w:t>local democratic structures</w:t>
      </w:r>
      <w:r w:rsidR="00DC75F4">
        <w:rPr>
          <w:rFonts w:ascii="Garamond" w:hAnsi="Garamond" w:cstheme="minorHAnsi"/>
          <w:sz w:val="24"/>
          <w:szCs w:val="24"/>
        </w:rPr>
        <w:t>. Therefore</w:t>
      </w:r>
      <w:r w:rsidR="00D93F75" w:rsidRPr="00461D74">
        <w:rPr>
          <w:rFonts w:ascii="Garamond" w:hAnsi="Garamond" w:cstheme="minorHAnsi"/>
          <w:sz w:val="24"/>
          <w:szCs w:val="24"/>
        </w:rPr>
        <w:t>,</w:t>
      </w:r>
      <w:r w:rsidR="00DC75F4">
        <w:rPr>
          <w:rFonts w:ascii="Garamond" w:hAnsi="Garamond" w:cstheme="minorHAnsi"/>
          <w:sz w:val="24"/>
          <w:szCs w:val="24"/>
        </w:rPr>
        <w:t xml:space="preserve"> </w:t>
      </w:r>
      <w:r w:rsidR="00D93F75" w:rsidRPr="00461D74">
        <w:rPr>
          <w:rFonts w:ascii="Garamond" w:hAnsi="Garamond" w:cstheme="minorHAnsi"/>
          <w:sz w:val="24"/>
          <w:szCs w:val="24"/>
        </w:rPr>
        <w:t xml:space="preserve">the </w:t>
      </w:r>
      <w:r w:rsidR="00B13836" w:rsidRPr="00461D74">
        <w:rPr>
          <w:rFonts w:ascii="Garamond" w:hAnsi="Garamond" w:cstheme="minorHAnsi"/>
          <w:sz w:val="24"/>
          <w:szCs w:val="24"/>
        </w:rPr>
        <w:t xml:space="preserve">federal </w:t>
      </w:r>
      <w:r w:rsidR="00D93F75" w:rsidRPr="00461D74">
        <w:rPr>
          <w:rFonts w:ascii="Garamond" w:hAnsi="Garamond" w:cstheme="minorHAnsi"/>
          <w:sz w:val="24"/>
          <w:szCs w:val="24"/>
        </w:rPr>
        <w:t xml:space="preserve">government in effect </w:t>
      </w:r>
      <w:r w:rsidR="00DC75F4">
        <w:rPr>
          <w:rFonts w:ascii="Garamond" w:hAnsi="Garamond" w:cstheme="minorHAnsi"/>
          <w:sz w:val="24"/>
          <w:szCs w:val="24"/>
        </w:rPr>
        <w:t xml:space="preserve">refuses to seriously consider that </w:t>
      </w:r>
      <w:r w:rsidR="00D93F75" w:rsidRPr="00461D74">
        <w:rPr>
          <w:rFonts w:ascii="Garamond" w:hAnsi="Garamond" w:cstheme="minorHAnsi"/>
          <w:sz w:val="24"/>
          <w:szCs w:val="24"/>
        </w:rPr>
        <w:t xml:space="preserve">local </w:t>
      </w:r>
      <w:r w:rsidR="00B13836" w:rsidRPr="00461D74">
        <w:rPr>
          <w:rFonts w:ascii="Garamond" w:hAnsi="Garamond" w:cstheme="minorHAnsi"/>
          <w:sz w:val="24"/>
          <w:szCs w:val="24"/>
        </w:rPr>
        <w:t xml:space="preserve">democracy </w:t>
      </w:r>
      <w:r w:rsidR="00D93F75" w:rsidRPr="00461D74">
        <w:rPr>
          <w:rFonts w:ascii="Garamond" w:hAnsi="Garamond" w:cstheme="minorHAnsi"/>
          <w:sz w:val="24"/>
          <w:szCs w:val="24"/>
        </w:rPr>
        <w:t>enjoys public support</w:t>
      </w:r>
      <w:r w:rsidR="00B13836" w:rsidRPr="00461D74">
        <w:rPr>
          <w:rFonts w:ascii="Garamond" w:hAnsi="Garamond" w:cstheme="minorHAnsi"/>
          <w:sz w:val="24"/>
          <w:szCs w:val="24"/>
        </w:rPr>
        <w:t xml:space="preserve">, and is </w:t>
      </w:r>
      <w:r w:rsidR="00DC75F4">
        <w:rPr>
          <w:rFonts w:ascii="Garamond" w:hAnsi="Garamond" w:cstheme="minorHAnsi"/>
          <w:sz w:val="24"/>
          <w:szCs w:val="24"/>
        </w:rPr>
        <w:t>essentially</w:t>
      </w:r>
      <w:r w:rsidR="00DC75F4" w:rsidRPr="00461D74">
        <w:rPr>
          <w:rFonts w:ascii="Garamond" w:hAnsi="Garamond" w:cstheme="minorHAnsi"/>
          <w:sz w:val="24"/>
          <w:szCs w:val="24"/>
        </w:rPr>
        <w:t xml:space="preserve"> </w:t>
      </w:r>
      <w:r w:rsidR="00B13836" w:rsidRPr="00461D74">
        <w:rPr>
          <w:rFonts w:ascii="Garamond" w:hAnsi="Garamond" w:cstheme="minorHAnsi"/>
          <w:sz w:val="24"/>
          <w:szCs w:val="24"/>
        </w:rPr>
        <w:t>a public good</w:t>
      </w:r>
      <w:r w:rsidR="00DC75F4">
        <w:rPr>
          <w:rFonts w:ascii="Garamond" w:hAnsi="Garamond" w:cstheme="minorHAnsi"/>
          <w:sz w:val="24"/>
          <w:szCs w:val="24"/>
        </w:rPr>
        <w:t xml:space="preserve"> through which citizens are initiated into the practice of deliberative democracy with respect to concerns that directly affects their community</w:t>
      </w:r>
      <w:r w:rsidR="00D93F75" w:rsidRPr="00461D74">
        <w:rPr>
          <w:rFonts w:ascii="Garamond" w:hAnsi="Garamond" w:cstheme="minorHAnsi"/>
          <w:sz w:val="24"/>
          <w:szCs w:val="24"/>
        </w:rPr>
        <w:t>.</w:t>
      </w:r>
      <w:r w:rsidR="00B13836" w:rsidRPr="00461D74">
        <w:rPr>
          <w:rFonts w:ascii="Garamond" w:hAnsi="Garamond" w:cstheme="minorHAnsi"/>
          <w:sz w:val="24"/>
          <w:szCs w:val="24"/>
        </w:rPr>
        <w:t xml:space="preserve"> The upshot of t</w:t>
      </w:r>
      <w:r w:rsidR="00222325" w:rsidRPr="00461D74">
        <w:rPr>
          <w:rFonts w:ascii="Garamond" w:hAnsi="Garamond" w:cstheme="minorHAnsi"/>
          <w:sz w:val="24"/>
          <w:szCs w:val="24"/>
        </w:rPr>
        <w:t>h</w:t>
      </w:r>
      <w:r w:rsidR="00B13836" w:rsidRPr="00461D74">
        <w:rPr>
          <w:rFonts w:ascii="Garamond" w:hAnsi="Garamond" w:cstheme="minorHAnsi"/>
          <w:sz w:val="24"/>
          <w:szCs w:val="24"/>
        </w:rPr>
        <w:t>is is that any administrative measure by the state or federal government, however arbitrary, can undermine local democracy.</w:t>
      </w:r>
      <w:r w:rsidR="003422E0" w:rsidRPr="00461D74">
        <w:rPr>
          <w:rFonts w:ascii="Garamond" w:hAnsi="Garamond" w:cstheme="minorHAnsi"/>
          <w:sz w:val="24"/>
          <w:szCs w:val="24"/>
        </w:rPr>
        <w:t xml:space="preserve"> Needless to say that by conceiving local government in this way –</w:t>
      </w:r>
      <w:r w:rsidR="00222325" w:rsidRPr="00461D74">
        <w:rPr>
          <w:rFonts w:ascii="Garamond" w:hAnsi="Garamond" w:cstheme="minorHAnsi"/>
          <w:sz w:val="24"/>
          <w:szCs w:val="24"/>
        </w:rPr>
        <w:t xml:space="preserve"> </w:t>
      </w:r>
      <w:r w:rsidR="00BB4B9D">
        <w:rPr>
          <w:rFonts w:ascii="Garamond" w:hAnsi="Garamond" w:cstheme="minorHAnsi"/>
          <w:sz w:val="24"/>
          <w:szCs w:val="24"/>
        </w:rPr>
        <w:t xml:space="preserve">as </w:t>
      </w:r>
      <w:r w:rsidR="00DC75F4">
        <w:rPr>
          <w:rFonts w:ascii="Garamond" w:hAnsi="Garamond" w:cstheme="minorHAnsi"/>
          <w:sz w:val="24"/>
          <w:szCs w:val="24"/>
        </w:rPr>
        <w:t xml:space="preserve">not even </w:t>
      </w:r>
      <w:r w:rsidRPr="00461D74">
        <w:rPr>
          <w:rFonts w:ascii="Garamond" w:hAnsi="Garamond" w:cstheme="minorHAnsi"/>
          <w:sz w:val="24"/>
          <w:szCs w:val="24"/>
        </w:rPr>
        <w:t>analogous to a public corporation</w:t>
      </w:r>
      <w:r w:rsidR="00DC75F4">
        <w:rPr>
          <w:rFonts w:ascii="Garamond" w:hAnsi="Garamond" w:cstheme="minorHAnsi"/>
          <w:sz w:val="24"/>
          <w:szCs w:val="24"/>
        </w:rPr>
        <w:t>, because corporations do enjoy certain inviolable rights associated with personhood</w:t>
      </w:r>
      <w:r w:rsidRPr="00461D74">
        <w:rPr>
          <w:rFonts w:ascii="Garamond" w:hAnsi="Garamond" w:cstheme="minorHAnsi"/>
          <w:sz w:val="24"/>
          <w:szCs w:val="24"/>
        </w:rPr>
        <w:t xml:space="preserve"> – </w:t>
      </w:r>
      <w:r w:rsidR="003422E0" w:rsidRPr="00461D74">
        <w:rPr>
          <w:rFonts w:ascii="Garamond" w:hAnsi="Garamond" w:cstheme="minorHAnsi"/>
          <w:sz w:val="24"/>
          <w:szCs w:val="24"/>
        </w:rPr>
        <w:t xml:space="preserve">we are very much </w:t>
      </w:r>
      <w:r w:rsidRPr="00461D74">
        <w:rPr>
          <w:rFonts w:ascii="Garamond" w:hAnsi="Garamond" w:cstheme="minorHAnsi"/>
          <w:sz w:val="24"/>
          <w:szCs w:val="24"/>
        </w:rPr>
        <w:t xml:space="preserve">removed from the type of local </w:t>
      </w:r>
      <w:r w:rsidR="003422E0" w:rsidRPr="00461D74">
        <w:rPr>
          <w:rFonts w:ascii="Garamond" w:hAnsi="Garamond" w:cstheme="minorHAnsi"/>
          <w:sz w:val="24"/>
          <w:szCs w:val="24"/>
        </w:rPr>
        <w:t xml:space="preserve">democracy that is </w:t>
      </w:r>
      <w:r w:rsidRPr="00461D74">
        <w:rPr>
          <w:rFonts w:ascii="Garamond" w:hAnsi="Garamond" w:cstheme="minorHAnsi"/>
          <w:sz w:val="24"/>
          <w:szCs w:val="24"/>
        </w:rPr>
        <w:t xml:space="preserve">envisioned by either MacIntyre or </w:t>
      </w:r>
      <w:r w:rsidR="003422E0" w:rsidRPr="00461D74">
        <w:rPr>
          <w:rFonts w:ascii="Garamond" w:hAnsi="Garamond" w:cstheme="minorHAnsi"/>
          <w:sz w:val="24"/>
          <w:szCs w:val="24"/>
        </w:rPr>
        <w:t>pragmatists such as Dewey.</w:t>
      </w:r>
    </w:p>
    <w:p w:rsidR="00665157" w:rsidRDefault="009A4F5F">
      <w:pPr>
        <w:spacing w:line="360" w:lineRule="auto"/>
        <w:ind w:firstLine="720"/>
        <w:jc w:val="both"/>
        <w:rPr>
          <w:rFonts w:ascii="Garamond" w:hAnsi="Garamond" w:cstheme="minorHAnsi"/>
          <w:sz w:val="24"/>
          <w:szCs w:val="24"/>
        </w:rPr>
      </w:pPr>
      <w:r>
        <w:rPr>
          <w:rFonts w:ascii="Garamond" w:hAnsi="Garamond" w:cstheme="minorHAnsi"/>
          <w:sz w:val="24"/>
          <w:szCs w:val="24"/>
        </w:rPr>
        <w:t>Now</w:t>
      </w:r>
      <w:r w:rsidR="003422E0" w:rsidRPr="00461D74">
        <w:rPr>
          <w:rFonts w:ascii="Garamond" w:hAnsi="Garamond" w:cstheme="minorHAnsi"/>
          <w:sz w:val="24"/>
          <w:szCs w:val="24"/>
        </w:rPr>
        <w:t xml:space="preserve">, in order to protect local democratic structures, we </w:t>
      </w:r>
      <w:r>
        <w:rPr>
          <w:rFonts w:ascii="Garamond" w:hAnsi="Garamond" w:cstheme="minorHAnsi"/>
          <w:sz w:val="24"/>
          <w:szCs w:val="24"/>
        </w:rPr>
        <w:t>are nonetheless forced</w:t>
      </w:r>
      <w:r w:rsidRPr="00461D74">
        <w:rPr>
          <w:rFonts w:ascii="Garamond" w:hAnsi="Garamond" w:cstheme="minorHAnsi"/>
          <w:sz w:val="24"/>
          <w:szCs w:val="24"/>
        </w:rPr>
        <w:t xml:space="preserve"> </w:t>
      </w:r>
      <w:r w:rsidR="003422E0" w:rsidRPr="00461D74">
        <w:rPr>
          <w:rFonts w:ascii="Garamond" w:hAnsi="Garamond" w:cstheme="minorHAnsi"/>
          <w:sz w:val="24"/>
          <w:szCs w:val="24"/>
        </w:rPr>
        <w:t xml:space="preserve">to conceive a different – and more balanced – </w:t>
      </w:r>
      <w:r w:rsidR="00FB330A" w:rsidRPr="00461D74">
        <w:rPr>
          <w:rFonts w:ascii="Garamond" w:hAnsi="Garamond" w:cstheme="minorHAnsi"/>
          <w:sz w:val="24"/>
          <w:szCs w:val="24"/>
        </w:rPr>
        <w:t>type</w:t>
      </w:r>
      <w:r w:rsidR="003422E0" w:rsidRPr="00461D74">
        <w:rPr>
          <w:rFonts w:ascii="Garamond" w:hAnsi="Garamond" w:cstheme="minorHAnsi"/>
          <w:sz w:val="24"/>
          <w:szCs w:val="24"/>
        </w:rPr>
        <w:t xml:space="preserve"> of relationship between </w:t>
      </w:r>
      <w:r w:rsidR="003422E0" w:rsidRPr="00461D74">
        <w:rPr>
          <w:rFonts w:ascii="Garamond" w:hAnsi="Garamond" w:cstheme="minorHAnsi"/>
          <w:sz w:val="24"/>
          <w:szCs w:val="24"/>
        </w:rPr>
        <w:lastRenderedPageBreak/>
        <w:t>various levels of government</w:t>
      </w:r>
      <w:r w:rsidR="00FB330A" w:rsidRPr="00461D74">
        <w:rPr>
          <w:rFonts w:ascii="Garamond" w:hAnsi="Garamond" w:cstheme="minorHAnsi"/>
          <w:sz w:val="24"/>
          <w:szCs w:val="24"/>
        </w:rPr>
        <w:t>, which would afford a meaningful degree of sovereignty to local communities</w:t>
      </w:r>
      <w:r w:rsidR="003422E0" w:rsidRPr="00461D74">
        <w:rPr>
          <w:rFonts w:ascii="Garamond" w:hAnsi="Garamond" w:cstheme="minorHAnsi"/>
          <w:sz w:val="24"/>
          <w:szCs w:val="24"/>
        </w:rPr>
        <w:t>.</w:t>
      </w:r>
      <w:r w:rsidR="00016049" w:rsidRPr="00461D74">
        <w:rPr>
          <w:rFonts w:ascii="Garamond" w:hAnsi="Garamond" w:cstheme="minorHAnsi"/>
          <w:sz w:val="24"/>
          <w:szCs w:val="24"/>
        </w:rPr>
        <w:t xml:space="preserve"> For example we might </w:t>
      </w:r>
      <w:r w:rsidR="00FB330A" w:rsidRPr="00461D74">
        <w:rPr>
          <w:rFonts w:ascii="Garamond" w:hAnsi="Garamond" w:cstheme="minorHAnsi"/>
          <w:sz w:val="24"/>
          <w:szCs w:val="24"/>
        </w:rPr>
        <w:t xml:space="preserve">consider </w:t>
      </w:r>
      <w:r w:rsidR="00016049" w:rsidRPr="00461D74">
        <w:rPr>
          <w:rFonts w:ascii="Garamond" w:hAnsi="Garamond" w:cstheme="minorHAnsi"/>
          <w:sz w:val="24"/>
          <w:szCs w:val="24"/>
        </w:rPr>
        <w:t xml:space="preserve">a </w:t>
      </w:r>
      <w:r w:rsidR="00FB330A" w:rsidRPr="00461D74">
        <w:rPr>
          <w:rFonts w:ascii="Garamond" w:hAnsi="Garamond" w:cstheme="minorHAnsi"/>
          <w:sz w:val="24"/>
          <w:szCs w:val="24"/>
        </w:rPr>
        <w:t>more</w:t>
      </w:r>
      <w:r w:rsidR="00016049" w:rsidRPr="00461D74">
        <w:rPr>
          <w:rFonts w:ascii="Garamond" w:hAnsi="Garamond" w:cstheme="minorHAnsi"/>
          <w:sz w:val="24"/>
          <w:szCs w:val="24"/>
        </w:rPr>
        <w:t xml:space="preserve"> limited use of Dillon’s rule. On </w:t>
      </w:r>
      <w:r w:rsidR="00FB330A" w:rsidRPr="00461D74">
        <w:rPr>
          <w:rFonts w:ascii="Garamond" w:hAnsi="Garamond" w:cstheme="minorHAnsi"/>
          <w:sz w:val="24"/>
          <w:szCs w:val="24"/>
        </w:rPr>
        <w:t xml:space="preserve">a </w:t>
      </w:r>
      <w:r w:rsidR="00016049" w:rsidRPr="00461D74">
        <w:rPr>
          <w:rFonts w:ascii="Garamond" w:hAnsi="Garamond" w:cstheme="minorHAnsi"/>
          <w:sz w:val="24"/>
          <w:szCs w:val="24"/>
        </w:rPr>
        <w:t xml:space="preserve">practical level this can be </w:t>
      </w:r>
      <w:r w:rsidR="00FB330A" w:rsidRPr="00461D74">
        <w:rPr>
          <w:rFonts w:ascii="Garamond" w:hAnsi="Garamond" w:cstheme="minorHAnsi"/>
          <w:sz w:val="24"/>
          <w:szCs w:val="24"/>
        </w:rPr>
        <w:t xml:space="preserve">achieved </w:t>
      </w:r>
      <w:r w:rsidR="00016049" w:rsidRPr="00461D74">
        <w:rPr>
          <w:rFonts w:ascii="Garamond" w:hAnsi="Garamond" w:cstheme="minorHAnsi"/>
          <w:sz w:val="24"/>
          <w:szCs w:val="24"/>
        </w:rPr>
        <w:t xml:space="preserve">by </w:t>
      </w:r>
      <w:r w:rsidR="00FB330A" w:rsidRPr="00461D74">
        <w:rPr>
          <w:rFonts w:ascii="Garamond" w:hAnsi="Garamond" w:cstheme="minorHAnsi"/>
          <w:sz w:val="24"/>
          <w:szCs w:val="24"/>
        </w:rPr>
        <w:t xml:space="preserve">advancing </w:t>
      </w:r>
      <w:r w:rsidR="00016049" w:rsidRPr="00461D74">
        <w:rPr>
          <w:rFonts w:ascii="Garamond" w:hAnsi="Garamond" w:cstheme="minorHAnsi"/>
          <w:sz w:val="24"/>
          <w:szCs w:val="24"/>
        </w:rPr>
        <w:t>state wide ballot initiatives that return</w:t>
      </w:r>
      <w:r w:rsidR="00FB330A"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FB330A" w:rsidRPr="00461D74">
        <w:rPr>
          <w:rFonts w:ascii="Garamond" w:hAnsi="Garamond" w:cstheme="minorHAnsi"/>
          <w:sz w:val="24"/>
          <w:szCs w:val="24"/>
        </w:rPr>
        <w:t xml:space="preserve">specific </w:t>
      </w:r>
      <w:r w:rsidR="00016049" w:rsidRPr="00461D74">
        <w:rPr>
          <w:rFonts w:ascii="Garamond" w:hAnsi="Garamond" w:cstheme="minorHAnsi"/>
          <w:sz w:val="24"/>
          <w:szCs w:val="24"/>
        </w:rPr>
        <w:t>power</w:t>
      </w:r>
      <w:r w:rsidR="00FB330A" w:rsidRPr="00461D74">
        <w:rPr>
          <w:rFonts w:ascii="Garamond" w:hAnsi="Garamond" w:cstheme="minorHAnsi"/>
          <w:sz w:val="24"/>
          <w:szCs w:val="24"/>
        </w:rPr>
        <w:t>s</w:t>
      </w:r>
      <w:r w:rsidR="00016049" w:rsidRPr="00461D74">
        <w:rPr>
          <w:rFonts w:ascii="Garamond" w:hAnsi="Garamond" w:cstheme="minorHAnsi"/>
          <w:sz w:val="24"/>
          <w:szCs w:val="24"/>
        </w:rPr>
        <w:t xml:space="preserve"> </w:t>
      </w:r>
      <w:r w:rsidR="00FB330A" w:rsidRPr="00461D74">
        <w:rPr>
          <w:rFonts w:ascii="Garamond" w:hAnsi="Garamond" w:cstheme="minorHAnsi"/>
          <w:sz w:val="24"/>
          <w:szCs w:val="24"/>
        </w:rPr>
        <w:t>back to</w:t>
      </w:r>
      <w:r w:rsidR="00016049" w:rsidRPr="00461D74">
        <w:rPr>
          <w:rFonts w:ascii="Garamond" w:hAnsi="Garamond" w:cstheme="minorHAnsi"/>
          <w:sz w:val="24"/>
          <w:szCs w:val="24"/>
        </w:rPr>
        <w:t xml:space="preserve"> local </w:t>
      </w:r>
      <w:r w:rsidR="00FB330A" w:rsidRPr="00461D74">
        <w:rPr>
          <w:rFonts w:ascii="Garamond" w:hAnsi="Garamond" w:cstheme="minorHAnsi"/>
          <w:sz w:val="24"/>
          <w:szCs w:val="24"/>
        </w:rPr>
        <w:t>communities</w:t>
      </w:r>
      <w:r w:rsidR="00016049" w:rsidRPr="00461D74">
        <w:rPr>
          <w:rFonts w:ascii="Garamond" w:hAnsi="Garamond" w:cstheme="minorHAnsi"/>
          <w:sz w:val="24"/>
          <w:szCs w:val="24"/>
        </w:rPr>
        <w:t xml:space="preserve">. Conceptually, we can utilise </w:t>
      </w:r>
      <w:r w:rsidR="00FB330A" w:rsidRPr="00461D74">
        <w:rPr>
          <w:rFonts w:ascii="Garamond" w:hAnsi="Garamond" w:cstheme="minorHAnsi"/>
          <w:sz w:val="24"/>
          <w:szCs w:val="24"/>
        </w:rPr>
        <w:t xml:space="preserve">different kinds of arguments </w:t>
      </w:r>
      <w:r w:rsidR="00016049" w:rsidRPr="00461D74">
        <w:rPr>
          <w:rFonts w:ascii="Garamond" w:hAnsi="Garamond" w:cstheme="minorHAnsi"/>
          <w:sz w:val="24"/>
          <w:szCs w:val="24"/>
        </w:rPr>
        <w:t xml:space="preserve">against encroachment by the state. This </w:t>
      </w:r>
      <w:r w:rsidR="00FB330A" w:rsidRPr="00461D74">
        <w:rPr>
          <w:rFonts w:ascii="Garamond" w:hAnsi="Garamond" w:cstheme="minorHAnsi"/>
          <w:sz w:val="24"/>
          <w:szCs w:val="24"/>
        </w:rPr>
        <w:t xml:space="preserve">could </w:t>
      </w:r>
      <w:r w:rsidR="00016049" w:rsidRPr="00461D74">
        <w:rPr>
          <w:rFonts w:ascii="Garamond" w:hAnsi="Garamond" w:cstheme="minorHAnsi"/>
          <w:sz w:val="24"/>
          <w:szCs w:val="24"/>
        </w:rPr>
        <w:t>include legal arguments that emphasize the doctrine of ‘Home Rule</w:t>
      </w:r>
      <w:r w:rsidR="001F39FC">
        <w:rPr>
          <w:rFonts w:ascii="Garamond" w:hAnsi="Garamond" w:cstheme="minorHAnsi"/>
          <w:sz w:val="24"/>
          <w:szCs w:val="24"/>
        </w:rPr>
        <w:t>,</w:t>
      </w:r>
      <w:r w:rsidR="00016049" w:rsidRPr="00461D74">
        <w:rPr>
          <w:rFonts w:ascii="Garamond" w:hAnsi="Garamond" w:cstheme="minorHAnsi"/>
          <w:sz w:val="24"/>
          <w:szCs w:val="24"/>
        </w:rPr>
        <w:t>’</w:t>
      </w:r>
      <w:r w:rsidR="005D3815" w:rsidRPr="00461D74">
        <w:rPr>
          <w:rFonts w:ascii="Garamond" w:hAnsi="Garamond" w:cstheme="minorHAnsi"/>
          <w:sz w:val="24"/>
          <w:szCs w:val="24"/>
        </w:rPr>
        <w:t xml:space="preserve"> as well as</w:t>
      </w:r>
      <w:r w:rsidR="00016049" w:rsidRPr="00461D74">
        <w:rPr>
          <w:rFonts w:ascii="Garamond" w:hAnsi="Garamond" w:cstheme="minorHAnsi"/>
          <w:sz w:val="24"/>
          <w:szCs w:val="24"/>
        </w:rPr>
        <w:t xml:space="preserve"> philosophical arguments that argue for a</w:t>
      </w:r>
      <w:r w:rsidR="00FB330A" w:rsidRPr="00461D74">
        <w:rPr>
          <w:rFonts w:ascii="Garamond" w:hAnsi="Garamond" w:cstheme="minorHAnsi"/>
          <w:sz w:val="24"/>
          <w:szCs w:val="24"/>
        </w:rPr>
        <w:t xml:space="preserve"> more</w:t>
      </w:r>
      <w:r w:rsidR="00016049" w:rsidRPr="00461D74">
        <w:rPr>
          <w:rFonts w:ascii="Garamond" w:hAnsi="Garamond" w:cstheme="minorHAnsi"/>
          <w:sz w:val="24"/>
          <w:szCs w:val="24"/>
        </w:rPr>
        <w:t xml:space="preserve"> instrumental</w:t>
      </w:r>
      <w:r w:rsidR="00FB330A" w:rsidRPr="00461D74">
        <w:rPr>
          <w:rFonts w:ascii="Garamond" w:hAnsi="Garamond" w:cstheme="minorHAnsi"/>
          <w:sz w:val="24"/>
          <w:szCs w:val="24"/>
        </w:rPr>
        <w:t xml:space="preserve">, as opposed to </w:t>
      </w:r>
      <w:r w:rsidR="0075047B" w:rsidRPr="00461D74">
        <w:rPr>
          <w:rFonts w:ascii="Garamond" w:hAnsi="Garamond" w:cstheme="minorHAnsi"/>
          <w:sz w:val="24"/>
          <w:szCs w:val="24"/>
        </w:rPr>
        <w:t xml:space="preserve">an </w:t>
      </w:r>
      <w:r w:rsidR="00FB330A" w:rsidRPr="00461D74">
        <w:rPr>
          <w:rFonts w:ascii="Garamond" w:hAnsi="Garamond" w:cstheme="minorHAnsi"/>
          <w:sz w:val="24"/>
          <w:szCs w:val="24"/>
        </w:rPr>
        <w:t>intensive (or sanctified),</w:t>
      </w:r>
      <w:r w:rsidR="00016049" w:rsidRPr="00461D74">
        <w:rPr>
          <w:rFonts w:ascii="Garamond" w:hAnsi="Garamond" w:cstheme="minorHAnsi"/>
          <w:sz w:val="24"/>
          <w:szCs w:val="24"/>
        </w:rPr>
        <w:t xml:space="preserve"> </w:t>
      </w:r>
      <w:r w:rsidR="00FB330A" w:rsidRPr="00461D74">
        <w:rPr>
          <w:rFonts w:ascii="Garamond" w:hAnsi="Garamond" w:cstheme="minorHAnsi"/>
          <w:sz w:val="24"/>
          <w:szCs w:val="24"/>
        </w:rPr>
        <w:t xml:space="preserve">conception </w:t>
      </w:r>
      <w:r w:rsidR="00016049" w:rsidRPr="00461D74">
        <w:rPr>
          <w:rFonts w:ascii="Garamond" w:hAnsi="Garamond" w:cstheme="minorHAnsi"/>
          <w:sz w:val="24"/>
          <w:szCs w:val="24"/>
        </w:rPr>
        <w:t>of property rights.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t xml:space="preserve">I will conclude </w:t>
      </w:r>
      <w:r w:rsidR="005D3815" w:rsidRPr="00461D74">
        <w:rPr>
          <w:rFonts w:ascii="Garamond" w:hAnsi="Garamond" w:cstheme="minorHAnsi"/>
          <w:sz w:val="24"/>
          <w:szCs w:val="24"/>
        </w:rPr>
        <w:t xml:space="preserve">my discussion here </w:t>
      </w:r>
      <w:r w:rsidRPr="00461D74">
        <w:rPr>
          <w:rFonts w:ascii="Garamond" w:hAnsi="Garamond" w:cstheme="minorHAnsi"/>
          <w:sz w:val="24"/>
          <w:szCs w:val="24"/>
        </w:rPr>
        <w:t>with a</w:t>
      </w:r>
      <w:r w:rsidR="0001732C" w:rsidRPr="00461D74">
        <w:rPr>
          <w:rFonts w:ascii="Garamond" w:hAnsi="Garamond" w:cstheme="minorHAnsi"/>
          <w:sz w:val="24"/>
          <w:szCs w:val="24"/>
        </w:rPr>
        <w:t xml:space="preserve"> </w:t>
      </w:r>
      <w:r w:rsidR="005D3815" w:rsidRPr="00461D74">
        <w:rPr>
          <w:rFonts w:ascii="Garamond" w:hAnsi="Garamond" w:cstheme="minorHAnsi"/>
          <w:sz w:val="24"/>
          <w:szCs w:val="24"/>
        </w:rPr>
        <w:t>historical</w:t>
      </w:r>
      <w:r w:rsidRPr="00461D74">
        <w:rPr>
          <w:rFonts w:ascii="Garamond" w:hAnsi="Garamond" w:cstheme="minorHAnsi"/>
          <w:sz w:val="24"/>
          <w:szCs w:val="24"/>
        </w:rPr>
        <w:t xml:space="preserve"> example</w:t>
      </w:r>
      <w:r w:rsidR="0001732C" w:rsidRPr="00461D74">
        <w:rPr>
          <w:rFonts w:ascii="Garamond" w:hAnsi="Garamond" w:cstheme="minorHAnsi"/>
          <w:sz w:val="24"/>
          <w:szCs w:val="24"/>
        </w:rPr>
        <w:t xml:space="preserve"> in which an instrumental conception of property rights was successfully advanced against an absolutist conception of </w:t>
      </w:r>
      <w:r w:rsidR="00A575EB">
        <w:rPr>
          <w:rFonts w:ascii="Garamond" w:hAnsi="Garamond" w:cstheme="minorHAnsi"/>
          <w:sz w:val="24"/>
          <w:szCs w:val="24"/>
        </w:rPr>
        <w:t>the same</w:t>
      </w:r>
      <w:r w:rsidR="0001732C" w:rsidRPr="00461D74">
        <w:rPr>
          <w:rFonts w:ascii="Garamond" w:hAnsi="Garamond" w:cstheme="minorHAnsi"/>
          <w:sz w:val="24"/>
          <w:szCs w:val="24"/>
        </w:rPr>
        <w:t xml:space="preserve">. </w:t>
      </w:r>
      <w:r w:rsidR="00035ED9" w:rsidRPr="00461D74">
        <w:rPr>
          <w:rFonts w:ascii="Garamond" w:hAnsi="Garamond" w:cstheme="minorHAnsi"/>
          <w:sz w:val="24"/>
          <w:szCs w:val="24"/>
        </w:rPr>
        <w:t xml:space="preserve">In addition, these successes had the effect of undermining a strict distinction between public and private spheres. </w:t>
      </w:r>
      <w:r w:rsidRPr="00461D74">
        <w:rPr>
          <w:rFonts w:ascii="Garamond" w:hAnsi="Garamond" w:cstheme="minorHAnsi"/>
          <w:sz w:val="24"/>
          <w:szCs w:val="24"/>
        </w:rPr>
        <w:t>In the recent past</w:t>
      </w:r>
      <w:r w:rsidR="0001732C" w:rsidRPr="00461D74">
        <w:rPr>
          <w:rFonts w:ascii="Garamond" w:hAnsi="Garamond" w:cstheme="minorHAnsi"/>
          <w:sz w:val="24"/>
          <w:szCs w:val="24"/>
        </w:rPr>
        <w:t>,</w:t>
      </w:r>
      <w:r w:rsidRPr="00461D74">
        <w:rPr>
          <w:rFonts w:ascii="Garamond" w:hAnsi="Garamond" w:cstheme="minorHAnsi"/>
          <w:sz w:val="24"/>
          <w:szCs w:val="24"/>
        </w:rPr>
        <w:t xml:space="preserve"> liberal defenders of property rights have used </w:t>
      </w:r>
      <w:r w:rsidR="0001732C" w:rsidRPr="00461D74">
        <w:rPr>
          <w:rFonts w:ascii="Garamond" w:hAnsi="Garamond" w:cstheme="minorHAnsi"/>
          <w:sz w:val="24"/>
          <w:szCs w:val="24"/>
        </w:rPr>
        <w:t>an intensive conception</w:t>
      </w:r>
      <w:r w:rsidRPr="00461D74">
        <w:rPr>
          <w:rFonts w:ascii="Garamond" w:hAnsi="Garamond" w:cstheme="minorHAnsi"/>
          <w:sz w:val="24"/>
          <w:szCs w:val="24"/>
        </w:rPr>
        <w:t xml:space="preserve"> of property rights to undermine efforts </w:t>
      </w:r>
      <w:r w:rsidR="0001732C" w:rsidRPr="00461D74">
        <w:rPr>
          <w:rFonts w:ascii="Garamond" w:hAnsi="Garamond" w:cstheme="minorHAnsi"/>
          <w:sz w:val="24"/>
          <w:szCs w:val="24"/>
        </w:rPr>
        <w:t xml:space="preserve">aimed at removing discrimination </w:t>
      </w:r>
      <w:r w:rsidRPr="00461D74">
        <w:rPr>
          <w:rFonts w:ascii="Garamond" w:hAnsi="Garamond" w:cstheme="minorHAnsi"/>
          <w:sz w:val="24"/>
          <w:szCs w:val="24"/>
        </w:rPr>
        <w:t xml:space="preserve">by </w:t>
      </w:r>
      <w:r w:rsidR="0001732C" w:rsidRPr="00461D74">
        <w:rPr>
          <w:rFonts w:ascii="Garamond" w:hAnsi="Garamond" w:cstheme="minorHAnsi"/>
          <w:sz w:val="24"/>
          <w:szCs w:val="24"/>
        </w:rPr>
        <w:t>various levels of</w:t>
      </w:r>
      <w:r w:rsidRPr="00461D74">
        <w:rPr>
          <w:rFonts w:ascii="Garamond" w:hAnsi="Garamond" w:cstheme="minorHAnsi"/>
          <w:sz w:val="24"/>
          <w:szCs w:val="24"/>
        </w:rPr>
        <w:t xml:space="preserve"> government. In the 1950s and 1960s this </w:t>
      </w:r>
      <w:r w:rsidR="00035ED9" w:rsidRPr="00461D74">
        <w:rPr>
          <w:rFonts w:ascii="Garamond" w:hAnsi="Garamond" w:cstheme="minorHAnsi"/>
          <w:sz w:val="24"/>
          <w:szCs w:val="24"/>
        </w:rPr>
        <w:t xml:space="preserve">reading of property rights </w:t>
      </w:r>
      <w:r w:rsidRPr="00461D74">
        <w:rPr>
          <w:rFonts w:ascii="Garamond" w:hAnsi="Garamond" w:cstheme="minorHAnsi"/>
          <w:sz w:val="24"/>
          <w:szCs w:val="24"/>
        </w:rPr>
        <w:t xml:space="preserve">was used by some liberal theorist who were </w:t>
      </w:r>
      <w:r w:rsidR="00035ED9" w:rsidRPr="00461D74">
        <w:rPr>
          <w:rFonts w:ascii="Garamond" w:hAnsi="Garamond" w:cstheme="minorHAnsi"/>
          <w:sz w:val="24"/>
          <w:szCs w:val="24"/>
        </w:rPr>
        <w:t xml:space="preserve">generally opposed to </w:t>
      </w:r>
      <w:r w:rsidRPr="00461D74">
        <w:rPr>
          <w:rFonts w:ascii="Garamond" w:hAnsi="Garamond" w:cstheme="minorHAnsi"/>
          <w:sz w:val="24"/>
          <w:szCs w:val="24"/>
        </w:rPr>
        <w:t>segregation</w:t>
      </w:r>
      <w:r w:rsidR="00035ED9" w:rsidRPr="00461D74">
        <w:rPr>
          <w:rFonts w:ascii="Garamond" w:hAnsi="Garamond" w:cstheme="minorHAnsi"/>
          <w:sz w:val="24"/>
          <w:szCs w:val="24"/>
        </w:rPr>
        <w:t>,</w:t>
      </w:r>
      <w:r w:rsidRPr="00461D74">
        <w:rPr>
          <w:rFonts w:ascii="Garamond" w:hAnsi="Garamond" w:cstheme="minorHAnsi"/>
          <w:sz w:val="24"/>
          <w:szCs w:val="24"/>
        </w:rPr>
        <w:t xml:space="preserve"> to make the claim that executive action by the federal government to desegregate </w:t>
      </w:r>
      <w:r w:rsidR="00035ED9" w:rsidRPr="00461D74">
        <w:rPr>
          <w:rFonts w:ascii="Garamond" w:hAnsi="Garamond" w:cstheme="minorHAnsi"/>
          <w:sz w:val="24"/>
          <w:szCs w:val="24"/>
        </w:rPr>
        <w:t xml:space="preserve">publicly enjoyed private </w:t>
      </w:r>
      <w:r w:rsidRPr="00461D74">
        <w:rPr>
          <w:rFonts w:ascii="Garamond" w:hAnsi="Garamond" w:cstheme="minorHAnsi"/>
          <w:sz w:val="24"/>
          <w:szCs w:val="24"/>
        </w:rPr>
        <w:t>property</w:t>
      </w:r>
      <w:r w:rsidR="00035ED9" w:rsidRPr="00461D74">
        <w:rPr>
          <w:rFonts w:ascii="Garamond" w:hAnsi="Garamond" w:cstheme="minorHAnsi"/>
          <w:sz w:val="24"/>
          <w:szCs w:val="24"/>
        </w:rPr>
        <w:t xml:space="preserve"> (such as restaurants and hotels),</w:t>
      </w:r>
      <w:r w:rsidRPr="00461D74">
        <w:rPr>
          <w:rFonts w:ascii="Garamond" w:hAnsi="Garamond" w:cstheme="minorHAnsi"/>
          <w:sz w:val="24"/>
          <w:szCs w:val="24"/>
        </w:rPr>
        <w:t xml:space="preserve"> </w:t>
      </w:r>
      <w:r w:rsidR="00035ED9" w:rsidRPr="00461D74">
        <w:rPr>
          <w:rFonts w:ascii="Garamond" w:hAnsi="Garamond" w:cstheme="minorHAnsi"/>
          <w:sz w:val="24"/>
          <w:szCs w:val="24"/>
        </w:rPr>
        <w:t>amounted to</w:t>
      </w:r>
      <w:r w:rsidRPr="00461D74">
        <w:rPr>
          <w:rFonts w:ascii="Garamond" w:hAnsi="Garamond" w:cstheme="minorHAnsi"/>
          <w:sz w:val="24"/>
          <w:szCs w:val="24"/>
        </w:rPr>
        <w:t xml:space="preserve"> an </w:t>
      </w:r>
      <w:r w:rsidR="00035ED9" w:rsidRPr="00461D74">
        <w:rPr>
          <w:rFonts w:ascii="Garamond" w:hAnsi="Garamond" w:cstheme="minorHAnsi"/>
          <w:sz w:val="24"/>
          <w:szCs w:val="24"/>
        </w:rPr>
        <w:t xml:space="preserve">undue </w:t>
      </w:r>
      <w:r w:rsidRPr="00461D74">
        <w:rPr>
          <w:rFonts w:ascii="Garamond" w:hAnsi="Garamond" w:cstheme="minorHAnsi"/>
          <w:sz w:val="24"/>
          <w:szCs w:val="24"/>
        </w:rPr>
        <w:t>infringement of private property rights.</w:t>
      </w:r>
      <w:r w:rsidRPr="00461D74">
        <w:rPr>
          <w:rStyle w:val="FootnoteReference"/>
          <w:rFonts w:ascii="Garamond" w:hAnsi="Garamond" w:cstheme="minorHAnsi"/>
          <w:sz w:val="24"/>
          <w:szCs w:val="24"/>
        </w:rPr>
        <w:footnoteReference w:id="448"/>
      </w:r>
      <w:r w:rsidRPr="00461D74">
        <w:rPr>
          <w:rFonts w:ascii="Garamond" w:hAnsi="Garamond" w:cstheme="minorHAnsi"/>
          <w:sz w:val="24"/>
          <w:szCs w:val="24"/>
        </w:rPr>
        <w:t xml:space="preserve"> </w:t>
      </w:r>
      <w:r w:rsidR="00CC3A7F" w:rsidRPr="00461D74">
        <w:rPr>
          <w:rFonts w:ascii="Garamond" w:hAnsi="Garamond" w:cstheme="minorHAnsi"/>
          <w:sz w:val="24"/>
          <w:szCs w:val="24"/>
        </w:rPr>
        <w:t xml:space="preserve">Nevertheless, arguments that advanced a more instrumental conception of property rights were able to successfully </w:t>
      </w:r>
      <w:r w:rsidR="00041147">
        <w:rPr>
          <w:rFonts w:ascii="Garamond" w:hAnsi="Garamond" w:cstheme="minorHAnsi"/>
          <w:sz w:val="24"/>
          <w:szCs w:val="24"/>
        </w:rPr>
        <w:t>defeat</w:t>
      </w:r>
      <w:r w:rsidR="00CC3A7F" w:rsidRPr="00461D74">
        <w:rPr>
          <w:rFonts w:ascii="Garamond" w:hAnsi="Garamond" w:cstheme="minorHAnsi"/>
          <w:sz w:val="24"/>
          <w:szCs w:val="24"/>
        </w:rPr>
        <w:t xml:space="preserve"> arguments that </w:t>
      </w:r>
      <w:r w:rsidR="00A71F3E">
        <w:rPr>
          <w:rFonts w:ascii="Garamond" w:hAnsi="Garamond" w:cstheme="minorHAnsi"/>
          <w:sz w:val="24"/>
          <w:szCs w:val="24"/>
        </w:rPr>
        <w:t>safeguarded</w:t>
      </w:r>
      <w:r w:rsidR="00A71F3E" w:rsidRPr="00461D74">
        <w:rPr>
          <w:rFonts w:ascii="Garamond" w:hAnsi="Garamond" w:cstheme="minorHAnsi"/>
          <w:sz w:val="24"/>
          <w:szCs w:val="24"/>
        </w:rPr>
        <w:t xml:space="preserve"> </w:t>
      </w:r>
      <w:r w:rsidR="00CC3A7F" w:rsidRPr="00461D74">
        <w:rPr>
          <w:rFonts w:ascii="Garamond" w:hAnsi="Garamond" w:cstheme="minorHAnsi"/>
          <w:sz w:val="24"/>
          <w:szCs w:val="24"/>
        </w:rPr>
        <w:t>an intensive conception of private property rights</w:t>
      </w:r>
      <w:r w:rsidRPr="00461D74">
        <w:rPr>
          <w:rFonts w:ascii="Garamond" w:hAnsi="Garamond" w:cstheme="minorHAnsi"/>
          <w:sz w:val="24"/>
          <w:szCs w:val="24"/>
        </w:rPr>
        <w:t>.</w:t>
      </w:r>
      <w:r w:rsidRPr="00461D74">
        <w:rPr>
          <w:rStyle w:val="FootnoteReference"/>
          <w:rFonts w:ascii="Garamond" w:hAnsi="Garamond" w:cstheme="minorHAnsi"/>
          <w:sz w:val="24"/>
          <w:szCs w:val="24"/>
        </w:rPr>
        <w:footnoteReference w:id="449"/>
      </w:r>
      <w:r w:rsidRPr="00461D74">
        <w:rPr>
          <w:rFonts w:ascii="Garamond" w:hAnsi="Garamond" w:cstheme="minorHAnsi"/>
          <w:sz w:val="24"/>
          <w:szCs w:val="24"/>
        </w:rPr>
        <w:t xml:space="preserve"> </w:t>
      </w:r>
      <w:r w:rsidR="0020100B" w:rsidRPr="00461D74">
        <w:rPr>
          <w:rFonts w:ascii="Garamond" w:hAnsi="Garamond" w:cstheme="minorHAnsi"/>
          <w:sz w:val="24"/>
          <w:szCs w:val="24"/>
        </w:rPr>
        <w:t>The various instrumental views successfully argued</w:t>
      </w:r>
      <w:r w:rsidRPr="00461D74">
        <w:rPr>
          <w:rFonts w:ascii="Garamond" w:hAnsi="Garamond" w:cstheme="minorHAnsi"/>
          <w:sz w:val="24"/>
          <w:szCs w:val="24"/>
        </w:rPr>
        <w:t xml:space="preserve"> that the good </w:t>
      </w:r>
      <w:r w:rsidR="0020100B" w:rsidRPr="00461D74">
        <w:rPr>
          <w:rFonts w:ascii="Garamond" w:hAnsi="Garamond" w:cstheme="minorHAnsi"/>
          <w:sz w:val="24"/>
          <w:szCs w:val="24"/>
        </w:rPr>
        <w:t xml:space="preserve">represented by egalitarian principles of </w:t>
      </w:r>
      <w:r w:rsidRPr="00461D74">
        <w:rPr>
          <w:rFonts w:ascii="Garamond" w:hAnsi="Garamond" w:cstheme="minorHAnsi"/>
          <w:sz w:val="24"/>
          <w:szCs w:val="24"/>
        </w:rPr>
        <w:t xml:space="preserve">fair treatment </w:t>
      </w:r>
      <w:r w:rsidR="0020100B" w:rsidRPr="00461D74">
        <w:rPr>
          <w:rFonts w:ascii="Garamond" w:hAnsi="Garamond" w:cstheme="minorHAnsi"/>
          <w:sz w:val="24"/>
          <w:szCs w:val="24"/>
        </w:rPr>
        <w:t xml:space="preserve">was in fact </w:t>
      </w:r>
      <w:r w:rsidRPr="00461D74">
        <w:rPr>
          <w:rFonts w:ascii="Garamond" w:hAnsi="Garamond" w:cstheme="minorHAnsi"/>
          <w:sz w:val="24"/>
          <w:szCs w:val="24"/>
        </w:rPr>
        <w:t>a greater good than the good preserved by an intensive view of private property rights</w:t>
      </w:r>
      <w:r w:rsidR="0020100B" w:rsidRPr="00461D74">
        <w:rPr>
          <w:rFonts w:ascii="Garamond" w:hAnsi="Garamond" w:cstheme="minorHAnsi"/>
          <w:sz w:val="24"/>
          <w:szCs w:val="24"/>
        </w:rPr>
        <w:t xml:space="preserve"> which</w:t>
      </w:r>
      <w:r w:rsidRPr="00461D74">
        <w:rPr>
          <w:rFonts w:ascii="Garamond" w:hAnsi="Garamond" w:cstheme="minorHAnsi"/>
          <w:sz w:val="24"/>
          <w:szCs w:val="24"/>
        </w:rPr>
        <w:t xml:space="preserve"> would </w:t>
      </w:r>
      <w:r w:rsidR="0020100B" w:rsidRPr="00461D74">
        <w:rPr>
          <w:rFonts w:ascii="Garamond" w:hAnsi="Garamond" w:cstheme="minorHAnsi"/>
          <w:sz w:val="24"/>
          <w:szCs w:val="24"/>
        </w:rPr>
        <w:t xml:space="preserve">have </w:t>
      </w:r>
      <w:r w:rsidRPr="00461D74">
        <w:rPr>
          <w:rFonts w:ascii="Garamond" w:hAnsi="Garamond" w:cstheme="minorHAnsi"/>
          <w:sz w:val="24"/>
          <w:szCs w:val="24"/>
        </w:rPr>
        <w:t xml:space="preserve">in effect </w:t>
      </w:r>
      <w:r w:rsidR="0020100B" w:rsidRPr="00461D74">
        <w:rPr>
          <w:rFonts w:ascii="Garamond" w:hAnsi="Garamond" w:cstheme="minorHAnsi"/>
          <w:sz w:val="24"/>
          <w:szCs w:val="24"/>
        </w:rPr>
        <w:t xml:space="preserve">allowed </w:t>
      </w:r>
      <w:r w:rsidRPr="00461D74">
        <w:rPr>
          <w:rFonts w:ascii="Garamond" w:hAnsi="Garamond" w:cstheme="minorHAnsi"/>
          <w:sz w:val="24"/>
          <w:szCs w:val="24"/>
        </w:rPr>
        <w:t xml:space="preserve">private </w:t>
      </w:r>
      <w:r w:rsidR="0020100B" w:rsidRPr="00461D74">
        <w:rPr>
          <w:rFonts w:ascii="Garamond" w:hAnsi="Garamond" w:cstheme="minorHAnsi"/>
          <w:sz w:val="24"/>
          <w:szCs w:val="24"/>
        </w:rPr>
        <w:t>owners to continue their discriminatory policies.</w:t>
      </w:r>
    </w:p>
    <w:p w:rsidR="00665157" w:rsidRDefault="00016049">
      <w:pPr>
        <w:spacing w:line="360" w:lineRule="auto"/>
        <w:ind w:firstLine="720"/>
        <w:jc w:val="both"/>
        <w:rPr>
          <w:rFonts w:ascii="Garamond" w:hAnsi="Garamond" w:cstheme="minorHAnsi"/>
          <w:sz w:val="24"/>
          <w:szCs w:val="24"/>
        </w:rPr>
      </w:pPr>
      <w:r w:rsidRPr="00461D74">
        <w:rPr>
          <w:rFonts w:ascii="Garamond" w:hAnsi="Garamond" w:cstheme="minorHAnsi"/>
          <w:sz w:val="24"/>
          <w:szCs w:val="24"/>
        </w:rPr>
        <w:lastRenderedPageBreak/>
        <w:t xml:space="preserve">The lesson </w:t>
      </w:r>
      <w:r w:rsidR="0020100B" w:rsidRPr="00461D74">
        <w:rPr>
          <w:rFonts w:ascii="Garamond" w:hAnsi="Garamond" w:cstheme="minorHAnsi"/>
          <w:sz w:val="24"/>
          <w:szCs w:val="24"/>
        </w:rPr>
        <w:t xml:space="preserve">here for us </w:t>
      </w:r>
      <w:r w:rsidRPr="00461D74">
        <w:rPr>
          <w:rFonts w:ascii="Garamond" w:hAnsi="Garamond" w:cstheme="minorHAnsi"/>
          <w:sz w:val="24"/>
          <w:szCs w:val="24"/>
        </w:rPr>
        <w:t xml:space="preserve">is that </w:t>
      </w:r>
      <w:r w:rsidR="0020100B" w:rsidRPr="00461D74">
        <w:rPr>
          <w:rFonts w:ascii="Garamond" w:hAnsi="Garamond" w:cstheme="minorHAnsi"/>
          <w:sz w:val="24"/>
          <w:szCs w:val="24"/>
        </w:rPr>
        <w:t>important civil liberties, such as</w:t>
      </w:r>
      <w:r w:rsidRPr="00461D74">
        <w:rPr>
          <w:rFonts w:ascii="Garamond" w:hAnsi="Garamond" w:cstheme="minorHAnsi"/>
          <w:sz w:val="24"/>
          <w:szCs w:val="24"/>
        </w:rPr>
        <w:t xml:space="preserve"> property rights</w:t>
      </w:r>
      <w:r w:rsidR="0020100B" w:rsidRPr="00461D74">
        <w:rPr>
          <w:rFonts w:ascii="Garamond" w:hAnsi="Garamond" w:cstheme="minorHAnsi"/>
          <w:sz w:val="24"/>
          <w:szCs w:val="24"/>
        </w:rPr>
        <w:t xml:space="preserve"> or even freedom of speech,</w:t>
      </w:r>
      <w:r w:rsidRPr="00461D74">
        <w:rPr>
          <w:rFonts w:ascii="Garamond" w:hAnsi="Garamond" w:cstheme="minorHAnsi"/>
          <w:sz w:val="24"/>
          <w:szCs w:val="24"/>
        </w:rPr>
        <w:t xml:space="preserve"> are instrumental and therefore limited – namely, that they should be placed against a balance of </w:t>
      </w:r>
      <w:r w:rsidR="0055355D" w:rsidRPr="00461D74">
        <w:rPr>
          <w:rFonts w:ascii="Garamond" w:hAnsi="Garamond" w:cstheme="minorHAnsi"/>
          <w:sz w:val="24"/>
          <w:szCs w:val="24"/>
        </w:rPr>
        <w:t xml:space="preserve">public </w:t>
      </w:r>
      <w:r w:rsidRPr="00461D74">
        <w:rPr>
          <w:rFonts w:ascii="Garamond" w:hAnsi="Garamond" w:cstheme="minorHAnsi"/>
          <w:sz w:val="24"/>
          <w:szCs w:val="24"/>
        </w:rPr>
        <w:t>reasons</w:t>
      </w:r>
      <w:r w:rsidR="0055355D" w:rsidRPr="00461D74">
        <w:rPr>
          <w:rFonts w:ascii="Garamond" w:hAnsi="Garamond" w:cstheme="minorHAnsi"/>
          <w:sz w:val="24"/>
          <w:szCs w:val="24"/>
        </w:rPr>
        <w:t xml:space="preserve"> with respect to advancing the common good. W</w:t>
      </w:r>
      <w:r w:rsidRPr="00461D74">
        <w:rPr>
          <w:rFonts w:ascii="Garamond" w:hAnsi="Garamond" w:cstheme="minorHAnsi"/>
          <w:sz w:val="24"/>
          <w:szCs w:val="24"/>
        </w:rPr>
        <w:t xml:space="preserve">e can use similar arguments for communities to achieve a level of local sovereignty in ways that allow them to promote substantive conceptions of the good. Of course, </w:t>
      </w:r>
      <w:r w:rsidR="0055355D" w:rsidRPr="00461D74">
        <w:rPr>
          <w:rFonts w:ascii="Garamond" w:hAnsi="Garamond" w:cstheme="minorHAnsi"/>
          <w:sz w:val="24"/>
          <w:szCs w:val="24"/>
        </w:rPr>
        <w:t xml:space="preserve">I emphasized </w:t>
      </w:r>
      <w:r w:rsidRPr="00461D74">
        <w:rPr>
          <w:rFonts w:ascii="Garamond" w:hAnsi="Garamond" w:cstheme="minorHAnsi"/>
          <w:sz w:val="24"/>
          <w:szCs w:val="24"/>
        </w:rPr>
        <w:t>earlier</w:t>
      </w:r>
      <w:r w:rsidR="0055355D" w:rsidRPr="00461D74">
        <w:rPr>
          <w:rFonts w:ascii="Garamond" w:hAnsi="Garamond" w:cstheme="minorHAnsi"/>
          <w:sz w:val="24"/>
          <w:szCs w:val="24"/>
        </w:rPr>
        <w:t xml:space="preserve"> that</w:t>
      </w:r>
      <w:r w:rsidRPr="00461D74">
        <w:rPr>
          <w:rFonts w:ascii="Garamond" w:hAnsi="Garamond" w:cstheme="minorHAnsi"/>
          <w:sz w:val="24"/>
          <w:szCs w:val="24"/>
        </w:rPr>
        <w:t xml:space="preserve"> when it comes to </w:t>
      </w:r>
      <w:r w:rsidR="0055355D" w:rsidRPr="00461D74">
        <w:rPr>
          <w:rFonts w:ascii="Garamond" w:hAnsi="Garamond" w:cstheme="minorHAnsi"/>
          <w:sz w:val="24"/>
          <w:szCs w:val="24"/>
        </w:rPr>
        <w:t xml:space="preserve">important </w:t>
      </w:r>
      <w:r w:rsidRPr="00461D74">
        <w:rPr>
          <w:rFonts w:ascii="Garamond" w:hAnsi="Garamond" w:cstheme="minorHAnsi"/>
          <w:sz w:val="24"/>
          <w:szCs w:val="24"/>
        </w:rPr>
        <w:t>civil liberties</w:t>
      </w:r>
      <w:r w:rsidR="0055355D" w:rsidRPr="00461D74">
        <w:rPr>
          <w:rFonts w:ascii="Garamond" w:hAnsi="Garamond" w:cstheme="minorHAnsi"/>
          <w:sz w:val="24"/>
          <w:szCs w:val="24"/>
        </w:rPr>
        <w:t>,</w:t>
      </w:r>
      <w:r w:rsidRPr="00461D74">
        <w:rPr>
          <w:rFonts w:ascii="Garamond" w:hAnsi="Garamond" w:cstheme="minorHAnsi"/>
          <w:sz w:val="24"/>
          <w:szCs w:val="24"/>
        </w:rPr>
        <w:t xml:space="preserve"> we </w:t>
      </w:r>
      <w:r w:rsidR="00733E9B" w:rsidRPr="00461D74">
        <w:rPr>
          <w:rFonts w:ascii="Garamond" w:hAnsi="Garamond" w:cstheme="minorHAnsi"/>
          <w:sz w:val="24"/>
          <w:szCs w:val="24"/>
        </w:rPr>
        <w:t xml:space="preserve">must </w:t>
      </w:r>
      <w:r w:rsidRPr="00461D74">
        <w:rPr>
          <w:rFonts w:ascii="Garamond" w:hAnsi="Garamond" w:cstheme="minorHAnsi"/>
          <w:sz w:val="24"/>
          <w:szCs w:val="24"/>
        </w:rPr>
        <w:t xml:space="preserve">ensure </w:t>
      </w:r>
      <w:r w:rsidR="00733E9B" w:rsidRPr="00461D74">
        <w:rPr>
          <w:rFonts w:ascii="Garamond" w:hAnsi="Garamond" w:cstheme="minorHAnsi"/>
          <w:sz w:val="24"/>
          <w:szCs w:val="24"/>
        </w:rPr>
        <w:t xml:space="preserve">that </w:t>
      </w:r>
      <w:r w:rsidRPr="00461D74">
        <w:rPr>
          <w:rFonts w:ascii="Garamond" w:hAnsi="Garamond" w:cstheme="minorHAnsi"/>
          <w:sz w:val="24"/>
          <w:szCs w:val="24"/>
        </w:rPr>
        <w:t xml:space="preserve">we </w:t>
      </w:r>
      <w:r w:rsidR="00733E9B" w:rsidRPr="00461D74">
        <w:rPr>
          <w:rFonts w:ascii="Garamond" w:hAnsi="Garamond" w:cstheme="minorHAnsi"/>
          <w:sz w:val="24"/>
          <w:szCs w:val="24"/>
        </w:rPr>
        <w:t>possess adequate procedures that</w:t>
      </w:r>
      <w:r w:rsidRPr="00461D74">
        <w:rPr>
          <w:rFonts w:ascii="Garamond" w:hAnsi="Garamond" w:cstheme="minorHAnsi"/>
          <w:sz w:val="24"/>
          <w:szCs w:val="24"/>
        </w:rPr>
        <w:t xml:space="preserve"> protect individuals from selective </w:t>
      </w:r>
      <w:r w:rsidR="0020100B" w:rsidRPr="00461D74">
        <w:rPr>
          <w:rFonts w:ascii="Garamond" w:hAnsi="Garamond" w:cstheme="minorHAnsi"/>
          <w:sz w:val="24"/>
          <w:szCs w:val="24"/>
        </w:rPr>
        <w:t xml:space="preserve">and arbitrary </w:t>
      </w:r>
      <w:r w:rsidRPr="00461D74">
        <w:rPr>
          <w:rFonts w:ascii="Garamond" w:hAnsi="Garamond" w:cstheme="minorHAnsi"/>
          <w:sz w:val="24"/>
          <w:szCs w:val="24"/>
        </w:rPr>
        <w:t xml:space="preserve">discrimination. </w:t>
      </w:r>
      <w:r w:rsidR="00733E9B" w:rsidRPr="00461D74">
        <w:rPr>
          <w:rFonts w:ascii="Garamond" w:hAnsi="Garamond" w:cstheme="minorHAnsi"/>
          <w:sz w:val="24"/>
          <w:szCs w:val="24"/>
        </w:rPr>
        <w:t>For example</w:t>
      </w:r>
      <w:r w:rsidR="0075047B" w:rsidRPr="00461D74">
        <w:rPr>
          <w:rFonts w:ascii="Garamond" w:hAnsi="Garamond" w:cstheme="minorHAnsi"/>
          <w:sz w:val="24"/>
          <w:szCs w:val="24"/>
        </w:rPr>
        <w:t>,</w:t>
      </w:r>
      <w:r w:rsidR="00733E9B" w:rsidRPr="00461D74">
        <w:rPr>
          <w:rFonts w:ascii="Garamond" w:hAnsi="Garamond" w:cstheme="minorHAnsi"/>
          <w:sz w:val="24"/>
          <w:szCs w:val="24"/>
        </w:rPr>
        <w:t xml:space="preserve"> it is possible to advance </w:t>
      </w:r>
      <w:r w:rsidRPr="00461D74">
        <w:rPr>
          <w:rFonts w:ascii="Garamond" w:hAnsi="Garamond" w:cstheme="minorHAnsi"/>
          <w:sz w:val="24"/>
          <w:szCs w:val="24"/>
        </w:rPr>
        <w:t xml:space="preserve">local initiatives </w:t>
      </w:r>
      <w:r w:rsidR="00733E9B" w:rsidRPr="00461D74">
        <w:rPr>
          <w:rFonts w:ascii="Garamond" w:hAnsi="Garamond" w:cstheme="minorHAnsi"/>
          <w:sz w:val="24"/>
          <w:szCs w:val="24"/>
        </w:rPr>
        <w:t xml:space="preserve">that </w:t>
      </w:r>
      <w:r w:rsidRPr="00461D74">
        <w:rPr>
          <w:rFonts w:ascii="Garamond" w:hAnsi="Garamond" w:cstheme="minorHAnsi"/>
          <w:sz w:val="24"/>
          <w:szCs w:val="24"/>
        </w:rPr>
        <w:t>protect public health, the environment, or other similar initiatives</w:t>
      </w:r>
      <w:r w:rsidR="00733E9B" w:rsidRPr="00461D74">
        <w:rPr>
          <w:rFonts w:ascii="Garamond" w:hAnsi="Garamond" w:cstheme="minorHAnsi"/>
          <w:sz w:val="24"/>
          <w:szCs w:val="24"/>
        </w:rPr>
        <w:t xml:space="preserve"> aimed at advancing important goods.</w:t>
      </w:r>
      <w:r w:rsidR="00F50A88" w:rsidRPr="00461D74">
        <w:rPr>
          <w:rFonts w:ascii="Garamond" w:hAnsi="Garamond" w:cstheme="minorHAnsi"/>
          <w:sz w:val="24"/>
          <w:szCs w:val="24"/>
        </w:rPr>
        <w:t xml:space="preserve"> Here, we can ensure that the efforts of local communities are </w:t>
      </w:r>
      <w:r w:rsidRPr="00461D74">
        <w:rPr>
          <w:rFonts w:ascii="Garamond" w:hAnsi="Garamond" w:cstheme="minorHAnsi"/>
          <w:sz w:val="24"/>
          <w:szCs w:val="24"/>
        </w:rPr>
        <w:t xml:space="preserve">not stifled under various legal precedents that </w:t>
      </w:r>
      <w:r w:rsidR="00F50A88" w:rsidRPr="00461D74">
        <w:rPr>
          <w:rFonts w:ascii="Garamond" w:hAnsi="Garamond" w:cstheme="minorHAnsi"/>
          <w:sz w:val="24"/>
          <w:szCs w:val="24"/>
        </w:rPr>
        <w:t>originated in an intensive</w:t>
      </w:r>
      <w:r w:rsidRPr="00461D74">
        <w:rPr>
          <w:rFonts w:ascii="Garamond" w:hAnsi="Garamond" w:cstheme="minorHAnsi"/>
          <w:sz w:val="24"/>
          <w:szCs w:val="24"/>
        </w:rPr>
        <w:t xml:space="preserve"> view of property rights. </w:t>
      </w:r>
      <w:r w:rsidR="00F02811" w:rsidRPr="00461D74">
        <w:rPr>
          <w:rFonts w:ascii="Garamond" w:hAnsi="Garamond" w:cstheme="minorHAnsi"/>
          <w:sz w:val="24"/>
          <w:szCs w:val="24"/>
        </w:rPr>
        <w:t>For those interested in advancing MacIntyre’s conception of the common good, the work of Elizabeth Anderson offers some interesting Deweyan (pragmatist) possibilities.</w:t>
      </w:r>
      <w:r w:rsidR="000F6D82" w:rsidRPr="000F6D82">
        <w:rPr>
          <w:rStyle w:val="FootnoteReference"/>
          <w:rFonts w:ascii="Garamond" w:hAnsi="Garamond" w:cstheme="minorHAnsi"/>
          <w:sz w:val="24"/>
          <w:szCs w:val="24"/>
        </w:rPr>
        <w:t xml:space="preserve"> </w:t>
      </w:r>
      <w:r w:rsidR="000F6D82" w:rsidRPr="00461D74">
        <w:rPr>
          <w:rStyle w:val="FootnoteReference"/>
          <w:rFonts w:ascii="Garamond" w:hAnsi="Garamond" w:cstheme="minorHAnsi"/>
          <w:sz w:val="24"/>
          <w:szCs w:val="24"/>
        </w:rPr>
        <w:footnoteReference w:id="450"/>
      </w:r>
    </w:p>
    <w:p w:rsidR="00665157" w:rsidRDefault="00D41FE9">
      <w:pPr>
        <w:spacing w:line="360" w:lineRule="auto"/>
        <w:ind w:firstLine="720"/>
        <w:jc w:val="both"/>
        <w:rPr>
          <w:rFonts w:ascii="Garamond" w:hAnsi="Garamond" w:cstheme="minorHAnsi"/>
          <w:sz w:val="24"/>
          <w:szCs w:val="24"/>
        </w:rPr>
      </w:pPr>
      <w:r>
        <w:rPr>
          <w:rFonts w:ascii="Garamond" w:hAnsi="Garamond" w:cstheme="minorHAnsi"/>
          <w:sz w:val="24"/>
          <w:szCs w:val="24"/>
        </w:rPr>
        <w:t>I</w:t>
      </w:r>
      <w:r w:rsidR="002656F9" w:rsidRPr="00461D74">
        <w:rPr>
          <w:rFonts w:ascii="Garamond" w:hAnsi="Garamond" w:cstheme="minorHAnsi"/>
          <w:sz w:val="24"/>
          <w:szCs w:val="24"/>
        </w:rPr>
        <w:t>n my view, a pragmatist defence of local communities forces us to (</w:t>
      </w:r>
      <w:proofErr w:type="spellStart"/>
      <w:r w:rsidR="002656F9" w:rsidRPr="00461D74">
        <w:rPr>
          <w:rFonts w:ascii="Garamond" w:hAnsi="Garamond" w:cstheme="minorHAnsi"/>
          <w:sz w:val="24"/>
          <w:szCs w:val="24"/>
        </w:rPr>
        <w:t>i</w:t>
      </w:r>
      <w:proofErr w:type="spellEnd"/>
      <w:r w:rsidR="002656F9" w:rsidRPr="00461D74">
        <w:rPr>
          <w:rFonts w:ascii="Garamond" w:hAnsi="Garamond" w:cstheme="minorHAnsi"/>
          <w:sz w:val="24"/>
          <w:szCs w:val="24"/>
        </w:rPr>
        <w:t>)</w:t>
      </w:r>
      <w:r w:rsidR="00016049" w:rsidRPr="00461D74">
        <w:rPr>
          <w:rFonts w:ascii="Garamond" w:hAnsi="Garamond" w:cstheme="minorHAnsi"/>
          <w:sz w:val="24"/>
          <w:szCs w:val="24"/>
        </w:rPr>
        <w:t xml:space="preserve"> </w:t>
      </w:r>
      <w:r w:rsidR="002656F9" w:rsidRPr="00461D74">
        <w:rPr>
          <w:rFonts w:ascii="Garamond" w:hAnsi="Garamond" w:cstheme="minorHAnsi"/>
          <w:sz w:val="24"/>
          <w:szCs w:val="24"/>
        </w:rPr>
        <w:t xml:space="preserve">discuss the relationship between local and </w:t>
      </w:r>
      <w:r w:rsidR="00016049" w:rsidRPr="00461D74">
        <w:rPr>
          <w:rFonts w:ascii="Garamond" w:hAnsi="Garamond" w:cstheme="minorHAnsi"/>
          <w:sz w:val="24"/>
          <w:szCs w:val="24"/>
        </w:rPr>
        <w:t xml:space="preserve">large scale political </w:t>
      </w:r>
      <w:r w:rsidR="002656F9" w:rsidRPr="00461D74">
        <w:rPr>
          <w:rFonts w:ascii="Garamond" w:hAnsi="Garamond" w:cstheme="minorHAnsi"/>
          <w:sz w:val="24"/>
          <w:szCs w:val="24"/>
        </w:rPr>
        <w:t xml:space="preserve">structures, including issues dealing with their legal and political boundaries; (ii) </w:t>
      </w:r>
      <w:r w:rsidR="00016049" w:rsidRPr="00461D74">
        <w:rPr>
          <w:rFonts w:ascii="Garamond" w:hAnsi="Garamond" w:cstheme="minorHAnsi"/>
          <w:sz w:val="24"/>
          <w:szCs w:val="24"/>
        </w:rPr>
        <w:t>a</w:t>
      </w:r>
      <w:r w:rsidR="002656F9" w:rsidRPr="00461D74">
        <w:rPr>
          <w:rFonts w:ascii="Garamond" w:hAnsi="Garamond" w:cstheme="minorHAnsi"/>
          <w:sz w:val="24"/>
          <w:szCs w:val="24"/>
        </w:rPr>
        <w:t>n</w:t>
      </w:r>
      <w:r w:rsidR="00016049" w:rsidRPr="00461D74">
        <w:rPr>
          <w:rFonts w:ascii="Garamond" w:hAnsi="Garamond" w:cstheme="minorHAnsi"/>
          <w:sz w:val="24"/>
          <w:szCs w:val="24"/>
        </w:rPr>
        <w:t xml:space="preserve"> historical analysis </w:t>
      </w:r>
      <w:r w:rsidR="002656F9" w:rsidRPr="00461D74">
        <w:rPr>
          <w:rFonts w:ascii="Garamond" w:hAnsi="Garamond" w:cstheme="minorHAnsi"/>
          <w:sz w:val="24"/>
          <w:szCs w:val="24"/>
        </w:rPr>
        <w:t xml:space="preserve">that illustrates the imbalance in their relationship, which could afford us some guidance on the ways which we can </w:t>
      </w:r>
      <w:r w:rsidR="00145E4F">
        <w:rPr>
          <w:rFonts w:ascii="Garamond" w:hAnsi="Garamond" w:cstheme="minorHAnsi"/>
          <w:sz w:val="24"/>
          <w:szCs w:val="24"/>
        </w:rPr>
        <w:t>rectify</w:t>
      </w:r>
      <w:r w:rsidR="00145E4F" w:rsidRPr="00461D74">
        <w:rPr>
          <w:rFonts w:ascii="Garamond" w:hAnsi="Garamond" w:cstheme="minorHAnsi"/>
          <w:sz w:val="24"/>
          <w:szCs w:val="24"/>
        </w:rPr>
        <w:t xml:space="preserve"> </w:t>
      </w:r>
      <w:r w:rsidR="002656F9" w:rsidRPr="00461D74">
        <w:rPr>
          <w:rFonts w:ascii="Garamond" w:hAnsi="Garamond" w:cstheme="minorHAnsi"/>
          <w:sz w:val="24"/>
          <w:szCs w:val="24"/>
        </w:rPr>
        <w:t>this imbalance; (iii) a clear-eyed analysis of the boundaries between private and public spheres, in ways that enable a defence of important civil liberties from undue and arbitrary interference</w:t>
      </w:r>
      <w:r w:rsidR="00EE224A" w:rsidRPr="00461D74">
        <w:rPr>
          <w:rFonts w:ascii="Garamond" w:hAnsi="Garamond" w:cstheme="minorHAnsi"/>
          <w:sz w:val="24"/>
          <w:szCs w:val="24"/>
        </w:rPr>
        <w:t>; and (iv)</w:t>
      </w:r>
      <w:r w:rsidR="002656F9" w:rsidRPr="00461D74">
        <w:rPr>
          <w:rFonts w:ascii="Garamond" w:hAnsi="Garamond" w:cstheme="minorHAnsi"/>
          <w:sz w:val="24"/>
          <w:szCs w:val="24"/>
        </w:rPr>
        <w:t xml:space="preserve"> </w:t>
      </w:r>
      <w:r w:rsidR="00EE224A" w:rsidRPr="00461D74">
        <w:rPr>
          <w:rFonts w:ascii="Garamond" w:hAnsi="Garamond" w:cstheme="minorHAnsi"/>
          <w:sz w:val="24"/>
          <w:szCs w:val="24"/>
        </w:rPr>
        <w:t xml:space="preserve">the need for a less invasive authentically </w:t>
      </w:r>
      <w:r w:rsidR="00016049" w:rsidRPr="00461D74">
        <w:rPr>
          <w:rFonts w:ascii="Garamond" w:hAnsi="Garamond" w:cstheme="minorHAnsi"/>
          <w:sz w:val="24"/>
          <w:szCs w:val="24"/>
        </w:rPr>
        <w:t>neutral</w:t>
      </w:r>
      <w:r w:rsidR="00EE224A" w:rsidRPr="00461D74">
        <w:rPr>
          <w:rFonts w:ascii="Garamond" w:hAnsi="Garamond" w:cstheme="minorHAnsi"/>
          <w:sz w:val="24"/>
          <w:szCs w:val="24"/>
        </w:rPr>
        <w:t>/procedural</w:t>
      </w:r>
      <w:r w:rsidR="00016049" w:rsidRPr="00461D74">
        <w:rPr>
          <w:rFonts w:ascii="Garamond" w:hAnsi="Garamond" w:cstheme="minorHAnsi"/>
          <w:sz w:val="24"/>
          <w:szCs w:val="24"/>
        </w:rPr>
        <w:t xml:space="preserve"> state that doesn’t </w:t>
      </w:r>
      <w:r w:rsidR="00EE224A" w:rsidRPr="00461D74">
        <w:rPr>
          <w:rFonts w:ascii="Garamond" w:hAnsi="Garamond" w:cstheme="minorHAnsi"/>
          <w:sz w:val="24"/>
          <w:szCs w:val="24"/>
        </w:rPr>
        <w:t xml:space="preserve">subvert local </w:t>
      </w:r>
      <w:r w:rsidR="00EE224A" w:rsidRPr="00461D74">
        <w:rPr>
          <w:rFonts w:ascii="Garamond" w:hAnsi="Garamond" w:cstheme="minorHAnsi"/>
          <w:sz w:val="24"/>
          <w:szCs w:val="24"/>
        </w:rPr>
        <w:lastRenderedPageBreak/>
        <w:t>democratic structures on behalf of an absolutist (or maximalist) conception of neutrality even when such actions risk undermining public faith in democratic liberal politics.</w:t>
      </w:r>
    </w:p>
    <w:p w:rsidR="00665157" w:rsidRDefault="00A219ED">
      <w:pPr>
        <w:spacing w:line="360" w:lineRule="auto"/>
        <w:ind w:firstLine="720"/>
        <w:jc w:val="both"/>
        <w:rPr>
          <w:rFonts w:ascii="Garamond" w:hAnsi="Garamond" w:cstheme="minorHAnsi"/>
          <w:sz w:val="24"/>
          <w:szCs w:val="24"/>
        </w:rPr>
      </w:pPr>
      <w:r w:rsidRPr="00461D74">
        <w:rPr>
          <w:rFonts w:ascii="Garamond" w:hAnsi="Garamond" w:cstheme="minorHAnsi"/>
          <w:sz w:val="24"/>
          <w:szCs w:val="24"/>
        </w:rPr>
        <w:t>Ultimately, the benefit of the pragmatist political conception is that it accepts many central tenets in MacIntyre’s account</w:t>
      </w:r>
      <w:r w:rsidR="0075047B" w:rsidRPr="00461D74">
        <w:rPr>
          <w:rFonts w:ascii="Garamond" w:hAnsi="Garamond" w:cstheme="minorHAnsi"/>
          <w:sz w:val="24"/>
          <w:szCs w:val="24"/>
        </w:rPr>
        <w:t xml:space="preserve"> </w:t>
      </w:r>
      <w:r w:rsidRPr="00461D74">
        <w:rPr>
          <w:rFonts w:ascii="Garamond" w:hAnsi="Garamond" w:cstheme="minorHAnsi"/>
          <w:sz w:val="24"/>
          <w:szCs w:val="24"/>
        </w:rPr>
        <w:t>–</w:t>
      </w:r>
      <w:r w:rsidR="0075047B" w:rsidRPr="00461D74">
        <w:rPr>
          <w:rFonts w:ascii="Garamond" w:hAnsi="Garamond" w:cstheme="minorHAnsi"/>
          <w:sz w:val="24"/>
          <w:szCs w:val="24"/>
        </w:rPr>
        <w:t xml:space="preserve"> </w:t>
      </w:r>
      <w:r w:rsidR="00BB6C62" w:rsidRPr="00461D74">
        <w:rPr>
          <w:rFonts w:ascii="Garamond" w:hAnsi="Garamond" w:cstheme="minorHAnsi"/>
          <w:sz w:val="24"/>
          <w:szCs w:val="24"/>
        </w:rPr>
        <w:t>that is</w:t>
      </w:r>
      <w:r w:rsidRPr="00461D74">
        <w:rPr>
          <w:rFonts w:ascii="Garamond" w:hAnsi="Garamond" w:cstheme="minorHAnsi"/>
          <w:sz w:val="24"/>
          <w:szCs w:val="24"/>
        </w:rPr>
        <w:t xml:space="preserve">, it </w:t>
      </w:r>
      <w:r w:rsidR="00BB6C62" w:rsidRPr="00461D74">
        <w:rPr>
          <w:rFonts w:ascii="Garamond" w:hAnsi="Garamond" w:cstheme="minorHAnsi"/>
          <w:sz w:val="24"/>
          <w:szCs w:val="24"/>
        </w:rPr>
        <w:t xml:space="preserve">is historically sensitive, it </w:t>
      </w:r>
      <w:r w:rsidRPr="00461D74">
        <w:rPr>
          <w:rFonts w:ascii="Garamond" w:hAnsi="Garamond" w:cstheme="minorHAnsi"/>
          <w:sz w:val="24"/>
          <w:szCs w:val="24"/>
        </w:rPr>
        <w:t xml:space="preserve">remains fallible, and it fully accepts the necessity </w:t>
      </w:r>
      <w:r w:rsidR="005B6874">
        <w:rPr>
          <w:rFonts w:ascii="Garamond" w:hAnsi="Garamond" w:cstheme="minorHAnsi"/>
          <w:sz w:val="24"/>
          <w:szCs w:val="24"/>
        </w:rPr>
        <w:t>of</w:t>
      </w:r>
      <w:r w:rsidR="005B6874" w:rsidRPr="00461D74">
        <w:rPr>
          <w:rFonts w:ascii="Garamond" w:hAnsi="Garamond" w:cstheme="minorHAnsi"/>
          <w:sz w:val="24"/>
          <w:szCs w:val="24"/>
        </w:rPr>
        <w:t xml:space="preserve"> </w:t>
      </w:r>
      <w:r w:rsidRPr="00461D74">
        <w:rPr>
          <w:rFonts w:ascii="Garamond" w:hAnsi="Garamond" w:cstheme="minorHAnsi"/>
          <w:sz w:val="24"/>
          <w:szCs w:val="24"/>
        </w:rPr>
        <w:t xml:space="preserve">an ongoing deliberative democratic </w:t>
      </w:r>
      <w:r w:rsidR="00BB6C62" w:rsidRPr="00461D74">
        <w:rPr>
          <w:rFonts w:ascii="Garamond" w:hAnsi="Garamond" w:cstheme="minorHAnsi"/>
          <w:sz w:val="24"/>
          <w:szCs w:val="24"/>
        </w:rPr>
        <w:t xml:space="preserve">form of </w:t>
      </w:r>
      <w:r w:rsidRPr="00461D74">
        <w:rPr>
          <w:rFonts w:ascii="Garamond" w:hAnsi="Garamond" w:cstheme="minorHAnsi"/>
          <w:sz w:val="24"/>
          <w:szCs w:val="24"/>
        </w:rPr>
        <w:t>inquiry</w:t>
      </w:r>
      <w:r w:rsidR="00BB6C62" w:rsidRPr="00461D74">
        <w:rPr>
          <w:rFonts w:ascii="Garamond" w:hAnsi="Garamond" w:cstheme="minorHAnsi"/>
          <w:sz w:val="24"/>
          <w:szCs w:val="24"/>
        </w:rPr>
        <w:t xml:space="preserve">. Moreover, this pragmatist conception partly aligns with </w:t>
      </w:r>
      <w:proofErr w:type="spellStart"/>
      <w:r w:rsidR="00BB6C62" w:rsidRPr="00461D74">
        <w:rPr>
          <w:rFonts w:ascii="Garamond" w:hAnsi="Garamond" w:cstheme="minorHAnsi"/>
          <w:sz w:val="24"/>
          <w:szCs w:val="24"/>
        </w:rPr>
        <w:t>Hibbs</w:t>
      </w:r>
      <w:proofErr w:type="spellEnd"/>
      <w:r w:rsidR="00BB6C62" w:rsidRPr="00461D74">
        <w:rPr>
          <w:rFonts w:ascii="Garamond" w:hAnsi="Garamond" w:cstheme="minorHAnsi"/>
          <w:sz w:val="24"/>
          <w:szCs w:val="24"/>
        </w:rPr>
        <w:t xml:space="preserve">’ reading of Aquinas in that it is open to engaging constructively with large-scale political structures and institutions; </w:t>
      </w:r>
      <w:r w:rsidR="00872075">
        <w:rPr>
          <w:rFonts w:ascii="Garamond" w:hAnsi="Garamond" w:cstheme="minorHAnsi"/>
          <w:sz w:val="24"/>
          <w:szCs w:val="24"/>
        </w:rPr>
        <w:t>nevertheless</w:t>
      </w:r>
      <w:r w:rsidR="00BB6C62" w:rsidRPr="00461D74">
        <w:rPr>
          <w:rFonts w:ascii="Garamond" w:hAnsi="Garamond" w:cstheme="minorHAnsi"/>
          <w:sz w:val="24"/>
          <w:szCs w:val="24"/>
        </w:rPr>
        <w:t xml:space="preserve">, it is not </w:t>
      </w:r>
      <w:r w:rsidR="002B07D5">
        <w:rPr>
          <w:rFonts w:ascii="Garamond" w:hAnsi="Garamond" w:cstheme="minorHAnsi"/>
          <w:sz w:val="24"/>
          <w:szCs w:val="24"/>
        </w:rPr>
        <w:t>necessary</w:t>
      </w:r>
      <w:r w:rsidR="00BB6C62" w:rsidRPr="00461D74">
        <w:rPr>
          <w:rFonts w:ascii="Garamond" w:hAnsi="Garamond" w:cstheme="minorHAnsi"/>
          <w:sz w:val="24"/>
          <w:szCs w:val="24"/>
        </w:rPr>
        <w:t xml:space="preserve"> to think of those structures in terms of natural law. Rather, it remains predisposed to solving social problems by constructively engaging large-scale political structures and institutions, through the lens of a democratic</w:t>
      </w:r>
      <w:r w:rsidR="00657F45" w:rsidRPr="00461D74">
        <w:rPr>
          <w:rFonts w:ascii="Garamond" w:hAnsi="Garamond" w:cstheme="minorHAnsi"/>
          <w:sz w:val="24"/>
          <w:szCs w:val="24"/>
        </w:rPr>
        <w:t>,</w:t>
      </w:r>
      <w:r w:rsidR="00BB6C62" w:rsidRPr="00461D74">
        <w:rPr>
          <w:rFonts w:ascii="Garamond" w:hAnsi="Garamond" w:cstheme="minorHAnsi"/>
          <w:sz w:val="24"/>
          <w:szCs w:val="24"/>
        </w:rPr>
        <w:t xml:space="preserve"> </w:t>
      </w:r>
      <w:r w:rsidR="00872075">
        <w:rPr>
          <w:rFonts w:ascii="Garamond" w:hAnsi="Garamond" w:cstheme="minorHAnsi"/>
          <w:sz w:val="24"/>
          <w:szCs w:val="24"/>
        </w:rPr>
        <w:t xml:space="preserve">fallible, and </w:t>
      </w:r>
      <w:r w:rsidR="00BB6C62" w:rsidRPr="00461D74">
        <w:rPr>
          <w:rFonts w:ascii="Garamond" w:hAnsi="Garamond" w:cstheme="minorHAnsi"/>
          <w:sz w:val="24"/>
          <w:szCs w:val="24"/>
        </w:rPr>
        <w:t xml:space="preserve">epistemologically reflexive </w:t>
      </w:r>
      <w:r w:rsidR="00657F45" w:rsidRPr="00461D74">
        <w:rPr>
          <w:rFonts w:ascii="Garamond" w:hAnsi="Garamond" w:cstheme="minorHAnsi"/>
          <w:sz w:val="24"/>
          <w:szCs w:val="24"/>
        </w:rPr>
        <w:t>experimental</w:t>
      </w:r>
      <w:r w:rsidR="00BB6C62" w:rsidRPr="00461D74">
        <w:rPr>
          <w:rFonts w:ascii="Garamond" w:hAnsi="Garamond" w:cstheme="minorHAnsi"/>
          <w:sz w:val="24"/>
          <w:szCs w:val="24"/>
        </w:rPr>
        <w:t xml:space="preserve"> </w:t>
      </w:r>
      <w:r w:rsidR="00657F45" w:rsidRPr="00461D74">
        <w:rPr>
          <w:rFonts w:ascii="Garamond" w:hAnsi="Garamond" w:cstheme="minorHAnsi"/>
          <w:sz w:val="24"/>
          <w:szCs w:val="24"/>
        </w:rPr>
        <w:t>standpoint</w:t>
      </w:r>
      <w:r w:rsidR="00BB6C62" w:rsidRPr="00461D74">
        <w:rPr>
          <w:rFonts w:ascii="Garamond" w:hAnsi="Garamond" w:cstheme="minorHAnsi"/>
          <w:sz w:val="24"/>
          <w:szCs w:val="24"/>
        </w:rPr>
        <w:t>.</w:t>
      </w:r>
    </w:p>
    <w:p w:rsidR="00665157" w:rsidRDefault="00665157">
      <w:pPr>
        <w:spacing w:line="360" w:lineRule="auto"/>
        <w:jc w:val="both"/>
        <w:rPr>
          <w:rFonts w:ascii="Garamond" w:hAnsi="Garamond" w:cstheme="minorHAnsi"/>
          <w:sz w:val="24"/>
          <w:szCs w:val="24"/>
        </w:rPr>
      </w:pPr>
    </w:p>
    <w:p w:rsidR="00665157" w:rsidRDefault="00C66538" w:rsidP="00C66538">
      <w:pPr>
        <w:pStyle w:val="Heading2"/>
        <w:spacing w:line="360" w:lineRule="auto"/>
        <w:jc w:val="both"/>
        <w:rPr>
          <w:rFonts w:cstheme="majorHAnsi"/>
        </w:rPr>
      </w:pPr>
      <w:bookmarkStart w:id="72" w:name="_Toc528077848"/>
      <w:r>
        <w:rPr>
          <w:rFonts w:cstheme="majorHAnsi"/>
        </w:rPr>
        <w:t xml:space="preserve">7. </w:t>
      </w:r>
      <w:r w:rsidR="00016049" w:rsidRPr="00F03436">
        <w:rPr>
          <w:rFonts w:cstheme="majorHAnsi"/>
        </w:rPr>
        <w:t>Conclu</w:t>
      </w:r>
      <w:r w:rsidR="0035042F" w:rsidRPr="00F03436">
        <w:rPr>
          <w:rFonts w:cstheme="majorHAnsi"/>
        </w:rPr>
        <w:t>ding Remarks</w:t>
      </w:r>
      <w:bookmarkEnd w:id="72"/>
    </w:p>
    <w:p w:rsidR="00665157" w:rsidRDefault="00665157">
      <w:pPr>
        <w:spacing w:line="360" w:lineRule="auto"/>
        <w:jc w:val="both"/>
        <w:rPr>
          <w:rFonts w:ascii="Garamond" w:hAnsi="Garamond" w:cstheme="majorBidi"/>
          <w:sz w:val="24"/>
          <w:szCs w:val="24"/>
        </w:rPr>
      </w:pPr>
    </w:p>
    <w:p w:rsidR="00665157" w:rsidRDefault="00973BAF">
      <w:pPr>
        <w:spacing w:line="360" w:lineRule="auto"/>
        <w:jc w:val="both"/>
        <w:rPr>
          <w:rFonts w:ascii="Garamond" w:hAnsi="Garamond" w:cstheme="minorHAnsi"/>
          <w:sz w:val="24"/>
          <w:szCs w:val="24"/>
          <w:lang w:val="en-GB"/>
        </w:rPr>
      </w:pPr>
      <w:r w:rsidRPr="00461D74">
        <w:rPr>
          <w:rFonts w:ascii="Garamond" w:hAnsi="Garamond" w:cstheme="minorHAnsi"/>
          <w:sz w:val="24"/>
          <w:szCs w:val="24"/>
        </w:rPr>
        <w:t>In this chapter</w:t>
      </w:r>
      <w:r w:rsidR="008F160B" w:rsidRPr="00461D74">
        <w:rPr>
          <w:rFonts w:ascii="Garamond" w:hAnsi="Garamond" w:cstheme="minorHAnsi"/>
          <w:sz w:val="24"/>
          <w:szCs w:val="24"/>
          <w:lang w:val="en-GB"/>
        </w:rPr>
        <w:t xml:space="preserve">, I </w:t>
      </w:r>
      <w:r w:rsidRPr="00461D74">
        <w:rPr>
          <w:rFonts w:ascii="Garamond" w:hAnsi="Garamond" w:cstheme="minorHAnsi"/>
          <w:sz w:val="24"/>
          <w:szCs w:val="24"/>
          <w:lang w:val="en-GB"/>
        </w:rPr>
        <w:t xml:space="preserve">argued for </w:t>
      </w:r>
      <w:r w:rsidR="008F160B" w:rsidRPr="00461D74">
        <w:rPr>
          <w:rFonts w:ascii="Garamond" w:hAnsi="Garamond" w:cstheme="minorHAnsi"/>
          <w:sz w:val="24"/>
          <w:szCs w:val="24"/>
          <w:lang w:val="en-GB"/>
        </w:rPr>
        <w:t xml:space="preserve">an alternative pragmatist </w:t>
      </w:r>
      <w:r w:rsidRPr="00461D74">
        <w:rPr>
          <w:rFonts w:ascii="Garamond" w:hAnsi="Garamond" w:cstheme="minorHAnsi"/>
          <w:sz w:val="24"/>
          <w:szCs w:val="24"/>
          <w:lang w:val="en-GB"/>
        </w:rPr>
        <w:t xml:space="preserve">political account, which on my view is able to address the various objections raised against MacIntyre’s political account. In addition, I proposed that the alternative pragmatist politics I considered in our discussion is able to remove the inconsistencies generated as a result of these objections, and that it </w:t>
      </w:r>
      <w:r w:rsidR="002B07D5">
        <w:rPr>
          <w:rFonts w:ascii="Garamond" w:hAnsi="Garamond" w:cstheme="minorHAnsi"/>
          <w:sz w:val="24"/>
          <w:szCs w:val="24"/>
          <w:lang w:val="en-GB"/>
        </w:rPr>
        <w:t xml:space="preserve">is </w:t>
      </w:r>
      <w:r w:rsidRPr="00461D74">
        <w:rPr>
          <w:rFonts w:ascii="Garamond" w:hAnsi="Garamond" w:cstheme="minorHAnsi"/>
          <w:sz w:val="24"/>
          <w:szCs w:val="24"/>
          <w:lang w:val="en-GB"/>
        </w:rPr>
        <w:t xml:space="preserve">ultimately </w:t>
      </w:r>
      <w:r w:rsidR="00DF516F">
        <w:rPr>
          <w:rFonts w:ascii="Garamond" w:hAnsi="Garamond" w:cstheme="minorHAnsi"/>
          <w:sz w:val="24"/>
          <w:szCs w:val="24"/>
          <w:lang w:val="en-GB"/>
        </w:rPr>
        <w:t>cap</w:t>
      </w:r>
      <w:r w:rsidRPr="00461D74">
        <w:rPr>
          <w:rFonts w:ascii="Garamond" w:hAnsi="Garamond" w:cstheme="minorHAnsi"/>
          <w:sz w:val="24"/>
          <w:szCs w:val="24"/>
          <w:lang w:val="en-GB"/>
        </w:rPr>
        <w:t xml:space="preserve">able </w:t>
      </w:r>
      <w:r w:rsidR="00DF516F">
        <w:rPr>
          <w:rFonts w:ascii="Garamond" w:hAnsi="Garamond" w:cstheme="minorHAnsi"/>
          <w:sz w:val="24"/>
          <w:szCs w:val="24"/>
          <w:lang w:val="en-GB"/>
        </w:rPr>
        <w:t>of</w:t>
      </w:r>
      <w:r w:rsidR="00DF516F" w:rsidRPr="00461D74">
        <w:rPr>
          <w:rFonts w:ascii="Garamond" w:hAnsi="Garamond" w:cstheme="minorHAnsi"/>
          <w:sz w:val="24"/>
          <w:szCs w:val="24"/>
          <w:lang w:val="en-GB"/>
        </w:rPr>
        <w:t xml:space="preserve"> </w:t>
      </w:r>
      <w:r w:rsidR="00DF516F">
        <w:rPr>
          <w:rFonts w:ascii="Garamond" w:hAnsi="Garamond" w:cstheme="minorHAnsi"/>
          <w:sz w:val="24"/>
          <w:szCs w:val="24"/>
          <w:lang w:val="en-GB"/>
        </w:rPr>
        <w:t>advancing</w:t>
      </w:r>
      <w:r w:rsidR="00DF516F"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a resolution </w:t>
      </w:r>
      <w:r w:rsidR="00DF516F">
        <w:rPr>
          <w:rFonts w:ascii="Garamond" w:hAnsi="Garamond" w:cstheme="minorHAnsi"/>
          <w:sz w:val="24"/>
          <w:szCs w:val="24"/>
          <w:lang w:val="en-GB"/>
        </w:rPr>
        <w:t>to</w:t>
      </w:r>
      <w:r w:rsidR="00DF516F" w:rsidRPr="00461D74">
        <w:rPr>
          <w:rFonts w:ascii="Garamond" w:hAnsi="Garamond" w:cstheme="minorHAnsi"/>
          <w:sz w:val="24"/>
          <w:szCs w:val="24"/>
          <w:lang w:val="en-GB"/>
        </w:rPr>
        <w:t xml:space="preserve"> </w:t>
      </w:r>
      <w:r w:rsidRPr="00461D74">
        <w:rPr>
          <w:rFonts w:ascii="Garamond" w:hAnsi="Garamond" w:cstheme="minorHAnsi"/>
          <w:sz w:val="24"/>
          <w:szCs w:val="24"/>
          <w:lang w:val="en-GB"/>
        </w:rPr>
        <w:t>the second tension in MacIntyre’s project</w:t>
      </w:r>
      <w:r w:rsidR="00EB7E32" w:rsidRPr="00461D74">
        <w:rPr>
          <w:rFonts w:ascii="Garamond" w:hAnsi="Garamond" w:cstheme="minorHAnsi"/>
          <w:sz w:val="24"/>
          <w:szCs w:val="24"/>
          <w:lang w:val="en-GB"/>
        </w:rPr>
        <w:t>.</w:t>
      </w:r>
    </w:p>
    <w:p w:rsidR="00665157" w:rsidRDefault="008F160B">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First, I </w:t>
      </w:r>
      <w:r w:rsidR="00973BAF" w:rsidRPr="00461D74">
        <w:rPr>
          <w:rFonts w:ascii="Garamond" w:hAnsi="Garamond" w:cstheme="minorHAnsi"/>
          <w:sz w:val="24"/>
          <w:szCs w:val="24"/>
          <w:lang w:val="en-GB"/>
        </w:rPr>
        <w:t>offered a summary of the various objections raised against</w:t>
      </w:r>
      <w:r w:rsidRPr="00461D74">
        <w:rPr>
          <w:rFonts w:ascii="Garamond" w:hAnsi="Garamond" w:cstheme="minorHAnsi"/>
          <w:sz w:val="24"/>
          <w:szCs w:val="24"/>
          <w:lang w:val="en-GB"/>
        </w:rPr>
        <w:t xml:space="preserve"> MacIntyre’s political </w:t>
      </w:r>
      <w:r w:rsidR="00973BAF" w:rsidRPr="00461D74">
        <w:rPr>
          <w:rFonts w:ascii="Garamond" w:hAnsi="Garamond" w:cstheme="minorHAnsi"/>
          <w:sz w:val="24"/>
          <w:szCs w:val="24"/>
          <w:lang w:val="en-GB"/>
        </w:rPr>
        <w:t>positions. Using these objections as a starting point</w:t>
      </w:r>
      <w:r w:rsidR="0050034B">
        <w:rPr>
          <w:rFonts w:ascii="Garamond" w:hAnsi="Garamond" w:cstheme="minorHAnsi"/>
          <w:sz w:val="24"/>
          <w:szCs w:val="24"/>
          <w:lang w:val="en-GB"/>
        </w:rPr>
        <w:t>,</w:t>
      </w:r>
      <w:r w:rsidR="00973BAF" w:rsidRPr="00461D74">
        <w:rPr>
          <w:rFonts w:ascii="Garamond" w:hAnsi="Garamond" w:cstheme="minorHAnsi"/>
          <w:sz w:val="24"/>
          <w:szCs w:val="24"/>
          <w:lang w:val="en-GB"/>
        </w:rPr>
        <w:t xml:space="preserve"> I offered a template for addressing each of these difficulties. Next, I </w:t>
      </w:r>
      <w:r w:rsidR="00BC16DE" w:rsidRPr="00461D74">
        <w:rPr>
          <w:rFonts w:ascii="Garamond" w:hAnsi="Garamond" w:cstheme="minorHAnsi"/>
          <w:sz w:val="24"/>
          <w:szCs w:val="24"/>
          <w:lang w:val="en-GB"/>
        </w:rPr>
        <w:t xml:space="preserve">articulated the broad outlines of this approach, and argued that its methodology remains grounded in a </w:t>
      </w:r>
      <w:r w:rsidR="00BC16DE" w:rsidRPr="00461D74">
        <w:rPr>
          <w:rFonts w:ascii="Garamond" w:hAnsi="Garamond" w:cstheme="minorHAnsi"/>
          <w:sz w:val="24"/>
          <w:szCs w:val="24"/>
          <w:lang w:val="en-GB"/>
        </w:rPr>
        <w:lastRenderedPageBreak/>
        <w:t xml:space="preserve">conception of democratic inquiry that stresses the need for intelligent deliberation and an egalitarian-democratic attitude where individuals are empowered to participate in the democratic process as co-equal interlocutors. I then presented </w:t>
      </w:r>
      <w:r w:rsidR="00950879" w:rsidRPr="00461D74">
        <w:rPr>
          <w:rFonts w:ascii="Garamond" w:hAnsi="Garamond" w:cstheme="minorHAnsi"/>
          <w:sz w:val="24"/>
          <w:szCs w:val="24"/>
          <w:lang w:val="en-GB"/>
        </w:rPr>
        <w:t xml:space="preserve">a number of ideas and </w:t>
      </w:r>
      <w:r w:rsidR="00BC16DE" w:rsidRPr="00461D74">
        <w:rPr>
          <w:rFonts w:ascii="Garamond" w:hAnsi="Garamond" w:cstheme="minorHAnsi"/>
          <w:sz w:val="24"/>
          <w:szCs w:val="24"/>
          <w:lang w:val="en-GB"/>
        </w:rPr>
        <w:t xml:space="preserve">arguments offered by a number of pragmatist </w:t>
      </w:r>
      <w:r w:rsidR="005846E0">
        <w:rPr>
          <w:rFonts w:ascii="Garamond" w:hAnsi="Garamond" w:cstheme="minorHAnsi"/>
          <w:sz w:val="24"/>
          <w:szCs w:val="24"/>
          <w:lang w:val="en-GB"/>
        </w:rPr>
        <w:t xml:space="preserve">(or pragmatist </w:t>
      </w:r>
      <w:r w:rsidR="00B32A97">
        <w:rPr>
          <w:rFonts w:ascii="Garamond" w:hAnsi="Garamond" w:cstheme="minorHAnsi"/>
          <w:sz w:val="24"/>
          <w:szCs w:val="24"/>
          <w:lang w:val="en-GB"/>
        </w:rPr>
        <w:t>aligned</w:t>
      </w:r>
      <w:r w:rsidR="005846E0">
        <w:rPr>
          <w:rFonts w:ascii="Garamond" w:hAnsi="Garamond" w:cstheme="minorHAnsi"/>
          <w:sz w:val="24"/>
          <w:szCs w:val="24"/>
          <w:lang w:val="en-GB"/>
        </w:rPr>
        <w:t>)</w:t>
      </w:r>
      <w:r w:rsidR="00B32A97">
        <w:rPr>
          <w:rFonts w:ascii="Garamond" w:hAnsi="Garamond" w:cstheme="minorHAnsi"/>
          <w:sz w:val="24"/>
          <w:szCs w:val="24"/>
          <w:lang w:val="en-GB"/>
        </w:rPr>
        <w:t xml:space="preserve"> </w:t>
      </w:r>
      <w:r w:rsidR="00BC16DE" w:rsidRPr="00461D74">
        <w:rPr>
          <w:rFonts w:ascii="Garamond" w:hAnsi="Garamond" w:cstheme="minorHAnsi"/>
          <w:sz w:val="24"/>
          <w:szCs w:val="24"/>
          <w:lang w:val="en-GB"/>
        </w:rPr>
        <w:t>thinkers</w:t>
      </w:r>
      <w:r w:rsidR="00950879" w:rsidRPr="00461D74">
        <w:rPr>
          <w:rFonts w:ascii="Garamond" w:hAnsi="Garamond" w:cstheme="minorHAnsi"/>
          <w:sz w:val="24"/>
          <w:szCs w:val="24"/>
          <w:lang w:val="en-GB"/>
        </w:rPr>
        <w:t xml:space="preserve"> – </w:t>
      </w:r>
      <w:proofErr w:type="spellStart"/>
      <w:r w:rsidR="00950879" w:rsidRPr="00461D74">
        <w:rPr>
          <w:rFonts w:ascii="Garamond" w:hAnsi="Garamond" w:cstheme="minorHAnsi"/>
          <w:sz w:val="24"/>
          <w:szCs w:val="24"/>
          <w:lang w:val="en-GB"/>
        </w:rPr>
        <w:t>Misak</w:t>
      </w:r>
      <w:proofErr w:type="spellEnd"/>
      <w:r w:rsidR="00950879" w:rsidRPr="00461D74">
        <w:rPr>
          <w:rFonts w:ascii="Garamond" w:hAnsi="Garamond" w:cstheme="minorHAnsi"/>
          <w:sz w:val="24"/>
          <w:szCs w:val="24"/>
          <w:lang w:val="en-GB"/>
        </w:rPr>
        <w:t xml:space="preserve">, </w:t>
      </w:r>
      <w:proofErr w:type="spellStart"/>
      <w:r w:rsidR="00950879" w:rsidRPr="00461D74">
        <w:rPr>
          <w:rFonts w:ascii="Garamond" w:hAnsi="Garamond" w:cstheme="minorHAnsi"/>
          <w:sz w:val="24"/>
          <w:szCs w:val="24"/>
          <w:lang w:val="en-GB"/>
        </w:rPr>
        <w:t>Walzer</w:t>
      </w:r>
      <w:proofErr w:type="spellEnd"/>
      <w:r w:rsidR="00950879" w:rsidRPr="00461D74">
        <w:rPr>
          <w:rFonts w:ascii="Garamond" w:hAnsi="Garamond" w:cstheme="minorHAnsi"/>
          <w:sz w:val="24"/>
          <w:szCs w:val="24"/>
          <w:lang w:val="en-GB"/>
        </w:rPr>
        <w:t>, and Dewey – which</w:t>
      </w:r>
      <w:r w:rsidR="00BC16DE" w:rsidRPr="00461D74">
        <w:rPr>
          <w:rFonts w:ascii="Garamond" w:hAnsi="Garamond" w:cstheme="minorHAnsi"/>
          <w:sz w:val="24"/>
          <w:szCs w:val="24"/>
          <w:lang w:val="en-GB"/>
        </w:rPr>
        <w:t xml:space="preserve"> </w:t>
      </w:r>
      <w:r w:rsidR="00907EB7">
        <w:rPr>
          <w:rFonts w:ascii="Garamond" w:hAnsi="Garamond" w:cstheme="minorHAnsi"/>
          <w:sz w:val="24"/>
          <w:szCs w:val="24"/>
          <w:lang w:val="en-GB"/>
        </w:rPr>
        <w:t>remain</w:t>
      </w:r>
      <w:r w:rsidR="00907EB7" w:rsidRPr="00461D74">
        <w:rPr>
          <w:rFonts w:ascii="Garamond" w:hAnsi="Garamond" w:cstheme="minorHAnsi"/>
          <w:sz w:val="24"/>
          <w:szCs w:val="24"/>
          <w:lang w:val="en-GB"/>
        </w:rPr>
        <w:t xml:space="preserve"> </w:t>
      </w:r>
      <w:r w:rsidR="00950879" w:rsidRPr="00461D74">
        <w:rPr>
          <w:rFonts w:ascii="Garamond" w:hAnsi="Garamond" w:cstheme="minorHAnsi"/>
          <w:sz w:val="24"/>
          <w:szCs w:val="24"/>
          <w:lang w:val="en-GB"/>
        </w:rPr>
        <w:t>more or less in line with this conception of politics. I then examined the ideas of these authors and tried to show how their arguments can be utilised to articulate a pragmatist politics capable of answering MacIntyre’s difficulties.</w:t>
      </w:r>
    </w:p>
    <w:p w:rsidR="009B08FB" w:rsidRDefault="00CE37A8" w:rsidP="00192CF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Next, I considered a</w:t>
      </w:r>
      <w:r w:rsidR="00C334AE">
        <w:rPr>
          <w:rFonts w:ascii="Garamond" w:hAnsi="Garamond" w:cstheme="minorHAnsi"/>
          <w:sz w:val="24"/>
          <w:szCs w:val="24"/>
          <w:lang w:val="en-GB"/>
        </w:rPr>
        <w:t xml:space="preserve"> few</w:t>
      </w:r>
      <w:r w:rsidR="00C334AE" w:rsidRPr="00461D74">
        <w:rPr>
          <w:rFonts w:ascii="Garamond" w:hAnsi="Garamond" w:cstheme="minorHAnsi"/>
          <w:sz w:val="24"/>
          <w:szCs w:val="24"/>
          <w:lang w:val="en-GB"/>
        </w:rPr>
        <w:t xml:space="preserve"> </w:t>
      </w:r>
      <w:r w:rsidRPr="00461D74">
        <w:rPr>
          <w:rFonts w:ascii="Garamond" w:hAnsi="Garamond" w:cstheme="minorHAnsi"/>
          <w:sz w:val="24"/>
          <w:szCs w:val="24"/>
          <w:lang w:val="en-GB"/>
        </w:rPr>
        <w:t>objection</w:t>
      </w:r>
      <w:r w:rsidR="00C334AE">
        <w:rPr>
          <w:rFonts w:ascii="Garamond" w:hAnsi="Garamond" w:cstheme="minorHAnsi"/>
          <w:sz w:val="24"/>
          <w:szCs w:val="24"/>
          <w:lang w:val="en-GB"/>
        </w:rPr>
        <w:t>s</w:t>
      </w:r>
      <w:r w:rsidRPr="00461D74">
        <w:rPr>
          <w:rFonts w:ascii="Garamond" w:hAnsi="Garamond" w:cstheme="minorHAnsi"/>
          <w:sz w:val="24"/>
          <w:szCs w:val="24"/>
          <w:lang w:val="en-GB"/>
        </w:rPr>
        <w:t xml:space="preserve"> against the alternative pragmatist politics I articulated </w:t>
      </w:r>
      <w:r w:rsidR="00C334AE">
        <w:rPr>
          <w:rFonts w:ascii="Garamond" w:hAnsi="Garamond" w:cstheme="minorHAnsi"/>
          <w:sz w:val="24"/>
          <w:szCs w:val="24"/>
          <w:lang w:val="en-GB"/>
        </w:rPr>
        <w:t>in this chapter</w:t>
      </w:r>
      <w:r w:rsidRPr="00461D74">
        <w:rPr>
          <w:rFonts w:ascii="Garamond" w:hAnsi="Garamond" w:cstheme="minorHAnsi"/>
          <w:sz w:val="24"/>
          <w:szCs w:val="24"/>
          <w:lang w:val="en-GB"/>
        </w:rPr>
        <w:t xml:space="preserve">. </w:t>
      </w:r>
      <w:r w:rsidR="00C334AE">
        <w:rPr>
          <w:rFonts w:ascii="Garamond" w:hAnsi="Garamond" w:cstheme="minorHAnsi"/>
          <w:sz w:val="24"/>
          <w:szCs w:val="24"/>
          <w:lang w:val="en-GB"/>
        </w:rPr>
        <w:t>In these challenges, I considered whether MacIntyre could accept or admit</w:t>
      </w:r>
      <w:r w:rsidR="00C334AE" w:rsidRPr="00461D74">
        <w:rPr>
          <w:rFonts w:ascii="Garamond" w:hAnsi="Garamond" w:cstheme="minorHAnsi"/>
          <w:sz w:val="24"/>
          <w:szCs w:val="24"/>
          <w:lang w:val="en-GB"/>
        </w:rPr>
        <w:t xml:space="preserve"> </w:t>
      </w:r>
      <w:r w:rsidR="00C334AE">
        <w:rPr>
          <w:rFonts w:ascii="Garamond" w:hAnsi="Garamond" w:cstheme="minorHAnsi"/>
          <w:sz w:val="24"/>
          <w:szCs w:val="24"/>
          <w:lang w:val="en-GB"/>
        </w:rPr>
        <w:t>the value of the</w:t>
      </w:r>
      <w:r w:rsidR="00C334AE" w:rsidRPr="00461D74">
        <w:rPr>
          <w:rFonts w:ascii="Garamond" w:hAnsi="Garamond" w:cstheme="minorHAnsi"/>
          <w:sz w:val="24"/>
          <w:szCs w:val="24"/>
          <w:lang w:val="en-GB"/>
        </w:rPr>
        <w:t xml:space="preserve"> </w:t>
      </w:r>
      <w:r w:rsidRPr="00461D74">
        <w:rPr>
          <w:rFonts w:ascii="Garamond" w:hAnsi="Garamond" w:cstheme="minorHAnsi"/>
          <w:sz w:val="24"/>
          <w:szCs w:val="24"/>
          <w:lang w:val="en-GB"/>
        </w:rPr>
        <w:t>pragmatist political conception in advancing the broader goals of his project</w:t>
      </w:r>
      <w:r w:rsidR="002B07D5">
        <w:rPr>
          <w:rFonts w:ascii="Garamond" w:hAnsi="Garamond" w:cstheme="minorHAnsi"/>
          <w:sz w:val="24"/>
          <w:szCs w:val="24"/>
          <w:lang w:val="en-GB"/>
        </w:rPr>
        <w:t>.</w:t>
      </w:r>
      <w:r w:rsidRPr="00461D74">
        <w:rPr>
          <w:rFonts w:ascii="Garamond" w:hAnsi="Garamond" w:cstheme="minorHAnsi"/>
          <w:sz w:val="24"/>
          <w:szCs w:val="24"/>
          <w:lang w:val="en-GB"/>
        </w:rPr>
        <w:t xml:space="preserve"> Here</w:t>
      </w:r>
      <w:r w:rsidR="00950879" w:rsidRPr="00461D74">
        <w:rPr>
          <w:rFonts w:ascii="Garamond" w:hAnsi="Garamond" w:cstheme="minorHAnsi"/>
          <w:sz w:val="24"/>
          <w:szCs w:val="24"/>
          <w:lang w:val="en-GB"/>
        </w:rPr>
        <w:t xml:space="preserve">, I argued that </w:t>
      </w:r>
      <w:r w:rsidR="008E3990" w:rsidRPr="00461D74">
        <w:rPr>
          <w:rFonts w:ascii="Garamond" w:hAnsi="Garamond" w:cstheme="minorHAnsi"/>
          <w:sz w:val="24"/>
          <w:szCs w:val="24"/>
          <w:lang w:val="en-GB"/>
        </w:rPr>
        <w:t>in contrast to his own account</w:t>
      </w:r>
      <w:r w:rsidR="002B07D5">
        <w:rPr>
          <w:rFonts w:ascii="Garamond" w:hAnsi="Garamond" w:cstheme="minorHAnsi"/>
          <w:sz w:val="24"/>
          <w:szCs w:val="24"/>
          <w:lang w:val="en-GB"/>
        </w:rPr>
        <w:t>,</w:t>
      </w:r>
      <w:r w:rsidR="008E3990" w:rsidRPr="00461D74">
        <w:rPr>
          <w:rFonts w:ascii="Garamond" w:hAnsi="Garamond" w:cstheme="minorHAnsi"/>
          <w:sz w:val="24"/>
          <w:szCs w:val="24"/>
          <w:lang w:val="en-GB"/>
        </w:rPr>
        <w:t xml:space="preserve"> </w:t>
      </w:r>
      <w:r w:rsidRPr="00461D74">
        <w:rPr>
          <w:rFonts w:ascii="Garamond" w:hAnsi="Garamond" w:cstheme="minorHAnsi"/>
          <w:sz w:val="24"/>
          <w:szCs w:val="24"/>
          <w:lang w:val="en-GB"/>
        </w:rPr>
        <w:t>the</w:t>
      </w:r>
      <w:r w:rsidR="00950879" w:rsidRPr="00461D74">
        <w:rPr>
          <w:rFonts w:ascii="Garamond" w:hAnsi="Garamond" w:cstheme="minorHAnsi"/>
          <w:sz w:val="24"/>
          <w:szCs w:val="24"/>
          <w:lang w:val="en-GB"/>
        </w:rPr>
        <w:t xml:space="preserve"> pragmatist conception of politics </w:t>
      </w:r>
      <w:r w:rsidR="00C334AE">
        <w:rPr>
          <w:rFonts w:ascii="Garamond" w:hAnsi="Garamond" w:cstheme="minorHAnsi"/>
          <w:sz w:val="24"/>
          <w:szCs w:val="24"/>
          <w:lang w:val="en-GB"/>
        </w:rPr>
        <w:t xml:space="preserve">that </w:t>
      </w:r>
      <w:r w:rsidR="008E3990" w:rsidRPr="00461D74">
        <w:rPr>
          <w:rFonts w:ascii="Garamond" w:hAnsi="Garamond" w:cstheme="minorHAnsi"/>
          <w:sz w:val="24"/>
          <w:szCs w:val="24"/>
          <w:lang w:val="en-GB"/>
        </w:rPr>
        <w:t xml:space="preserve">I </w:t>
      </w:r>
      <w:r w:rsidR="00C334AE">
        <w:rPr>
          <w:rFonts w:ascii="Garamond" w:hAnsi="Garamond" w:cstheme="minorHAnsi"/>
          <w:sz w:val="24"/>
          <w:szCs w:val="24"/>
          <w:lang w:val="en-GB"/>
        </w:rPr>
        <w:t xml:space="preserve">have </w:t>
      </w:r>
      <w:r w:rsidR="008E3990" w:rsidRPr="00461D74">
        <w:rPr>
          <w:rFonts w:ascii="Garamond" w:hAnsi="Garamond" w:cstheme="minorHAnsi"/>
          <w:sz w:val="24"/>
          <w:szCs w:val="24"/>
          <w:lang w:val="en-GB"/>
        </w:rPr>
        <w:t>outlined in this chapter appears better suited to advance MacIntyre’s political goals</w:t>
      </w:r>
      <w:r w:rsidRPr="00461D74">
        <w:rPr>
          <w:rFonts w:ascii="Garamond" w:hAnsi="Garamond" w:cstheme="minorHAnsi"/>
          <w:sz w:val="24"/>
          <w:szCs w:val="24"/>
          <w:lang w:val="en-GB"/>
        </w:rPr>
        <w:t>.</w:t>
      </w:r>
      <w:r w:rsidR="008E3990" w:rsidRPr="00461D74">
        <w:rPr>
          <w:rFonts w:ascii="Garamond" w:hAnsi="Garamond" w:cstheme="minorHAnsi"/>
          <w:sz w:val="24"/>
          <w:szCs w:val="24"/>
          <w:lang w:val="en-GB"/>
        </w:rPr>
        <w:t xml:space="preserve"> Moreover, I suggested that the pragmatist </w:t>
      </w:r>
      <w:r w:rsidR="00D80E6F" w:rsidRPr="00461D74">
        <w:rPr>
          <w:rFonts w:ascii="Garamond" w:hAnsi="Garamond" w:cstheme="minorHAnsi"/>
          <w:sz w:val="24"/>
          <w:szCs w:val="24"/>
          <w:lang w:val="en-GB"/>
        </w:rPr>
        <w:t>account can be</w:t>
      </w:r>
      <w:r w:rsidR="008E3990" w:rsidRPr="00461D74">
        <w:rPr>
          <w:rFonts w:ascii="Garamond" w:hAnsi="Garamond" w:cstheme="minorHAnsi"/>
          <w:sz w:val="24"/>
          <w:szCs w:val="24"/>
          <w:lang w:val="en-GB"/>
        </w:rPr>
        <w:t xml:space="preserve"> be</w:t>
      </w:r>
      <w:r w:rsidR="00D80E6F" w:rsidRPr="00461D74">
        <w:rPr>
          <w:rFonts w:ascii="Garamond" w:hAnsi="Garamond" w:cstheme="minorHAnsi"/>
          <w:sz w:val="24"/>
          <w:szCs w:val="24"/>
          <w:lang w:val="en-GB"/>
        </w:rPr>
        <w:t>st</w:t>
      </w:r>
      <w:r w:rsidR="008E3990" w:rsidRPr="00461D74">
        <w:rPr>
          <w:rFonts w:ascii="Garamond" w:hAnsi="Garamond" w:cstheme="minorHAnsi"/>
          <w:sz w:val="24"/>
          <w:szCs w:val="24"/>
          <w:lang w:val="en-GB"/>
        </w:rPr>
        <w:t xml:space="preserve"> </w:t>
      </w:r>
      <w:r w:rsidR="00D80E6F" w:rsidRPr="00461D74">
        <w:rPr>
          <w:rFonts w:ascii="Garamond" w:hAnsi="Garamond" w:cstheme="minorHAnsi"/>
          <w:sz w:val="24"/>
          <w:szCs w:val="24"/>
          <w:lang w:val="en-GB"/>
        </w:rPr>
        <w:t xml:space="preserve">understood as </w:t>
      </w:r>
      <w:r w:rsidR="008F160B" w:rsidRPr="00461D74">
        <w:rPr>
          <w:rFonts w:ascii="Garamond" w:hAnsi="Garamond" w:cstheme="minorHAnsi"/>
          <w:sz w:val="24"/>
          <w:szCs w:val="24"/>
          <w:lang w:val="en-GB"/>
        </w:rPr>
        <w:t xml:space="preserve">a </w:t>
      </w:r>
      <w:r w:rsidR="008F160B" w:rsidRPr="00461D74">
        <w:rPr>
          <w:rFonts w:ascii="Garamond" w:hAnsi="Garamond" w:cstheme="minorHAnsi"/>
          <w:i/>
          <w:sz w:val="24"/>
          <w:szCs w:val="24"/>
          <w:lang w:val="en-GB"/>
        </w:rPr>
        <w:t>via media</w:t>
      </w:r>
      <w:r w:rsidR="008F160B" w:rsidRPr="00461D74">
        <w:rPr>
          <w:rFonts w:ascii="Garamond" w:hAnsi="Garamond" w:cstheme="minorHAnsi"/>
          <w:sz w:val="24"/>
          <w:szCs w:val="24"/>
          <w:lang w:val="en-GB"/>
        </w:rPr>
        <w:t xml:space="preserve"> </w:t>
      </w:r>
      <w:r w:rsidR="008E3990" w:rsidRPr="00461D74">
        <w:rPr>
          <w:rFonts w:ascii="Garamond" w:hAnsi="Garamond" w:cstheme="minorHAnsi"/>
          <w:sz w:val="24"/>
          <w:szCs w:val="24"/>
          <w:lang w:val="en-GB"/>
        </w:rPr>
        <w:t>position</w:t>
      </w:r>
      <w:r w:rsidR="00C334AE">
        <w:rPr>
          <w:rFonts w:ascii="Garamond" w:hAnsi="Garamond" w:cstheme="minorHAnsi"/>
          <w:sz w:val="24"/>
          <w:szCs w:val="24"/>
          <w:lang w:val="en-GB"/>
        </w:rPr>
        <w:t xml:space="preserve"> that is able to realise the more important set</w:t>
      </w:r>
      <w:r w:rsidR="00C334AE" w:rsidRPr="00461D74">
        <w:rPr>
          <w:rFonts w:ascii="Garamond" w:hAnsi="Garamond" w:cstheme="minorHAnsi"/>
          <w:sz w:val="24"/>
          <w:szCs w:val="24"/>
          <w:lang w:val="en-GB"/>
        </w:rPr>
        <w:t xml:space="preserve"> of objectives that are at the heart of MacIntyre’s political project.</w:t>
      </w:r>
      <w:r w:rsidR="00192CFD">
        <w:rPr>
          <w:rFonts w:ascii="Garamond" w:hAnsi="Garamond" w:cstheme="minorHAnsi"/>
          <w:sz w:val="24"/>
          <w:szCs w:val="24"/>
          <w:lang w:val="en-GB"/>
        </w:rPr>
        <w:t xml:space="preserve"> </w:t>
      </w:r>
      <w:r w:rsidR="000D3CF4" w:rsidRPr="00461D74">
        <w:rPr>
          <w:rFonts w:ascii="Garamond" w:hAnsi="Garamond" w:cstheme="minorHAnsi"/>
          <w:sz w:val="24"/>
          <w:szCs w:val="24"/>
          <w:lang w:val="en-GB"/>
        </w:rPr>
        <w:t xml:space="preserve">Finally, I </w:t>
      </w:r>
      <w:r w:rsidR="00D80E6F" w:rsidRPr="00461D74">
        <w:rPr>
          <w:rFonts w:ascii="Garamond" w:hAnsi="Garamond" w:cstheme="minorHAnsi"/>
          <w:sz w:val="24"/>
          <w:szCs w:val="24"/>
          <w:lang w:val="en-GB"/>
        </w:rPr>
        <w:t xml:space="preserve">considered a number of </w:t>
      </w:r>
      <w:r w:rsidR="000D3CF4" w:rsidRPr="00461D74">
        <w:rPr>
          <w:rFonts w:ascii="Garamond" w:hAnsi="Garamond" w:cstheme="minorHAnsi"/>
          <w:sz w:val="24"/>
          <w:szCs w:val="24"/>
          <w:lang w:val="en-GB"/>
        </w:rPr>
        <w:t>conceptual possibilities</w:t>
      </w:r>
      <w:r w:rsidR="00D80E6F" w:rsidRPr="00461D74">
        <w:rPr>
          <w:rFonts w:ascii="Garamond" w:hAnsi="Garamond" w:cstheme="minorHAnsi"/>
          <w:sz w:val="24"/>
          <w:szCs w:val="24"/>
          <w:lang w:val="en-GB"/>
        </w:rPr>
        <w:t xml:space="preserve"> that would sustain the pragmatist conception of politics</w:t>
      </w:r>
      <w:r w:rsidR="000D3CF4" w:rsidRPr="00461D74">
        <w:rPr>
          <w:rFonts w:ascii="Garamond" w:hAnsi="Garamond" w:cstheme="minorHAnsi"/>
          <w:sz w:val="24"/>
          <w:szCs w:val="24"/>
          <w:lang w:val="en-GB"/>
        </w:rPr>
        <w:t xml:space="preserve">, </w:t>
      </w:r>
      <w:r w:rsidR="00D80E6F" w:rsidRPr="00461D74">
        <w:rPr>
          <w:rFonts w:ascii="Garamond" w:hAnsi="Garamond" w:cstheme="minorHAnsi"/>
          <w:sz w:val="24"/>
          <w:szCs w:val="24"/>
          <w:lang w:val="en-GB"/>
        </w:rPr>
        <w:t xml:space="preserve">and moved to explore a number of practical ways in which </w:t>
      </w:r>
      <w:r w:rsidR="000D3CF4" w:rsidRPr="00461D74">
        <w:rPr>
          <w:rFonts w:ascii="Garamond" w:hAnsi="Garamond" w:cstheme="minorHAnsi"/>
          <w:sz w:val="24"/>
          <w:szCs w:val="24"/>
          <w:lang w:val="en-GB"/>
        </w:rPr>
        <w:t xml:space="preserve">we can </w:t>
      </w:r>
      <w:r w:rsidR="00D80E6F" w:rsidRPr="00461D74">
        <w:rPr>
          <w:rFonts w:ascii="Garamond" w:hAnsi="Garamond" w:cstheme="minorHAnsi"/>
          <w:sz w:val="24"/>
          <w:szCs w:val="24"/>
          <w:lang w:val="en-GB"/>
        </w:rPr>
        <w:t>mount a defence of local</w:t>
      </w:r>
      <w:r w:rsidR="000D3CF4" w:rsidRPr="00461D74">
        <w:rPr>
          <w:rFonts w:ascii="Garamond" w:hAnsi="Garamond" w:cstheme="minorHAnsi"/>
          <w:sz w:val="24"/>
          <w:szCs w:val="24"/>
          <w:lang w:val="en-GB"/>
        </w:rPr>
        <w:t xml:space="preserve"> small-scale political </w:t>
      </w:r>
      <w:r w:rsidR="00D80E6F" w:rsidRPr="00461D74">
        <w:rPr>
          <w:rFonts w:ascii="Garamond" w:hAnsi="Garamond" w:cstheme="minorHAnsi"/>
          <w:sz w:val="24"/>
          <w:szCs w:val="24"/>
          <w:lang w:val="en-GB"/>
        </w:rPr>
        <w:t>structures.</w:t>
      </w:r>
    </w:p>
    <w:p w:rsidR="00192CFD" w:rsidRDefault="00192CFD" w:rsidP="00192CFD">
      <w:pPr>
        <w:spacing w:line="360" w:lineRule="auto"/>
        <w:ind w:firstLine="720"/>
        <w:jc w:val="both"/>
        <w:rPr>
          <w:rFonts w:ascii="Garamond" w:hAnsi="Garamond" w:cstheme="minorHAnsi"/>
          <w:sz w:val="24"/>
          <w:szCs w:val="24"/>
          <w:lang w:val="en-GB"/>
        </w:rPr>
      </w:pPr>
      <w:r>
        <w:rPr>
          <w:rFonts w:ascii="Garamond" w:hAnsi="Garamond" w:cstheme="minorHAnsi"/>
          <w:sz w:val="24"/>
          <w:szCs w:val="24"/>
          <w:lang w:val="en-GB"/>
        </w:rPr>
        <w:t>What is most crucial</w:t>
      </w:r>
      <w:r w:rsidR="002B07D5">
        <w:rPr>
          <w:rFonts w:ascii="Garamond" w:hAnsi="Garamond" w:cstheme="minorHAnsi"/>
          <w:sz w:val="24"/>
          <w:szCs w:val="24"/>
          <w:lang w:val="en-GB"/>
        </w:rPr>
        <w:t>,</w:t>
      </w:r>
      <w:r>
        <w:rPr>
          <w:rFonts w:ascii="Garamond" w:hAnsi="Garamond" w:cstheme="minorHAnsi"/>
          <w:sz w:val="24"/>
          <w:szCs w:val="24"/>
          <w:lang w:val="en-GB"/>
        </w:rPr>
        <w:t xml:space="preserve"> and </w:t>
      </w:r>
      <w:r w:rsidR="002B07D5">
        <w:rPr>
          <w:rFonts w:ascii="Garamond" w:hAnsi="Garamond" w:cstheme="minorHAnsi"/>
          <w:sz w:val="24"/>
          <w:szCs w:val="24"/>
          <w:lang w:val="en-GB"/>
        </w:rPr>
        <w:t xml:space="preserve">the </w:t>
      </w:r>
      <w:r>
        <w:rPr>
          <w:rFonts w:ascii="Garamond" w:hAnsi="Garamond" w:cstheme="minorHAnsi"/>
          <w:sz w:val="24"/>
          <w:szCs w:val="24"/>
          <w:lang w:val="en-GB"/>
        </w:rPr>
        <w:t>chief advantage of our pragmatic approach</w:t>
      </w:r>
      <w:r w:rsidR="002B07D5">
        <w:rPr>
          <w:rFonts w:ascii="Garamond" w:hAnsi="Garamond" w:cstheme="minorHAnsi"/>
          <w:sz w:val="24"/>
          <w:szCs w:val="24"/>
          <w:lang w:val="en-GB"/>
        </w:rPr>
        <w:t>,</w:t>
      </w:r>
      <w:r>
        <w:rPr>
          <w:rFonts w:ascii="Garamond" w:hAnsi="Garamond" w:cstheme="minorHAnsi"/>
          <w:sz w:val="24"/>
          <w:szCs w:val="24"/>
          <w:lang w:val="en-GB"/>
        </w:rPr>
        <w:t xml:space="preserve"> is that it </w:t>
      </w:r>
      <w:r w:rsidRPr="00461D74">
        <w:rPr>
          <w:rFonts w:ascii="Garamond" w:hAnsi="Garamond" w:cstheme="minorHAnsi"/>
          <w:sz w:val="24"/>
          <w:szCs w:val="24"/>
          <w:lang w:val="en-GB"/>
        </w:rPr>
        <w:t>doesn’t insulate itself from the broa</w:t>
      </w:r>
      <w:r>
        <w:rPr>
          <w:rFonts w:ascii="Garamond" w:hAnsi="Garamond" w:cstheme="minorHAnsi"/>
          <w:sz w:val="24"/>
          <w:szCs w:val="24"/>
          <w:lang w:val="en-GB"/>
        </w:rPr>
        <w:t>der debates in liberal politics.</w:t>
      </w:r>
      <w:r w:rsidRPr="00461D74">
        <w:rPr>
          <w:rFonts w:ascii="Garamond" w:hAnsi="Garamond" w:cstheme="minorHAnsi"/>
          <w:sz w:val="24"/>
          <w:szCs w:val="24"/>
          <w:lang w:val="en-GB"/>
        </w:rPr>
        <w:t xml:space="preserve"> </w:t>
      </w:r>
      <w:r>
        <w:rPr>
          <w:rFonts w:ascii="Garamond" w:hAnsi="Garamond" w:cstheme="minorHAnsi"/>
          <w:sz w:val="24"/>
          <w:szCs w:val="24"/>
          <w:lang w:val="en-GB"/>
        </w:rPr>
        <w:t>Therefore as an active participant in the various debates with a range of liberal views, it remains better positioned to systematically resist any (real or imagined) attempt by standard liberal orthodoxy to marginalise alternative viewpoints.</w:t>
      </w:r>
    </w:p>
    <w:p w:rsidR="00192CFD" w:rsidRPr="009E7EF5" w:rsidRDefault="00192CFD" w:rsidP="00192CFD">
      <w:pPr>
        <w:spacing w:line="360" w:lineRule="auto"/>
        <w:ind w:firstLine="720"/>
        <w:jc w:val="both"/>
        <w:rPr>
          <w:rFonts w:ascii="Garamond" w:hAnsi="Garamond" w:cstheme="minorHAnsi"/>
          <w:sz w:val="24"/>
          <w:szCs w:val="24"/>
          <w:lang w:val="en-GB"/>
        </w:rPr>
        <w:sectPr w:rsidR="00192CFD" w:rsidRPr="009E7EF5" w:rsidSect="003D0941">
          <w:footnotePr>
            <w:numRestart w:val="eachSect"/>
          </w:footnotePr>
          <w:pgSz w:w="12240" w:h="15840"/>
          <w:pgMar w:top="1985" w:right="2268" w:bottom="2268" w:left="2268" w:header="709" w:footer="709" w:gutter="0"/>
          <w:cols w:space="708"/>
          <w:docGrid w:linePitch="360"/>
        </w:sectPr>
      </w:pPr>
    </w:p>
    <w:p w:rsidR="00A94075" w:rsidRDefault="001F14F5">
      <w:pPr>
        <w:pStyle w:val="Heading1"/>
        <w:spacing w:line="360" w:lineRule="auto"/>
        <w:rPr>
          <w:rFonts w:cstheme="majorHAnsi"/>
        </w:rPr>
      </w:pPr>
      <w:bookmarkStart w:id="73" w:name="_Toc528077849"/>
      <w:r w:rsidRPr="00F03436">
        <w:rPr>
          <w:rFonts w:cstheme="majorHAnsi"/>
        </w:rPr>
        <w:lastRenderedPageBreak/>
        <w:t>Conclusion</w:t>
      </w:r>
      <w:bookmarkEnd w:id="73"/>
    </w:p>
    <w:p w:rsidR="001F14F5" w:rsidRPr="00461D74" w:rsidRDefault="001F14F5" w:rsidP="00164E4D">
      <w:pPr>
        <w:spacing w:line="360" w:lineRule="auto"/>
        <w:jc w:val="both"/>
        <w:rPr>
          <w:rFonts w:ascii="Garamond" w:hAnsi="Garamond" w:cstheme="minorHAnsi"/>
          <w:sz w:val="24"/>
          <w:szCs w:val="24"/>
          <w:lang w:val="en-GB"/>
        </w:rPr>
      </w:pPr>
    </w:p>
    <w:p w:rsidR="0012266F" w:rsidRPr="00461D74" w:rsidRDefault="006932B9" w:rsidP="00164E4D">
      <w:pPr>
        <w:spacing w:line="360" w:lineRule="auto"/>
        <w:jc w:val="both"/>
        <w:rPr>
          <w:rFonts w:ascii="Garamond" w:hAnsi="Garamond" w:cstheme="minorHAnsi"/>
          <w:sz w:val="24"/>
          <w:szCs w:val="24"/>
          <w:lang w:val="en-GB"/>
        </w:rPr>
      </w:pPr>
      <w:r w:rsidRPr="00461D74">
        <w:rPr>
          <w:rFonts w:ascii="Garamond" w:hAnsi="Garamond" w:cstheme="minorHAnsi"/>
          <w:sz w:val="24"/>
          <w:szCs w:val="24"/>
          <w:lang w:val="en-GB"/>
        </w:rPr>
        <w:t xml:space="preserve">This thesis was </w:t>
      </w:r>
      <w:r w:rsidR="006151D3" w:rsidRPr="00461D74">
        <w:rPr>
          <w:rFonts w:ascii="Garamond" w:hAnsi="Garamond" w:cstheme="minorHAnsi"/>
          <w:sz w:val="24"/>
          <w:szCs w:val="24"/>
          <w:lang w:val="en-GB"/>
        </w:rPr>
        <w:t xml:space="preserve">originally </w:t>
      </w:r>
      <w:r w:rsidRPr="00461D74">
        <w:rPr>
          <w:rFonts w:ascii="Garamond" w:hAnsi="Garamond" w:cstheme="minorHAnsi"/>
          <w:sz w:val="24"/>
          <w:szCs w:val="24"/>
          <w:lang w:val="en-GB"/>
        </w:rPr>
        <w:t xml:space="preserve">motivated </w:t>
      </w:r>
      <w:r w:rsidR="0012266F" w:rsidRPr="00461D74">
        <w:rPr>
          <w:rFonts w:ascii="Garamond" w:hAnsi="Garamond" w:cstheme="minorHAnsi"/>
          <w:sz w:val="24"/>
          <w:szCs w:val="24"/>
          <w:lang w:val="en-GB"/>
        </w:rPr>
        <w:t>on account of</w:t>
      </w:r>
      <w:r w:rsidR="006151D3" w:rsidRPr="00461D74">
        <w:rPr>
          <w:rFonts w:ascii="Garamond" w:hAnsi="Garamond" w:cstheme="minorHAnsi"/>
          <w:sz w:val="24"/>
          <w:szCs w:val="24"/>
          <w:lang w:val="en-GB"/>
        </w:rPr>
        <w:t xml:space="preserve"> two apparently divergent themes</w:t>
      </w:r>
      <w:r w:rsidR="000B4B41" w:rsidRPr="00461D74">
        <w:rPr>
          <w:rFonts w:ascii="Garamond" w:hAnsi="Garamond" w:cstheme="minorHAnsi"/>
          <w:sz w:val="24"/>
          <w:szCs w:val="24"/>
          <w:lang w:val="en-GB"/>
        </w:rPr>
        <w:t xml:space="preserve"> </w:t>
      </w:r>
      <w:r w:rsidR="0012266F" w:rsidRPr="00461D74">
        <w:rPr>
          <w:rFonts w:ascii="Garamond" w:hAnsi="Garamond" w:cstheme="minorHAnsi"/>
          <w:sz w:val="24"/>
          <w:szCs w:val="24"/>
          <w:lang w:val="en-GB"/>
        </w:rPr>
        <w:t>which</w:t>
      </w:r>
      <w:r w:rsidR="000B4B41" w:rsidRPr="00461D74">
        <w:rPr>
          <w:rFonts w:ascii="Garamond" w:hAnsi="Garamond" w:cstheme="minorHAnsi"/>
          <w:sz w:val="24"/>
          <w:szCs w:val="24"/>
          <w:lang w:val="en-GB"/>
        </w:rPr>
        <w:t xml:space="preserve"> have emerged since the publication of </w:t>
      </w:r>
      <w:r w:rsidR="000B4B41" w:rsidRPr="00461D74">
        <w:rPr>
          <w:rFonts w:ascii="Garamond" w:hAnsi="Garamond" w:cstheme="minorHAnsi"/>
          <w:i/>
          <w:sz w:val="24"/>
          <w:szCs w:val="24"/>
          <w:lang w:val="en-GB"/>
        </w:rPr>
        <w:t>After Virtue</w:t>
      </w:r>
      <w:r w:rsidR="006151D3" w:rsidRPr="00461D74">
        <w:rPr>
          <w:rFonts w:ascii="Garamond" w:hAnsi="Garamond" w:cstheme="minorHAnsi"/>
          <w:sz w:val="24"/>
          <w:szCs w:val="24"/>
          <w:lang w:val="en-GB"/>
        </w:rPr>
        <w:t xml:space="preserve">. </w:t>
      </w:r>
      <w:r w:rsidRPr="00461D74">
        <w:rPr>
          <w:rFonts w:ascii="Garamond" w:hAnsi="Garamond" w:cstheme="minorHAnsi"/>
          <w:sz w:val="24"/>
          <w:szCs w:val="24"/>
          <w:lang w:val="en-GB"/>
        </w:rPr>
        <w:t xml:space="preserve">MacIntyre’s philosophy </w:t>
      </w:r>
      <w:r w:rsidR="000B4B41" w:rsidRPr="00461D74">
        <w:rPr>
          <w:rFonts w:ascii="Garamond" w:hAnsi="Garamond" w:cstheme="minorHAnsi"/>
          <w:sz w:val="24"/>
          <w:szCs w:val="24"/>
          <w:lang w:val="en-GB"/>
        </w:rPr>
        <w:t xml:space="preserve">appears to </w:t>
      </w:r>
      <w:r w:rsidR="007507D4" w:rsidRPr="00461D74">
        <w:rPr>
          <w:rFonts w:ascii="Garamond" w:hAnsi="Garamond" w:cstheme="minorHAnsi"/>
          <w:sz w:val="24"/>
          <w:szCs w:val="24"/>
          <w:lang w:val="en-GB"/>
        </w:rPr>
        <w:t xml:space="preserve">theoretically express a </w:t>
      </w:r>
      <w:r w:rsidR="00CF6D1E" w:rsidRPr="00461D74">
        <w:rPr>
          <w:rFonts w:ascii="Garamond" w:hAnsi="Garamond" w:cstheme="minorHAnsi"/>
          <w:sz w:val="24"/>
          <w:szCs w:val="24"/>
          <w:lang w:val="en-GB"/>
        </w:rPr>
        <w:t>critical</w:t>
      </w:r>
      <w:r w:rsidR="007507D4" w:rsidRPr="00461D74">
        <w:rPr>
          <w:rFonts w:ascii="Garamond" w:hAnsi="Garamond" w:cstheme="minorHAnsi"/>
          <w:sz w:val="24"/>
          <w:szCs w:val="24"/>
          <w:lang w:val="en-GB"/>
        </w:rPr>
        <w:t xml:space="preserve"> intuition</w:t>
      </w:r>
      <w:r w:rsidR="003C6B67" w:rsidRPr="00461D74">
        <w:rPr>
          <w:rFonts w:ascii="Garamond" w:hAnsi="Garamond" w:cstheme="minorHAnsi"/>
          <w:sz w:val="24"/>
          <w:szCs w:val="24"/>
          <w:lang w:val="en-GB"/>
        </w:rPr>
        <w:t xml:space="preserve"> </w:t>
      </w:r>
      <w:r w:rsidR="000B4B41" w:rsidRPr="00461D74">
        <w:rPr>
          <w:rFonts w:ascii="Garamond" w:hAnsi="Garamond" w:cstheme="minorHAnsi"/>
          <w:sz w:val="24"/>
          <w:szCs w:val="24"/>
          <w:lang w:val="en-GB"/>
        </w:rPr>
        <w:t>–</w:t>
      </w:r>
      <w:r w:rsidR="003C6B67" w:rsidRPr="00461D74">
        <w:rPr>
          <w:rFonts w:ascii="Garamond" w:hAnsi="Garamond" w:cstheme="minorHAnsi"/>
          <w:sz w:val="24"/>
          <w:szCs w:val="24"/>
          <w:lang w:val="en-GB"/>
        </w:rPr>
        <w:t xml:space="preserve"> </w:t>
      </w:r>
      <w:r w:rsidR="000B4B41" w:rsidRPr="00461D74">
        <w:rPr>
          <w:rFonts w:ascii="Garamond" w:hAnsi="Garamond" w:cstheme="minorHAnsi"/>
          <w:sz w:val="24"/>
          <w:szCs w:val="24"/>
          <w:lang w:val="en-GB"/>
        </w:rPr>
        <w:t>namely,</w:t>
      </w:r>
      <w:r w:rsidR="007507D4" w:rsidRPr="00461D74">
        <w:rPr>
          <w:rFonts w:ascii="Garamond" w:hAnsi="Garamond" w:cstheme="minorHAnsi"/>
          <w:sz w:val="24"/>
          <w:szCs w:val="24"/>
          <w:lang w:val="en-GB"/>
        </w:rPr>
        <w:t xml:space="preserve"> </w:t>
      </w:r>
      <w:r w:rsidR="000B4B41" w:rsidRPr="00461D74">
        <w:rPr>
          <w:rFonts w:ascii="Garamond" w:hAnsi="Garamond" w:cstheme="minorHAnsi"/>
          <w:sz w:val="24"/>
          <w:szCs w:val="24"/>
          <w:lang w:val="en-GB"/>
        </w:rPr>
        <w:t xml:space="preserve">that </w:t>
      </w:r>
      <w:r w:rsidR="007507D4" w:rsidRPr="00461D74">
        <w:rPr>
          <w:rFonts w:ascii="Garamond" w:hAnsi="Garamond" w:cstheme="minorHAnsi"/>
          <w:sz w:val="24"/>
          <w:szCs w:val="24"/>
          <w:lang w:val="en-GB"/>
        </w:rPr>
        <w:t xml:space="preserve">there </w:t>
      </w:r>
      <w:r w:rsidR="000B4B41" w:rsidRPr="00461D74">
        <w:rPr>
          <w:rFonts w:ascii="Garamond" w:hAnsi="Garamond" w:cstheme="minorHAnsi"/>
          <w:sz w:val="24"/>
          <w:szCs w:val="24"/>
          <w:lang w:val="en-GB"/>
        </w:rPr>
        <w:t>is</w:t>
      </w:r>
      <w:r w:rsidR="007507D4" w:rsidRPr="00461D74">
        <w:rPr>
          <w:rFonts w:ascii="Garamond" w:hAnsi="Garamond" w:cstheme="minorHAnsi"/>
          <w:sz w:val="24"/>
          <w:szCs w:val="24"/>
          <w:lang w:val="en-GB"/>
        </w:rPr>
        <w:t xml:space="preserve"> a fundamental discontinuity in the structure of contemporary social and moral discourse</w:t>
      </w:r>
      <w:r w:rsidR="000B4B41" w:rsidRPr="00461D74">
        <w:rPr>
          <w:rFonts w:ascii="Garamond" w:hAnsi="Garamond" w:cstheme="minorHAnsi"/>
          <w:sz w:val="24"/>
          <w:szCs w:val="24"/>
          <w:lang w:val="en-GB"/>
        </w:rPr>
        <w:t xml:space="preserve">; yet even though this intuition is widely shared by many philosophers, the work of MacIntyre in comparison to many analytic moral philosophers suffers from what can only be described as a significant </w:t>
      </w:r>
      <w:r w:rsidR="0012266F" w:rsidRPr="00461D74">
        <w:rPr>
          <w:rFonts w:ascii="Garamond" w:hAnsi="Garamond" w:cstheme="minorHAnsi"/>
          <w:sz w:val="24"/>
          <w:szCs w:val="24"/>
          <w:lang w:val="en-GB"/>
        </w:rPr>
        <w:t>degree</w:t>
      </w:r>
      <w:r w:rsidR="000B4B41" w:rsidRPr="00461D74">
        <w:rPr>
          <w:rFonts w:ascii="Garamond" w:hAnsi="Garamond" w:cstheme="minorHAnsi"/>
          <w:sz w:val="24"/>
          <w:szCs w:val="24"/>
          <w:lang w:val="en-GB"/>
        </w:rPr>
        <w:t xml:space="preserve"> of neglect </w:t>
      </w:r>
      <w:r w:rsidR="0012266F" w:rsidRPr="00461D74">
        <w:rPr>
          <w:rFonts w:ascii="Garamond" w:hAnsi="Garamond" w:cstheme="minorHAnsi"/>
          <w:sz w:val="24"/>
          <w:szCs w:val="24"/>
          <w:lang w:val="en-GB"/>
        </w:rPr>
        <w:t>by</w:t>
      </w:r>
      <w:r w:rsidR="000B4B41" w:rsidRPr="00461D74">
        <w:rPr>
          <w:rFonts w:ascii="Garamond" w:hAnsi="Garamond" w:cstheme="minorHAnsi"/>
          <w:sz w:val="24"/>
          <w:szCs w:val="24"/>
          <w:lang w:val="en-GB"/>
        </w:rPr>
        <w:t xml:space="preserve"> mainstream </w:t>
      </w:r>
      <w:r w:rsidR="0012266F" w:rsidRPr="00461D74">
        <w:rPr>
          <w:rFonts w:ascii="Garamond" w:hAnsi="Garamond" w:cstheme="minorHAnsi"/>
          <w:sz w:val="24"/>
          <w:szCs w:val="24"/>
          <w:lang w:val="en-GB"/>
        </w:rPr>
        <w:t>(</w:t>
      </w:r>
      <w:r w:rsidR="000B4B41" w:rsidRPr="00461D74">
        <w:rPr>
          <w:rFonts w:ascii="Garamond" w:hAnsi="Garamond" w:cstheme="minorHAnsi"/>
          <w:sz w:val="24"/>
          <w:szCs w:val="24"/>
          <w:lang w:val="en-GB"/>
        </w:rPr>
        <w:t>analytic</w:t>
      </w:r>
      <w:r w:rsidR="0012266F" w:rsidRPr="00461D74">
        <w:rPr>
          <w:rFonts w:ascii="Garamond" w:hAnsi="Garamond" w:cstheme="minorHAnsi"/>
          <w:sz w:val="24"/>
          <w:szCs w:val="24"/>
          <w:lang w:val="en-GB"/>
        </w:rPr>
        <w:t>)</w:t>
      </w:r>
      <w:r w:rsidR="000B4B41" w:rsidRPr="00461D74">
        <w:rPr>
          <w:rFonts w:ascii="Garamond" w:hAnsi="Garamond" w:cstheme="minorHAnsi"/>
          <w:sz w:val="24"/>
          <w:szCs w:val="24"/>
          <w:lang w:val="en-GB"/>
        </w:rPr>
        <w:t xml:space="preserve"> </w:t>
      </w:r>
      <w:r w:rsidR="009B7670" w:rsidRPr="00461D74">
        <w:rPr>
          <w:rFonts w:ascii="Garamond" w:hAnsi="Garamond" w:cstheme="minorHAnsi"/>
          <w:sz w:val="24"/>
          <w:szCs w:val="24"/>
          <w:lang w:val="en-GB"/>
        </w:rPr>
        <w:t xml:space="preserve">moral </w:t>
      </w:r>
      <w:r w:rsidR="000B4B41" w:rsidRPr="00461D74">
        <w:rPr>
          <w:rFonts w:ascii="Garamond" w:hAnsi="Garamond" w:cstheme="minorHAnsi"/>
          <w:sz w:val="24"/>
          <w:szCs w:val="24"/>
          <w:lang w:val="en-GB"/>
        </w:rPr>
        <w:t>philosophy.</w:t>
      </w:r>
      <w:r w:rsidR="00B744BC" w:rsidRPr="00461D74">
        <w:rPr>
          <w:rFonts w:ascii="Garamond" w:hAnsi="Garamond" w:cstheme="minorHAnsi"/>
          <w:sz w:val="24"/>
          <w:szCs w:val="24"/>
          <w:lang w:val="en-GB"/>
        </w:rPr>
        <w:t xml:space="preserve"> </w:t>
      </w:r>
      <w:r w:rsidR="0012266F" w:rsidRPr="00461D74">
        <w:rPr>
          <w:rFonts w:ascii="Garamond" w:hAnsi="Garamond" w:cstheme="minorHAnsi"/>
          <w:sz w:val="24"/>
          <w:szCs w:val="24"/>
          <w:lang w:val="en-GB"/>
        </w:rPr>
        <w:t xml:space="preserve">Now, to be fair, some of this neglect is generated </w:t>
      </w:r>
      <w:r w:rsidR="00FB208A" w:rsidRPr="00461D74">
        <w:rPr>
          <w:rFonts w:ascii="Garamond" w:hAnsi="Garamond" w:cstheme="minorHAnsi"/>
          <w:sz w:val="24"/>
          <w:szCs w:val="24"/>
          <w:lang w:val="en-GB"/>
        </w:rPr>
        <w:t xml:space="preserve">in part </w:t>
      </w:r>
      <w:r w:rsidR="0012266F" w:rsidRPr="00461D74">
        <w:rPr>
          <w:rFonts w:ascii="Garamond" w:hAnsi="Garamond" w:cstheme="minorHAnsi"/>
          <w:sz w:val="24"/>
          <w:szCs w:val="24"/>
          <w:lang w:val="en-GB"/>
        </w:rPr>
        <w:t>because of the somewhat</w:t>
      </w:r>
      <w:r w:rsidR="004E2ABF">
        <w:rPr>
          <w:rFonts w:ascii="Garamond" w:hAnsi="Garamond" w:cstheme="minorHAnsi"/>
          <w:sz w:val="24"/>
          <w:szCs w:val="24"/>
          <w:lang w:val="en-GB"/>
        </w:rPr>
        <w:t xml:space="preserve"> </w:t>
      </w:r>
      <w:r w:rsidR="0012266F" w:rsidRPr="00461D74">
        <w:rPr>
          <w:rFonts w:ascii="Garamond" w:hAnsi="Garamond" w:cstheme="minorHAnsi"/>
          <w:sz w:val="24"/>
          <w:szCs w:val="24"/>
          <w:lang w:val="en-GB"/>
        </w:rPr>
        <w:t>shocking</w:t>
      </w:r>
      <w:r w:rsidR="004E2ABF">
        <w:rPr>
          <w:rFonts w:ascii="Garamond" w:hAnsi="Garamond" w:cstheme="minorHAnsi"/>
          <w:sz w:val="24"/>
          <w:szCs w:val="24"/>
          <w:lang w:val="en-GB"/>
        </w:rPr>
        <w:t>,</w:t>
      </w:r>
      <w:r w:rsidR="004E2ABF">
        <w:rPr>
          <w:rStyle w:val="FootnoteReference"/>
          <w:rFonts w:ascii="Garamond" w:hAnsi="Garamond" w:cstheme="minorHAnsi"/>
          <w:sz w:val="24"/>
          <w:szCs w:val="24"/>
          <w:lang w:val="en-GB"/>
        </w:rPr>
        <w:footnoteReference w:id="451"/>
      </w:r>
      <w:r w:rsidR="0012266F" w:rsidRPr="00461D74">
        <w:rPr>
          <w:rFonts w:ascii="Garamond" w:hAnsi="Garamond" w:cstheme="minorHAnsi"/>
          <w:sz w:val="24"/>
          <w:szCs w:val="24"/>
          <w:lang w:val="en-GB"/>
        </w:rPr>
        <w:t xml:space="preserve"> and depressing conclusion at the end of </w:t>
      </w:r>
      <w:r w:rsidR="006A49B2" w:rsidRPr="00461D74">
        <w:rPr>
          <w:rFonts w:ascii="Garamond" w:hAnsi="Garamond" w:cstheme="minorHAnsi"/>
          <w:i/>
          <w:sz w:val="24"/>
          <w:szCs w:val="24"/>
          <w:lang w:val="en-GB"/>
        </w:rPr>
        <w:t>After Virtue</w:t>
      </w:r>
      <w:r w:rsidR="004E2ABF">
        <w:rPr>
          <w:rFonts w:ascii="Garamond" w:hAnsi="Garamond" w:cstheme="minorHAnsi"/>
          <w:sz w:val="24"/>
          <w:szCs w:val="24"/>
          <w:lang w:val="en-GB"/>
        </w:rPr>
        <w:t>;</w:t>
      </w:r>
      <w:r w:rsidR="004E2ABF">
        <w:rPr>
          <w:rStyle w:val="FootnoteReference"/>
          <w:rFonts w:ascii="Garamond" w:hAnsi="Garamond" w:cstheme="minorHAnsi"/>
          <w:sz w:val="24"/>
          <w:szCs w:val="24"/>
          <w:lang w:val="en-GB"/>
        </w:rPr>
        <w:footnoteReference w:id="452"/>
      </w:r>
      <w:r w:rsidR="0012266F" w:rsidRPr="00461D74">
        <w:rPr>
          <w:rFonts w:ascii="Garamond" w:hAnsi="Garamond" w:cstheme="minorHAnsi"/>
          <w:sz w:val="24"/>
          <w:szCs w:val="24"/>
          <w:lang w:val="en-GB"/>
        </w:rPr>
        <w:t xml:space="preserve"> and </w:t>
      </w:r>
      <w:r w:rsidR="00FB208A" w:rsidRPr="00461D74">
        <w:rPr>
          <w:rFonts w:ascii="Garamond" w:hAnsi="Garamond" w:cstheme="minorHAnsi"/>
          <w:sz w:val="24"/>
          <w:szCs w:val="24"/>
          <w:lang w:val="en-GB"/>
        </w:rPr>
        <w:t>in part, on the account of</w:t>
      </w:r>
      <w:r w:rsidR="0012266F" w:rsidRPr="00461D74">
        <w:rPr>
          <w:rFonts w:ascii="Garamond" w:hAnsi="Garamond" w:cstheme="minorHAnsi"/>
          <w:sz w:val="24"/>
          <w:szCs w:val="24"/>
          <w:lang w:val="en-GB"/>
        </w:rPr>
        <w:t xml:space="preserve"> MacIntyre’s </w:t>
      </w:r>
      <w:r w:rsidR="0017088F">
        <w:rPr>
          <w:rFonts w:ascii="Garamond" w:hAnsi="Garamond" w:cstheme="minorHAnsi"/>
          <w:sz w:val="24"/>
          <w:szCs w:val="24"/>
          <w:lang w:val="en-GB"/>
        </w:rPr>
        <w:t>long-held</w:t>
      </w:r>
      <w:r w:rsidR="0017088F" w:rsidRPr="00461D74">
        <w:rPr>
          <w:rFonts w:ascii="Garamond" w:hAnsi="Garamond" w:cstheme="minorHAnsi"/>
          <w:sz w:val="24"/>
          <w:szCs w:val="24"/>
          <w:lang w:val="en-GB"/>
        </w:rPr>
        <w:t xml:space="preserve"> </w:t>
      </w:r>
      <w:r w:rsidR="0017088F">
        <w:rPr>
          <w:rFonts w:ascii="Garamond" w:hAnsi="Garamond" w:cstheme="minorHAnsi"/>
          <w:sz w:val="24"/>
          <w:szCs w:val="24"/>
          <w:lang w:val="en-GB"/>
        </w:rPr>
        <w:t>consistent</w:t>
      </w:r>
      <w:r w:rsidR="0017088F" w:rsidRPr="00461D74">
        <w:rPr>
          <w:rFonts w:ascii="Garamond" w:hAnsi="Garamond" w:cstheme="minorHAnsi"/>
          <w:sz w:val="24"/>
          <w:szCs w:val="24"/>
          <w:lang w:val="en-GB"/>
        </w:rPr>
        <w:t xml:space="preserve"> </w:t>
      </w:r>
      <w:r w:rsidR="0012266F" w:rsidRPr="00461D74">
        <w:rPr>
          <w:rFonts w:ascii="Garamond" w:hAnsi="Garamond" w:cstheme="minorHAnsi"/>
          <w:sz w:val="24"/>
          <w:szCs w:val="24"/>
          <w:lang w:val="en-GB"/>
        </w:rPr>
        <w:t xml:space="preserve">refusal to </w:t>
      </w:r>
      <w:r w:rsidR="00FB208A" w:rsidRPr="00461D74">
        <w:rPr>
          <w:rFonts w:ascii="Garamond" w:hAnsi="Garamond" w:cstheme="minorHAnsi"/>
          <w:sz w:val="24"/>
          <w:szCs w:val="24"/>
          <w:lang w:val="en-GB"/>
        </w:rPr>
        <w:t>constructively</w:t>
      </w:r>
      <w:r w:rsidR="0012266F" w:rsidRPr="00461D74">
        <w:rPr>
          <w:rFonts w:ascii="Garamond" w:hAnsi="Garamond" w:cstheme="minorHAnsi"/>
          <w:sz w:val="24"/>
          <w:szCs w:val="24"/>
          <w:lang w:val="en-GB"/>
        </w:rPr>
        <w:t xml:space="preserve"> e</w:t>
      </w:r>
      <w:r w:rsidR="00FB208A" w:rsidRPr="00461D74">
        <w:rPr>
          <w:rFonts w:ascii="Garamond" w:hAnsi="Garamond" w:cstheme="minorHAnsi"/>
          <w:sz w:val="24"/>
          <w:szCs w:val="24"/>
          <w:lang w:val="en-GB"/>
        </w:rPr>
        <w:t>ngage with liberalism</w:t>
      </w:r>
      <w:r w:rsidR="003C6B67" w:rsidRPr="00461D74">
        <w:rPr>
          <w:rFonts w:ascii="Garamond" w:hAnsi="Garamond" w:cstheme="minorHAnsi"/>
          <w:sz w:val="24"/>
          <w:szCs w:val="24"/>
          <w:lang w:val="en-GB"/>
        </w:rPr>
        <w:t xml:space="preserve"> </w:t>
      </w:r>
      <w:r w:rsidR="0012266F" w:rsidRPr="00461D74">
        <w:rPr>
          <w:rFonts w:ascii="Garamond" w:hAnsi="Garamond" w:cstheme="minorHAnsi"/>
          <w:sz w:val="24"/>
          <w:szCs w:val="24"/>
          <w:lang w:val="en-GB"/>
        </w:rPr>
        <w:t>–</w:t>
      </w:r>
      <w:r w:rsidR="003C6B67" w:rsidRPr="00461D74">
        <w:rPr>
          <w:rFonts w:ascii="Garamond" w:hAnsi="Garamond" w:cstheme="minorHAnsi"/>
          <w:sz w:val="24"/>
          <w:szCs w:val="24"/>
          <w:lang w:val="en-GB"/>
        </w:rPr>
        <w:t xml:space="preserve"> </w:t>
      </w:r>
      <w:r w:rsidR="0012266F" w:rsidRPr="00461D74">
        <w:rPr>
          <w:rFonts w:ascii="Garamond" w:hAnsi="Garamond" w:cstheme="minorHAnsi"/>
          <w:sz w:val="24"/>
          <w:szCs w:val="24"/>
          <w:lang w:val="en-GB"/>
        </w:rPr>
        <w:t xml:space="preserve">the dominant tradition in </w:t>
      </w:r>
      <w:r w:rsidR="00FB208A" w:rsidRPr="00461D74">
        <w:rPr>
          <w:rFonts w:ascii="Garamond" w:hAnsi="Garamond" w:cstheme="minorHAnsi"/>
          <w:sz w:val="24"/>
          <w:szCs w:val="24"/>
          <w:lang w:val="en-GB"/>
        </w:rPr>
        <w:t xml:space="preserve">western </w:t>
      </w:r>
      <w:r w:rsidR="0012266F" w:rsidRPr="00461D74">
        <w:rPr>
          <w:rFonts w:ascii="Garamond" w:hAnsi="Garamond" w:cstheme="minorHAnsi"/>
          <w:sz w:val="24"/>
          <w:szCs w:val="24"/>
          <w:lang w:val="en-GB"/>
        </w:rPr>
        <w:t>liberal societies.</w:t>
      </w:r>
    </w:p>
    <w:p w:rsidR="00C96663" w:rsidRPr="00461D74" w:rsidRDefault="00B744BC"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However</w:t>
      </w:r>
      <w:r w:rsidR="0012266F" w:rsidRPr="00461D74">
        <w:rPr>
          <w:rFonts w:ascii="Garamond" w:hAnsi="Garamond" w:cstheme="minorHAnsi"/>
          <w:sz w:val="24"/>
          <w:szCs w:val="24"/>
          <w:lang w:val="en-GB"/>
        </w:rPr>
        <w:t xml:space="preserve">, </w:t>
      </w:r>
      <w:r w:rsidR="005F7B98" w:rsidRPr="00461D74">
        <w:rPr>
          <w:rFonts w:ascii="Garamond" w:hAnsi="Garamond" w:cstheme="minorHAnsi"/>
          <w:sz w:val="24"/>
          <w:szCs w:val="24"/>
          <w:lang w:val="en-GB"/>
        </w:rPr>
        <w:t>soci</w:t>
      </w:r>
      <w:r w:rsidR="0012266F" w:rsidRPr="00461D74">
        <w:rPr>
          <w:rFonts w:ascii="Garamond" w:hAnsi="Garamond" w:cstheme="minorHAnsi"/>
          <w:sz w:val="24"/>
          <w:szCs w:val="24"/>
          <w:lang w:val="en-GB"/>
        </w:rPr>
        <w:t xml:space="preserve">al, </w:t>
      </w:r>
      <w:r w:rsidR="005F7B98" w:rsidRPr="00461D74">
        <w:rPr>
          <w:rFonts w:ascii="Garamond" w:hAnsi="Garamond" w:cstheme="minorHAnsi"/>
          <w:sz w:val="24"/>
          <w:szCs w:val="24"/>
          <w:lang w:val="en-GB"/>
        </w:rPr>
        <w:t>political</w:t>
      </w:r>
      <w:r w:rsidR="0012266F" w:rsidRPr="00461D74">
        <w:rPr>
          <w:rFonts w:ascii="Garamond" w:hAnsi="Garamond" w:cstheme="minorHAnsi"/>
          <w:sz w:val="24"/>
          <w:szCs w:val="24"/>
          <w:lang w:val="en-GB"/>
        </w:rPr>
        <w:t>, and cultural</w:t>
      </w:r>
      <w:r w:rsidR="005F7B98" w:rsidRPr="00461D74">
        <w:rPr>
          <w:rFonts w:ascii="Garamond" w:hAnsi="Garamond" w:cstheme="minorHAnsi"/>
          <w:sz w:val="24"/>
          <w:szCs w:val="24"/>
          <w:lang w:val="en-GB"/>
        </w:rPr>
        <w:t xml:space="preserve"> </w:t>
      </w:r>
      <w:r w:rsidR="007507D4" w:rsidRPr="00461D74">
        <w:rPr>
          <w:rFonts w:ascii="Garamond" w:hAnsi="Garamond" w:cstheme="minorHAnsi"/>
          <w:sz w:val="24"/>
          <w:szCs w:val="24"/>
          <w:lang w:val="en-GB"/>
        </w:rPr>
        <w:t xml:space="preserve">winds have </w:t>
      </w:r>
      <w:r w:rsidR="0050103E" w:rsidRPr="00461D74">
        <w:rPr>
          <w:rFonts w:ascii="Garamond" w:hAnsi="Garamond" w:cstheme="minorHAnsi"/>
          <w:sz w:val="24"/>
          <w:szCs w:val="24"/>
          <w:lang w:val="en-GB"/>
        </w:rPr>
        <w:t xml:space="preserve">more </w:t>
      </w:r>
      <w:r w:rsidRPr="00461D74">
        <w:rPr>
          <w:rFonts w:ascii="Garamond" w:hAnsi="Garamond" w:cstheme="minorHAnsi"/>
          <w:sz w:val="24"/>
          <w:szCs w:val="24"/>
          <w:lang w:val="en-GB"/>
        </w:rPr>
        <w:t xml:space="preserve">recently </w:t>
      </w:r>
      <w:r w:rsidR="007507D4" w:rsidRPr="00461D74">
        <w:rPr>
          <w:rFonts w:ascii="Garamond" w:hAnsi="Garamond" w:cstheme="minorHAnsi"/>
          <w:sz w:val="24"/>
          <w:szCs w:val="24"/>
          <w:lang w:val="en-GB"/>
        </w:rPr>
        <w:t xml:space="preserve">propelled to the forefront the </w:t>
      </w:r>
      <w:r w:rsidRPr="00461D74">
        <w:rPr>
          <w:rFonts w:ascii="Garamond" w:hAnsi="Garamond" w:cstheme="minorHAnsi"/>
          <w:sz w:val="24"/>
          <w:szCs w:val="24"/>
          <w:lang w:val="en-GB"/>
        </w:rPr>
        <w:t>now plainly</w:t>
      </w:r>
      <w:r w:rsidR="007507D4" w:rsidRPr="00461D74">
        <w:rPr>
          <w:rFonts w:ascii="Garamond" w:hAnsi="Garamond" w:cstheme="minorHAnsi"/>
          <w:sz w:val="24"/>
          <w:szCs w:val="24"/>
          <w:lang w:val="en-GB"/>
        </w:rPr>
        <w:t xml:space="preserve"> obvious degree of dissonance</w:t>
      </w:r>
      <w:r w:rsidR="00797980">
        <w:rPr>
          <w:rFonts w:ascii="Garamond" w:hAnsi="Garamond" w:cstheme="minorHAnsi"/>
          <w:sz w:val="24"/>
          <w:szCs w:val="24"/>
          <w:lang w:val="en-GB"/>
        </w:rPr>
        <w:t>,</w:t>
      </w:r>
      <w:r w:rsidR="007507D4" w:rsidRPr="00461D74">
        <w:rPr>
          <w:rFonts w:ascii="Garamond" w:hAnsi="Garamond" w:cstheme="minorHAnsi"/>
          <w:sz w:val="24"/>
          <w:szCs w:val="24"/>
          <w:lang w:val="en-GB"/>
        </w:rPr>
        <w:t xml:space="preserve"> and fragmentation </w:t>
      </w:r>
      <w:r w:rsidR="0050103E" w:rsidRPr="00461D74">
        <w:rPr>
          <w:rFonts w:ascii="Garamond" w:hAnsi="Garamond" w:cstheme="minorHAnsi"/>
          <w:sz w:val="24"/>
          <w:szCs w:val="24"/>
          <w:lang w:val="en-GB"/>
        </w:rPr>
        <w:t>in</w:t>
      </w:r>
      <w:r w:rsidR="007507D4" w:rsidRPr="00461D74">
        <w:rPr>
          <w:rFonts w:ascii="Garamond" w:hAnsi="Garamond" w:cstheme="minorHAnsi"/>
          <w:sz w:val="24"/>
          <w:szCs w:val="24"/>
          <w:lang w:val="en-GB"/>
        </w:rPr>
        <w:t xml:space="preserve"> everyday social discourse</w:t>
      </w:r>
      <w:r w:rsidR="002B07D5">
        <w:rPr>
          <w:rFonts w:ascii="Garamond" w:hAnsi="Garamond" w:cstheme="minorHAnsi"/>
          <w:sz w:val="24"/>
          <w:szCs w:val="24"/>
          <w:lang w:val="en-GB"/>
        </w:rPr>
        <w:t>; and this</w:t>
      </w:r>
      <w:r w:rsidR="007507D4" w:rsidRPr="00461D74">
        <w:rPr>
          <w:rFonts w:ascii="Garamond" w:hAnsi="Garamond" w:cstheme="minorHAnsi"/>
          <w:sz w:val="24"/>
          <w:szCs w:val="24"/>
          <w:lang w:val="en-GB"/>
        </w:rPr>
        <w:t xml:space="preserve"> </w:t>
      </w:r>
      <w:r w:rsidR="005F7B98" w:rsidRPr="00461D74">
        <w:rPr>
          <w:rFonts w:ascii="Garamond" w:hAnsi="Garamond" w:cstheme="minorHAnsi"/>
          <w:sz w:val="24"/>
          <w:szCs w:val="24"/>
          <w:lang w:val="en-GB"/>
        </w:rPr>
        <w:t xml:space="preserve">has raised the </w:t>
      </w:r>
      <w:r w:rsidR="0050103E" w:rsidRPr="00461D74">
        <w:rPr>
          <w:rFonts w:ascii="Garamond" w:hAnsi="Garamond" w:cstheme="minorHAnsi"/>
          <w:sz w:val="24"/>
          <w:szCs w:val="24"/>
          <w:lang w:val="en-GB"/>
        </w:rPr>
        <w:t>awareness</w:t>
      </w:r>
      <w:r w:rsidR="005F7B98" w:rsidRPr="00461D74">
        <w:rPr>
          <w:rFonts w:ascii="Garamond" w:hAnsi="Garamond" w:cstheme="minorHAnsi"/>
          <w:sz w:val="24"/>
          <w:szCs w:val="24"/>
          <w:lang w:val="en-GB"/>
        </w:rPr>
        <w:t xml:space="preserve"> of ordinary people</w:t>
      </w:r>
      <w:r w:rsidR="00BC63FA" w:rsidRPr="00461D74">
        <w:rPr>
          <w:rFonts w:ascii="Garamond" w:hAnsi="Garamond" w:cstheme="minorHAnsi"/>
          <w:sz w:val="24"/>
          <w:szCs w:val="24"/>
          <w:lang w:val="en-GB"/>
        </w:rPr>
        <w:t xml:space="preserve"> </w:t>
      </w:r>
      <w:r w:rsidR="002B07D5">
        <w:rPr>
          <w:rFonts w:ascii="Garamond" w:hAnsi="Garamond" w:cstheme="minorHAnsi"/>
          <w:sz w:val="24"/>
          <w:szCs w:val="24"/>
          <w:lang w:val="en-GB"/>
        </w:rPr>
        <w:t>concerning</w:t>
      </w:r>
      <w:r w:rsidR="00BC63FA" w:rsidRPr="00461D74">
        <w:rPr>
          <w:rFonts w:ascii="Garamond" w:hAnsi="Garamond" w:cstheme="minorHAnsi"/>
          <w:sz w:val="24"/>
          <w:szCs w:val="24"/>
          <w:lang w:val="en-GB"/>
        </w:rPr>
        <w:t xml:space="preserve"> </w:t>
      </w:r>
      <w:r w:rsidR="005F7B98" w:rsidRPr="00461D74">
        <w:rPr>
          <w:rFonts w:ascii="Garamond" w:hAnsi="Garamond" w:cstheme="minorHAnsi"/>
          <w:sz w:val="24"/>
          <w:szCs w:val="24"/>
          <w:lang w:val="en-GB"/>
        </w:rPr>
        <w:t xml:space="preserve">the </w:t>
      </w:r>
      <w:r w:rsidR="0050103E" w:rsidRPr="00461D74">
        <w:rPr>
          <w:rFonts w:ascii="Garamond" w:hAnsi="Garamond" w:cstheme="minorHAnsi"/>
          <w:sz w:val="24"/>
          <w:szCs w:val="24"/>
          <w:lang w:val="en-GB"/>
        </w:rPr>
        <w:t xml:space="preserve">deeply </w:t>
      </w:r>
      <w:r w:rsidRPr="00461D74">
        <w:rPr>
          <w:rFonts w:ascii="Garamond" w:hAnsi="Garamond" w:cstheme="minorHAnsi"/>
          <w:sz w:val="24"/>
          <w:szCs w:val="24"/>
          <w:lang w:val="en-GB"/>
        </w:rPr>
        <w:t>problematic</w:t>
      </w:r>
      <w:r w:rsidR="005F7B98" w:rsidRPr="00461D74">
        <w:rPr>
          <w:rFonts w:ascii="Garamond" w:hAnsi="Garamond" w:cstheme="minorHAnsi"/>
          <w:sz w:val="24"/>
          <w:szCs w:val="24"/>
          <w:lang w:val="en-GB"/>
        </w:rPr>
        <w:t xml:space="preserve"> nature of </w:t>
      </w:r>
      <w:r w:rsidR="0050103E" w:rsidRPr="00461D74">
        <w:rPr>
          <w:rFonts w:ascii="Garamond" w:hAnsi="Garamond" w:cstheme="minorHAnsi"/>
          <w:sz w:val="24"/>
          <w:szCs w:val="24"/>
          <w:lang w:val="en-GB"/>
        </w:rPr>
        <w:t>the current</w:t>
      </w:r>
      <w:r w:rsidR="00D314B0" w:rsidRPr="00461D74">
        <w:rPr>
          <w:rFonts w:ascii="Garamond" w:hAnsi="Garamond" w:cstheme="minorHAnsi"/>
          <w:sz w:val="24"/>
          <w:szCs w:val="24"/>
          <w:lang w:val="en-GB"/>
        </w:rPr>
        <w:t xml:space="preserve"> socio-political</w:t>
      </w:r>
      <w:r w:rsidRPr="00461D74">
        <w:rPr>
          <w:rFonts w:ascii="Garamond" w:hAnsi="Garamond" w:cstheme="minorHAnsi"/>
          <w:sz w:val="24"/>
          <w:szCs w:val="24"/>
          <w:lang w:val="en-GB"/>
        </w:rPr>
        <w:t xml:space="preserve"> </w:t>
      </w:r>
      <w:r w:rsidR="0050103E" w:rsidRPr="00461D74">
        <w:rPr>
          <w:rFonts w:ascii="Garamond" w:hAnsi="Garamond" w:cstheme="minorHAnsi"/>
          <w:sz w:val="24"/>
          <w:szCs w:val="24"/>
          <w:lang w:val="en-GB"/>
        </w:rPr>
        <w:t>situation</w:t>
      </w:r>
      <w:r w:rsidR="00D314B0" w:rsidRPr="00461D74">
        <w:rPr>
          <w:rFonts w:ascii="Garamond" w:hAnsi="Garamond" w:cstheme="minorHAnsi"/>
          <w:sz w:val="24"/>
          <w:szCs w:val="24"/>
          <w:lang w:val="en-GB"/>
        </w:rPr>
        <w:t xml:space="preserve"> in many western </w:t>
      </w:r>
      <w:r w:rsidR="0050103E" w:rsidRPr="00461D74">
        <w:rPr>
          <w:rFonts w:ascii="Garamond" w:hAnsi="Garamond" w:cstheme="minorHAnsi"/>
          <w:sz w:val="24"/>
          <w:szCs w:val="24"/>
          <w:lang w:val="en-GB"/>
        </w:rPr>
        <w:t xml:space="preserve">liberal </w:t>
      </w:r>
      <w:r w:rsidR="00D314B0" w:rsidRPr="00461D74">
        <w:rPr>
          <w:rFonts w:ascii="Garamond" w:hAnsi="Garamond" w:cstheme="minorHAnsi"/>
          <w:sz w:val="24"/>
          <w:szCs w:val="24"/>
          <w:lang w:val="en-GB"/>
        </w:rPr>
        <w:t>societies</w:t>
      </w:r>
      <w:r w:rsidR="005F7B98" w:rsidRPr="00461D74">
        <w:rPr>
          <w:rFonts w:ascii="Garamond" w:hAnsi="Garamond" w:cstheme="minorHAnsi"/>
          <w:sz w:val="24"/>
          <w:szCs w:val="24"/>
          <w:lang w:val="en-GB"/>
        </w:rPr>
        <w:t xml:space="preserve">. </w:t>
      </w:r>
      <w:r w:rsidRPr="00461D74">
        <w:rPr>
          <w:rFonts w:ascii="Garamond" w:hAnsi="Garamond" w:cstheme="minorHAnsi"/>
          <w:sz w:val="24"/>
          <w:szCs w:val="24"/>
          <w:lang w:val="en-GB"/>
        </w:rPr>
        <w:t>And w</w:t>
      </w:r>
      <w:r w:rsidR="0012266F" w:rsidRPr="00461D74">
        <w:rPr>
          <w:rFonts w:ascii="Garamond" w:hAnsi="Garamond" w:cstheme="minorHAnsi"/>
          <w:sz w:val="24"/>
          <w:szCs w:val="24"/>
          <w:lang w:val="en-GB"/>
        </w:rPr>
        <w:t>hile</w:t>
      </w:r>
      <w:r w:rsidR="006151D3" w:rsidRPr="00461D74">
        <w:rPr>
          <w:rFonts w:ascii="Garamond" w:hAnsi="Garamond" w:cstheme="minorHAnsi"/>
          <w:sz w:val="24"/>
          <w:szCs w:val="24"/>
          <w:lang w:val="en-GB"/>
        </w:rPr>
        <w:t xml:space="preserve"> </w:t>
      </w:r>
      <w:r w:rsidR="00D314B0" w:rsidRPr="00461D74">
        <w:rPr>
          <w:rFonts w:ascii="Garamond" w:hAnsi="Garamond" w:cstheme="minorHAnsi"/>
          <w:sz w:val="24"/>
          <w:szCs w:val="24"/>
          <w:lang w:val="en-GB"/>
        </w:rPr>
        <w:t>MacIntyre’s</w:t>
      </w:r>
      <w:r w:rsidRPr="00461D74">
        <w:rPr>
          <w:rFonts w:ascii="Garamond" w:hAnsi="Garamond" w:cstheme="minorHAnsi"/>
          <w:sz w:val="24"/>
          <w:szCs w:val="24"/>
          <w:lang w:val="en-GB"/>
        </w:rPr>
        <w:t xml:space="preserve"> conclusions </w:t>
      </w:r>
      <w:r w:rsidR="00D314B0" w:rsidRPr="00461D74">
        <w:rPr>
          <w:rFonts w:ascii="Garamond" w:hAnsi="Garamond" w:cstheme="minorHAnsi"/>
          <w:sz w:val="24"/>
          <w:szCs w:val="24"/>
          <w:lang w:val="en-GB"/>
        </w:rPr>
        <w:t>with</w:t>
      </w:r>
      <w:r w:rsidRPr="00461D74">
        <w:rPr>
          <w:rFonts w:ascii="Garamond" w:hAnsi="Garamond" w:cstheme="minorHAnsi"/>
          <w:sz w:val="24"/>
          <w:szCs w:val="24"/>
          <w:lang w:val="en-GB"/>
        </w:rPr>
        <w:t xml:space="preserve"> </w:t>
      </w:r>
      <w:r w:rsidR="00D314B0" w:rsidRPr="00461D74">
        <w:rPr>
          <w:rFonts w:ascii="Garamond" w:hAnsi="Garamond" w:cstheme="minorHAnsi"/>
          <w:sz w:val="24"/>
          <w:szCs w:val="24"/>
          <w:lang w:val="en-GB"/>
        </w:rPr>
        <w:t>regards</w:t>
      </w:r>
      <w:r w:rsidRPr="00461D74">
        <w:rPr>
          <w:rFonts w:ascii="Garamond" w:hAnsi="Garamond" w:cstheme="minorHAnsi"/>
          <w:sz w:val="24"/>
          <w:szCs w:val="24"/>
          <w:lang w:val="en-GB"/>
        </w:rPr>
        <w:t xml:space="preserve"> to our </w:t>
      </w:r>
      <w:r w:rsidR="00D314B0" w:rsidRPr="00461D74">
        <w:rPr>
          <w:rFonts w:ascii="Garamond" w:hAnsi="Garamond" w:cstheme="minorHAnsi"/>
          <w:sz w:val="24"/>
          <w:szCs w:val="24"/>
          <w:lang w:val="en-GB"/>
        </w:rPr>
        <w:t>present situation might</w:t>
      </w:r>
      <w:r w:rsidR="0050103E" w:rsidRPr="00461D74">
        <w:rPr>
          <w:rFonts w:ascii="Garamond" w:hAnsi="Garamond" w:cstheme="minorHAnsi"/>
          <w:sz w:val="24"/>
          <w:szCs w:val="24"/>
          <w:lang w:val="en-GB"/>
        </w:rPr>
        <w:t xml:space="preserve"> still</w:t>
      </w:r>
      <w:r w:rsidR="00D314B0" w:rsidRPr="00461D74">
        <w:rPr>
          <w:rFonts w:ascii="Garamond" w:hAnsi="Garamond" w:cstheme="minorHAnsi"/>
          <w:sz w:val="24"/>
          <w:szCs w:val="24"/>
          <w:lang w:val="en-GB"/>
        </w:rPr>
        <w:t xml:space="preserve"> seem too </w:t>
      </w:r>
      <w:r w:rsidR="002B07D5">
        <w:rPr>
          <w:rFonts w:ascii="Garamond" w:hAnsi="Garamond" w:cstheme="minorHAnsi"/>
          <w:sz w:val="24"/>
          <w:szCs w:val="24"/>
          <w:lang w:val="en-GB"/>
        </w:rPr>
        <w:t>negative</w:t>
      </w:r>
      <w:r w:rsidR="0050103E" w:rsidRPr="00461D74">
        <w:rPr>
          <w:rFonts w:ascii="Garamond" w:hAnsi="Garamond" w:cstheme="minorHAnsi"/>
          <w:sz w:val="24"/>
          <w:szCs w:val="24"/>
          <w:lang w:val="en-GB"/>
        </w:rPr>
        <w:t>,</w:t>
      </w:r>
      <w:r w:rsidR="00D314B0" w:rsidRPr="00461D74">
        <w:rPr>
          <w:rFonts w:ascii="Garamond" w:hAnsi="Garamond" w:cstheme="minorHAnsi"/>
          <w:sz w:val="24"/>
          <w:szCs w:val="24"/>
          <w:lang w:val="en-GB"/>
        </w:rPr>
        <w:t xml:space="preserve"> or even depressing, our present context dictates that a renewed </w:t>
      </w:r>
      <w:r w:rsidR="00B5297A" w:rsidRPr="00461D74">
        <w:rPr>
          <w:rFonts w:ascii="Garamond" w:hAnsi="Garamond" w:cstheme="minorHAnsi"/>
          <w:sz w:val="24"/>
          <w:szCs w:val="24"/>
          <w:lang w:val="en-GB"/>
        </w:rPr>
        <w:t>engagement with</w:t>
      </w:r>
      <w:r w:rsidR="00D314B0" w:rsidRPr="00461D74">
        <w:rPr>
          <w:rFonts w:ascii="Garamond" w:hAnsi="Garamond" w:cstheme="minorHAnsi"/>
          <w:sz w:val="24"/>
          <w:szCs w:val="24"/>
          <w:lang w:val="en-GB"/>
        </w:rPr>
        <w:t xml:space="preserve"> his work may be overdue</w:t>
      </w:r>
      <w:r w:rsidR="00B5297A" w:rsidRPr="00461D74">
        <w:rPr>
          <w:rFonts w:ascii="Garamond" w:hAnsi="Garamond" w:cstheme="minorHAnsi"/>
          <w:sz w:val="24"/>
          <w:szCs w:val="24"/>
          <w:lang w:val="en-GB"/>
        </w:rPr>
        <w:t xml:space="preserve"> and </w:t>
      </w:r>
      <w:r w:rsidR="002B07D5">
        <w:rPr>
          <w:rFonts w:ascii="Garamond" w:hAnsi="Garamond" w:cstheme="minorHAnsi"/>
          <w:sz w:val="24"/>
          <w:szCs w:val="24"/>
          <w:lang w:val="en-GB"/>
        </w:rPr>
        <w:t xml:space="preserve">should </w:t>
      </w:r>
      <w:r w:rsidR="00B5297A" w:rsidRPr="00461D74">
        <w:rPr>
          <w:rFonts w:ascii="Garamond" w:hAnsi="Garamond" w:cstheme="minorHAnsi"/>
          <w:sz w:val="24"/>
          <w:szCs w:val="24"/>
          <w:lang w:val="en-GB"/>
        </w:rPr>
        <w:t xml:space="preserve">no longer </w:t>
      </w:r>
      <w:r w:rsidR="00797980">
        <w:rPr>
          <w:rFonts w:ascii="Garamond" w:hAnsi="Garamond" w:cstheme="minorHAnsi"/>
          <w:sz w:val="24"/>
          <w:szCs w:val="24"/>
          <w:lang w:val="en-GB"/>
        </w:rPr>
        <w:t>amount to</w:t>
      </w:r>
      <w:r w:rsidR="00797980" w:rsidRPr="00461D74">
        <w:rPr>
          <w:rFonts w:ascii="Garamond" w:hAnsi="Garamond" w:cstheme="minorHAnsi"/>
          <w:sz w:val="24"/>
          <w:szCs w:val="24"/>
          <w:lang w:val="en-GB"/>
        </w:rPr>
        <w:t xml:space="preserve"> </w:t>
      </w:r>
      <w:r w:rsidR="00B5297A" w:rsidRPr="00461D74">
        <w:rPr>
          <w:rFonts w:ascii="Garamond" w:hAnsi="Garamond" w:cstheme="minorHAnsi"/>
          <w:sz w:val="24"/>
          <w:szCs w:val="24"/>
          <w:lang w:val="en-GB"/>
        </w:rPr>
        <w:t>a</w:t>
      </w:r>
      <w:r w:rsidR="00797980">
        <w:rPr>
          <w:rFonts w:ascii="Garamond" w:hAnsi="Garamond" w:cstheme="minorHAnsi"/>
          <w:sz w:val="24"/>
          <w:szCs w:val="24"/>
          <w:lang w:val="en-GB"/>
        </w:rPr>
        <w:t>n</w:t>
      </w:r>
      <w:r w:rsidR="00B5297A" w:rsidRPr="00461D74">
        <w:rPr>
          <w:rFonts w:ascii="Garamond" w:hAnsi="Garamond" w:cstheme="minorHAnsi"/>
          <w:sz w:val="24"/>
          <w:szCs w:val="24"/>
          <w:lang w:val="en-GB"/>
        </w:rPr>
        <w:t xml:space="preserve"> </w:t>
      </w:r>
      <w:r w:rsidR="00797980">
        <w:rPr>
          <w:rFonts w:ascii="Garamond" w:hAnsi="Garamond" w:cstheme="minorHAnsi"/>
          <w:sz w:val="24"/>
          <w:szCs w:val="24"/>
          <w:lang w:val="en-GB"/>
        </w:rPr>
        <w:t>exclusively</w:t>
      </w:r>
      <w:r w:rsidR="00797980" w:rsidRPr="00461D74">
        <w:rPr>
          <w:rFonts w:ascii="Garamond" w:hAnsi="Garamond" w:cstheme="minorHAnsi"/>
          <w:sz w:val="24"/>
          <w:szCs w:val="24"/>
          <w:lang w:val="en-GB"/>
        </w:rPr>
        <w:t xml:space="preserve"> </w:t>
      </w:r>
      <w:r w:rsidR="00B5297A" w:rsidRPr="00461D74">
        <w:rPr>
          <w:rFonts w:ascii="Garamond" w:hAnsi="Garamond" w:cstheme="minorHAnsi"/>
          <w:sz w:val="24"/>
          <w:szCs w:val="24"/>
          <w:lang w:val="en-GB"/>
        </w:rPr>
        <w:t>academic concern</w:t>
      </w:r>
      <w:r w:rsidR="00D314B0" w:rsidRPr="00461D74">
        <w:rPr>
          <w:rFonts w:ascii="Garamond" w:hAnsi="Garamond" w:cstheme="minorHAnsi"/>
          <w:sz w:val="24"/>
          <w:szCs w:val="24"/>
          <w:lang w:val="en-GB"/>
        </w:rPr>
        <w:t>.</w:t>
      </w:r>
      <w:r w:rsidR="00B5297A" w:rsidRPr="00461D74">
        <w:rPr>
          <w:rFonts w:ascii="Garamond" w:hAnsi="Garamond" w:cstheme="minorHAnsi"/>
          <w:sz w:val="24"/>
          <w:szCs w:val="24"/>
          <w:lang w:val="en-GB"/>
        </w:rPr>
        <w:t xml:space="preserve"> </w:t>
      </w:r>
      <w:r w:rsidR="00C96663" w:rsidRPr="00461D74">
        <w:rPr>
          <w:rFonts w:ascii="Garamond" w:hAnsi="Garamond" w:cstheme="minorHAnsi"/>
          <w:sz w:val="24"/>
          <w:szCs w:val="24"/>
          <w:lang w:val="en-GB"/>
        </w:rPr>
        <w:t xml:space="preserve">Nevertheless, the initial motivation that compelled me to </w:t>
      </w:r>
      <w:r w:rsidR="00B5297A" w:rsidRPr="00461D74">
        <w:rPr>
          <w:rFonts w:ascii="Garamond" w:hAnsi="Garamond" w:cstheme="minorHAnsi"/>
          <w:sz w:val="24"/>
          <w:szCs w:val="24"/>
          <w:lang w:val="en-GB"/>
        </w:rPr>
        <w:t>seriously</w:t>
      </w:r>
      <w:r w:rsidR="00C96663" w:rsidRPr="00461D74">
        <w:rPr>
          <w:rFonts w:ascii="Garamond" w:hAnsi="Garamond" w:cstheme="minorHAnsi"/>
          <w:sz w:val="24"/>
          <w:szCs w:val="24"/>
          <w:lang w:val="en-GB"/>
        </w:rPr>
        <w:t xml:space="preserve"> </w:t>
      </w:r>
      <w:r w:rsidR="00B5297A" w:rsidRPr="00461D74">
        <w:rPr>
          <w:rFonts w:ascii="Garamond" w:hAnsi="Garamond" w:cstheme="minorHAnsi"/>
          <w:sz w:val="24"/>
          <w:szCs w:val="24"/>
          <w:lang w:val="en-GB"/>
        </w:rPr>
        <w:t>consider</w:t>
      </w:r>
      <w:r w:rsidR="00C96663" w:rsidRPr="00461D74">
        <w:rPr>
          <w:rFonts w:ascii="Garamond" w:hAnsi="Garamond" w:cstheme="minorHAnsi"/>
          <w:sz w:val="24"/>
          <w:szCs w:val="24"/>
          <w:lang w:val="en-GB"/>
        </w:rPr>
        <w:t xml:space="preserve">, </w:t>
      </w:r>
      <w:r w:rsidR="00B5297A" w:rsidRPr="00461D74">
        <w:rPr>
          <w:rFonts w:ascii="Garamond" w:hAnsi="Garamond" w:cstheme="minorHAnsi"/>
          <w:sz w:val="24"/>
          <w:szCs w:val="24"/>
          <w:lang w:val="en-GB"/>
        </w:rPr>
        <w:t>and</w:t>
      </w:r>
      <w:r w:rsidR="00C96663" w:rsidRPr="00461D74">
        <w:rPr>
          <w:rFonts w:ascii="Garamond" w:hAnsi="Garamond" w:cstheme="minorHAnsi"/>
          <w:sz w:val="24"/>
          <w:szCs w:val="24"/>
          <w:lang w:val="en-GB"/>
        </w:rPr>
        <w:t xml:space="preserve"> reflect on, MacIntyre’s moral and political philosophy</w:t>
      </w:r>
      <w:r w:rsidR="00B5297A" w:rsidRPr="00461D74">
        <w:rPr>
          <w:rFonts w:ascii="Garamond" w:hAnsi="Garamond" w:cstheme="minorHAnsi"/>
          <w:sz w:val="24"/>
          <w:szCs w:val="24"/>
          <w:lang w:val="en-GB"/>
        </w:rPr>
        <w:t xml:space="preserve"> </w:t>
      </w:r>
      <w:r w:rsidR="00BC63FA" w:rsidRPr="00461D74">
        <w:rPr>
          <w:rFonts w:ascii="Garamond" w:hAnsi="Garamond" w:cstheme="minorHAnsi"/>
          <w:sz w:val="24"/>
          <w:szCs w:val="24"/>
          <w:lang w:val="en-GB"/>
        </w:rPr>
        <w:t xml:space="preserve">concerned </w:t>
      </w:r>
      <w:r w:rsidR="00C96663" w:rsidRPr="00461D74">
        <w:rPr>
          <w:rFonts w:ascii="Garamond" w:hAnsi="Garamond" w:cstheme="minorHAnsi"/>
          <w:sz w:val="24"/>
          <w:szCs w:val="24"/>
          <w:lang w:val="en-GB"/>
        </w:rPr>
        <w:t xml:space="preserve">two important </w:t>
      </w:r>
      <w:r w:rsidR="00B5297A" w:rsidRPr="00461D74">
        <w:rPr>
          <w:rFonts w:ascii="Garamond" w:hAnsi="Garamond" w:cstheme="minorHAnsi"/>
          <w:sz w:val="24"/>
          <w:szCs w:val="24"/>
          <w:lang w:val="en-GB"/>
        </w:rPr>
        <w:t>difficulties</w:t>
      </w:r>
      <w:r w:rsidR="00BC63FA" w:rsidRPr="00461D74">
        <w:rPr>
          <w:rFonts w:ascii="Garamond" w:hAnsi="Garamond" w:cstheme="minorHAnsi"/>
          <w:sz w:val="24"/>
          <w:szCs w:val="24"/>
          <w:lang w:val="en-GB"/>
        </w:rPr>
        <w:t xml:space="preserve"> </w:t>
      </w:r>
      <w:r w:rsidR="00BC63FA" w:rsidRPr="00461D74">
        <w:rPr>
          <w:rFonts w:ascii="Garamond" w:hAnsi="Garamond" w:cstheme="minorHAnsi"/>
          <w:sz w:val="24"/>
          <w:szCs w:val="24"/>
          <w:lang w:val="en-GB"/>
        </w:rPr>
        <w:lastRenderedPageBreak/>
        <w:t xml:space="preserve">that arise out of </w:t>
      </w:r>
      <w:r w:rsidR="00B5297A" w:rsidRPr="00461D74">
        <w:rPr>
          <w:rFonts w:ascii="Garamond" w:hAnsi="Garamond" w:cstheme="minorHAnsi"/>
          <w:sz w:val="24"/>
          <w:szCs w:val="24"/>
          <w:lang w:val="en-GB"/>
        </w:rPr>
        <w:t>different commitments that MacIntyre seems to uphold</w:t>
      </w:r>
      <w:r w:rsidR="00BC63FA" w:rsidRPr="00461D74">
        <w:rPr>
          <w:rFonts w:ascii="Garamond" w:hAnsi="Garamond" w:cstheme="minorHAnsi"/>
          <w:sz w:val="24"/>
          <w:szCs w:val="24"/>
          <w:lang w:val="en-GB"/>
        </w:rPr>
        <w:t>, and which have formed the focus for this thesis</w:t>
      </w:r>
      <w:r w:rsidR="00B5297A" w:rsidRPr="00461D74">
        <w:rPr>
          <w:rFonts w:ascii="Garamond" w:hAnsi="Garamond" w:cstheme="minorHAnsi"/>
          <w:sz w:val="24"/>
          <w:szCs w:val="24"/>
          <w:lang w:val="en-GB"/>
        </w:rPr>
        <w:t>.</w:t>
      </w:r>
    </w:p>
    <w:p w:rsidR="00E0705E" w:rsidRPr="00461D74" w:rsidRDefault="002C495C"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First, I argued</w:t>
      </w:r>
      <w:r w:rsidR="00E0705E" w:rsidRPr="00461D74">
        <w:rPr>
          <w:rFonts w:ascii="Garamond" w:hAnsi="Garamond" w:cstheme="minorHAnsi"/>
          <w:sz w:val="24"/>
          <w:szCs w:val="24"/>
          <w:lang w:val="en-GB"/>
        </w:rPr>
        <w:t xml:space="preserve"> that MacIntyre’s </w:t>
      </w:r>
      <w:r w:rsidR="00BB4D01" w:rsidRPr="00461D74">
        <w:rPr>
          <w:rFonts w:ascii="Garamond" w:hAnsi="Garamond" w:cstheme="minorHAnsi"/>
          <w:sz w:val="24"/>
          <w:szCs w:val="24"/>
          <w:lang w:val="en-GB"/>
        </w:rPr>
        <w:t xml:space="preserve">later </w:t>
      </w:r>
      <w:r w:rsidR="00E0705E" w:rsidRPr="00461D74">
        <w:rPr>
          <w:rFonts w:ascii="Garamond" w:hAnsi="Garamond" w:cstheme="minorHAnsi"/>
          <w:sz w:val="24"/>
          <w:szCs w:val="24"/>
          <w:lang w:val="en-GB"/>
        </w:rPr>
        <w:t xml:space="preserve">endorsement of the Thomistic tradition as the best tradition thus far, </w:t>
      </w:r>
      <w:r w:rsidR="00926A3C" w:rsidRPr="00461D74">
        <w:rPr>
          <w:rFonts w:ascii="Garamond" w:hAnsi="Garamond" w:cstheme="minorHAnsi"/>
          <w:sz w:val="24"/>
          <w:szCs w:val="24"/>
          <w:lang w:val="en-GB"/>
        </w:rPr>
        <w:t>appears to be incompatible with the historical narrative of traditions</w:t>
      </w:r>
      <w:r w:rsidR="00BB4D01" w:rsidRPr="00461D74">
        <w:rPr>
          <w:rFonts w:ascii="Garamond" w:hAnsi="Garamond" w:cstheme="minorHAnsi"/>
          <w:sz w:val="24"/>
          <w:szCs w:val="24"/>
          <w:lang w:val="en-GB"/>
        </w:rPr>
        <w:t>,</w:t>
      </w:r>
      <w:r w:rsidR="00926A3C" w:rsidRPr="00461D74">
        <w:rPr>
          <w:rFonts w:ascii="Garamond" w:hAnsi="Garamond" w:cstheme="minorHAnsi"/>
          <w:sz w:val="24"/>
          <w:szCs w:val="24"/>
          <w:lang w:val="en-GB"/>
        </w:rPr>
        <w:t xml:space="preserve"> in which liberalism</w:t>
      </w:r>
      <w:r w:rsidR="00BC63FA" w:rsidRPr="00461D74">
        <w:rPr>
          <w:rFonts w:ascii="Garamond" w:hAnsi="Garamond" w:cstheme="minorHAnsi"/>
          <w:sz w:val="24"/>
          <w:szCs w:val="24"/>
          <w:lang w:val="en-GB"/>
        </w:rPr>
        <w:t xml:space="preserve"> </w:t>
      </w:r>
      <w:r w:rsidR="00926A3C" w:rsidRPr="00461D74">
        <w:rPr>
          <w:rFonts w:ascii="Garamond" w:hAnsi="Garamond" w:cstheme="minorHAnsi"/>
          <w:sz w:val="24"/>
          <w:szCs w:val="24"/>
          <w:lang w:val="en-GB"/>
        </w:rPr>
        <w:t>–</w:t>
      </w:r>
      <w:r w:rsidR="00BC63FA" w:rsidRPr="00461D74">
        <w:rPr>
          <w:rFonts w:ascii="Garamond" w:hAnsi="Garamond" w:cstheme="minorHAnsi"/>
          <w:sz w:val="24"/>
          <w:szCs w:val="24"/>
          <w:lang w:val="en-GB"/>
        </w:rPr>
        <w:t xml:space="preserve"> </w:t>
      </w:r>
      <w:r w:rsidR="00926A3C" w:rsidRPr="00461D74">
        <w:rPr>
          <w:rFonts w:ascii="Garamond" w:hAnsi="Garamond" w:cstheme="minorHAnsi"/>
          <w:sz w:val="24"/>
          <w:szCs w:val="24"/>
          <w:lang w:val="en-GB"/>
        </w:rPr>
        <w:t>the dominant tradition in western societies</w:t>
      </w:r>
      <w:r w:rsidR="00BC63FA" w:rsidRPr="00461D74">
        <w:rPr>
          <w:rFonts w:ascii="Garamond" w:hAnsi="Garamond" w:cstheme="minorHAnsi"/>
          <w:sz w:val="24"/>
          <w:szCs w:val="24"/>
          <w:lang w:val="en-GB"/>
        </w:rPr>
        <w:t xml:space="preserve"> </w:t>
      </w:r>
      <w:r w:rsidR="00BB4D01" w:rsidRPr="00461D74">
        <w:rPr>
          <w:rFonts w:ascii="Garamond" w:hAnsi="Garamond" w:cstheme="minorHAnsi"/>
          <w:sz w:val="24"/>
          <w:szCs w:val="24"/>
          <w:lang w:val="en-GB"/>
        </w:rPr>
        <w:t>–</w:t>
      </w:r>
      <w:r w:rsidR="00BC63FA" w:rsidRPr="00461D74">
        <w:rPr>
          <w:rFonts w:ascii="Garamond" w:hAnsi="Garamond" w:cstheme="minorHAnsi"/>
          <w:sz w:val="24"/>
          <w:szCs w:val="24"/>
          <w:lang w:val="en-GB"/>
        </w:rPr>
        <w:t xml:space="preserve"> </w:t>
      </w:r>
      <w:r w:rsidR="00BB4D01" w:rsidRPr="00461D74">
        <w:rPr>
          <w:rFonts w:ascii="Garamond" w:hAnsi="Garamond" w:cstheme="minorHAnsi"/>
          <w:sz w:val="24"/>
          <w:szCs w:val="24"/>
          <w:lang w:val="en-GB"/>
        </w:rPr>
        <w:t>has seemingly marginalised and surpassed Aristotelian-Thomism.</w:t>
      </w:r>
      <w:r w:rsidR="00ED2C25" w:rsidRPr="00461D74">
        <w:rPr>
          <w:rFonts w:ascii="Garamond" w:hAnsi="Garamond" w:cstheme="minorHAnsi"/>
          <w:sz w:val="24"/>
          <w:szCs w:val="24"/>
          <w:lang w:val="en-GB"/>
        </w:rPr>
        <w:t xml:space="preserve"> </w:t>
      </w:r>
      <w:r w:rsidR="00BC63FA" w:rsidRPr="00461D74">
        <w:rPr>
          <w:rFonts w:ascii="Garamond" w:hAnsi="Garamond" w:cstheme="minorHAnsi"/>
          <w:sz w:val="24"/>
          <w:szCs w:val="24"/>
          <w:lang w:val="en-GB"/>
        </w:rPr>
        <w:t xml:space="preserve">Given </w:t>
      </w:r>
      <w:r w:rsidR="00BB4D01" w:rsidRPr="00461D74">
        <w:rPr>
          <w:rFonts w:ascii="Garamond" w:hAnsi="Garamond" w:cstheme="minorHAnsi"/>
          <w:sz w:val="24"/>
          <w:szCs w:val="24"/>
          <w:lang w:val="en-GB"/>
        </w:rPr>
        <w:t xml:space="preserve">this apparent conflict, </w:t>
      </w:r>
      <w:r w:rsidR="00ED2C25" w:rsidRPr="00461D74">
        <w:rPr>
          <w:rFonts w:ascii="Garamond" w:hAnsi="Garamond" w:cstheme="minorHAnsi"/>
          <w:sz w:val="24"/>
          <w:szCs w:val="24"/>
          <w:lang w:val="en-GB"/>
        </w:rPr>
        <w:t xml:space="preserve">I argued that </w:t>
      </w:r>
      <w:r w:rsidR="00BB4D01" w:rsidRPr="00461D74">
        <w:rPr>
          <w:rFonts w:ascii="Garamond" w:hAnsi="Garamond" w:cstheme="minorHAnsi"/>
          <w:sz w:val="24"/>
          <w:szCs w:val="24"/>
          <w:lang w:val="en-GB"/>
        </w:rPr>
        <w:t>unless MacIntyre can decisively demonstrate, not only that Aristotelian-Thomism was displaced</w:t>
      </w:r>
      <w:r w:rsidR="00BC63FA" w:rsidRPr="00461D74">
        <w:rPr>
          <w:rFonts w:ascii="Garamond" w:hAnsi="Garamond" w:cstheme="minorHAnsi"/>
          <w:sz w:val="24"/>
          <w:szCs w:val="24"/>
          <w:lang w:val="en-GB"/>
        </w:rPr>
        <w:t xml:space="preserve"> for the wrong reasons, </w:t>
      </w:r>
      <w:r w:rsidR="00BB4D01" w:rsidRPr="00461D74">
        <w:rPr>
          <w:rFonts w:ascii="Garamond" w:hAnsi="Garamond" w:cstheme="minorHAnsi"/>
          <w:sz w:val="24"/>
          <w:szCs w:val="24"/>
          <w:lang w:val="en-GB"/>
        </w:rPr>
        <w:t xml:space="preserve">but also show how we can </w:t>
      </w:r>
      <w:r w:rsidR="00ED2C25" w:rsidRPr="00461D74">
        <w:rPr>
          <w:rFonts w:ascii="Garamond" w:hAnsi="Garamond" w:cstheme="minorHAnsi"/>
          <w:sz w:val="24"/>
          <w:szCs w:val="24"/>
          <w:lang w:val="en-GB"/>
        </w:rPr>
        <w:t xml:space="preserve">critically, yet constructively, </w:t>
      </w:r>
      <w:r w:rsidR="00BB4D01" w:rsidRPr="00461D74">
        <w:rPr>
          <w:rFonts w:ascii="Garamond" w:hAnsi="Garamond" w:cstheme="minorHAnsi"/>
          <w:sz w:val="24"/>
          <w:szCs w:val="24"/>
          <w:lang w:val="en-GB"/>
        </w:rPr>
        <w:t xml:space="preserve">synthesize the insights of </w:t>
      </w:r>
      <w:r w:rsidR="00ED2C25" w:rsidRPr="00461D74">
        <w:rPr>
          <w:rFonts w:ascii="Garamond" w:hAnsi="Garamond" w:cstheme="minorHAnsi"/>
          <w:sz w:val="24"/>
          <w:szCs w:val="24"/>
          <w:lang w:val="en-GB"/>
        </w:rPr>
        <w:t>this tradition</w:t>
      </w:r>
      <w:r w:rsidR="00BB4D01" w:rsidRPr="00461D74">
        <w:rPr>
          <w:rFonts w:ascii="Garamond" w:hAnsi="Garamond" w:cstheme="minorHAnsi"/>
          <w:sz w:val="24"/>
          <w:szCs w:val="24"/>
          <w:lang w:val="en-GB"/>
        </w:rPr>
        <w:t xml:space="preserve"> with the </w:t>
      </w:r>
      <w:r w:rsidR="00ED2C25" w:rsidRPr="00461D74">
        <w:rPr>
          <w:rFonts w:ascii="Garamond" w:hAnsi="Garamond" w:cstheme="minorHAnsi"/>
          <w:sz w:val="24"/>
          <w:szCs w:val="24"/>
          <w:lang w:val="en-GB"/>
        </w:rPr>
        <w:t>distinctive</w:t>
      </w:r>
      <w:r w:rsidR="00BB4D01" w:rsidRPr="00461D74">
        <w:rPr>
          <w:rFonts w:ascii="Garamond" w:hAnsi="Garamond" w:cstheme="minorHAnsi"/>
          <w:sz w:val="24"/>
          <w:szCs w:val="24"/>
          <w:lang w:val="en-GB"/>
        </w:rPr>
        <w:t xml:space="preserve"> historical realities peculiar to our </w:t>
      </w:r>
      <w:r w:rsidR="00BF0DEA">
        <w:rPr>
          <w:rFonts w:ascii="Garamond" w:hAnsi="Garamond" w:cstheme="minorHAnsi"/>
          <w:sz w:val="24"/>
          <w:szCs w:val="24"/>
          <w:lang w:val="en-GB"/>
        </w:rPr>
        <w:t>present-day</w:t>
      </w:r>
      <w:r w:rsidR="00BB4D01" w:rsidRPr="00461D74">
        <w:rPr>
          <w:rFonts w:ascii="Garamond" w:hAnsi="Garamond" w:cstheme="minorHAnsi"/>
          <w:sz w:val="24"/>
          <w:szCs w:val="24"/>
          <w:lang w:val="en-GB"/>
        </w:rPr>
        <w:t xml:space="preserve"> </w:t>
      </w:r>
      <w:r w:rsidR="00ED2C25" w:rsidRPr="00461D74">
        <w:rPr>
          <w:rFonts w:ascii="Garamond" w:hAnsi="Garamond" w:cstheme="minorHAnsi"/>
          <w:sz w:val="24"/>
          <w:szCs w:val="24"/>
          <w:lang w:val="en-GB"/>
        </w:rPr>
        <w:t xml:space="preserve">social context </w:t>
      </w:r>
      <w:r w:rsidR="00BB4D01" w:rsidRPr="00461D74">
        <w:rPr>
          <w:rFonts w:ascii="Garamond" w:hAnsi="Garamond" w:cstheme="minorHAnsi"/>
          <w:sz w:val="24"/>
          <w:szCs w:val="24"/>
          <w:lang w:val="en-GB"/>
        </w:rPr>
        <w:t xml:space="preserve">epitomised </w:t>
      </w:r>
      <w:r w:rsidR="00ED2C25" w:rsidRPr="00461D74">
        <w:rPr>
          <w:rFonts w:ascii="Garamond" w:hAnsi="Garamond" w:cstheme="minorHAnsi"/>
          <w:sz w:val="24"/>
          <w:szCs w:val="24"/>
          <w:lang w:val="en-GB"/>
        </w:rPr>
        <w:t>in the dominant tradition</w:t>
      </w:r>
      <w:r w:rsidR="00BC63FA" w:rsidRPr="00461D74">
        <w:rPr>
          <w:rFonts w:ascii="Garamond" w:hAnsi="Garamond" w:cstheme="minorHAnsi"/>
          <w:sz w:val="24"/>
          <w:szCs w:val="24"/>
          <w:lang w:val="en-GB"/>
        </w:rPr>
        <w:t xml:space="preserve"> </w:t>
      </w:r>
      <w:r w:rsidR="00ED2C25" w:rsidRPr="00461D74">
        <w:rPr>
          <w:rFonts w:ascii="Garamond" w:hAnsi="Garamond" w:cstheme="minorHAnsi"/>
          <w:sz w:val="24"/>
          <w:szCs w:val="24"/>
          <w:lang w:val="en-GB"/>
        </w:rPr>
        <w:t>–</w:t>
      </w:r>
      <w:r w:rsidR="00BC63FA" w:rsidRPr="00461D74">
        <w:rPr>
          <w:rFonts w:ascii="Garamond" w:hAnsi="Garamond" w:cstheme="minorHAnsi"/>
          <w:sz w:val="24"/>
          <w:szCs w:val="24"/>
          <w:lang w:val="en-GB"/>
        </w:rPr>
        <w:t xml:space="preserve"> </w:t>
      </w:r>
      <w:r w:rsidR="00ED2C25" w:rsidRPr="00461D74">
        <w:rPr>
          <w:rFonts w:ascii="Garamond" w:hAnsi="Garamond" w:cstheme="minorHAnsi"/>
          <w:sz w:val="24"/>
          <w:szCs w:val="24"/>
          <w:lang w:val="en-GB"/>
        </w:rPr>
        <w:t>plainly a tall task</w:t>
      </w:r>
      <w:r w:rsidR="00BC63FA" w:rsidRPr="00461D74">
        <w:rPr>
          <w:rFonts w:ascii="Garamond" w:hAnsi="Garamond" w:cstheme="minorHAnsi"/>
          <w:sz w:val="24"/>
          <w:szCs w:val="24"/>
          <w:lang w:val="en-GB"/>
        </w:rPr>
        <w:t xml:space="preserve"> </w:t>
      </w:r>
      <w:r w:rsidR="00ED2C25" w:rsidRPr="00461D74">
        <w:rPr>
          <w:rFonts w:ascii="Garamond" w:hAnsi="Garamond" w:cstheme="minorHAnsi"/>
          <w:sz w:val="24"/>
          <w:szCs w:val="24"/>
          <w:lang w:val="en-GB"/>
        </w:rPr>
        <w:t>–</w:t>
      </w:r>
      <w:r w:rsidR="00BC63FA" w:rsidRPr="00461D74">
        <w:rPr>
          <w:rFonts w:ascii="Garamond" w:hAnsi="Garamond" w:cstheme="minorHAnsi"/>
          <w:sz w:val="24"/>
          <w:szCs w:val="24"/>
          <w:lang w:val="en-GB"/>
        </w:rPr>
        <w:t xml:space="preserve"> </w:t>
      </w:r>
      <w:r w:rsidR="00ED2C25" w:rsidRPr="00461D74">
        <w:rPr>
          <w:rFonts w:ascii="Garamond" w:hAnsi="Garamond" w:cstheme="minorHAnsi"/>
          <w:sz w:val="24"/>
          <w:szCs w:val="24"/>
          <w:lang w:val="en-GB"/>
        </w:rPr>
        <w:t xml:space="preserve">it is difficult for him to continue to hold onto the different commitments </w:t>
      </w:r>
      <w:r w:rsidR="00BC63FA" w:rsidRPr="00461D74">
        <w:rPr>
          <w:rFonts w:ascii="Garamond" w:hAnsi="Garamond" w:cstheme="minorHAnsi"/>
          <w:sz w:val="24"/>
          <w:szCs w:val="24"/>
          <w:lang w:val="en-GB"/>
        </w:rPr>
        <w:t xml:space="preserve">found in </w:t>
      </w:r>
      <w:r w:rsidR="00ED2C25" w:rsidRPr="00461D74">
        <w:rPr>
          <w:rFonts w:ascii="Garamond" w:hAnsi="Garamond" w:cstheme="minorHAnsi"/>
          <w:sz w:val="24"/>
          <w:szCs w:val="24"/>
          <w:lang w:val="en-GB"/>
        </w:rPr>
        <w:t>his work.</w:t>
      </w:r>
    </w:p>
    <w:p w:rsidR="00E8706A" w:rsidRPr="00461D74" w:rsidRDefault="00E0705E" w:rsidP="00164E4D">
      <w:pPr>
        <w:spacing w:line="360" w:lineRule="auto"/>
        <w:ind w:firstLine="720"/>
        <w:jc w:val="both"/>
        <w:rPr>
          <w:rFonts w:ascii="Garamond" w:hAnsi="Garamond" w:cstheme="minorHAnsi"/>
          <w:sz w:val="24"/>
          <w:szCs w:val="24"/>
          <w:lang w:val="en-GB"/>
        </w:rPr>
      </w:pPr>
      <w:r w:rsidRPr="00461D74">
        <w:rPr>
          <w:rFonts w:ascii="Garamond" w:hAnsi="Garamond" w:cstheme="minorHAnsi"/>
          <w:sz w:val="24"/>
          <w:szCs w:val="24"/>
          <w:lang w:val="en-GB"/>
        </w:rPr>
        <w:t xml:space="preserve">Second, I argued that MacIntyre’s </w:t>
      </w:r>
      <w:r w:rsidR="002C495C" w:rsidRPr="00461D74">
        <w:rPr>
          <w:rFonts w:ascii="Garamond" w:hAnsi="Garamond" w:cstheme="minorHAnsi"/>
          <w:sz w:val="24"/>
          <w:szCs w:val="24"/>
          <w:lang w:val="en-GB"/>
        </w:rPr>
        <w:t xml:space="preserve">endorsement of Aristotelian-Thomism tradition when accompanied with a Thomistic conception of politics appears to come into conflict with the </w:t>
      </w:r>
      <w:r w:rsidR="00CD11B6" w:rsidRPr="00461D74">
        <w:rPr>
          <w:rFonts w:ascii="Garamond" w:hAnsi="Garamond" w:cstheme="minorHAnsi"/>
          <w:sz w:val="24"/>
          <w:szCs w:val="24"/>
          <w:lang w:val="en-GB"/>
        </w:rPr>
        <w:t xml:space="preserve">internal commitments implied by his historicism and </w:t>
      </w:r>
      <w:r w:rsidR="002C495C" w:rsidRPr="00461D74">
        <w:rPr>
          <w:rFonts w:ascii="Garamond" w:hAnsi="Garamond" w:cstheme="minorHAnsi"/>
          <w:sz w:val="24"/>
          <w:szCs w:val="24"/>
          <w:lang w:val="en-GB"/>
        </w:rPr>
        <w:t>contextualis</w:t>
      </w:r>
      <w:r w:rsidR="00CD11B6" w:rsidRPr="00461D74">
        <w:rPr>
          <w:rFonts w:ascii="Garamond" w:hAnsi="Garamond" w:cstheme="minorHAnsi"/>
          <w:sz w:val="24"/>
          <w:szCs w:val="24"/>
          <w:lang w:val="en-GB"/>
        </w:rPr>
        <w:t>m. Furthermore, MacIntyre’s s</w:t>
      </w:r>
      <w:r w:rsidR="002B07D5">
        <w:rPr>
          <w:rFonts w:ascii="Garamond" w:hAnsi="Garamond" w:cstheme="minorHAnsi"/>
          <w:sz w:val="24"/>
          <w:szCs w:val="24"/>
          <w:lang w:val="en-GB"/>
        </w:rPr>
        <w:t>ingular</w:t>
      </w:r>
      <w:r w:rsidR="00CD11B6" w:rsidRPr="00461D74">
        <w:rPr>
          <w:rFonts w:ascii="Garamond" w:hAnsi="Garamond" w:cstheme="minorHAnsi"/>
          <w:sz w:val="24"/>
          <w:szCs w:val="24"/>
          <w:lang w:val="en-GB"/>
        </w:rPr>
        <w:t xml:space="preserve"> insistence on defending </w:t>
      </w:r>
      <w:r w:rsidRPr="00461D74">
        <w:rPr>
          <w:rFonts w:ascii="Garamond" w:hAnsi="Garamond" w:cstheme="minorHAnsi"/>
          <w:sz w:val="24"/>
          <w:szCs w:val="24"/>
          <w:lang w:val="en-GB"/>
        </w:rPr>
        <w:t xml:space="preserve">a seemingly utopian small-scale communal version of Thomistic politics, alongside his forceful rejection of an ethics-cum-politics that constructively engages with </w:t>
      </w:r>
      <w:r w:rsidR="0035634B">
        <w:rPr>
          <w:rFonts w:ascii="Garamond" w:hAnsi="Garamond" w:cstheme="minorHAnsi"/>
          <w:sz w:val="24"/>
          <w:szCs w:val="24"/>
          <w:lang w:val="en-GB"/>
        </w:rPr>
        <w:t>contemporary</w:t>
      </w:r>
      <w:r w:rsidRPr="00461D74">
        <w:rPr>
          <w:rFonts w:ascii="Garamond" w:hAnsi="Garamond" w:cstheme="minorHAnsi"/>
          <w:sz w:val="24"/>
          <w:szCs w:val="24"/>
          <w:lang w:val="en-GB"/>
        </w:rPr>
        <w:t xml:space="preserve"> socio-political structures, </w:t>
      </w:r>
      <w:r w:rsidR="00CD11B6" w:rsidRPr="00461D74">
        <w:rPr>
          <w:rFonts w:ascii="Garamond" w:hAnsi="Garamond" w:cstheme="minorHAnsi"/>
          <w:sz w:val="24"/>
          <w:szCs w:val="24"/>
          <w:lang w:val="en-GB"/>
        </w:rPr>
        <w:t xml:space="preserve">not only </w:t>
      </w:r>
      <w:r w:rsidRPr="00461D74">
        <w:rPr>
          <w:rFonts w:ascii="Garamond" w:hAnsi="Garamond" w:cstheme="minorHAnsi"/>
          <w:sz w:val="24"/>
          <w:szCs w:val="24"/>
          <w:lang w:val="en-GB"/>
        </w:rPr>
        <w:t>flies in the face of the various historical and contextualist commitments that form some of the chief tenets in his philosophy</w:t>
      </w:r>
      <w:r w:rsidR="00CD11B6" w:rsidRPr="00461D74">
        <w:rPr>
          <w:rFonts w:ascii="Garamond" w:hAnsi="Garamond" w:cstheme="minorHAnsi"/>
          <w:sz w:val="24"/>
          <w:szCs w:val="24"/>
          <w:lang w:val="en-GB"/>
        </w:rPr>
        <w:t xml:space="preserve">, </w:t>
      </w:r>
      <w:r w:rsidR="00BC63FA" w:rsidRPr="00461D74">
        <w:rPr>
          <w:rFonts w:ascii="Garamond" w:hAnsi="Garamond" w:cstheme="minorHAnsi"/>
          <w:sz w:val="24"/>
          <w:szCs w:val="24"/>
          <w:lang w:val="en-GB"/>
        </w:rPr>
        <w:t xml:space="preserve">but </w:t>
      </w:r>
      <w:r w:rsidR="00CD11B6" w:rsidRPr="00461D74">
        <w:rPr>
          <w:rFonts w:ascii="Garamond" w:hAnsi="Garamond" w:cstheme="minorHAnsi"/>
          <w:sz w:val="24"/>
          <w:szCs w:val="24"/>
          <w:lang w:val="en-GB"/>
        </w:rPr>
        <w:t>his position seems to generate additional difficulties</w:t>
      </w:r>
      <w:r w:rsidR="00F56613" w:rsidRPr="00461D74">
        <w:rPr>
          <w:rFonts w:ascii="Garamond" w:hAnsi="Garamond" w:cstheme="minorHAnsi"/>
          <w:sz w:val="24"/>
          <w:szCs w:val="24"/>
          <w:lang w:val="en-GB"/>
        </w:rPr>
        <w:t>,</w:t>
      </w:r>
      <w:r w:rsidR="00CD11B6" w:rsidRPr="00461D74">
        <w:rPr>
          <w:rFonts w:ascii="Garamond" w:hAnsi="Garamond" w:cstheme="minorHAnsi"/>
          <w:sz w:val="24"/>
          <w:szCs w:val="24"/>
          <w:lang w:val="en-GB"/>
        </w:rPr>
        <w:t xml:space="preserve"> </w:t>
      </w:r>
      <w:r w:rsidR="00F56613" w:rsidRPr="00461D74">
        <w:rPr>
          <w:rFonts w:ascii="Garamond" w:hAnsi="Garamond" w:cstheme="minorHAnsi"/>
          <w:sz w:val="24"/>
          <w:szCs w:val="24"/>
          <w:lang w:val="en-GB"/>
        </w:rPr>
        <w:t>which</w:t>
      </w:r>
      <w:r w:rsidR="00CD11B6" w:rsidRPr="00461D74">
        <w:rPr>
          <w:rFonts w:ascii="Garamond" w:hAnsi="Garamond" w:cstheme="minorHAnsi"/>
          <w:sz w:val="24"/>
          <w:szCs w:val="24"/>
          <w:lang w:val="en-GB"/>
        </w:rPr>
        <w:t xml:space="preserve"> </w:t>
      </w:r>
      <w:r w:rsidR="00F56613" w:rsidRPr="00461D74">
        <w:rPr>
          <w:rFonts w:ascii="Garamond" w:hAnsi="Garamond" w:cstheme="minorHAnsi"/>
          <w:sz w:val="24"/>
          <w:szCs w:val="24"/>
          <w:lang w:val="en-GB"/>
        </w:rPr>
        <w:t xml:space="preserve">completely immobilize his </w:t>
      </w:r>
      <w:r w:rsidR="00CD11B6" w:rsidRPr="00461D74">
        <w:rPr>
          <w:rFonts w:ascii="Garamond" w:hAnsi="Garamond" w:cstheme="minorHAnsi"/>
          <w:sz w:val="24"/>
          <w:szCs w:val="24"/>
          <w:lang w:val="en-GB"/>
        </w:rPr>
        <w:t xml:space="preserve">defence of small-scale </w:t>
      </w:r>
      <w:r w:rsidR="00F56613" w:rsidRPr="00461D74">
        <w:rPr>
          <w:rFonts w:ascii="Garamond" w:hAnsi="Garamond" w:cstheme="minorHAnsi"/>
          <w:sz w:val="24"/>
          <w:szCs w:val="24"/>
          <w:lang w:val="en-GB"/>
        </w:rPr>
        <w:t xml:space="preserve">communal </w:t>
      </w:r>
      <w:r w:rsidR="00CD11B6" w:rsidRPr="00461D74">
        <w:rPr>
          <w:rFonts w:ascii="Garamond" w:hAnsi="Garamond" w:cstheme="minorHAnsi"/>
          <w:sz w:val="24"/>
          <w:szCs w:val="24"/>
          <w:lang w:val="en-GB"/>
        </w:rPr>
        <w:t>politics</w:t>
      </w:r>
      <w:r w:rsidRPr="00461D74">
        <w:rPr>
          <w:rFonts w:ascii="Garamond" w:hAnsi="Garamond" w:cstheme="minorHAnsi"/>
          <w:sz w:val="24"/>
          <w:szCs w:val="24"/>
          <w:lang w:val="en-GB"/>
        </w:rPr>
        <w:t>.</w:t>
      </w:r>
    </w:p>
    <w:p w:rsidR="00616611" w:rsidRPr="00461D74" w:rsidRDefault="008C1BF6" w:rsidP="00164E4D">
      <w:pPr>
        <w:spacing w:line="360" w:lineRule="auto"/>
        <w:ind w:firstLine="720"/>
        <w:jc w:val="both"/>
        <w:rPr>
          <w:rFonts w:ascii="Garamond" w:hAnsi="Garamond" w:cstheme="minorHAnsi"/>
          <w:sz w:val="24"/>
          <w:szCs w:val="24"/>
        </w:rPr>
      </w:pPr>
      <w:r w:rsidRPr="00461D74">
        <w:rPr>
          <w:rFonts w:ascii="Garamond" w:hAnsi="Garamond" w:cstheme="minorHAnsi"/>
          <w:sz w:val="24"/>
          <w:szCs w:val="24"/>
          <w:lang w:val="en-GB"/>
        </w:rPr>
        <w:t xml:space="preserve">In its place, I argued that there </w:t>
      </w:r>
      <w:r w:rsidR="00072FDE" w:rsidRPr="00461D74">
        <w:rPr>
          <w:rFonts w:ascii="Garamond" w:hAnsi="Garamond" w:cstheme="minorHAnsi"/>
          <w:sz w:val="24"/>
          <w:szCs w:val="24"/>
          <w:lang w:val="en-GB"/>
        </w:rPr>
        <w:t>may</w:t>
      </w:r>
      <w:r w:rsidRPr="00461D74">
        <w:rPr>
          <w:rFonts w:ascii="Garamond" w:hAnsi="Garamond" w:cstheme="minorHAnsi"/>
          <w:sz w:val="24"/>
          <w:szCs w:val="24"/>
          <w:lang w:val="en-GB"/>
        </w:rPr>
        <w:t xml:space="preserve"> be an </w:t>
      </w:r>
      <w:r w:rsidR="00072FDE" w:rsidRPr="00461D74">
        <w:rPr>
          <w:rFonts w:ascii="Garamond" w:hAnsi="Garamond" w:cstheme="minorHAnsi"/>
          <w:sz w:val="24"/>
          <w:szCs w:val="24"/>
          <w:lang w:val="en-GB"/>
        </w:rPr>
        <w:t xml:space="preserve">alternative </w:t>
      </w:r>
      <w:r w:rsidR="00BC69D9">
        <w:rPr>
          <w:rFonts w:ascii="Garamond" w:hAnsi="Garamond" w:cstheme="minorHAnsi"/>
          <w:sz w:val="24"/>
          <w:szCs w:val="24"/>
          <w:lang w:val="en-GB"/>
        </w:rPr>
        <w:t>p</w:t>
      </w:r>
      <w:r w:rsidR="00072FDE" w:rsidRPr="00461D74">
        <w:rPr>
          <w:rFonts w:ascii="Garamond" w:hAnsi="Garamond" w:cstheme="minorHAnsi"/>
          <w:sz w:val="24"/>
          <w:szCs w:val="24"/>
          <w:lang w:val="en-GB"/>
        </w:rPr>
        <w:t>ragmatist approach, one that</w:t>
      </w:r>
      <w:r w:rsidRPr="00461D74">
        <w:rPr>
          <w:rFonts w:ascii="Garamond" w:hAnsi="Garamond" w:cstheme="minorHAnsi"/>
          <w:sz w:val="24"/>
          <w:szCs w:val="24"/>
          <w:lang w:val="en-GB"/>
        </w:rPr>
        <w:t xml:space="preserve"> </w:t>
      </w:r>
      <w:r w:rsidR="00E8706A" w:rsidRPr="00461D74">
        <w:rPr>
          <w:rFonts w:ascii="Garamond" w:hAnsi="Garamond" w:cstheme="minorHAnsi"/>
          <w:sz w:val="24"/>
          <w:szCs w:val="24"/>
          <w:lang w:val="en-GB"/>
        </w:rPr>
        <w:t xml:space="preserve">is </w:t>
      </w:r>
      <w:r w:rsidR="00072FDE" w:rsidRPr="00461D74">
        <w:rPr>
          <w:rFonts w:ascii="Garamond" w:hAnsi="Garamond" w:cstheme="minorHAnsi"/>
          <w:sz w:val="24"/>
          <w:szCs w:val="24"/>
          <w:lang w:val="en-GB"/>
        </w:rPr>
        <w:t>well-suited to resolving</w:t>
      </w:r>
      <w:r w:rsidR="00E8706A" w:rsidRPr="00461D74">
        <w:rPr>
          <w:rFonts w:ascii="Garamond" w:hAnsi="Garamond" w:cstheme="minorHAnsi"/>
          <w:sz w:val="24"/>
          <w:szCs w:val="24"/>
          <w:lang w:val="en-GB"/>
        </w:rPr>
        <w:t xml:space="preserve"> the above difficulties.</w:t>
      </w:r>
      <w:r w:rsidRPr="00461D74">
        <w:rPr>
          <w:rFonts w:ascii="Garamond" w:hAnsi="Garamond" w:cstheme="minorHAnsi"/>
          <w:sz w:val="24"/>
          <w:szCs w:val="24"/>
          <w:lang w:val="en-GB"/>
        </w:rPr>
        <w:t xml:space="preserve"> </w:t>
      </w:r>
      <w:r w:rsidR="004267E5" w:rsidRPr="00461D74">
        <w:rPr>
          <w:rFonts w:ascii="Garamond" w:hAnsi="Garamond"/>
          <w:sz w:val="24"/>
          <w:szCs w:val="24"/>
        </w:rPr>
        <w:t xml:space="preserve">I </w:t>
      </w:r>
      <w:r w:rsidR="00E8706A" w:rsidRPr="00461D74">
        <w:rPr>
          <w:rFonts w:ascii="Garamond" w:hAnsi="Garamond"/>
          <w:sz w:val="24"/>
          <w:szCs w:val="24"/>
        </w:rPr>
        <w:t>then argued that</w:t>
      </w:r>
      <w:r w:rsidR="00072FDE" w:rsidRPr="00461D74">
        <w:rPr>
          <w:rFonts w:ascii="Garamond" w:hAnsi="Garamond"/>
          <w:sz w:val="24"/>
          <w:szCs w:val="24"/>
        </w:rPr>
        <w:t xml:space="preserve"> Dewey’s </w:t>
      </w:r>
      <w:r w:rsidR="00BE1A36">
        <w:rPr>
          <w:rFonts w:ascii="Garamond" w:hAnsi="Garamond"/>
          <w:sz w:val="24"/>
          <w:szCs w:val="24"/>
        </w:rPr>
        <w:t>p</w:t>
      </w:r>
      <w:r w:rsidR="00072FDE" w:rsidRPr="00461D74">
        <w:rPr>
          <w:rFonts w:ascii="Garamond" w:hAnsi="Garamond"/>
          <w:sz w:val="24"/>
          <w:szCs w:val="24"/>
        </w:rPr>
        <w:t>ragmatist account</w:t>
      </w:r>
      <w:r w:rsidR="00BC63FA" w:rsidRPr="00461D74">
        <w:rPr>
          <w:rFonts w:ascii="Garamond" w:hAnsi="Garamond"/>
          <w:sz w:val="24"/>
          <w:szCs w:val="24"/>
        </w:rPr>
        <w:t xml:space="preserve"> </w:t>
      </w:r>
      <w:r w:rsidR="00072FDE" w:rsidRPr="00461D74">
        <w:rPr>
          <w:rFonts w:ascii="Garamond" w:hAnsi="Garamond"/>
          <w:sz w:val="24"/>
          <w:szCs w:val="24"/>
        </w:rPr>
        <w:t>–</w:t>
      </w:r>
      <w:r w:rsidR="00BC63FA" w:rsidRPr="00461D74">
        <w:rPr>
          <w:rFonts w:ascii="Garamond" w:hAnsi="Garamond"/>
          <w:sz w:val="24"/>
          <w:szCs w:val="24"/>
        </w:rPr>
        <w:t xml:space="preserve"> </w:t>
      </w:r>
      <w:r w:rsidR="00072FDE" w:rsidRPr="00461D74">
        <w:rPr>
          <w:rFonts w:ascii="Garamond" w:hAnsi="Garamond"/>
          <w:sz w:val="24"/>
          <w:szCs w:val="24"/>
        </w:rPr>
        <w:t>namely, democracy as a way of life</w:t>
      </w:r>
      <w:r w:rsidR="00BC63FA" w:rsidRPr="00461D74">
        <w:rPr>
          <w:rFonts w:ascii="Garamond" w:hAnsi="Garamond"/>
          <w:sz w:val="24"/>
          <w:szCs w:val="24"/>
        </w:rPr>
        <w:t xml:space="preserve"> </w:t>
      </w:r>
      <w:r w:rsidR="00072FDE" w:rsidRPr="00461D74">
        <w:rPr>
          <w:rFonts w:ascii="Garamond" w:hAnsi="Garamond"/>
          <w:sz w:val="24"/>
          <w:szCs w:val="24"/>
        </w:rPr>
        <w:t>–</w:t>
      </w:r>
      <w:r w:rsidR="00BE1A36">
        <w:rPr>
          <w:rFonts w:ascii="Garamond" w:hAnsi="Garamond"/>
          <w:sz w:val="24"/>
          <w:szCs w:val="24"/>
        </w:rPr>
        <w:t xml:space="preserve"> </w:t>
      </w:r>
      <w:r w:rsidR="00072FDE" w:rsidRPr="00461D74">
        <w:rPr>
          <w:rFonts w:ascii="Garamond" w:hAnsi="Garamond"/>
          <w:sz w:val="24"/>
          <w:szCs w:val="24"/>
        </w:rPr>
        <w:t>offers a promising possibility for the resolution,</w:t>
      </w:r>
      <w:r w:rsidR="004267E5" w:rsidRPr="00461D74">
        <w:rPr>
          <w:rFonts w:ascii="Garamond" w:hAnsi="Garamond"/>
          <w:sz w:val="24"/>
          <w:szCs w:val="24"/>
        </w:rPr>
        <w:t xml:space="preserve"> or at least</w:t>
      </w:r>
      <w:r w:rsidR="00072FDE" w:rsidRPr="00461D74">
        <w:rPr>
          <w:rFonts w:ascii="Garamond" w:hAnsi="Garamond"/>
          <w:sz w:val="24"/>
          <w:szCs w:val="24"/>
        </w:rPr>
        <w:t xml:space="preserve">, </w:t>
      </w:r>
      <w:r w:rsidR="004267E5" w:rsidRPr="00461D74">
        <w:rPr>
          <w:rFonts w:ascii="Garamond" w:hAnsi="Garamond"/>
          <w:sz w:val="24"/>
          <w:szCs w:val="24"/>
        </w:rPr>
        <w:t>ameliorat</w:t>
      </w:r>
      <w:r w:rsidR="00072FDE" w:rsidRPr="00461D74">
        <w:rPr>
          <w:rFonts w:ascii="Garamond" w:hAnsi="Garamond"/>
          <w:sz w:val="24"/>
          <w:szCs w:val="24"/>
        </w:rPr>
        <w:t>ion of</w:t>
      </w:r>
      <w:r w:rsidR="004267E5" w:rsidRPr="00461D74">
        <w:rPr>
          <w:rFonts w:ascii="Garamond" w:hAnsi="Garamond"/>
          <w:sz w:val="24"/>
          <w:szCs w:val="24"/>
        </w:rPr>
        <w:t xml:space="preserve"> the</w:t>
      </w:r>
      <w:r w:rsidR="00E8706A" w:rsidRPr="00461D74">
        <w:rPr>
          <w:rFonts w:ascii="Garamond" w:hAnsi="Garamond"/>
          <w:sz w:val="24"/>
          <w:szCs w:val="24"/>
        </w:rPr>
        <w:t>se</w:t>
      </w:r>
      <w:r w:rsidR="004267E5" w:rsidRPr="00461D74">
        <w:rPr>
          <w:rFonts w:ascii="Garamond" w:hAnsi="Garamond"/>
          <w:sz w:val="24"/>
          <w:szCs w:val="24"/>
        </w:rPr>
        <w:t xml:space="preserve"> </w:t>
      </w:r>
      <w:r w:rsidR="004267E5" w:rsidRPr="00461D74">
        <w:rPr>
          <w:rFonts w:ascii="Garamond" w:hAnsi="Garamond"/>
          <w:sz w:val="24"/>
          <w:szCs w:val="24"/>
        </w:rPr>
        <w:lastRenderedPageBreak/>
        <w:t>difficulties</w:t>
      </w:r>
      <w:r w:rsidR="00072FDE" w:rsidRPr="00461D74">
        <w:rPr>
          <w:rFonts w:ascii="Garamond" w:hAnsi="Garamond"/>
          <w:sz w:val="24"/>
          <w:szCs w:val="24"/>
        </w:rPr>
        <w:t>,</w:t>
      </w:r>
      <w:r w:rsidR="004267E5" w:rsidRPr="00461D74">
        <w:rPr>
          <w:rFonts w:ascii="Garamond" w:hAnsi="Garamond"/>
          <w:sz w:val="24"/>
          <w:szCs w:val="24"/>
        </w:rPr>
        <w:t xml:space="preserve"> in ways that are broadly sympathetic to MacIntyre’s project</w:t>
      </w:r>
      <w:r w:rsidR="00E8706A" w:rsidRPr="00461D74">
        <w:rPr>
          <w:rFonts w:ascii="Garamond" w:hAnsi="Garamond"/>
          <w:sz w:val="24"/>
          <w:szCs w:val="24"/>
        </w:rPr>
        <w:t>. In addition, I argued that Dewey’s approach is especially well suited to address the kinds of paradigmatic criticisms that led MacIntyre to abandon his social approach to formulating a virtue ethics, in favour of a metaphysically robust Aristotelian-Thomistic virtue ethics.</w:t>
      </w:r>
      <w:r w:rsidR="001672A9" w:rsidRPr="00461D74">
        <w:rPr>
          <w:rStyle w:val="FootnoteReference"/>
          <w:rFonts w:ascii="Garamond" w:hAnsi="Garamond"/>
          <w:sz w:val="24"/>
          <w:szCs w:val="24"/>
        </w:rPr>
        <w:footnoteReference w:id="453"/>
      </w:r>
    </w:p>
    <w:p w:rsidR="00BC2DC1" w:rsidRPr="00461D74" w:rsidRDefault="004267E5" w:rsidP="00164E4D">
      <w:pPr>
        <w:spacing w:line="360" w:lineRule="auto"/>
        <w:ind w:firstLine="720"/>
        <w:jc w:val="both"/>
        <w:rPr>
          <w:rFonts w:ascii="Garamond" w:hAnsi="Garamond"/>
          <w:sz w:val="24"/>
          <w:szCs w:val="24"/>
        </w:rPr>
      </w:pPr>
      <w:r w:rsidRPr="00461D74">
        <w:rPr>
          <w:rFonts w:ascii="Garamond" w:hAnsi="Garamond"/>
          <w:sz w:val="24"/>
          <w:szCs w:val="24"/>
        </w:rPr>
        <w:t xml:space="preserve">I </w:t>
      </w:r>
      <w:r w:rsidR="00E8706A" w:rsidRPr="00461D74">
        <w:rPr>
          <w:rFonts w:ascii="Garamond" w:hAnsi="Garamond"/>
          <w:sz w:val="24"/>
          <w:szCs w:val="24"/>
        </w:rPr>
        <w:t>offered a resolution to</w:t>
      </w:r>
      <w:r w:rsidRPr="00461D74">
        <w:rPr>
          <w:rFonts w:ascii="Garamond" w:hAnsi="Garamond"/>
          <w:sz w:val="24"/>
          <w:szCs w:val="24"/>
        </w:rPr>
        <w:t xml:space="preserve"> the first problem by accepting that on MacIntyre’s historical account of traditions, Thomism as a tradition was inde</w:t>
      </w:r>
      <w:r w:rsidR="00616611" w:rsidRPr="00461D74">
        <w:rPr>
          <w:rFonts w:ascii="Garamond" w:hAnsi="Garamond"/>
          <w:sz w:val="24"/>
          <w:szCs w:val="24"/>
        </w:rPr>
        <w:t xml:space="preserve">ed superseded and marginalised. </w:t>
      </w:r>
      <w:r w:rsidRPr="00461D74">
        <w:rPr>
          <w:rFonts w:ascii="Garamond" w:hAnsi="Garamond"/>
          <w:sz w:val="24"/>
          <w:szCs w:val="24"/>
        </w:rPr>
        <w:t>However</w:t>
      </w:r>
      <w:r w:rsidR="00616611" w:rsidRPr="00461D74">
        <w:rPr>
          <w:rFonts w:ascii="Garamond" w:hAnsi="Garamond"/>
          <w:sz w:val="24"/>
          <w:szCs w:val="24"/>
        </w:rPr>
        <w:t>, in contrast to MacIntyre, I did</w:t>
      </w:r>
      <w:r w:rsidRPr="00461D74">
        <w:rPr>
          <w:rFonts w:ascii="Garamond" w:hAnsi="Garamond"/>
          <w:sz w:val="24"/>
          <w:szCs w:val="24"/>
        </w:rPr>
        <w:t xml:space="preserve"> not argue that Aristotelian-Thomism, and more specifically its teleology</w:t>
      </w:r>
      <w:r w:rsidR="00BC63FA" w:rsidRPr="00461D74">
        <w:rPr>
          <w:rFonts w:ascii="Garamond" w:hAnsi="Garamond"/>
          <w:sz w:val="24"/>
          <w:szCs w:val="24"/>
        </w:rPr>
        <w:t>,</w:t>
      </w:r>
      <w:r w:rsidRPr="00461D74">
        <w:rPr>
          <w:rFonts w:ascii="Garamond" w:hAnsi="Garamond"/>
          <w:sz w:val="24"/>
          <w:szCs w:val="24"/>
        </w:rPr>
        <w:t xml:space="preserve"> was </w:t>
      </w:r>
      <w:r w:rsidR="00C14662" w:rsidRPr="00461D74">
        <w:rPr>
          <w:rFonts w:ascii="Garamond" w:hAnsi="Garamond"/>
          <w:sz w:val="24"/>
          <w:szCs w:val="24"/>
        </w:rPr>
        <w:t xml:space="preserve">mistakenly </w:t>
      </w:r>
      <w:r w:rsidRPr="00461D74">
        <w:rPr>
          <w:rFonts w:ascii="Garamond" w:hAnsi="Garamond"/>
          <w:sz w:val="24"/>
          <w:szCs w:val="24"/>
        </w:rPr>
        <w:t>sidelined for bad reasons. Instead</w:t>
      </w:r>
      <w:r w:rsidR="00CF5783" w:rsidRPr="00461D74">
        <w:rPr>
          <w:rFonts w:ascii="Garamond" w:hAnsi="Garamond"/>
          <w:sz w:val="24"/>
          <w:szCs w:val="24"/>
        </w:rPr>
        <w:t>,</w:t>
      </w:r>
      <w:r w:rsidRPr="00461D74">
        <w:rPr>
          <w:rFonts w:ascii="Garamond" w:hAnsi="Garamond"/>
          <w:sz w:val="24"/>
          <w:szCs w:val="24"/>
        </w:rPr>
        <w:t xml:space="preserve"> I argue</w:t>
      </w:r>
      <w:r w:rsidR="00C14662" w:rsidRPr="00461D74">
        <w:rPr>
          <w:rFonts w:ascii="Garamond" w:hAnsi="Garamond"/>
          <w:sz w:val="24"/>
          <w:szCs w:val="24"/>
        </w:rPr>
        <w:t>d</w:t>
      </w:r>
      <w:r w:rsidRPr="00461D74">
        <w:rPr>
          <w:rFonts w:ascii="Garamond" w:hAnsi="Garamond"/>
          <w:sz w:val="24"/>
          <w:szCs w:val="24"/>
        </w:rPr>
        <w:t xml:space="preserve"> that we </w:t>
      </w:r>
      <w:r w:rsidR="00CF5783" w:rsidRPr="00461D74">
        <w:rPr>
          <w:rFonts w:ascii="Garamond" w:hAnsi="Garamond"/>
          <w:sz w:val="24"/>
          <w:szCs w:val="24"/>
        </w:rPr>
        <w:t>ought to</w:t>
      </w:r>
      <w:r w:rsidRPr="00461D74">
        <w:rPr>
          <w:rFonts w:ascii="Garamond" w:hAnsi="Garamond"/>
          <w:sz w:val="24"/>
          <w:szCs w:val="24"/>
        </w:rPr>
        <w:t xml:space="preserve"> accept that Aristotelian-Thomism was in </w:t>
      </w:r>
      <w:r w:rsidR="00C14662" w:rsidRPr="00461D74">
        <w:rPr>
          <w:rFonts w:ascii="Garamond" w:hAnsi="Garamond"/>
          <w:sz w:val="24"/>
          <w:szCs w:val="24"/>
        </w:rPr>
        <w:t>fact superseded as a tradition, for a variety of complex socio-historical factors which were in parts social, political, intellectual, and economic.</w:t>
      </w:r>
      <w:r w:rsidR="00BC2DC1" w:rsidRPr="00461D74">
        <w:rPr>
          <w:rFonts w:ascii="Garamond" w:hAnsi="Garamond"/>
          <w:sz w:val="24"/>
          <w:szCs w:val="24"/>
        </w:rPr>
        <w:t xml:space="preserve"> Nevertheless</w:t>
      </w:r>
      <w:r w:rsidRPr="00461D74">
        <w:rPr>
          <w:rFonts w:ascii="Garamond" w:hAnsi="Garamond"/>
          <w:sz w:val="24"/>
          <w:szCs w:val="24"/>
        </w:rPr>
        <w:t xml:space="preserve">, I </w:t>
      </w:r>
      <w:r w:rsidR="00BC2DC1" w:rsidRPr="00461D74">
        <w:rPr>
          <w:rFonts w:ascii="Garamond" w:hAnsi="Garamond"/>
          <w:sz w:val="24"/>
          <w:szCs w:val="24"/>
        </w:rPr>
        <w:t>went on to</w:t>
      </w:r>
      <w:r w:rsidRPr="00461D74">
        <w:rPr>
          <w:rFonts w:ascii="Garamond" w:hAnsi="Garamond"/>
          <w:sz w:val="24"/>
          <w:szCs w:val="24"/>
        </w:rPr>
        <w:t xml:space="preserve"> argue that while the </w:t>
      </w:r>
      <w:r w:rsidR="00BC2DC1" w:rsidRPr="00461D74">
        <w:rPr>
          <w:rFonts w:ascii="Garamond" w:hAnsi="Garamond"/>
          <w:sz w:val="24"/>
          <w:szCs w:val="24"/>
        </w:rPr>
        <w:t>revival</w:t>
      </w:r>
      <w:r w:rsidRPr="00461D74">
        <w:rPr>
          <w:rFonts w:ascii="Garamond" w:hAnsi="Garamond"/>
          <w:sz w:val="24"/>
          <w:szCs w:val="24"/>
        </w:rPr>
        <w:t xml:space="preserve"> and defence of a Thomistic teleology isn’t possible, there is an alternative</w:t>
      </w:r>
      <w:r w:rsidR="00F60245">
        <w:rPr>
          <w:rFonts w:ascii="Garamond" w:hAnsi="Garamond"/>
          <w:sz w:val="24"/>
          <w:szCs w:val="24"/>
        </w:rPr>
        <w:t>,</w:t>
      </w:r>
      <w:r w:rsidRPr="00461D74">
        <w:rPr>
          <w:rFonts w:ascii="Garamond" w:hAnsi="Garamond"/>
          <w:sz w:val="24"/>
          <w:szCs w:val="24"/>
        </w:rPr>
        <w:t xml:space="preserve"> </w:t>
      </w:r>
      <w:r w:rsidR="008A5FAD">
        <w:rPr>
          <w:rFonts w:ascii="Garamond" w:hAnsi="Garamond"/>
          <w:sz w:val="24"/>
          <w:szCs w:val="24"/>
        </w:rPr>
        <w:t>p</w:t>
      </w:r>
      <w:r w:rsidRPr="00461D74">
        <w:rPr>
          <w:rFonts w:ascii="Garamond" w:hAnsi="Garamond"/>
          <w:sz w:val="24"/>
          <w:szCs w:val="24"/>
        </w:rPr>
        <w:t>ragmatist teleology</w:t>
      </w:r>
      <w:r w:rsidR="00F60245">
        <w:rPr>
          <w:rFonts w:ascii="Garamond" w:hAnsi="Garamond"/>
          <w:sz w:val="24"/>
          <w:szCs w:val="24"/>
        </w:rPr>
        <w:t>,</w:t>
      </w:r>
      <w:r w:rsidRPr="00461D74">
        <w:rPr>
          <w:rFonts w:ascii="Garamond" w:hAnsi="Garamond"/>
          <w:sz w:val="24"/>
          <w:szCs w:val="24"/>
        </w:rPr>
        <w:t xml:space="preserve"> in Dewey </w:t>
      </w:r>
      <w:r w:rsidR="008A5FAD">
        <w:rPr>
          <w:rFonts w:ascii="Garamond" w:hAnsi="Garamond"/>
          <w:sz w:val="24"/>
          <w:szCs w:val="24"/>
        </w:rPr>
        <w:t>that</w:t>
      </w:r>
      <w:r w:rsidR="008A5FAD" w:rsidRPr="00461D74">
        <w:rPr>
          <w:rFonts w:ascii="Garamond" w:hAnsi="Garamond"/>
          <w:sz w:val="24"/>
          <w:szCs w:val="24"/>
        </w:rPr>
        <w:t xml:space="preserve"> </w:t>
      </w:r>
      <w:r w:rsidRPr="00461D74">
        <w:rPr>
          <w:rFonts w:ascii="Garamond" w:hAnsi="Garamond"/>
          <w:sz w:val="24"/>
          <w:szCs w:val="24"/>
        </w:rPr>
        <w:t xml:space="preserve">can </w:t>
      </w:r>
      <w:r w:rsidR="00F60245">
        <w:rPr>
          <w:rFonts w:ascii="Garamond" w:hAnsi="Garamond"/>
          <w:sz w:val="24"/>
          <w:szCs w:val="24"/>
        </w:rPr>
        <w:t>nevertheless</w:t>
      </w:r>
      <w:r w:rsidR="008A5FAD">
        <w:rPr>
          <w:rFonts w:ascii="Garamond" w:hAnsi="Garamond"/>
          <w:sz w:val="24"/>
          <w:szCs w:val="24"/>
        </w:rPr>
        <w:t xml:space="preserve"> </w:t>
      </w:r>
      <w:r w:rsidR="00BC2DC1" w:rsidRPr="00461D74">
        <w:rPr>
          <w:rFonts w:ascii="Garamond" w:hAnsi="Garamond"/>
          <w:sz w:val="24"/>
          <w:szCs w:val="24"/>
        </w:rPr>
        <w:t>render</w:t>
      </w:r>
      <w:r w:rsidRPr="00461D74">
        <w:rPr>
          <w:rFonts w:ascii="Garamond" w:hAnsi="Garamond"/>
          <w:sz w:val="24"/>
          <w:szCs w:val="24"/>
        </w:rPr>
        <w:t xml:space="preserve"> MacIntyre’s account more coherent. </w:t>
      </w:r>
    </w:p>
    <w:p w:rsidR="005277BC" w:rsidRPr="00461D74" w:rsidRDefault="004267E5" w:rsidP="00164E4D">
      <w:pPr>
        <w:spacing w:line="360" w:lineRule="auto"/>
        <w:ind w:firstLine="720"/>
        <w:jc w:val="both"/>
        <w:rPr>
          <w:rFonts w:ascii="Garamond" w:hAnsi="Garamond"/>
          <w:sz w:val="24"/>
          <w:szCs w:val="24"/>
        </w:rPr>
      </w:pPr>
      <w:r w:rsidRPr="00461D74">
        <w:rPr>
          <w:rFonts w:ascii="Garamond" w:hAnsi="Garamond"/>
          <w:sz w:val="24"/>
          <w:szCs w:val="24"/>
        </w:rPr>
        <w:t>With respect to the second difficulty</w:t>
      </w:r>
      <w:r w:rsidR="000D2593" w:rsidRPr="00461D74">
        <w:rPr>
          <w:rFonts w:ascii="Garamond" w:hAnsi="Garamond"/>
          <w:sz w:val="24"/>
          <w:szCs w:val="24"/>
        </w:rPr>
        <w:t>,</w:t>
      </w:r>
      <w:r w:rsidRPr="00461D74">
        <w:rPr>
          <w:rFonts w:ascii="Garamond" w:hAnsi="Garamond"/>
          <w:sz w:val="24"/>
          <w:szCs w:val="24"/>
        </w:rPr>
        <w:t xml:space="preserve"> I </w:t>
      </w:r>
      <w:r w:rsidR="00CF5783" w:rsidRPr="00461D74">
        <w:rPr>
          <w:rFonts w:ascii="Garamond" w:hAnsi="Garamond"/>
          <w:sz w:val="24"/>
          <w:szCs w:val="24"/>
        </w:rPr>
        <w:t>made the case</w:t>
      </w:r>
      <w:r w:rsidRPr="00461D74">
        <w:rPr>
          <w:rFonts w:ascii="Garamond" w:hAnsi="Garamond"/>
          <w:sz w:val="24"/>
          <w:szCs w:val="24"/>
        </w:rPr>
        <w:t xml:space="preserve"> that MacIntyr</w:t>
      </w:r>
      <w:r w:rsidR="00BC2DC1" w:rsidRPr="00461D74">
        <w:rPr>
          <w:rFonts w:ascii="Garamond" w:hAnsi="Garamond"/>
          <w:sz w:val="24"/>
          <w:szCs w:val="24"/>
        </w:rPr>
        <w:t>e’s</w:t>
      </w:r>
      <w:r w:rsidRPr="00461D74">
        <w:rPr>
          <w:rFonts w:ascii="Garamond" w:hAnsi="Garamond"/>
          <w:sz w:val="24"/>
          <w:szCs w:val="24"/>
        </w:rPr>
        <w:t xml:space="preserve"> </w:t>
      </w:r>
      <w:r w:rsidR="00BC2DC1" w:rsidRPr="00461D74">
        <w:rPr>
          <w:rFonts w:ascii="Garamond" w:hAnsi="Garamond"/>
          <w:sz w:val="24"/>
          <w:szCs w:val="24"/>
        </w:rPr>
        <w:t xml:space="preserve">sole focus on a </w:t>
      </w:r>
      <w:r w:rsidRPr="00461D74">
        <w:rPr>
          <w:rFonts w:ascii="Garamond" w:hAnsi="Garamond"/>
          <w:sz w:val="24"/>
          <w:szCs w:val="24"/>
        </w:rPr>
        <w:t>utopian politics of isolated communities</w:t>
      </w:r>
      <w:r w:rsidR="00BC2DC1" w:rsidRPr="00461D74">
        <w:rPr>
          <w:rFonts w:ascii="Garamond" w:hAnsi="Garamond"/>
          <w:sz w:val="24"/>
          <w:szCs w:val="24"/>
        </w:rPr>
        <w:t xml:space="preserve"> is not only </w:t>
      </w:r>
      <w:proofErr w:type="spellStart"/>
      <w:r w:rsidR="00ED2967" w:rsidRPr="00461D74">
        <w:rPr>
          <w:rFonts w:ascii="Garamond" w:hAnsi="Garamond"/>
          <w:sz w:val="24"/>
          <w:szCs w:val="24"/>
        </w:rPr>
        <w:t>ahistorical</w:t>
      </w:r>
      <w:proofErr w:type="spellEnd"/>
      <w:r w:rsidR="00ED2967" w:rsidRPr="00461D74">
        <w:rPr>
          <w:rFonts w:ascii="Garamond" w:hAnsi="Garamond"/>
          <w:sz w:val="24"/>
          <w:szCs w:val="24"/>
        </w:rPr>
        <w:t xml:space="preserve"> and </w:t>
      </w:r>
      <w:r w:rsidR="00BC2DC1" w:rsidRPr="00461D74">
        <w:rPr>
          <w:rFonts w:ascii="Garamond" w:hAnsi="Garamond"/>
          <w:sz w:val="24"/>
          <w:szCs w:val="24"/>
        </w:rPr>
        <w:t xml:space="preserve">anachronistic, but also </w:t>
      </w:r>
      <w:r w:rsidR="005277BC" w:rsidRPr="00461D74">
        <w:rPr>
          <w:rFonts w:ascii="Garamond" w:hAnsi="Garamond"/>
          <w:sz w:val="24"/>
          <w:szCs w:val="24"/>
        </w:rPr>
        <w:t>unsuccessful in defending a small-scale communal politics</w:t>
      </w:r>
      <w:r w:rsidR="00F6557F">
        <w:rPr>
          <w:rFonts w:ascii="Garamond" w:hAnsi="Garamond"/>
          <w:sz w:val="24"/>
          <w:szCs w:val="24"/>
        </w:rPr>
        <w:t>, because it seemingly ignores the role of played by large-scale political arrangements that generate and sustain local political structures</w:t>
      </w:r>
      <w:r w:rsidR="005277BC" w:rsidRPr="00461D74">
        <w:rPr>
          <w:rFonts w:ascii="Garamond" w:hAnsi="Garamond"/>
          <w:sz w:val="24"/>
          <w:szCs w:val="24"/>
        </w:rPr>
        <w:t>.</w:t>
      </w:r>
      <w:r w:rsidRPr="00461D74">
        <w:rPr>
          <w:rFonts w:ascii="Garamond" w:hAnsi="Garamond"/>
          <w:sz w:val="24"/>
          <w:szCs w:val="24"/>
        </w:rPr>
        <w:t xml:space="preserve"> </w:t>
      </w:r>
      <w:r w:rsidR="00CF5783" w:rsidRPr="00461D74">
        <w:rPr>
          <w:rFonts w:ascii="Garamond" w:hAnsi="Garamond"/>
          <w:sz w:val="24"/>
          <w:szCs w:val="24"/>
        </w:rPr>
        <w:t>I</w:t>
      </w:r>
      <w:r w:rsidRPr="00461D74">
        <w:rPr>
          <w:rFonts w:ascii="Garamond" w:hAnsi="Garamond"/>
          <w:sz w:val="24"/>
          <w:szCs w:val="24"/>
        </w:rPr>
        <w:t xml:space="preserve"> </w:t>
      </w:r>
      <w:r w:rsidR="00CF5783" w:rsidRPr="00461D74">
        <w:rPr>
          <w:rFonts w:ascii="Garamond" w:hAnsi="Garamond"/>
          <w:sz w:val="24"/>
          <w:szCs w:val="24"/>
        </w:rPr>
        <w:t>concluded</w:t>
      </w:r>
      <w:r w:rsidRPr="00461D74">
        <w:rPr>
          <w:rFonts w:ascii="Garamond" w:hAnsi="Garamond"/>
          <w:sz w:val="24"/>
          <w:szCs w:val="24"/>
        </w:rPr>
        <w:t xml:space="preserve"> that </w:t>
      </w:r>
      <w:r w:rsidR="005277BC" w:rsidRPr="00461D74">
        <w:rPr>
          <w:rFonts w:ascii="Garamond" w:hAnsi="Garamond"/>
          <w:sz w:val="24"/>
          <w:szCs w:val="24"/>
        </w:rPr>
        <w:t>MacIntyre’s</w:t>
      </w:r>
      <w:r w:rsidRPr="00461D74">
        <w:rPr>
          <w:rFonts w:ascii="Garamond" w:hAnsi="Garamond"/>
          <w:sz w:val="24"/>
          <w:szCs w:val="24"/>
        </w:rPr>
        <w:t xml:space="preserve"> </w:t>
      </w:r>
      <w:r w:rsidR="00CF5783" w:rsidRPr="00461D74">
        <w:rPr>
          <w:rFonts w:ascii="Garamond" w:hAnsi="Garamond"/>
          <w:sz w:val="24"/>
          <w:szCs w:val="24"/>
        </w:rPr>
        <w:t xml:space="preserve">political </w:t>
      </w:r>
      <w:r w:rsidRPr="00461D74">
        <w:rPr>
          <w:rFonts w:ascii="Garamond" w:hAnsi="Garamond"/>
          <w:sz w:val="24"/>
          <w:szCs w:val="24"/>
        </w:rPr>
        <w:t xml:space="preserve">account isn’t sufficiently sensitive to our historical situation and </w:t>
      </w:r>
      <w:r w:rsidR="005277BC" w:rsidRPr="00461D74">
        <w:rPr>
          <w:rFonts w:ascii="Garamond" w:hAnsi="Garamond"/>
          <w:sz w:val="24"/>
          <w:szCs w:val="24"/>
        </w:rPr>
        <w:t>appears</w:t>
      </w:r>
      <w:r w:rsidRPr="00461D74">
        <w:rPr>
          <w:rFonts w:ascii="Garamond" w:hAnsi="Garamond"/>
          <w:sz w:val="24"/>
          <w:szCs w:val="24"/>
        </w:rPr>
        <w:t xml:space="preserve"> to generate </w:t>
      </w:r>
      <w:r w:rsidR="00F6557F">
        <w:rPr>
          <w:rFonts w:ascii="Garamond" w:hAnsi="Garamond"/>
          <w:sz w:val="24"/>
          <w:szCs w:val="24"/>
        </w:rPr>
        <w:t>at least two</w:t>
      </w:r>
      <w:r w:rsidRPr="00461D74">
        <w:rPr>
          <w:rFonts w:ascii="Garamond" w:hAnsi="Garamond"/>
          <w:sz w:val="24"/>
          <w:szCs w:val="24"/>
        </w:rPr>
        <w:t xml:space="preserve"> difficulties</w:t>
      </w:r>
      <w:r w:rsidR="00F6557F">
        <w:rPr>
          <w:rFonts w:ascii="Garamond" w:hAnsi="Garamond"/>
          <w:sz w:val="24"/>
          <w:szCs w:val="24"/>
        </w:rPr>
        <w:t xml:space="preserve">. First, the near total dependence of local communities on the largesse afforded by large-scale political systems, and their vulnerability to the dominant forces generated by large-scale political structures, limits any potential defense of those communities; and second, whether </w:t>
      </w:r>
      <w:r w:rsidR="00F6557F">
        <w:rPr>
          <w:rFonts w:ascii="Garamond" w:hAnsi="Garamond"/>
          <w:sz w:val="24"/>
          <w:szCs w:val="24"/>
        </w:rPr>
        <w:lastRenderedPageBreak/>
        <w:t>MacIntyre’s conception of politics as a practice can remain coherent if we have abandoned our dialogue with large-scale political structures</w:t>
      </w:r>
      <w:r w:rsidRPr="00461D74">
        <w:rPr>
          <w:rFonts w:ascii="Garamond" w:hAnsi="Garamond"/>
          <w:sz w:val="24"/>
          <w:szCs w:val="24"/>
        </w:rPr>
        <w:t>.</w:t>
      </w:r>
    </w:p>
    <w:p w:rsidR="00033864" w:rsidRDefault="00F6557F" w:rsidP="00164E4D">
      <w:pPr>
        <w:spacing w:line="360" w:lineRule="auto"/>
        <w:ind w:firstLine="720"/>
        <w:jc w:val="both"/>
        <w:rPr>
          <w:rFonts w:ascii="Garamond" w:hAnsi="Garamond"/>
          <w:sz w:val="24"/>
          <w:szCs w:val="24"/>
        </w:rPr>
      </w:pPr>
      <w:r>
        <w:rPr>
          <w:rFonts w:ascii="Garamond" w:hAnsi="Garamond"/>
          <w:sz w:val="24"/>
          <w:szCs w:val="24"/>
        </w:rPr>
        <w:t>I then utilised</w:t>
      </w:r>
      <w:r w:rsidRPr="00461D74">
        <w:rPr>
          <w:rFonts w:ascii="Garamond" w:hAnsi="Garamond"/>
          <w:sz w:val="24"/>
          <w:szCs w:val="24"/>
        </w:rPr>
        <w:t xml:space="preserve"> </w:t>
      </w:r>
      <w:r w:rsidR="004267E5" w:rsidRPr="00461D74">
        <w:rPr>
          <w:rFonts w:ascii="Garamond" w:hAnsi="Garamond"/>
          <w:sz w:val="24"/>
          <w:szCs w:val="24"/>
        </w:rPr>
        <w:t xml:space="preserve">Dewey, </w:t>
      </w:r>
      <w:r w:rsidR="005277BC" w:rsidRPr="00461D74">
        <w:rPr>
          <w:rFonts w:ascii="Garamond" w:hAnsi="Garamond"/>
          <w:sz w:val="24"/>
          <w:szCs w:val="24"/>
        </w:rPr>
        <w:t xml:space="preserve">as well as a number of other </w:t>
      </w:r>
      <w:r w:rsidR="00041147">
        <w:rPr>
          <w:rFonts w:ascii="Garamond" w:hAnsi="Garamond"/>
          <w:sz w:val="24"/>
          <w:szCs w:val="24"/>
        </w:rPr>
        <w:t>p</w:t>
      </w:r>
      <w:r w:rsidR="005277BC" w:rsidRPr="00461D74">
        <w:rPr>
          <w:rFonts w:ascii="Garamond" w:hAnsi="Garamond"/>
          <w:sz w:val="24"/>
          <w:szCs w:val="24"/>
        </w:rPr>
        <w:t xml:space="preserve">ragmatists, </w:t>
      </w:r>
      <w:r>
        <w:rPr>
          <w:rFonts w:ascii="Garamond" w:hAnsi="Garamond"/>
          <w:sz w:val="24"/>
          <w:szCs w:val="24"/>
        </w:rPr>
        <w:t>to advance</w:t>
      </w:r>
      <w:r w:rsidR="004267E5" w:rsidRPr="00461D74">
        <w:rPr>
          <w:rFonts w:ascii="Garamond" w:hAnsi="Garamond"/>
          <w:sz w:val="24"/>
          <w:szCs w:val="24"/>
        </w:rPr>
        <w:t xml:space="preserve"> an</w:t>
      </w:r>
      <w:r w:rsidR="005277BC" w:rsidRPr="00461D74">
        <w:rPr>
          <w:rFonts w:ascii="Garamond" w:hAnsi="Garamond"/>
          <w:sz w:val="24"/>
          <w:szCs w:val="24"/>
        </w:rPr>
        <w:t xml:space="preserve"> alternative pragmatist political conception,</w:t>
      </w:r>
      <w:r w:rsidR="004267E5" w:rsidRPr="00461D74">
        <w:rPr>
          <w:rFonts w:ascii="Garamond" w:hAnsi="Garamond"/>
          <w:sz w:val="24"/>
          <w:szCs w:val="24"/>
        </w:rPr>
        <w:t xml:space="preserve"> against MacIntyre’s </w:t>
      </w:r>
      <w:r w:rsidR="00ED2967" w:rsidRPr="00461D74">
        <w:rPr>
          <w:rFonts w:ascii="Garamond" w:hAnsi="Garamond"/>
          <w:sz w:val="24"/>
          <w:szCs w:val="24"/>
        </w:rPr>
        <w:t>purely small-scale</w:t>
      </w:r>
      <w:r w:rsidR="005277BC" w:rsidRPr="00461D74">
        <w:rPr>
          <w:rFonts w:ascii="Garamond" w:hAnsi="Garamond"/>
          <w:sz w:val="24"/>
          <w:szCs w:val="24"/>
        </w:rPr>
        <w:t xml:space="preserve"> communal </w:t>
      </w:r>
      <w:r w:rsidR="00ED2967" w:rsidRPr="00461D74">
        <w:rPr>
          <w:rFonts w:ascii="Garamond" w:hAnsi="Garamond"/>
          <w:sz w:val="24"/>
          <w:szCs w:val="24"/>
        </w:rPr>
        <w:t xml:space="preserve">form of </w:t>
      </w:r>
      <w:r w:rsidR="004267E5" w:rsidRPr="00461D74">
        <w:rPr>
          <w:rFonts w:ascii="Garamond" w:hAnsi="Garamond"/>
          <w:sz w:val="24"/>
          <w:szCs w:val="24"/>
        </w:rPr>
        <w:t>Aristote</w:t>
      </w:r>
      <w:r w:rsidR="005277BC" w:rsidRPr="00461D74">
        <w:rPr>
          <w:rFonts w:ascii="Garamond" w:hAnsi="Garamond"/>
          <w:sz w:val="24"/>
          <w:szCs w:val="24"/>
        </w:rPr>
        <w:t xml:space="preserve">lian-Thomist politics. I argued that </w:t>
      </w:r>
      <w:r w:rsidR="004267E5" w:rsidRPr="00461D74">
        <w:rPr>
          <w:rFonts w:ascii="Garamond" w:hAnsi="Garamond"/>
          <w:sz w:val="24"/>
          <w:szCs w:val="24"/>
        </w:rPr>
        <w:t>the Pragmatist account is sensitive to contemporary socio-historical conditions</w:t>
      </w:r>
      <w:r w:rsidR="008A0528">
        <w:rPr>
          <w:rFonts w:ascii="Garamond" w:hAnsi="Garamond"/>
          <w:sz w:val="24"/>
          <w:szCs w:val="24"/>
        </w:rPr>
        <w:t>,</w:t>
      </w:r>
      <w:r w:rsidR="004267E5" w:rsidRPr="00461D74">
        <w:rPr>
          <w:rFonts w:ascii="Garamond" w:hAnsi="Garamond"/>
          <w:sz w:val="24"/>
          <w:szCs w:val="24"/>
        </w:rPr>
        <w:t xml:space="preserve"> </w:t>
      </w:r>
      <w:r w:rsidR="008A0528">
        <w:rPr>
          <w:rFonts w:ascii="Garamond" w:hAnsi="Garamond"/>
          <w:sz w:val="24"/>
          <w:szCs w:val="24"/>
        </w:rPr>
        <w:t>and that</w:t>
      </w:r>
      <w:r w:rsidR="004267E5" w:rsidRPr="00461D74">
        <w:rPr>
          <w:rFonts w:ascii="Garamond" w:hAnsi="Garamond"/>
          <w:sz w:val="24"/>
          <w:szCs w:val="24"/>
        </w:rPr>
        <w:t xml:space="preserve"> it </w:t>
      </w:r>
      <w:r w:rsidR="001F5098" w:rsidRPr="00461D74">
        <w:rPr>
          <w:rFonts w:ascii="Garamond" w:hAnsi="Garamond"/>
          <w:sz w:val="24"/>
          <w:szCs w:val="24"/>
        </w:rPr>
        <w:t xml:space="preserve">is </w:t>
      </w:r>
      <w:r w:rsidR="00D65459">
        <w:rPr>
          <w:rFonts w:ascii="Garamond" w:hAnsi="Garamond"/>
          <w:sz w:val="24"/>
          <w:szCs w:val="24"/>
        </w:rPr>
        <w:t>better</w:t>
      </w:r>
      <w:r w:rsidR="008A0528">
        <w:rPr>
          <w:rFonts w:ascii="Garamond" w:hAnsi="Garamond"/>
          <w:sz w:val="24"/>
          <w:szCs w:val="24"/>
        </w:rPr>
        <w:t xml:space="preserve"> placed to address</w:t>
      </w:r>
      <w:r w:rsidR="004267E5" w:rsidRPr="00461D74">
        <w:rPr>
          <w:rFonts w:ascii="Garamond" w:hAnsi="Garamond"/>
          <w:sz w:val="24"/>
          <w:szCs w:val="24"/>
        </w:rPr>
        <w:t xml:space="preserve"> the second difficulty </w:t>
      </w:r>
      <w:r w:rsidR="001F5098" w:rsidRPr="00461D74">
        <w:rPr>
          <w:rFonts w:ascii="Garamond" w:hAnsi="Garamond"/>
          <w:sz w:val="24"/>
          <w:szCs w:val="24"/>
        </w:rPr>
        <w:t>(</w:t>
      </w:r>
      <w:r w:rsidR="004267E5" w:rsidRPr="00461D74">
        <w:rPr>
          <w:rFonts w:ascii="Garamond" w:hAnsi="Garamond"/>
          <w:sz w:val="24"/>
          <w:szCs w:val="24"/>
        </w:rPr>
        <w:t>or tension</w:t>
      </w:r>
      <w:r w:rsidR="001F5098" w:rsidRPr="00461D74">
        <w:rPr>
          <w:rFonts w:ascii="Garamond" w:hAnsi="Garamond"/>
          <w:sz w:val="24"/>
          <w:szCs w:val="24"/>
        </w:rPr>
        <w:t>)</w:t>
      </w:r>
      <w:r w:rsidR="004267E5" w:rsidRPr="00461D74">
        <w:rPr>
          <w:rFonts w:ascii="Garamond" w:hAnsi="Garamond"/>
          <w:sz w:val="24"/>
          <w:szCs w:val="24"/>
        </w:rPr>
        <w:t xml:space="preserve"> </w:t>
      </w:r>
      <w:r w:rsidR="008A0528">
        <w:rPr>
          <w:rFonts w:ascii="Garamond" w:hAnsi="Garamond"/>
          <w:sz w:val="24"/>
          <w:szCs w:val="24"/>
        </w:rPr>
        <w:t>that</w:t>
      </w:r>
      <w:r w:rsidR="008A0528" w:rsidRPr="00461D74">
        <w:rPr>
          <w:rFonts w:ascii="Garamond" w:hAnsi="Garamond"/>
          <w:sz w:val="24"/>
          <w:szCs w:val="24"/>
        </w:rPr>
        <w:t xml:space="preserve"> </w:t>
      </w:r>
      <w:r w:rsidR="001F5098" w:rsidRPr="00461D74">
        <w:rPr>
          <w:rFonts w:ascii="Garamond" w:hAnsi="Garamond"/>
          <w:sz w:val="24"/>
          <w:szCs w:val="24"/>
        </w:rPr>
        <w:t xml:space="preserve">emerges because of </w:t>
      </w:r>
      <w:r w:rsidR="004267E5" w:rsidRPr="00461D74">
        <w:rPr>
          <w:rFonts w:ascii="Garamond" w:hAnsi="Garamond"/>
          <w:sz w:val="24"/>
          <w:szCs w:val="24"/>
        </w:rPr>
        <w:t xml:space="preserve">MacIntyre’s </w:t>
      </w:r>
      <w:r w:rsidR="001F5098" w:rsidRPr="00461D74">
        <w:rPr>
          <w:rFonts w:ascii="Garamond" w:hAnsi="Garamond"/>
          <w:sz w:val="24"/>
          <w:szCs w:val="24"/>
        </w:rPr>
        <w:t>various commitments</w:t>
      </w:r>
      <w:r w:rsidR="004267E5" w:rsidRPr="00461D74">
        <w:rPr>
          <w:rFonts w:ascii="Garamond" w:hAnsi="Garamond"/>
          <w:sz w:val="24"/>
          <w:szCs w:val="24"/>
        </w:rPr>
        <w:t>.</w:t>
      </w:r>
    </w:p>
    <w:p w:rsidR="00EE3809" w:rsidRPr="00461D74" w:rsidRDefault="00033864" w:rsidP="00164E4D">
      <w:pPr>
        <w:spacing w:line="360" w:lineRule="auto"/>
        <w:ind w:firstLine="720"/>
        <w:jc w:val="both"/>
        <w:rPr>
          <w:rFonts w:ascii="Garamond" w:hAnsi="Garamond"/>
          <w:sz w:val="24"/>
          <w:szCs w:val="24"/>
        </w:rPr>
      </w:pPr>
      <w:r>
        <w:rPr>
          <w:rFonts w:ascii="Garamond" w:hAnsi="Garamond"/>
          <w:sz w:val="24"/>
          <w:szCs w:val="24"/>
        </w:rPr>
        <w:t>Now, e</w:t>
      </w:r>
      <w:r w:rsidR="004267E5" w:rsidRPr="00461D74">
        <w:rPr>
          <w:rFonts w:ascii="Garamond" w:hAnsi="Garamond"/>
          <w:sz w:val="24"/>
          <w:szCs w:val="24"/>
        </w:rPr>
        <w:t xml:space="preserve">ven if it turns out that Dewey’s pragmatism </w:t>
      </w:r>
      <w:r>
        <w:rPr>
          <w:rFonts w:ascii="Garamond" w:hAnsi="Garamond"/>
          <w:sz w:val="24"/>
          <w:szCs w:val="24"/>
        </w:rPr>
        <w:t>remains in some ways</w:t>
      </w:r>
      <w:r w:rsidRPr="00461D74">
        <w:rPr>
          <w:rFonts w:ascii="Garamond" w:hAnsi="Garamond"/>
          <w:sz w:val="24"/>
          <w:szCs w:val="24"/>
        </w:rPr>
        <w:t xml:space="preserve"> </w:t>
      </w:r>
      <w:r w:rsidR="004267E5" w:rsidRPr="00461D74">
        <w:rPr>
          <w:rFonts w:ascii="Garamond" w:hAnsi="Garamond"/>
          <w:sz w:val="24"/>
          <w:szCs w:val="24"/>
        </w:rPr>
        <w:t>incompatible with the later Thomist</w:t>
      </w:r>
      <w:r w:rsidR="000D2593" w:rsidRPr="00461D74">
        <w:rPr>
          <w:rFonts w:ascii="Garamond" w:hAnsi="Garamond"/>
          <w:sz w:val="24"/>
          <w:szCs w:val="24"/>
        </w:rPr>
        <w:t>ic</w:t>
      </w:r>
      <w:r w:rsidR="004267E5" w:rsidRPr="00461D74">
        <w:rPr>
          <w:rFonts w:ascii="Garamond" w:hAnsi="Garamond"/>
          <w:sz w:val="24"/>
          <w:szCs w:val="24"/>
        </w:rPr>
        <w:t xml:space="preserve"> MacIntyre, I </w:t>
      </w:r>
      <w:r w:rsidR="001F5098" w:rsidRPr="00461D74">
        <w:rPr>
          <w:rFonts w:ascii="Garamond" w:hAnsi="Garamond"/>
          <w:sz w:val="24"/>
          <w:szCs w:val="24"/>
        </w:rPr>
        <w:t>proposed</w:t>
      </w:r>
      <w:r w:rsidR="004267E5" w:rsidRPr="00461D74">
        <w:rPr>
          <w:rFonts w:ascii="Garamond" w:hAnsi="Garamond"/>
          <w:sz w:val="24"/>
          <w:szCs w:val="24"/>
        </w:rPr>
        <w:t xml:space="preserve"> that </w:t>
      </w:r>
      <w:r w:rsidR="001F5098" w:rsidRPr="00461D74">
        <w:rPr>
          <w:rFonts w:ascii="Garamond" w:hAnsi="Garamond"/>
          <w:sz w:val="24"/>
          <w:szCs w:val="24"/>
        </w:rPr>
        <w:t xml:space="preserve">my alternative pragmatic political conception </w:t>
      </w:r>
      <w:r w:rsidR="004267E5" w:rsidRPr="00461D74">
        <w:rPr>
          <w:rFonts w:ascii="Garamond" w:hAnsi="Garamond"/>
          <w:sz w:val="24"/>
          <w:szCs w:val="24"/>
        </w:rPr>
        <w:t>remains largely compatible with the middle</w:t>
      </w:r>
      <w:r w:rsidR="001F5098" w:rsidRPr="00461D74">
        <w:rPr>
          <w:rFonts w:ascii="Garamond" w:hAnsi="Garamond"/>
          <w:sz w:val="24"/>
          <w:szCs w:val="24"/>
        </w:rPr>
        <w:t xml:space="preserve"> MacIntyre</w:t>
      </w:r>
      <w:r w:rsidR="00BC63FA" w:rsidRPr="00461D74">
        <w:rPr>
          <w:rFonts w:ascii="Garamond" w:hAnsi="Garamond"/>
          <w:sz w:val="24"/>
          <w:szCs w:val="24"/>
        </w:rPr>
        <w:t xml:space="preserve"> </w:t>
      </w:r>
      <w:r w:rsidR="001F5098" w:rsidRPr="00461D74">
        <w:rPr>
          <w:rFonts w:ascii="Garamond" w:hAnsi="Garamond"/>
          <w:sz w:val="24"/>
          <w:szCs w:val="24"/>
        </w:rPr>
        <w:t>–</w:t>
      </w:r>
      <w:r w:rsidR="00BC63FA" w:rsidRPr="00461D74">
        <w:rPr>
          <w:rFonts w:ascii="Garamond" w:hAnsi="Garamond"/>
          <w:sz w:val="24"/>
          <w:szCs w:val="24"/>
        </w:rPr>
        <w:t xml:space="preserve"> </w:t>
      </w:r>
      <w:r w:rsidR="004267E5" w:rsidRPr="00461D74">
        <w:rPr>
          <w:rFonts w:ascii="Garamond" w:hAnsi="Garamond"/>
          <w:sz w:val="24"/>
          <w:szCs w:val="24"/>
        </w:rPr>
        <w:t xml:space="preserve">namely, the MacIntyre in </w:t>
      </w:r>
      <w:r w:rsidR="004267E5" w:rsidRPr="00461D74">
        <w:rPr>
          <w:rFonts w:ascii="Garamond" w:hAnsi="Garamond"/>
          <w:i/>
          <w:sz w:val="24"/>
          <w:szCs w:val="24"/>
        </w:rPr>
        <w:t>After Virtue</w:t>
      </w:r>
      <w:r w:rsidR="001F5098" w:rsidRPr="00461D74">
        <w:rPr>
          <w:rFonts w:ascii="Garamond" w:hAnsi="Garamond"/>
          <w:sz w:val="24"/>
          <w:szCs w:val="24"/>
        </w:rPr>
        <w:t>.</w:t>
      </w:r>
      <w:r w:rsidR="00072FDE" w:rsidRPr="00461D74">
        <w:rPr>
          <w:rFonts w:ascii="Garamond" w:hAnsi="Garamond"/>
          <w:sz w:val="24"/>
          <w:szCs w:val="24"/>
        </w:rPr>
        <w:t xml:space="preserve"> Most</w:t>
      </w:r>
      <w:r w:rsidR="004267E5" w:rsidRPr="00461D74">
        <w:rPr>
          <w:rFonts w:ascii="Garamond" w:hAnsi="Garamond"/>
          <w:sz w:val="24"/>
          <w:szCs w:val="24"/>
        </w:rPr>
        <w:t xml:space="preserve"> </w:t>
      </w:r>
      <w:r w:rsidR="00072FDE" w:rsidRPr="00461D74">
        <w:rPr>
          <w:rFonts w:ascii="Garamond" w:hAnsi="Garamond"/>
          <w:sz w:val="24"/>
          <w:szCs w:val="24"/>
        </w:rPr>
        <w:t>significantly</w:t>
      </w:r>
      <w:r w:rsidR="004267E5" w:rsidRPr="00461D74">
        <w:rPr>
          <w:rFonts w:ascii="Garamond" w:hAnsi="Garamond"/>
          <w:sz w:val="24"/>
          <w:szCs w:val="24"/>
        </w:rPr>
        <w:t xml:space="preserve">, our alternative Pragmatist account is able to </w:t>
      </w:r>
      <w:r w:rsidR="00072FDE" w:rsidRPr="00461D74">
        <w:rPr>
          <w:rFonts w:ascii="Garamond" w:hAnsi="Garamond"/>
          <w:sz w:val="24"/>
          <w:szCs w:val="24"/>
        </w:rPr>
        <w:t xml:space="preserve">address and therefore </w:t>
      </w:r>
      <w:r w:rsidR="004267E5" w:rsidRPr="00461D74">
        <w:rPr>
          <w:rFonts w:ascii="Garamond" w:hAnsi="Garamond"/>
          <w:sz w:val="24"/>
          <w:szCs w:val="24"/>
        </w:rPr>
        <w:t xml:space="preserve">resolve the </w:t>
      </w:r>
      <w:r w:rsidR="00072FDE" w:rsidRPr="00461D74">
        <w:rPr>
          <w:rFonts w:ascii="Garamond" w:hAnsi="Garamond"/>
          <w:sz w:val="24"/>
          <w:szCs w:val="24"/>
        </w:rPr>
        <w:t>sort</w:t>
      </w:r>
      <w:r w:rsidR="004267E5" w:rsidRPr="00461D74">
        <w:rPr>
          <w:rFonts w:ascii="Garamond" w:hAnsi="Garamond"/>
          <w:sz w:val="24"/>
          <w:szCs w:val="24"/>
        </w:rPr>
        <w:t xml:space="preserve"> of criticisms </w:t>
      </w:r>
      <w:r w:rsidR="00072FDE" w:rsidRPr="00461D74">
        <w:rPr>
          <w:rFonts w:ascii="Garamond" w:hAnsi="Garamond"/>
          <w:sz w:val="24"/>
          <w:szCs w:val="24"/>
        </w:rPr>
        <w:t>which</w:t>
      </w:r>
      <w:r w:rsidR="004267E5" w:rsidRPr="00461D74">
        <w:rPr>
          <w:rFonts w:ascii="Garamond" w:hAnsi="Garamond"/>
          <w:sz w:val="24"/>
          <w:szCs w:val="24"/>
        </w:rPr>
        <w:t xml:space="preserve"> rendered </w:t>
      </w:r>
      <w:r w:rsidR="00072FDE" w:rsidRPr="00461D74">
        <w:rPr>
          <w:rFonts w:ascii="Garamond" w:hAnsi="Garamond"/>
          <w:sz w:val="24"/>
          <w:szCs w:val="24"/>
        </w:rPr>
        <w:t xml:space="preserve">vulnerable MacIntyre’s account in </w:t>
      </w:r>
      <w:r w:rsidR="00072FDE" w:rsidRPr="00461D74">
        <w:rPr>
          <w:rFonts w:ascii="Garamond" w:hAnsi="Garamond"/>
          <w:i/>
          <w:sz w:val="24"/>
          <w:szCs w:val="24"/>
        </w:rPr>
        <w:t>After Virtue</w:t>
      </w:r>
      <w:r w:rsidR="000D2593" w:rsidRPr="00461D74">
        <w:rPr>
          <w:rFonts w:ascii="Garamond" w:hAnsi="Garamond"/>
          <w:sz w:val="24"/>
          <w:szCs w:val="24"/>
        </w:rPr>
        <w:t xml:space="preserve">, even if it diverges from </w:t>
      </w:r>
      <w:r>
        <w:rPr>
          <w:rFonts w:ascii="Garamond" w:hAnsi="Garamond"/>
          <w:sz w:val="24"/>
          <w:szCs w:val="24"/>
        </w:rPr>
        <w:t xml:space="preserve">some of </w:t>
      </w:r>
      <w:r w:rsidR="000D2593" w:rsidRPr="00461D74">
        <w:rPr>
          <w:rFonts w:ascii="Garamond" w:hAnsi="Garamond"/>
          <w:sz w:val="24"/>
          <w:szCs w:val="24"/>
        </w:rPr>
        <w:t xml:space="preserve">the Thomistic commitments of </w:t>
      </w:r>
      <w:r w:rsidR="000D2593" w:rsidRPr="00461D74">
        <w:rPr>
          <w:rFonts w:ascii="Garamond" w:hAnsi="Garamond"/>
          <w:i/>
          <w:sz w:val="24"/>
          <w:szCs w:val="24"/>
        </w:rPr>
        <w:t>Whose Justice</w:t>
      </w:r>
      <w:r w:rsidR="004267E5" w:rsidRPr="00461D74">
        <w:rPr>
          <w:rFonts w:ascii="Garamond" w:hAnsi="Garamond"/>
          <w:sz w:val="24"/>
          <w:szCs w:val="24"/>
        </w:rPr>
        <w:t xml:space="preserve">. Thus, </w:t>
      </w:r>
      <w:r>
        <w:rPr>
          <w:rFonts w:ascii="Garamond" w:hAnsi="Garamond"/>
          <w:sz w:val="24"/>
          <w:szCs w:val="24"/>
        </w:rPr>
        <w:t>my</w:t>
      </w:r>
      <w:r w:rsidRPr="00461D74">
        <w:rPr>
          <w:rFonts w:ascii="Garamond" w:hAnsi="Garamond"/>
          <w:sz w:val="24"/>
          <w:szCs w:val="24"/>
        </w:rPr>
        <w:t xml:space="preserve"> </w:t>
      </w:r>
      <w:r w:rsidR="00BC63FA" w:rsidRPr="00461D74">
        <w:rPr>
          <w:rFonts w:ascii="Garamond" w:hAnsi="Garamond"/>
          <w:sz w:val="24"/>
          <w:szCs w:val="24"/>
        </w:rPr>
        <w:t xml:space="preserve">hope is that </w:t>
      </w:r>
      <w:r w:rsidR="00D65459">
        <w:rPr>
          <w:rFonts w:ascii="Garamond" w:hAnsi="Garamond"/>
          <w:sz w:val="24"/>
          <w:szCs w:val="24"/>
        </w:rPr>
        <w:t>my approach</w:t>
      </w:r>
      <w:r w:rsidR="00072FDE" w:rsidRPr="00461D74">
        <w:rPr>
          <w:rFonts w:ascii="Garamond" w:hAnsi="Garamond"/>
          <w:sz w:val="24"/>
          <w:szCs w:val="24"/>
        </w:rPr>
        <w:t xml:space="preserve"> </w:t>
      </w:r>
      <w:r>
        <w:rPr>
          <w:rFonts w:ascii="Garamond" w:hAnsi="Garamond"/>
          <w:sz w:val="24"/>
          <w:szCs w:val="24"/>
        </w:rPr>
        <w:t xml:space="preserve">has </w:t>
      </w:r>
      <w:r w:rsidR="00072FDE" w:rsidRPr="00461D74">
        <w:rPr>
          <w:rFonts w:ascii="Garamond" w:hAnsi="Garamond"/>
          <w:sz w:val="24"/>
          <w:szCs w:val="24"/>
        </w:rPr>
        <w:t>manage</w:t>
      </w:r>
      <w:r>
        <w:rPr>
          <w:rFonts w:ascii="Garamond" w:hAnsi="Garamond"/>
          <w:sz w:val="24"/>
          <w:szCs w:val="24"/>
        </w:rPr>
        <w:t>d</w:t>
      </w:r>
      <w:r w:rsidR="00072FDE" w:rsidRPr="00461D74">
        <w:rPr>
          <w:rFonts w:ascii="Garamond" w:hAnsi="Garamond"/>
          <w:sz w:val="24"/>
          <w:szCs w:val="24"/>
        </w:rPr>
        <w:t xml:space="preserve"> to at least make </w:t>
      </w:r>
      <w:r w:rsidR="00BC63FA" w:rsidRPr="00461D74">
        <w:rPr>
          <w:rFonts w:ascii="Garamond" w:hAnsi="Garamond"/>
          <w:sz w:val="24"/>
          <w:szCs w:val="24"/>
        </w:rPr>
        <w:t xml:space="preserve">coherent </w:t>
      </w:r>
      <w:r w:rsidR="004267E5" w:rsidRPr="00461D74">
        <w:rPr>
          <w:rFonts w:ascii="Garamond" w:hAnsi="Garamond"/>
          <w:sz w:val="24"/>
          <w:szCs w:val="24"/>
        </w:rPr>
        <w:t xml:space="preserve">the middle MacIntyre in </w:t>
      </w:r>
      <w:r w:rsidR="004267E5" w:rsidRPr="00461D74">
        <w:rPr>
          <w:rFonts w:ascii="Garamond" w:hAnsi="Garamond"/>
          <w:i/>
          <w:sz w:val="24"/>
          <w:szCs w:val="24"/>
        </w:rPr>
        <w:t>After Virtue</w:t>
      </w:r>
      <w:r w:rsidR="00072FDE" w:rsidRPr="00461D74">
        <w:rPr>
          <w:rFonts w:ascii="Garamond" w:hAnsi="Garamond"/>
          <w:sz w:val="24"/>
          <w:szCs w:val="24"/>
        </w:rPr>
        <w:t xml:space="preserve">, </w:t>
      </w:r>
      <w:r w:rsidR="000D2593" w:rsidRPr="00461D74">
        <w:rPr>
          <w:rFonts w:ascii="Garamond" w:hAnsi="Garamond"/>
          <w:sz w:val="24"/>
          <w:szCs w:val="24"/>
        </w:rPr>
        <w:t>by taking his trajectory from there in a pragmatist rather than Thomistic direction, thereby rendering it less prone to the objections that we have raised</w:t>
      </w:r>
      <w:r w:rsidR="00A278FA" w:rsidRPr="00461D74">
        <w:rPr>
          <w:rFonts w:ascii="Garamond" w:hAnsi="Garamond"/>
          <w:sz w:val="24"/>
          <w:szCs w:val="24"/>
        </w:rPr>
        <w:t xml:space="preserve"> in the course of this thesis</w:t>
      </w:r>
      <w:r w:rsidR="000D2593" w:rsidRPr="00461D74">
        <w:rPr>
          <w:rFonts w:ascii="Garamond" w:hAnsi="Garamond"/>
          <w:sz w:val="24"/>
          <w:szCs w:val="24"/>
        </w:rPr>
        <w:t>.</w:t>
      </w:r>
    </w:p>
    <w:p w:rsidR="00EE3809" w:rsidRPr="00461D74" w:rsidRDefault="00EE3809" w:rsidP="00164E4D">
      <w:pPr>
        <w:spacing w:line="360" w:lineRule="auto"/>
        <w:ind w:firstLine="720"/>
        <w:rPr>
          <w:rFonts w:ascii="Garamond" w:hAnsi="Garamond"/>
          <w:sz w:val="24"/>
          <w:szCs w:val="24"/>
        </w:rPr>
      </w:pPr>
    </w:p>
    <w:p w:rsidR="000D3EA1" w:rsidRPr="00461D74" w:rsidRDefault="000D3EA1" w:rsidP="00164E4D">
      <w:pPr>
        <w:spacing w:line="360" w:lineRule="auto"/>
        <w:rPr>
          <w:rFonts w:ascii="Garamond" w:eastAsiaTheme="majorEastAsia" w:hAnsi="Garamond" w:cstheme="majorBidi"/>
          <w:b/>
          <w:bCs/>
          <w:color w:val="2F5496" w:themeColor="accent1" w:themeShade="BF"/>
          <w:sz w:val="28"/>
          <w:szCs w:val="28"/>
          <w:lang w:val="en-GB"/>
        </w:rPr>
      </w:pPr>
      <w:r w:rsidRPr="00461D74">
        <w:rPr>
          <w:rFonts w:ascii="Garamond" w:hAnsi="Garamond"/>
        </w:rPr>
        <w:br w:type="page"/>
      </w:r>
    </w:p>
    <w:p w:rsidR="00B32EEE" w:rsidRPr="00F03436" w:rsidRDefault="00503F14" w:rsidP="00164E4D">
      <w:pPr>
        <w:pStyle w:val="Heading1"/>
        <w:spacing w:line="360" w:lineRule="auto"/>
        <w:rPr>
          <w:rFonts w:cstheme="majorHAnsi"/>
        </w:rPr>
      </w:pPr>
      <w:bookmarkStart w:id="74" w:name="_Toc528077850"/>
      <w:r w:rsidRPr="00F03436">
        <w:rPr>
          <w:rFonts w:cstheme="majorHAnsi"/>
        </w:rPr>
        <w:lastRenderedPageBreak/>
        <w:t>Appendix</w:t>
      </w:r>
      <w:bookmarkEnd w:id="74"/>
    </w:p>
    <w:p w:rsidR="000A6C82" w:rsidRPr="00461D74" w:rsidRDefault="000A6C82" w:rsidP="00164E4D">
      <w:pPr>
        <w:spacing w:line="360" w:lineRule="auto"/>
        <w:rPr>
          <w:rFonts w:ascii="Garamond" w:hAnsi="Garamond"/>
          <w:sz w:val="24"/>
          <w:szCs w:val="24"/>
        </w:rPr>
      </w:pPr>
    </w:p>
    <w:p w:rsidR="00B32EEE" w:rsidRPr="00461D74" w:rsidRDefault="000A6C82" w:rsidP="00164E4D">
      <w:pPr>
        <w:spacing w:line="360" w:lineRule="auto"/>
        <w:rPr>
          <w:rFonts w:ascii="Garamond" w:hAnsi="Garamond"/>
          <w:i/>
          <w:sz w:val="24"/>
          <w:szCs w:val="24"/>
        </w:rPr>
      </w:pPr>
      <w:r w:rsidRPr="00461D74">
        <w:rPr>
          <w:rFonts w:ascii="Garamond" w:hAnsi="Garamond"/>
          <w:i/>
          <w:sz w:val="24"/>
          <w:szCs w:val="24"/>
        </w:rPr>
        <w:t>(H1):</w:t>
      </w:r>
      <w:r w:rsidRPr="00461D74">
        <w:rPr>
          <w:rFonts w:ascii="Garamond" w:hAnsi="Garamond"/>
          <w:sz w:val="24"/>
          <w:szCs w:val="24"/>
        </w:rPr>
        <w:t xml:space="preserve"> Theoretical claims are only intelligible in the context of a background social structure.</w:t>
      </w:r>
    </w:p>
    <w:p w:rsidR="000A6C82" w:rsidRPr="00461D74" w:rsidRDefault="000A6C82" w:rsidP="00164E4D">
      <w:pPr>
        <w:spacing w:line="360" w:lineRule="auto"/>
        <w:rPr>
          <w:rFonts w:ascii="Garamond" w:hAnsi="Garamond"/>
          <w:sz w:val="24"/>
          <w:szCs w:val="24"/>
        </w:rPr>
      </w:pPr>
      <w:r w:rsidRPr="00461D74">
        <w:rPr>
          <w:rFonts w:ascii="Garamond" w:hAnsi="Garamond"/>
          <w:i/>
          <w:sz w:val="24"/>
          <w:szCs w:val="24"/>
        </w:rPr>
        <w:t>(H2):</w:t>
      </w:r>
      <w:r w:rsidRPr="00461D74">
        <w:rPr>
          <w:rFonts w:ascii="Garamond" w:hAnsi="Garamond"/>
          <w:sz w:val="24"/>
          <w:szCs w:val="24"/>
        </w:rPr>
        <w:t xml:space="preserve"> </w:t>
      </w:r>
      <w:proofErr w:type="spellStart"/>
      <w:r w:rsidRPr="00461D74">
        <w:rPr>
          <w:rFonts w:ascii="Garamond" w:hAnsi="Garamond"/>
          <w:sz w:val="24"/>
          <w:szCs w:val="24"/>
        </w:rPr>
        <w:t>Emotivist</w:t>
      </w:r>
      <w:proofErr w:type="spellEnd"/>
      <w:r w:rsidRPr="00461D74">
        <w:rPr>
          <w:rFonts w:ascii="Garamond" w:hAnsi="Garamond"/>
          <w:sz w:val="24"/>
          <w:szCs w:val="24"/>
        </w:rPr>
        <w:t xml:space="preserve"> theories tend to emerge under conditions of liberalism and pluralism.</w:t>
      </w:r>
    </w:p>
    <w:p w:rsidR="000A6C82" w:rsidRPr="00461D74" w:rsidRDefault="000A6C82" w:rsidP="00164E4D">
      <w:pPr>
        <w:spacing w:line="360" w:lineRule="auto"/>
        <w:rPr>
          <w:rFonts w:ascii="Garamond" w:hAnsi="Garamond"/>
          <w:sz w:val="24"/>
          <w:szCs w:val="24"/>
        </w:rPr>
      </w:pPr>
      <w:r w:rsidRPr="00461D74">
        <w:rPr>
          <w:rFonts w:ascii="Garamond" w:hAnsi="Garamond"/>
          <w:i/>
          <w:sz w:val="24"/>
          <w:szCs w:val="24"/>
        </w:rPr>
        <w:t>(H3):</w:t>
      </w:r>
      <w:r w:rsidRPr="00461D74">
        <w:rPr>
          <w:rFonts w:ascii="Garamond" w:hAnsi="Garamond"/>
          <w:sz w:val="24"/>
          <w:szCs w:val="24"/>
        </w:rPr>
        <w:t xml:space="preserve"> The historical transition from the earlier Heroic period, to that of 4</w:t>
      </w:r>
      <w:r w:rsidRPr="00461D74">
        <w:rPr>
          <w:rFonts w:ascii="Garamond" w:hAnsi="Garamond"/>
          <w:sz w:val="24"/>
          <w:szCs w:val="24"/>
          <w:vertAlign w:val="superscript"/>
        </w:rPr>
        <w:t>th</w:t>
      </w:r>
      <w:r w:rsidRPr="00461D74">
        <w:rPr>
          <w:rFonts w:ascii="Garamond" w:hAnsi="Garamond"/>
          <w:sz w:val="24"/>
          <w:szCs w:val="24"/>
        </w:rPr>
        <w:t>-5</w:t>
      </w:r>
      <w:r w:rsidRPr="00461D74">
        <w:rPr>
          <w:rFonts w:ascii="Garamond" w:hAnsi="Garamond"/>
          <w:sz w:val="24"/>
          <w:szCs w:val="24"/>
          <w:vertAlign w:val="superscript"/>
        </w:rPr>
        <w:t>th</w:t>
      </w:r>
      <w:r w:rsidRPr="00461D74">
        <w:rPr>
          <w:rFonts w:ascii="Garamond" w:hAnsi="Garamond"/>
          <w:sz w:val="24"/>
          <w:szCs w:val="24"/>
        </w:rPr>
        <w:t xml:space="preserve"> century BCE Athens, precipitated </w:t>
      </w:r>
      <w:r w:rsidR="002D5D0D" w:rsidRPr="00461D74">
        <w:rPr>
          <w:rFonts w:ascii="Garamond" w:hAnsi="Garamond"/>
          <w:sz w:val="24"/>
          <w:szCs w:val="24"/>
        </w:rPr>
        <w:t>a c</w:t>
      </w:r>
      <w:r w:rsidRPr="00461D74">
        <w:rPr>
          <w:rFonts w:ascii="Garamond" w:hAnsi="Garamond"/>
          <w:sz w:val="24"/>
          <w:szCs w:val="24"/>
        </w:rPr>
        <w:t>hange in the Hellenic social structure</w:t>
      </w:r>
      <w:r w:rsidR="002D5D0D" w:rsidRPr="00461D74">
        <w:rPr>
          <w:rFonts w:ascii="Garamond" w:hAnsi="Garamond"/>
          <w:sz w:val="24"/>
          <w:szCs w:val="24"/>
        </w:rPr>
        <w:t xml:space="preserve"> </w:t>
      </w:r>
      <w:r w:rsidRPr="00461D74">
        <w:rPr>
          <w:rFonts w:ascii="Garamond" w:hAnsi="Garamond"/>
          <w:sz w:val="24"/>
          <w:szCs w:val="24"/>
        </w:rPr>
        <w:t xml:space="preserve">that undermined, dissolved, and </w:t>
      </w:r>
      <w:r w:rsidR="002D5D0D" w:rsidRPr="00461D74">
        <w:rPr>
          <w:rFonts w:ascii="Garamond" w:hAnsi="Garamond"/>
          <w:sz w:val="24"/>
          <w:szCs w:val="24"/>
        </w:rPr>
        <w:t xml:space="preserve">ultimately </w:t>
      </w:r>
      <w:r w:rsidRPr="00461D74">
        <w:rPr>
          <w:rFonts w:ascii="Garamond" w:hAnsi="Garamond"/>
          <w:sz w:val="24"/>
          <w:szCs w:val="24"/>
        </w:rPr>
        <w:t>transformed</w:t>
      </w:r>
      <w:r w:rsidR="002D5D0D" w:rsidRPr="00461D74">
        <w:rPr>
          <w:rFonts w:ascii="Garamond" w:hAnsi="Garamond"/>
          <w:sz w:val="24"/>
          <w:szCs w:val="24"/>
        </w:rPr>
        <w:t>,</w:t>
      </w:r>
      <w:r w:rsidRPr="00461D74">
        <w:rPr>
          <w:rFonts w:ascii="Garamond" w:hAnsi="Garamond"/>
          <w:sz w:val="24"/>
          <w:szCs w:val="24"/>
        </w:rPr>
        <w:t xml:space="preserve"> the social bonds</w:t>
      </w:r>
      <w:r w:rsidR="002D5D0D" w:rsidRPr="00461D74">
        <w:rPr>
          <w:rFonts w:ascii="Garamond" w:hAnsi="Garamond"/>
          <w:sz w:val="24"/>
          <w:szCs w:val="24"/>
        </w:rPr>
        <w:t xml:space="preserve"> and </w:t>
      </w:r>
      <w:r w:rsidRPr="00461D74">
        <w:rPr>
          <w:rFonts w:ascii="Garamond" w:hAnsi="Garamond"/>
          <w:sz w:val="24"/>
          <w:szCs w:val="24"/>
        </w:rPr>
        <w:t>practices of the earlier period.</w:t>
      </w:r>
    </w:p>
    <w:p w:rsidR="000A6C82" w:rsidRPr="00461D74" w:rsidRDefault="002D5D0D" w:rsidP="00164E4D">
      <w:pPr>
        <w:spacing w:line="360" w:lineRule="auto"/>
        <w:rPr>
          <w:rFonts w:ascii="Garamond" w:hAnsi="Garamond"/>
          <w:sz w:val="24"/>
          <w:szCs w:val="24"/>
        </w:rPr>
      </w:pPr>
      <w:r w:rsidRPr="00461D74">
        <w:rPr>
          <w:rFonts w:ascii="Garamond" w:hAnsi="Garamond"/>
          <w:i/>
          <w:sz w:val="24"/>
          <w:szCs w:val="24"/>
        </w:rPr>
        <w:t xml:space="preserve">(H3a): </w:t>
      </w:r>
      <w:r w:rsidRPr="00461D74">
        <w:rPr>
          <w:rFonts w:ascii="Garamond" w:hAnsi="Garamond"/>
          <w:sz w:val="24"/>
          <w:szCs w:val="24"/>
        </w:rPr>
        <w:t>The social bonds in medieval feudal society to which Aquinas belonged were gradually dissolved through the marginalisation of the feudal social order in the historical transition that Europe experienced between the late 14</w:t>
      </w:r>
      <w:r w:rsidRPr="00461D74">
        <w:rPr>
          <w:rFonts w:ascii="Garamond" w:hAnsi="Garamond"/>
          <w:sz w:val="24"/>
          <w:szCs w:val="24"/>
          <w:vertAlign w:val="superscript"/>
        </w:rPr>
        <w:t>th</w:t>
      </w:r>
      <w:r w:rsidRPr="00461D74">
        <w:rPr>
          <w:rFonts w:ascii="Garamond" w:hAnsi="Garamond"/>
          <w:sz w:val="24"/>
          <w:szCs w:val="24"/>
        </w:rPr>
        <w:t xml:space="preserve"> century and the 16</w:t>
      </w:r>
      <w:r w:rsidRPr="00461D74">
        <w:rPr>
          <w:rFonts w:ascii="Garamond" w:hAnsi="Garamond"/>
          <w:sz w:val="24"/>
          <w:szCs w:val="24"/>
          <w:vertAlign w:val="superscript"/>
        </w:rPr>
        <w:t>th</w:t>
      </w:r>
      <w:r w:rsidRPr="00461D74">
        <w:rPr>
          <w:rFonts w:ascii="Garamond" w:hAnsi="Garamond"/>
          <w:sz w:val="24"/>
          <w:szCs w:val="24"/>
        </w:rPr>
        <w:t xml:space="preserve"> century.</w:t>
      </w:r>
    </w:p>
    <w:p w:rsidR="00235322" w:rsidRPr="00461D74" w:rsidRDefault="00235322" w:rsidP="00164E4D">
      <w:pPr>
        <w:spacing w:line="360" w:lineRule="auto"/>
        <w:rPr>
          <w:rFonts w:ascii="Garamond" w:hAnsi="Garamond"/>
          <w:sz w:val="24"/>
          <w:szCs w:val="24"/>
        </w:rPr>
      </w:pPr>
      <w:r w:rsidRPr="00461D74">
        <w:rPr>
          <w:rFonts w:ascii="Garamond" w:hAnsi="Garamond"/>
          <w:i/>
          <w:sz w:val="24"/>
          <w:szCs w:val="24"/>
        </w:rPr>
        <w:t>(H4):</w:t>
      </w:r>
      <w:r w:rsidRPr="00461D74">
        <w:rPr>
          <w:rFonts w:ascii="Garamond" w:hAnsi="Garamond"/>
          <w:sz w:val="24"/>
          <w:szCs w:val="24"/>
        </w:rPr>
        <w:t xml:space="preserve"> </w:t>
      </w:r>
      <w:r w:rsidR="005D2C00" w:rsidRPr="00461D74">
        <w:rPr>
          <w:rFonts w:ascii="Garamond" w:hAnsi="Garamond"/>
          <w:sz w:val="24"/>
          <w:szCs w:val="24"/>
        </w:rPr>
        <w:t>Social change in the intervening period from Heroic Society to 4</w:t>
      </w:r>
      <w:r w:rsidR="005D2C00" w:rsidRPr="00461D74">
        <w:rPr>
          <w:rFonts w:ascii="Garamond" w:hAnsi="Garamond"/>
          <w:sz w:val="24"/>
          <w:szCs w:val="24"/>
          <w:vertAlign w:val="superscript"/>
        </w:rPr>
        <w:t>th</w:t>
      </w:r>
      <w:r w:rsidR="005D2C00" w:rsidRPr="00461D74">
        <w:rPr>
          <w:rFonts w:ascii="Garamond" w:hAnsi="Garamond"/>
          <w:sz w:val="24"/>
          <w:szCs w:val="24"/>
        </w:rPr>
        <w:t>-5</w:t>
      </w:r>
      <w:r w:rsidR="005D2C00" w:rsidRPr="00461D74">
        <w:rPr>
          <w:rFonts w:ascii="Garamond" w:hAnsi="Garamond"/>
          <w:sz w:val="24"/>
          <w:szCs w:val="24"/>
          <w:vertAlign w:val="superscript"/>
        </w:rPr>
        <w:t>th</w:t>
      </w:r>
      <w:r w:rsidR="005D2C00" w:rsidRPr="00461D74">
        <w:rPr>
          <w:rFonts w:ascii="Garamond" w:hAnsi="Garamond"/>
          <w:sz w:val="24"/>
          <w:szCs w:val="24"/>
        </w:rPr>
        <w:t xml:space="preserve"> century BCE Athens had generated the sort of conditions where the incompatibility between the goods of excellence and goods of winning more and more become acknowledged in conceptual terms.</w:t>
      </w:r>
    </w:p>
    <w:p w:rsidR="00235322" w:rsidRPr="00461D74" w:rsidRDefault="00235322" w:rsidP="00164E4D">
      <w:pPr>
        <w:spacing w:line="360" w:lineRule="auto"/>
        <w:rPr>
          <w:rFonts w:ascii="Garamond" w:hAnsi="Garamond"/>
          <w:sz w:val="24"/>
          <w:szCs w:val="24"/>
        </w:rPr>
      </w:pPr>
      <w:r w:rsidRPr="00461D74">
        <w:rPr>
          <w:rFonts w:ascii="Garamond" w:hAnsi="Garamond"/>
          <w:i/>
          <w:sz w:val="24"/>
          <w:szCs w:val="24"/>
        </w:rPr>
        <w:t>(H5):</w:t>
      </w:r>
      <w:r w:rsidRPr="00461D74">
        <w:rPr>
          <w:rFonts w:ascii="Garamond" w:hAnsi="Garamond"/>
          <w:sz w:val="24"/>
          <w:szCs w:val="24"/>
        </w:rPr>
        <w:t xml:space="preserve"> </w:t>
      </w:r>
      <w:r w:rsidR="000A7D02" w:rsidRPr="00461D74">
        <w:rPr>
          <w:rFonts w:ascii="Garamond" w:hAnsi="Garamond"/>
          <w:sz w:val="24"/>
          <w:szCs w:val="24"/>
        </w:rPr>
        <w:t>traditions of moral inquiry must be evaluated dialectically, where later traditions transcend the limitations present in earlier ones, and that the Aristotelian-Thomistic tradition hasn’t really been surpassed or defeated in this sense.</w:t>
      </w:r>
    </w:p>
    <w:p w:rsidR="00503F14" w:rsidRPr="00461D74" w:rsidRDefault="00503F14" w:rsidP="00164E4D">
      <w:pPr>
        <w:spacing w:line="360" w:lineRule="auto"/>
        <w:rPr>
          <w:rFonts w:ascii="Garamond" w:hAnsi="Garamond"/>
        </w:rPr>
      </w:pPr>
      <w:r w:rsidRPr="00461D74">
        <w:rPr>
          <w:rFonts w:ascii="Garamond" w:hAnsi="Garamond"/>
        </w:rPr>
        <w:br w:type="page"/>
      </w:r>
    </w:p>
    <w:p w:rsidR="001F14F5" w:rsidRPr="00F03436" w:rsidRDefault="00E07676" w:rsidP="00164E4D">
      <w:pPr>
        <w:pStyle w:val="Heading1"/>
        <w:spacing w:line="360" w:lineRule="auto"/>
        <w:rPr>
          <w:rFonts w:cstheme="majorHAnsi"/>
        </w:rPr>
      </w:pPr>
      <w:bookmarkStart w:id="75" w:name="_Toc528077851"/>
      <w:r w:rsidRPr="00F03436">
        <w:rPr>
          <w:rFonts w:cstheme="majorHAnsi"/>
        </w:rPr>
        <w:lastRenderedPageBreak/>
        <w:t>Bibliography</w:t>
      </w:r>
      <w:bookmarkEnd w:id="75"/>
    </w:p>
    <w:p w:rsidR="00B178DC" w:rsidRPr="00461D74" w:rsidRDefault="00B178DC" w:rsidP="00193E71">
      <w:pPr>
        <w:spacing w:line="360" w:lineRule="auto"/>
        <w:jc w:val="both"/>
        <w:rPr>
          <w:rFonts w:ascii="Garamond" w:hAnsi="Garamond"/>
        </w:rPr>
      </w:pPr>
    </w:p>
    <w:p w:rsidR="000F2EFD" w:rsidRPr="000F2EFD" w:rsidRDefault="00AA2A48" w:rsidP="000F2EFD">
      <w:pPr>
        <w:pStyle w:val="EndNoteBibliography"/>
        <w:spacing w:after="0"/>
        <w:ind w:left="720" w:hanging="720"/>
      </w:pPr>
      <w:r w:rsidRPr="00260D19">
        <w:rPr>
          <w:rFonts w:ascii="Times New Roman" w:hAnsi="Times New Roman" w:cs="Times New Roman"/>
          <w:sz w:val="24"/>
          <w:szCs w:val="24"/>
        </w:rPr>
        <w:fldChar w:fldCharType="begin"/>
      </w:r>
      <w:r w:rsidR="00B178DC" w:rsidRPr="00260D19">
        <w:rPr>
          <w:rFonts w:ascii="Times New Roman" w:hAnsi="Times New Roman" w:cs="Times New Roman"/>
          <w:sz w:val="24"/>
          <w:szCs w:val="24"/>
        </w:rPr>
        <w:instrText xml:space="preserve"> ADDIN EN.REFLIST </w:instrText>
      </w:r>
      <w:r w:rsidRPr="00260D19">
        <w:rPr>
          <w:rFonts w:ascii="Times New Roman" w:hAnsi="Times New Roman" w:cs="Times New Roman"/>
          <w:sz w:val="24"/>
          <w:szCs w:val="24"/>
        </w:rPr>
        <w:fldChar w:fldCharType="separate"/>
      </w:r>
      <w:r w:rsidR="000F2EFD" w:rsidRPr="000F2EFD">
        <w:t xml:space="preserve">Anderson, Elizabeth. "The Epistemology of Democracy." </w:t>
      </w:r>
      <w:r w:rsidR="000F2EFD" w:rsidRPr="000F2EFD">
        <w:rPr>
          <w:i/>
        </w:rPr>
        <w:t>Episteme: A Journal of Social Epistemology</w:t>
      </w:r>
      <w:r w:rsidR="000F2EFD" w:rsidRPr="000F2EFD">
        <w:t xml:space="preserve"> 3, no. 1 (2006): 8-22.</w:t>
      </w:r>
    </w:p>
    <w:p w:rsidR="000F2EFD" w:rsidRPr="000F2EFD" w:rsidRDefault="000F2EFD" w:rsidP="000F2EFD">
      <w:pPr>
        <w:pStyle w:val="EndNoteBibliography"/>
        <w:spacing w:after="0"/>
        <w:ind w:left="720" w:hanging="720"/>
      </w:pPr>
      <w:r w:rsidRPr="000F2EFD">
        <w:t xml:space="preserve">———. "Equality and Freedom in the Workplace: Recovering Republican Insights." </w:t>
      </w:r>
      <w:r w:rsidRPr="000F2EFD">
        <w:rPr>
          <w:i/>
        </w:rPr>
        <w:t>Social Philosophy and Policy</w:t>
      </w:r>
      <w:r w:rsidRPr="000F2EFD">
        <w:t xml:space="preserve"> 31, no. 2 (2015): 48-69.</w:t>
      </w:r>
    </w:p>
    <w:p w:rsidR="000F2EFD" w:rsidRPr="000F2EFD" w:rsidRDefault="000F2EFD" w:rsidP="000F2EFD">
      <w:pPr>
        <w:pStyle w:val="EndNoteBibliography"/>
        <w:spacing w:after="0"/>
        <w:ind w:left="720" w:hanging="720"/>
      </w:pPr>
      <w:r w:rsidRPr="000F2EFD">
        <w:t xml:space="preserve">———. "A World Turned Upside Down: Social Hierarchies and a New History of Egalitarianism." </w:t>
      </w:r>
      <w:r w:rsidRPr="000F2EFD">
        <w:rPr>
          <w:i/>
        </w:rPr>
        <w:t>Juncture</w:t>
      </w:r>
      <w:r w:rsidRPr="000F2EFD">
        <w:t xml:space="preserve"> 20, no. 4 (2014): 258-267.</w:t>
      </w:r>
    </w:p>
    <w:p w:rsidR="000F2EFD" w:rsidRPr="000F2EFD" w:rsidRDefault="000F2EFD" w:rsidP="000F2EFD">
      <w:pPr>
        <w:pStyle w:val="EndNoteBibliography"/>
        <w:spacing w:after="0"/>
        <w:ind w:left="720" w:hanging="720"/>
      </w:pPr>
      <w:r w:rsidRPr="000F2EFD">
        <w:t xml:space="preserve">Angier, Tom. "Alasdair Macintyre's Analysis of Tradition." </w:t>
      </w:r>
      <w:r w:rsidRPr="000F2EFD">
        <w:rPr>
          <w:i/>
        </w:rPr>
        <w:t>European Journal of Philosophy</w:t>
      </w:r>
      <w:r w:rsidRPr="000F2EFD">
        <w:t xml:space="preserve"> 22, no. 4 (2011): 540-572.</w:t>
      </w:r>
    </w:p>
    <w:p w:rsidR="000F2EFD" w:rsidRPr="000F2EFD" w:rsidRDefault="000F2EFD" w:rsidP="000F2EFD">
      <w:pPr>
        <w:pStyle w:val="EndNoteBibliography"/>
        <w:spacing w:after="0"/>
        <w:ind w:left="720" w:hanging="720"/>
      </w:pPr>
      <w:r w:rsidRPr="000F2EFD">
        <w:t xml:space="preserve">Anscombe, G. E. M. "Modern Moral Philosophy." </w:t>
      </w:r>
      <w:r w:rsidRPr="000F2EFD">
        <w:rPr>
          <w:i/>
        </w:rPr>
        <w:t>Philosophy</w:t>
      </w:r>
      <w:r w:rsidRPr="000F2EFD">
        <w:t xml:space="preserve"> 33, no. 124 (1958): 1-19.</w:t>
      </w:r>
    </w:p>
    <w:p w:rsidR="000F2EFD" w:rsidRPr="000F2EFD" w:rsidRDefault="000F2EFD" w:rsidP="000F2EFD">
      <w:pPr>
        <w:pStyle w:val="EndNoteBibliography"/>
        <w:spacing w:after="0"/>
        <w:ind w:left="720" w:hanging="720"/>
      </w:pPr>
      <w:r w:rsidRPr="000F2EFD">
        <w:t xml:space="preserve">Aquinas, Thomas. </w:t>
      </w:r>
      <w:r w:rsidRPr="000F2EFD">
        <w:rPr>
          <w:i/>
        </w:rPr>
        <w:t>Aquinas: Political Writings by Thomas Aquinas</w:t>
      </w:r>
      <w:r w:rsidRPr="000F2EFD">
        <w:t xml:space="preserve">. Translated by R. W. Dyson, </w:t>
      </w:r>
      <w:r w:rsidRPr="000F2EFD">
        <w:rPr>
          <w:i/>
        </w:rPr>
        <w:t>Cambridge Texts in the History of Political Thought</w:t>
      </w:r>
      <w:r w:rsidRPr="000F2EFD">
        <w:t>. Cambridge: Cambridge University Press, 2002.</w:t>
      </w:r>
    </w:p>
    <w:p w:rsidR="000F2EFD" w:rsidRPr="000F2EFD" w:rsidRDefault="000F2EFD" w:rsidP="000F2EFD">
      <w:pPr>
        <w:pStyle w:val="EndNoteBibliography"/>
        <w:spacing w:after="0"/>
        <w:ind w:left="720" w:hanging="720"/>
      </w:pPr>
      <w:r w:rsidRPr="000F2EFD">
        <w:t xml:space="preserve">Aristotle. </w:t>
      </w:r>
      <w:r w:rsidRPr="000F2EFD">
        <w:rPr>
          <w:i/>
        </w:rPr>
        <w:t>The Complete Works of Aristotle</w:t>
      </w:r>
      <w:r w:rsidRPr="000F2EFD">
        <w:t>. 6th ed. 2 vols. Princeton: Princeton University Press, 1984.</w:t>
      </w:r>
    </w:p>
    <w:p w:rsidR="000F2EFD" w:rsidRPr="000F2EFD" w:rsidRDefault="000F2EFD" w:rsidP="000F2EFD">
      <w:pPr>
        <w:pStyle w:val="EndNoteBibliography"/>
        <w:spacing w:after="0"/>
        <w:ind w:left="720" w:hanging="720"/>
      </w:pPr>
      <w:r w:rsidRPr="000F2EFD">
        <w:t xml:space="preserve">Bavister-Gould, Alex. "The Uniqueness of after Virtue (or 'against Hindsight')." </w:t>
      </w:r>
      <w:r w:rsidRPr="000F2EFD">
        <w:rPr>
          <w:i/>
        </w:rPr>
        <w:t>Analyse &amp; Kritik</w:t>
      </w:r>
      <w:r w:rsidRPr="000F2EFD">
        <w:t xml:space="preserve"> 30, no. 1 (2008): 55-74.</w:t>
      </w:r>
    </w:p>
    <w:p w:rsidR="000F2EFD" w:rsidRPr="000F2EFD" w:rsidRDefault="000F2EFD" w:rsidP="000F2EFD">
      <w:pPr>
        <w:pStyle w:val="EndNoteBibliography"/>
        <w:spacing w:after="0"/>
        <w:ind w:left="720" w:hanging="720"/>
      </w:pPr>
      <w:r w:rsidRPr="000F2EFD">
        <w:t xml:space="preserve">Bernstein, Richard J. "Creative Democracy – the Task Still before Us." </w:t>
      </w:r>
      <w:r w:rsidRPr="000F2EFD">
        <w:rPr>
          <w:i/>
        </w:rPr>
        <w:t>American Journal of Theology &amp; Philosophy</w:t>
      </w:r>
      <w:r w:rsidRPr="000F2EFD">
        <w:t>, 21, no. 3 (2000): 215-228.</w:t>
      </w:r>
    </w:p>
    <w:p w:rsidR="000F2EFD" w:rsidRPr="000F2EFD" w:rsidRDefault="000F2EFD" w:rsidP="000F2EFD">
      <w:pPr>
        <w:pStyle w:val="EndNoteBibliography"/>
        <w:spacing w:after="0"/>
        <w:ind w:left="720" w:hanging="720"/>
      </w:pPr>
      <w:r w:rsidRPr="000F2EFD">
        <w:t xml:space="preserve">———. "Nietzsche or Aristotle?: Reflections on Alasdair Macintyre's "after Virtue"." </w:t>
      </w:r>
      <w:r w:rsidRPr="000F2EFD">
        <w:rPr>
          <w:i/>
        </w:rPr>
        <w:t>Soundings: An Interdisciplinary Journal</w:t>
      </w:r>
      <w:r w:rsidRPr="000F2EFD">
        <w:t xml:space="preserve"> 67, no. 1 (1984): 6-29.</w:t>
      </w:r>
    </w:p>
    <w:p w:rsidR="000F2EFD" w:rsidRPr="000F2EFD" w:rsidRDefault="000F2EFD" w:rsidP="000F2EFD">
      <w:pPr>
        <w:pStyle w:val="EndNoteBibliography"/>
        <w:spacing w:after="0"/>
        <w:ind w:left="720" w:hanging="720"/>
      </w:pPr>
      <w:r w:rsidRPr="000F2EFD">
        <w:t xml:space="preserve">Breen, Keith. "Alasdair Macintyre and the Hope for a Politics of Virtuous Acknowledged Dependence." </w:t>
      </w:r>
      <w:r w:rsidRPr="000F2EFD">
        <w:rPr>
          <w:i/>
        </w:rPr>
        <w:t>Contemporary Political Theory</w:t>
      </w:r>
      <w:r w:rsidRPr="000F2EFD">
        <w:t xml:space="preserve"> 1, no. 2 (2002): 181–201.</w:t>
      </w:r>
    </w:p>
    <w:p w:rsidR="000F2EFD" w:rsidRPr="000F2EFD" w:rsidRDefault="000F2EFD" w:rsidP="000F2EFD">
      <w:pPr>
        <w:pStyle w:val="EndNoteBibliography"/>
        <w:spacing w:after="0"/>
        <w:ind w:left="720" w:hanging="720"/>
      </w:pPr>
      <w:r w:rsidRPr="000F2EFD">
        <w:t xml:space="preserve">———. "The State, Compartmentalization and the Turn to Local Community: A Critique of the Political Thought of Alasdair Macintyre." </w:t>
      </w:r>
      <w:r w:rsidRPr="000F2EFD">
        <w:rPr>
          <w:i/>
        </w:rPr>
        <w:t>The European Legacy</w:t>
      </w:r>
      <w:r w:rsidRPr="000F2EFD">
        <w:t xml:space="preserve"> 10, no. 5 (2005): 485–501.</w:t>
      </w:r>
    </w:p>
    <w:p w:rsidR="000F2EFD" w:rsidRPr="000F2EFD" w:rsidRDefault="000F2EFD" w:rsidP="000F2EFD">
      <w:pPr>
        <w:pStyle w:val="EndNoteBibliography"/>
        <w:spacing w:after="0"/>
        <w:ind w:left="720" w:hanging="720"/>
      </w:pPr>
      <w:r w:rsidRPr="000F2EFD">
        <w:t xml:space="preserve">Campbell, James. "Dewey's Conception of Community." In </w:t>
      </w:r>
      <w:r w:rsidRPr="000F2EFD">
        <w:rPr>
          <w:i/>
        </w:rPr>
        <w:t>Reading Dewey</w:t>
      </w:r>
      <w:r w:rsidRPr="000F2EFD">
        <w:t>, edited by Larry Hickman, 22-42. Bloomington and Indianapolis: Indiana University Press, 1998.</w:t>
      </w:r>
    </w:p>
    <w:p w:rsidR="000F2EFD" w:rsidRPr="000F2EFD" w:rsidRDefault="000F2EFD" w:rsidP="000F2EFD">
      <w:pPr>
        <w:pStyle w:val="EndNoteBibliography"/>
        <w:spacing w:after="0"/>
        <w:ind w:left="720" w:hanging="720"/>
      </w:pPr>
      <w:r w:rsidRPr="000F2EFD">
        <w:t xml:space="preserve">Carnap, Rudolph. "The Foundations of Logic and Mathematics." In </w:t>
      </w:r>
      <w:r w:rsidRPr="000F2EFD">
        <w:rPr>
          <w:i/>
        </w:rPr>
        <w:t>International Encylopedia of Unified Science</w:t>
      </w:r>
      <w:r w:rsidRPr="000F2EFD">
        <w:t>, 139-214. Chicago: Chicago University Press, 1938.</w:t>
      </w:r>
    </w:p>
    <w:p w:rsidR="000F2EFD" w:rsidRPr="000F2EFD" w:rsidRDefault="000F2EFD" w:rsidP="000F2EFD">
      <w:pPr>
        <w:pStyle w:val="EndNoteBibliography"/>
        <w:spacing w:after="0"/>
        <w:ind w:left="720" w:hanging="720"/>
      </w:pPr>
      <w:r w:rsidRPr="000F2EFD">
        <w:t xml:space="preserve">———. "Testability and Meaning." </w:t>
      </w:r>
      <w:r w:rsidRPr="000F2EFD">
        <w:rPr>
          <w:i/>
        </w:rPr>
        <w:t>Philosophy of Science</w:t>
      </w:r>
      <w:r w:rsidRPr="000F2EFD">
        <w:t xml:space="preserve"> 3, no. 4 (1936): 419-471.</w:t>
      </w:r>
    </w:p>
    <w:p w:rsidR="000F2EFD" w:rsidRPr="000F2EFD" w:rsidRDefault="000F2EFD" w:rsidP="000F2EFD">
      <w:pPr>
        <w:pStyle w:val="EndNoteBibliography"/>
        <w:spacing w:after="0"/>
        <w:ind w:left="720" w:hanging="720"/>
      </w:pPr>
      <w:r w:rsidRPr="000F2EFD">
        <w:t xml:space="preserve">———. "Testability and Meaning--Continued." </w:t>
      </w:r>
      <w:r w:rsidRPr="000F2EFD">
        <w:rPr>
          <w:i/>
        </w:rPr>
        <w:t>Philosophy of Science</w:t>
      </w:r>
      <w:r w:rsidRPr="000F2EFD">
        <w:t xml:space="preserve"> 4, no. 1 (1937): 1-40.</w:t>
      </w:r>
    </w:p>
    <w:p w:rsidR="000F2EFD" w:rsidRPr="000F2EFD" w:rsidRDefault="000F2EFD" w:rsidP="000F2EFD">
      <w:pPr>
        <w:pStyle w:val="EndNoteBibliography"/>
        <w:spacing w:after="0"/>
        <w:ind w:left="720" w:hanging="720"/>
      </w:pPr>
      <w:r w:rsidRPr="000F2EFD">
        <w:t xml:space="preserve">Chappell, Timothy. "Utopias and the Art of the Possible." </w:t>
      </w:r>
      <w:r w:rsidRPr="000F2EFD">
        <w:rPr>
          <w:i/>
        </w:rPr>
        <w:t>Analyse &amp; Kritik</w:t>
      </w:r>
      <w:r w:rsidRPr="000F2EFD">
        <w:t xml:space="preserve"> 30, no. 1 (2008): 179-203.</w:t>
      </w:r>
    </w:p>
    <w:p w:rsidR="000F2EFD" w:rsidRPr="000F2EFD" w:rsidRDefault="000F2EFD" w:rsidP="000F2EFD">
      <w:pPr>
        <w:pStyle w:val="EndNoteBibliography"/>
        <w:spacing w:after="0"/>
        <w:ind w:left="720" w:hanging="720"/>
      </w:pPr>
      <w:r w:rsidRPr="000F2EFD">
        <w:rPr>
          <w:i/>
        </w:rPr>
        <w:t>City of Clinton V. Cedar Rapids and the Missouri River Railroad</w:t>
      </w:r>
      <w:r w:rsidRPr="000F2EFD">
        <w:t>, (24 Iowa 455; 1868).</w:t>
      </w:r>
    </w:p>
    <w:p w:rsidR="000F2EFD" w:rsidRPr="000F2EFD" w:rsidRDefault="000F2EFD" w:rsidP="000F2EFD">
      <w:pPr>
        <w:pStyle w:val="EndNoteBibliography"/>
        <w:spacing w:after="0"/>
        <w:ind w:left="720" w:hanging="720"/>
      </w:pPr>
      <w:r w:rsidRPr="000F2EFD">
        <w:lastRenderedPageBreak/>
        <w:t xml:space="preserve">Davis-Cohen, Simon. "Democracy at Every Level." </w:t>
      </w:r>
      <w:r w:rsidRPr="000F2EFD">
        <w:rPr>
          <w:i/>
        </w:rPr>
        <w:t>The Jacobin</w:t>
      </w:r>
      <w:r w:rsidRPr="000F2EFD">
        <w:t xml:space="preserve"> 2016, Sept, </w:t>
      </w:r>
      <w:hyperlink r:id="rId10" w:history="1">
        <w:r w:rsidRPr="000F2EFD">
          <w:rPr>
            <w:rStyle w:val="Hyperlink"/>
          </w:rPr>
          <w:t>https://www.jacobinmag.com/2016/09/local-democracy-dillons-rule-commerce-clause-minimum-wage/</w:t>
        </w:r>
      </w:hyperlink>
      <w:r w:rsidRPr="000F2EFD">
        <w:t>, Sept-2016.</w:t>
      </w:r>
    </w:p>
    <w:p w:rsidR="000F2EFD" w:rsidRPr="000F2EFD" w:rsidRDefault="000F2EFD" w:rsidP="000F2EFD">
      <w:pPr>
        <w:pStyle w:val="EndNoteBibliography"/>
        <w:spacing w:after="0"/>
        <w:ind w:left="720" w:hanging="720"/>
      </w:pPr>
      <w:r w:rsidRPr="000F2EFD">
        <w:t xml:space="preserve">Dewey, John. </w:t>
      </w:r>
      <w:r w:rsidRPr="000F2EFD">
        <w:rPr>
          <w:i/>
        </w:rPr>
        <w:t>The Collected Works of John Dewey: The Early Works, the Middle Works, the Later Works, 1882-1953</w:t>
      </w:r>
      <w:r w:rsidRPr="000F2EFD">
        <w:t>. 37 vols. Carbondale and Edwardsville: Southern Illinois University Press, 1969-1991.</w:t>
      </w:r>
    </w:p>
    <w:p w:rsidR="000F2EFD" w:rsidRPr="000F2EFD" w:rsidRDefault="000F2EFD" w:rsidP="000F2EFD">
      <w:pPr>
        <w:pStyle w:val="EndNoteBibliography"/>
        <w:spacing w:after="0"/>
        <w:ind w:left="720" w:hanging="720"/>
      </w:pPr>
      <w:r w:rsidRPr="000F2EFD">
        <w:t xml:space="preserve">———. "The Influence of Darwinism on Philosophy." In </w:t>
      </w:r>
      <w:r w:rsidRPr="000F2EFD">
        <w:rPr>
          <w:i/>
        </w:rPr>
        <w:t>The Influence of Darwin on Philosophy</w:t>
      </w:r>
      <w:r w:rsidRPr="000F2EFD">
        <w:t>, 1-19. New York: Henry Holt and Company, 1910.</w:t>
      </w:r>
    </w:p>
    <w:p w:rsidR="000F2EFD" w:rsidRPr="000F2EFD" w:rsidRDefault="000F2EFD" w:rsidP="000F2EFD">
      <w:pPr>
        <w:pStyle w:val="EndNoteBibliography"/>
        <w:spacing w:after="0"/>
        <w:ind w:left="720" w:hanging="720"/>
      </w:pPr>
      <w:r w:rsidRPr="000F2EFD">
        <w:t xml:space="preserve">———. </w:t>
      </w:r>
      <w:r w:rsidRPr="000F2EFD">
        <w:rPr>
          <w:i/>
        </w:rPr>
        <w:t>The Public and Its Problems</w:t>
      </w:r>
      <w:r w:rsidRPr="000F2EFD">
        <w:t>. Athens: Swallow Press, 1991.</w:t>
      </w:r>
    </w:p>
    <w:p w:rsidR="000F2EFD" w:rsidRPr="000F2EFD" w:rsidRDefault="000F2EFD" w:rsidP="000F2EFD">
      <w:pPr>
        <w:pStyle w:val="EndNoteBibliography"/>
        <w:spacing w:after="0"/>
        <w:ind w:left="720" w:hanging="720"/>
      </w:pPr>
      <w:r w:rsidRPr="000F2EFD">
        <w:t xml:space="preserve">Diamond, Cora. "Losing Your Concepts." </w:t>
      </w:r>
      <w:r w:rsidRPr="000F2EFD">
        <w:rPr>
          <w:i/>
        </w:rPr>
        <w:t>Ethics</w:t>
      </w:r>
      <w:r w:rsidRPr="000F2EFD">
        <w:t xml:space="preserve"> 98, no. 2: 255-277.</w:t>
      </w:r>
    </w:p>
    <w:p w:rsidR="000F2EFD" w:rsidRPr="000F2EFD" w:rsidRDefault="000F2EFD" w:rsidP="000F2EFD">
      <w:pPr>
        <w:pStyle w:val="EndNoteBibliography"/>
        <w:spacing w:after="0"/>
        <w:ind w:left="720" w:hanging="720"/>
      </w:pPr>
      <w:r w:rsidRPr="000F2EFD">
        <w:t xml:space="preserve">Duhem, Pierre. </w:t>
      </w:r>
      <w:r w:rsidRPr="000F2EFD">
        <w:rPr>
          <w:i/>
        </w:rPr>
        <w:t>The Aim and Structure of Physical Theory</w:t>
      </w:r>
      <w:r w:rsidRPr="000F2EFD">
        <w:t>. 2nd ed. Princeton: Princeton University Press, 1954.</w:t>
      </w:r>
    </w:p>
    <w:p w:rsidR="000F2EFD" w:rsidRPr="000F2EFD" w:rsidRDefault="000F2EFD" w:rsidP="000F2EFD">
      <w:pPr>
        <w:pStyle w:val="EndNoteBibliography"/>
        <w:spacing w:after="0"/>
        <w:ind w:left="720" w:hanging="720"/>
      </w:pPr>
      <w:r w:rsidRPr="000F2EFD">
        <w:t xml:space="preserve">———. </w:t>
      </w:r>
      <w:r w:rsidRPr="000F2EFD">
        <w:rPr>
          <w:i/>
        </w:rPr>
        <w:t>To Save the Phenomena, an Essay on the Idea of Physical Theory from Plato to Galileo</w:t>
      </w:r>
      <w:r w:rsidRPr="000F2EFD">
        <w:t>. Chicago: University of Chicago Press., 1969.</w:t>
      </w:r>
    </w:p>
    <w:p w:rsidR="000F2EFD" w:rsidRPr="000F2EFD" w:rsidRDefault="000F2EFD" w:rsidP="000F2EFD">
      <w:pPr>
        <w:pStyle w:val="EndNoteBibliography"/>
        <w:spacing w:after="0"/>
        <w:ind w:left="720" w:hanging="720"/>
      </w:pPr>
      <w:r w:rsidRPr="000F2EFD">
        <w:t xml:space="preserve">Friedman, Gerald. "The Sanctity of Property Rights in American History." In </w:t>
      </w:r>
      <w:r w:rsidRPr="000F2EFD">
        <w:rPr>
          <w:i/>
        </w:rPr>
        <w:t>Working Paper Series</w:t>
      </w:r>
      <w:r w:rsidRPr="000F2EFD">
        <w:t>, 1-32. Amherst, MA: University of Massachusettes, 2001.</w:t>
      </w:r>
    </w:p>
    <w:p w:rsidR="000F2EFD" w:rsidRPr="000F2EFD" w:rsidRDefault="000F2EFD" w:rsidP="000F2EFD">
      <w:pPr>
        <w:pStyle w:val="EndNoteBibliography"/>
        <w:spacing w:after="0"/>
        <w:ind w:left="720" w:hanging="720"/>
      </w:pPr>
      <w:r w:rsidRPr="000F2EFD">
        <w:t xml:space="preserve">Galston, William A. "Realism in Political Theory." </w:t>
      </w:r>
      <w:r w:rsidRPr="000F2EFD">
        <w:rPr>
          <w:i/>
        </w:rPr>
        <w:t>European Journal of Political Theory</w:t>
      </w:r>
      <w:r w:rsidRPr="000F2EFD">
        <w:t xml:space="preserve"> 9, no. 4 (2010): 385-411.</w:t>
      </w:r>
    </w:p>
    <w:p w:rsidR="000F2EFD" w:rsidRPr="000F2EFD" w:rsidRDefault="000F2EFD" w:rsidP="000F2EFD">
      <w:pPr>
        <w:pStyle w:val="EndNoteBibliography"/>
        <w:spacing w:after="0"/>
        <w:ind w:left="720" w:hanging="720"/>
      </w:pPr>
      <w:r w:rsidRPr="000F2EFD">
        <w:t xml:space="preserve">Geuss, Raymond. "Did Williams Do Ethics?" In </w:t>
      </w:r>
      <w:r w:rsidRPr="000F2EFD">
        <w:rPr>
          <w:i/>
        </w:rPr>
        <w:t>A World without Why</w:t>
      </w:r>
      <w:r w:rsidRPr="000F2EFD">
        <w:t>, 175-194. Princeton: Princeton University Press, 2014.</w:t>
      </w:r>
    </w:p>
    <w:p w:rsidR="000F2EFD" w:rsidRPr="000F2EFD" w:rsidRDefault="000F2EFD" w:rsidP="000F2EFD">
      <w:pPr>
        <w:pStyle w:val="EndNoteBibliography"/>
        <w:spacing w:after="0"/>
        <w:ind w:left="720" w:hanging="720"/>
      </w:pPr>
      <w:r w:rsidRPr="000F2EFD">
        <w:t xml:space="preserve">Goodin, Robert E. "Making Communities More Responsive " </w:t>
      </w:r>
      <w:r w:rsidRPr="000F2EFD">
        <w:rPr>
          <w:i/>
        </w:rPr>
        <w:t>The Responsive Community</w:t>
      </w:r>
      <w:r w:rsidRPr="000F2EFD">
        <w:t>, 9, no. 1 (1998): 87-92.</w:t>
      </w:r>
    </w:p>
    <w:p w:rsidR="000F2EFD" w:rsidRPr="000F2EFD" w:rsidRDefault="000F2EFD" w:rsidP="000F2EFD">
      <w:pPr>
        <w:pStyle w:val="EndNoteBibliography"/>
        <w:spacing w:after="0"/>
        <w:ind w:left="720" w:hanging="720"/>
      </w:pPr>
      <w:r w:rsidRPr="000F2EFD">
        <w:t xml:space="preserve">Haldane, John. "Macintyre’s Thomist Revival: What Next?" In </w:t>
      </w:r>
      <w:r w:rsidRPr="000F2EFD">
        <w:rPr>
          <w:i/>
        </w:rPr>
        <w:t>After Macintyre: Critical Perspectives on the Work of Alasdair Macintyre</w:t>
      </w:r>
      <w:r w:rsidRPr="000F2EFD">
        <w:t>, edited by and Mendus Horton J., S., 91-107: University of Notre Dame Press, 1994.</w:t>
      </w:r>
    </w:p>
    <w:p w:rsidR="000F2EFD" w:rsidRPr="000F2EFD" w:rsidRDefault="000F2EFD" w:rsidP="000F2EFD">
      <w:pPr>
        <w:pStyle w:val="EndNoteBibliography"/>
        <w:spacing w:after="0"/>
        <w:ind w:left="720" w:hanging="720"/>
      </w:pPr>
      <w:r w:rsidRPr="000F2EFD">
        <w:t xml:space="preserve">Hauerwas, Stanley. "The Virtues of Alasdair Macintyre." </w:t>
      </w:r>
      <w:r w:rsidRPr="000F2EFD">
        <w:rPr>
          <w:i/>
        </w:rPr>
        <w:t>First Things</w:t>
      </w:r>
      <w:r w:rsidRPr="000F2EFD">
        <w:t xml:space="preserve"> October (2007): 35-40.</w:t>
      </w:r>
    </w:p>
    <w:p w:rsidR="000F2EFD" w:rsidRPr="000F2EFD" w:rsidRDefault="000F2EFD" w:rsidP="000F2EFD">
      <w:pPr>
        <w:pStyle w:val="EndNoteBibliography"/>
        <w:spacing w:after="0"/>
        <w:ind w:left="720" w:hanging="720"/>
      </w:pPr>
      <w:r w:rsidRPr="000F2EFD">
        <w:t xml:space="preserve">Hegel, G. W. F. </w:t>
      </w:r>
      <w:r w:rsidRPr="000F2EFD">
        <w:rPr>
          <w:i/>
        </w:rPr>
        <w:t>Elements of the Philosophy of Right</w:t>
      </w:r>
      <w:r w:rsidRPr="000F2EFD">
        <w:t>. Translated by H B Nisbet. Cambridge: Cambridge University Press, 1991.</w:t>
      </w:r>
    </w:p>
    <w:p w:rsidR="000F2EFD" w:rsidRPr="000F2EFD" w:rsidRDefault="000F2EFD" w:rsidP="000F2EFD">
      <w:pPr>
        <w:pStyle w:val="EndNoteBibliography"/>
        <w:spacing w:after="0"/>
        <w:ind w:left="720" w:hanging="720"/>
      </w:pPr>
      <w:r w:rsidRPr="000F2EFD">
        <w:t xml:space="preserve">Hibbs, Thomas S. "Macintyre, Aquinas, and Politics." </w:t>
      </w:r>
      <w:r w:rsidRPr="000F2EFD">
        <w:rPr>
          <w:i/>
        </w:rPr>
        <w:t>The Review of Politics</w:t>
      </w:r>
      <w:r w:rsidRPr="000F2EFD">
        <w:t xml:space="preserve"> 66, no. 3 (2004): 357-383.</w:t>
      </w:r>
    </w:p>
    <w:p w:rsidR="000F2EFD" w:rsidRPr="000F2EFD" w:rsidRDefault="000F2EFD" w:rsidP="000F2EFD">
      <w:pPr>
        <w:pStyle w:val="EndNoteBibliography"/>
        <w:spacing w:after="0"/>
        <w:ind w:left="720" w:hanging="720"/>
      </w:pPr>
      <w:r w:rsidRPr="000F2EFD">
        <w:t xml:space="preserve">Hickman, Larry. "Dewey's Theory of Inquiry." In </w:t>
      </w:r>
      <w:r w:rsidRPr="000F2EFD">
        <w:rPr>
          <w:i/>
        </w:rPr>
        <w:t>Reading Dewey</w:t>
      </w:r>
      <w:r w:rsidRPr="000F2EFD">
        <w:t>, edited by Larry Hickman, 166-186. Bloomington and Indianapolis: Indianapolis University Press, 1998.</w:t>
      </w:r>
    </w:p>
    <w:p w:rsidR="000F2EFD" w:rsidRPr="000F2EFD" w:rsidRDefault="000F2EFD" w:rsidP="000F2EFD">
      <w:pPr>
        <w:pStyle w:val="EndNoteBibliography"/>
        <w:spacing w:after="0"/>
        <w:ind w:left="720" w:hanging="720"/>
      </w:pPr>
      <w:r w:rsidRPr="000F2EFD">
        <w:t xml:space="preserve">Hoffmann, Tobias. "Conscience and Synderesis." In </w:t>
      </w:r>
      <w:r w:rsidRPr="000F2EFD">
        <w:rPr>
          <w:i/>
        </w:rPr>
        <w:t>The Oxford Handbook of Aquinas</w:t>
      </w:r>
      <w:r w:rsidRPr="000F2EFD">
        <w:t>, edited by Brian Davies. Oxford: Oxford University Press, 2012.</w:t>
      </w:r>
    </w:p>
    <w:p w:rsidR="000F2EFD" w:rsidRPr="000F2EFD" w:rsidRDefault="000F2EFD" w:rsidP="000F2EFD">
      <w:pPr>
        <w:pStyle w:val="EndNoteBibliography"/>
        <w:spacing w:after="0"/>
        <w:ind w:left="720" w:hanging="720"/>
      </w:pPr>
      <w:r w:rsidRPr="000F2EFD">
        <w:t xml:space="preserve">Honneth, Axel. "Democracy as Reflexive Cooperation: John Dewey and the Theory of Democracy Today." </w:t>
      </w:r>
      <w:r w:rsidRPr="000F2EFD">
        <w:rPr>
          <w:i/>
        </w:rPr>
        <w:t>Political Theory</w:t>
      </w:r>
      <w:r w:rsidRPr="000F2EFD">
        <w:t xml:space="preserve"> 26, no. 6 (1998): 763-783.</w:t>
      </w:r>
    </w:p>
    <w:p w:rsidR="000F2EFD" w:rsidRPr="000F2EFD" w:rsidRDefault="000F2EFD" w:rsidP="000F2EFD">
      <w:pPr>
        <w:pStyle w:val="EndNoteBibliography"/>
        <w:spacing w:after="0"/>
        <w:ind w:left="720" w:hanging="720"/>
      </w:pPr>
      <w:r w:rsidRPr="000F2EFD">
        <w:t xml:space="preserve">Jones, William P. "The Sanctity of Private Property: The Civil Rights Act and the Limitations of American Liberalism." </w:t>
      </w:r>
      <w:r w:rsidRPr="000F2EFD">
        <w:rPr>
          <w:i/>
        </w:rPr>
        <w:t>New Labor Forum</w:t>
      </w:r>
      <w:r w:rsidRPr="000F2EFD">
        <w:t>, 24, no. 1 (2015): 62-68.</w:t>
      </w:r>
    </w:p>
    <w:p w:rsidR="000F2EFD" w:rsidRPr="000F2EFD" w:rsidRDefault="000F2EFD" w:rsidP="000F2EFD">
      <w:pPr>
        <w:pStyle w:val="EndNoteBibliography"/>
        <w:spacing w:after="0"/>
        <w:ind w:left="720" w:hanging="720"/>
      </w:pPr>
      <w:r w:rsidRPr="000F2EFD">
        <w:t xml:space="preserve">Kelly, Paul. "Rescuing Political Theory from the Tyranny of History." In </w:t>
      </w:r>
      <w:r w:rsidRPr="000F2EFD">
        <w:rPr>
          <w:i/>
        </w:rPr>
        <w:t xml:space="preserve">Political Philosophy Versus History? Contextualism and Real Politics in Contemporary </w:t>
      </w:r>
      <w:r w:rsidRPr="000F2EFD">
        <w:rPr>
          <w:i/>
        </w:rPr>
        <w:lastRenderedPageBreak/>
        <w:t>Political Thought</w:t>
      </w:r>
      <w:r w:rsidRPr="000F2EFD">
        <w:t>, edited by Jonathan Floyd and Marc Stears, 13-37. Cambridge: Cambridge Univesity Press, 2011.</w:t>
      </w:r>
    </w:p>
    <w:p w:rsidR="000F2EFD" w:rsidRPr="000F2EFD" w:rsidRDefault="000F2EFD" w:rsidP="000F2EFD">
      <w:pPr>
        <w:pStyle w:val="EndNoteBibliography"/>
        <w:spacing w:after="0"/>
        <w:ind w:left="720" w:hanging="720"/>
      </w:pPr>
      <w:r w:rsidRPr="000F2EFD">
        <w:t xml:space="preserve">Knight, Kelvin. "Alasdair Macintyre's Revisionary Aristotelianism: Pragmatism Opposed, Marxism Outmoded, Thomism Transformed." In </w:t>
      </w:r>
      <w:r w:rsidRPr="000F2EFD">
        <w:rPr>
          <w:i/>
        </w:rPr>
        <w:t>What Happened in and to Moral Philosophy in the Twentieth Century: Philosophical Essays in Honor of Alasdair Macintyre</w:t>
      </w:r>
      <w:r w:rsidRPr="000F2EFD">
        <w:t>, edited by Fran O'Rourke, 83-121. Notre Dame, Indiana: University of Notre Dame Press, 2013.</w:t>
      </w:r>
    </w:p>
    <w:p w:rsidR="000F2EFD" w:rsidRPr="000F2EFD" w:rsidRDefault="000F2EFD" w:rsidP="000F2EFD">
      <w:pPr>
        <w:pStyle w:val="EndNoteBibliography"/>
        <w:spacing w:after="0"/>
        <w:ind w:left="720" w:hanging="720"/>
      </w:pPr>
      <w:r w:rsidRPr="000F2EFD">
        <w:t xml:space="preserve">———. </w:t>
      </w:r>
      <w:r w:rsidRPr="000F2EFD">
        <w:rPr>
          <w:i/>
        </w:rPr>
        <w:t>The Macintyre Reader</w:t>
      </w:r>
      <w:r w:rsidRPr="000F2EFD">
        <w:t>. Cambridge, Oxford: Polity Press, 1998.</w:t>
      </w:r>
    </w:p>
    <w:p w:rsidR="000F2EFD" w:rsidRPr="000F2EFD" w:rsidRDefault="000F2EFD" w:rsidP="000F2EFD">
      <w:pPr>
        <w:pStyle w:val="EndNoteBibliography"/>
        <w:spacing w:after="0"/>
        <w:ind w:left="720" w:hanging="720"/>
      </w:pPr>
      <w:r w:rsidRPr="000F2EFD">
        <w:t xml:space="preserve">Kuhn, Thomas. </w:t>
      </w:r>
      <w:r w:rsidRPr="000F2EFD">
        <w:rPr>
          <w:i/>
        </w:rPr>
        <w:t>The Structure of Scientific Revolutions</w:t>
      </w:r>
      <w:r w:rsidRPr="000F2EFD">
        <w:t>. 3rd ed. ed. Chicago: Chicago University Press, 1996.</w:t>
      </w:r>
    </w:p>
    <w:p w:rsidR="000F2EFD" w:rsidRPr="000F2EFD" w:rsidRDefault="000F2EFD" w:rsidP="000F2EFD">
      <w:pPr>
        <w:pStyle w:val="EndNoteBibliography"/>
        <w:spacing w:after="0"/>
        <w:ind w:left="720" w:hanging="720"/>
      </w:pPr>
      <w:r w:rsidRPr="000F2EFD">
        <w:t xml:space="preserve">Kuna, Marian. "Macintyre's Search for a Defensible Aristotelian Ethics and the Role of Metaphysics." </w:t>
      </w:r>
      <w:r w:rsidRPr="000F2EFD">
        <w:rPr>
          <w:i/>
        </w:rPr>
        <w:t>Res Publica</w:t>
      </w:r>
      <w:r w:rsidRPr="000F2EFD">
        <w:t>, 11, no. 3 (2005): 251-273.</w:t>
      </w:r>
    </w:p>
    <w:p w:rsidR="000F2EFD" w:rsidRPr="000F2EFD" w:rsidRDefault="000F2EFD" w:rsidP="000F2EFD">
      <w:pPr>
        <w:pStyle w:val="EndNoteBibliography"/>
        <w:spacing w:after="0"/>
        <w:ind w:left="720" w:hanging="720"/>
      </w:pPr>
      <w:r w:rsidRPr="000F2EFD">
        <w:t xml:space="preserve">Lenman, James. "The Saucer of Mud, the Kudzu Vine and the Uxorious Cheetah: Against Neo-Aristotelian Naturalism in Metaethics." </w:t>
      </w:r>
      <w:r w:rsidRPr="000F2EFD">
        <w:rPr>
          <w:i/>
        </w:rPr>
        <w:t>European Journal of Applied Philosophy</w:t>
      </w:r>
      <w:r w:rsidRPr="000F2EFD">
        <w:t xml:space="preserve"> 1, no. 2 (2005): 37-50.</w:t>
      </w:r>
    </w:p>
    <w:p w:rsidR="000F2EFD" w:rsidRPr="000F2EFD" w:rsidRDefault="000F2EFD" w:rsidP="000F2EFD">
      <w:pPr>
        <w:pStyle w:val="EndNoteBibliography"/>
        <w:spacing w:after="0"/>
        <w:ind w:left="720" w:hanging="720"/>
      </w:pPr>
      <w:r w:rsidRPr="000F2EFD">
        <w:t xml:space="preserve">Locke, John. </w:t>
      </w:r>
      <w:r w:rsidRPr="000F2EFD">
        <w:rPr>
          <w:i/>
        </w:rPr>
        <w:t>Two Treatises of Government</w:t>
      </w:r>
      <w:r w:rsidRPr="000F2EFD">
        <w:t>. Edited by Peter Laslett. Cambridge: Cambridge University Press, 1988.</w:t>
      </w:r>
    </w:p>
    <w:p w:rsidR="000F2EFD" w:rsidRPr="000F2EFD" w:rsidRDefault="000F2EFD" w:rsidP="000F2EFD">
      <w:pPr>
        <w:pStyle w:val="EndNoteBibliography"/>
        <w:spacing w:after="0"/>
        <w:ind w:left="720" w:hanging="720"/>
      </w:pPr>
      <w:r w:rsidRPr="000F2EFD">
        <w:t xml:space="preserve">Lutz, Christopher S. </w:t>
      </w:r>
      <w:r w:rsidRPr="000F2EFD">
        <w:rPr>
          <w:i/>
        </w:rPr>
        <w:t>Tradition in the Ethics of Alasdair Macintyre</w:t>
      </w:r>
      <w:r w:rsidRPr="000F2EFD">
        <w:t>. Lanham, Maryland: Lexington Books, 2004.</w:t>
      </w:r>
    </w:p>
    <w:p w:rsidR="000F2EFD" w:rsidRPr="000F2EFD" w:rsidRDefault="000F2EFD" w:rsidP="000F2EFD">
      <w:pPr>
        <w:pStyle w:val="EndNoteBibliography"/>
        <w:spacing w:after="0"/>
        <w:ind w:left="720" w:hanging="720"/>
      </w:pPr>
      <w:r w:rsidRPr="000F2EFD">
        <w:t xml:space="preserve">MacIntyre, Alasdair. </w:t>
      </w:r>
      <w:r w:rsidRPr="000F2EFD">
        <w:rPr>
          <w:i/>
        </w:rPr>
        <w:t>After Virtue : A Study in Moral Theory</w:t>
      </w:r>
      <w:r w:rsidRPr="000F2EFD">
        <w:t>. 2nd ed. Notre Dame, Indiana: University of Notre Dame Press, 1984.</w:t>
      </w:r>
    </w:p>
    <w:p w:rsidR="000F2EFD" w:rsidRPr="000F2EFD" w:rsidRDefault="000F2EFD" w:rsidP="000F2EFD">
      <w:pPr>
        <w:pStyle w:val="EndNoteBibliography"/>
        <w:spacing w:after="0"/>
        <w:ind w:left="720" w:hanging="720"/>
      </w:pPr>
      <w:r w:rsidRPr="000F2EFD">
        <w:t xml:space="preserve">———. "Causality and History." In </w:t>
      </w:r>
      <w:r w:rsidRPr="000F2EFD">
        <w:rPr>
          <w:i/>
        </w:rPr>
        <w:t>Essays on Explanation and Understanding</w:t>
      </w:r>
      <w:r w:rsidRPr="000F2EFD">
        <w:t>, edited by Juha Manninen and Raimo Tuomela, 137-158: Springer Netherlands, 1976.</w:t>
      </w:r>
    </w:p>
    <w:p w:rsidR="000F2EFD" w:rsidRPr="000F2EFD" w:rsidRDefault="000F2EFD" w:rsidP="000F2EFD">
      <w:pPr>
        <w:pStyle w:val="EndNoteBibliography"/>
        <w:spacing w:after="0"/>
        <w:ind w:left="720" w:hanging="720"/>
      </w:pPr>
      <w:r w:rsidRPr="000F2EFD">
        <w:t xml:space="preserve">———. </w:t>
      </w:r>
      <w:r w:rsidRPr="000F2EFD">
        <w:rPr>
          <w:i/>
        </w:rPr>
        <w:t>Dependent Rational Animals : Why Human Beings Need the Virtues</w:t>
      </w:r>
      <w:r w:rsidRPr="000F2EFD">
        <w:t xml:space="preserve">, </w:t>
      </w:r>
      <w:r w:rsidRPr="000F2EFD">
        <w:rPr>
          <w:i/>
        </w:rPr>
        <w:t>The Paul Carus Lecture Series</w:t>
      </w:r>
      <w:r w:rsidRPr="000F2EFD">
        <w:t>. Chicago, Illinois: Open Court, 1999.</w:t>
      </w:r>
    </w:p>
    <w:p w:rsidR="000F2EFD" w:rsidRPr="000F2EFD" w:rsidRDefault="000F2EFD" w:rsidP="000F2EFD">
      <w:pPr>
        <w:pStyle w:val="EndNoteBibliography"/>
        <w:spacing w:after="0"/>
        <w:ind w:left="720" w:hanging="720"/>
      </w:pPr>
      <w:r w:rsidRPr="000F2EFD">
        <w:t xml:space="preserve">———. </w:t>
      </w:r>
      <w:r w:rsidRPr="000F2EFD">
        <w:rPr>
          <w:i/>
        </w:rPr>
        <w:t>Ethics in the Conflicts of Modernity</w:t>
      </w:r>
      <w:r w:rsidRPr="000F2EFD">
        <w:t>. Cambridge: Cambridge University Press, 2016.</w:t>
      </w:r>
    </w:p>
    <w:p w:rsidR="000F2EFD" w:rsidRPr="000F2EFD" w:rsidRDefault="000F2EFD" w:rsidP="000F2EFD">
      <w:pPr>
        <w:pStyle w:val="EndNoteBibliography"/>
        <w:spacing w:after="0"/>
        <w:ind w:left="720" w:hanging="720"/>
      </w:pPr>
      <w:r w:rsidRPr="000F2EFD">
        <w:t xml:space="preserve">———. "First Principles, Final Ends, and Contemporary Philosophical Issues." In </w:t>
      </w:r>
      <w:r w:rsidRPr="000F2EFD">
        <w:rPr>
          <w:i/>
        </w:rPr>
        <w:t>The Macintyre Reader</w:t>
      </w:r>
      <w:r w:rsidRPr="000F2EFD">
        <w:t>, edited by Kelvin Knight, 171-201. Cambridge, Oxford: Polity Press, 1998.</w:t>
      </w:r>
    </w:p>
    <w:p w:rsidR="000F2EFD" w:rsidRPr="000F2EFD" w:rsidRDefault="000F2EFD" w:rsidP="000F2EFD">
      <w:pPr>
        <w:pStyle w:val="EndNoteBibliography"/>
        <w:spacing w:after="0"/>
        <w:ind w:left="720" w:hanging="720"/>
      </w:pPr>
      <w:r w:rsidRPr="000F2EFD">
        <w:t xml:space="preserve">———. </w:t>
      </w:r>
      <w:r w:rsidRPr="000F2EFD">
        <w:rPr>
          <w:i/>
        </w:rPr>
        <w:t>God, Philosophy, Universities: A Selective History of the Catholic Philosophical Tradition</w:t>
      </w:r>
      <w:r w:rsidRPr="000F2EFD">
        <w:t>. Lanham, Maryland: Rowman &amp; Littlefield Publishers Inc., 2011.</w:t>
      </w:r>
    </w:p>
    <w:p w:rsidR="000F2EFD" w:rsidRPr="000F2EFD" w:rsidRDefault="000F2EFD" w:rsidP="000F2EFD">
      <w:pPr>
        <w:pStyle w:val="EndNoteBibliography"/>
        <w:spacing w:after="0"/>
        <w:ind w:left="720" w:hanging="720"/>
      </w:pPr>
      <w:r w:rsidRPr="000F2EFD">
        <w:t xml:space="preserve">———. "I'm Not a Communitarian, But..." </w:t>
      </w:r>
      <w:r w:rsidRPr="000F2EFD">
        <w:rPr>
          <w:i/>
        </w:rPr>
        <w:t>The Responsive Community</w:t>
      </w:r>
      <w:r w:rsidRPr="000F2EFD">
        <w:t xml:space="preserve"> 1, no. 3 (1991): 91-92.</w:t>
      </w:r>
    </w:p>
    <w:p w:rsidR="000F2EFD" w:rsidRPr="000F2EFD" w:rsidRDefault="000F2EFD" w:rsidP="000F2EFD">
      <w:pPr>
        <w:pStyle w:val="EndNoteBibliography"/>
        <w:spacing w:after="0"/>
        <w:ind w:left="720" w:hanging="720"/>
      </w:pPr>
      <w:r w:rsidRPr="000F2EFD">
        <w:t xml:space="preserve">———. "Is a Science of Comparative Politics Possible?" In </w:t>
      </w:r>
      <w:r w:rsidRPr="000F2EFD">
        <w:rPr>
          <w:i/>
        </w:rPr>
        <w:t xml:space="preserve">Against the Self-Images of the Age </w:t>
      </w:r>
      <w:r w:rsidRPr="000F2EFD">
        <w:t>edited by Alasdair MacIntyre, 260-279. New York: Schocken Books, 1971.</w:t>
      </w:r>
    </w:p>
    <w:p w:rsidR="000F2EFD" w:rsidRPr="000F2EFD" w:rsidRDefault="000F2EFD" w:rsidP="000F2EFD">
      <w:pPr>
        <w:pStyle w:val="EndNoteBibliography"/>
        <w:spacing w:after="0"/>
        <w:ind w:left="720" w:hanging="720"/>
      </w:pPr>
      <w:r w:rsidRPr="000F2EFD">
        <w:t xml:space="preserve">———. "Is Understanding Religion Compatible with Believing?" In </w:t>
      </w:r>
      <w:r w:rsidRPr="000F2EFD">
        <w:rPr>
          <w:i/>
        </w:rPr>
        <w:t>Faith and the Philosophers</w:t>
      </w:r>
      <w:r w:rsidRPr="000F2EFD">
        <w:t>, edited by John Hick, 115-133. London Palgrave Macmillan, 1964.</w:t>
      </w:r>
    </w:p>
    <w:p w:rsidR="000F2EFD" w:rsidRPr="000F2EFD" w:rsidRDefault="000F2EFD" w:rsidP="000F2EFD">
      <w:pPr>
        <w:pStyle w:val="EndNoteBibliography"/>
        <w:spacing w:after="0"/>
        <w:ind w:left="720" w:hanging="720"/>
      </w:pPr>
      <w:r w:rsidRPr="000F2EFD">
        <w:t xml:space="preserve">———. "John Case: An Example of Aristotelianism's Self-Subversion?" In </w:t>
      </w:r>
      <w:r w:rsidRPr="000F2EFD">
        <w:rPr>
          <w:i/>
        </w:rPr>
        <w:t>Recovering Nature: Essays in Natural Philosophy, Ethics, and Metaphysics in Honor of Ralph Mcinerny</w:t>
      </w:r>
      <w:r w:rsidRPr="000F2EFD">
        <w:t>, edited by Thomas Hibbs John P. O’Callaghan, 71-82. Notre Dame, Indiana: University of Notre Dame Press, 1999.</w:t>
      </w:r>
    </w:p>
    <w:p w:rsidR="000F2EFD" w:rsidRPr="000F2EFD" w:rsidRDefault="000F2EFD" w:rsidP="000F2EFD">
      <w:pPr>
        <w:pStyle w:val="EndNoteBibliography"/>
        <w:spacing w:after="0"/>
        <w:ind w:left="720" w:hanging="720"/>
      </w:pPr>
      <w:r w:rsidRPr="000F2EFD">
        <w:lastRenderedPageBreak/>
        <w:t xml:space="preserve">———. </w:t>
      </w:r>
      <w:r w:rsidRPr="000F2EFD">
        <w:rPr>
          <w:i/>
        </w:rPr>
        <w:t>Marxism and Christianity</w:t>
      </w:r>
      <w:r w:rsidRPr="000F2EFD">
        <w:t>. 2nd ed. Notre Dame: University of Notre Dame Press, 1995.</w:t>
      </w:r>
    </w:p>
    <w:p w:rsidR="000F2EFD" w:rsidRPr="000F2EFD" w:rsidRDefault="000F2EFD" w:rsidP="000F2EFD">
      <w:pPr>
        <w:pStyle w:val="EndNoteBibliography"/>
        <w:spacing w:after="0"/>
        <w:ind w:left="720" w:hanging="720"/>
      </w:pPr>
      <w:r w:rsidRPr="000F2EFD">
        <w:t xml:space="preserve">———. "Natural Law against the Nation-State: Or the Possibility of the Common Good against the Actuality of the Public Interest." In </w:t>
      </w:r>
      <w:r w:rsidRPr="000F2EFD">
        <w:rPr>
          <w:i/>
        </w:rPr>
        <w:t>Laws, Goods, and Virtues: Medieval Resources for Modern Conflicts</w:t>
      </w:r>
      <w:r w:rsidRPr="000F2EFD">
        <w:t>, 26-52. Unpublished lectures part of the Agnes Cuming Lectures in Philosophy: University College, Dublin, 1994.</w:t>
      </w:r>
    </w:p>
    <w:p w:rsidR="000F2EFD" w:rsidRPr="000F2EFD" w:rsidRDefault="000F2EFD" w:rsidP="000F2EFD">
      <w:pPr>
        <w:pStyle w:val="EndNoteBibliography"/>
        <w:spacing w:after="0"/>
        <w:ind w:left="720" w:hanging="720"/>
      </w:pPr>
      <w:r w:rsidRPr="000F2EFD">
        <w:t xml:space="preserve">———. "Natural Law as Subversive: The Case of Aquinas." In </w:t>
      </w:r>
      <w:r w:rsidRPr="000F2EFD">
        <w:rPr>
          <w:i/>
        </w:rPr>
        <w:t>Ethics and Politics</w:t>
      </w:r>
      <w:r w:rsidRPr="000F2EFD">
        <w:t>, 41-64. Cambridge, UK: Cambridge University Press, 2006.</w:t>
      </w:r>
    </w:p>
    <w:p w:rsidR="000F2EFD" w:rsidRPr="000F2EFD" w:rsidRDefault="000F2EFD" w:rsidP="000F2EFD">
      <w:pPr>
        <w:pStyle w:val="EndNoteBibliography"/>
        <w:spacing w:after="0"/>
        <w:ind w:left="720" w:hanging="720"/>
      </w:pPr>
      <w:r w:rsidRPr="000F2EFD">
        <w:t xml:space="preserve">———. "A Partial Response to My Critics." In </w:t>
      </w:r>
      <w:r w:rsidRPr="000F2EFD">
        <w:rPr>
          <w:i/>
        </w:rPr>
        <w:t>After Macintyre: Critical Perspectives on the Work of Alasdair Macintyre</w:t>
      </w:r>
      <w:r w:rsidRPr="000F2EFD">
        <w:t>, edited by Horton and Mendus, 303. Notre Dame, Indiana: University of Notre Dame Press, 1994.</w:t>
      </w:r>
    </w:p>
    <w:p w:rsidR="000F2EFD" w:rsidRPr="000F2EFD" w:rsidRDefault="000F2EFD" w:rsidP="000F2EFD">
      <w:pPr>
        <w:pStyle w:val="EndNoteBibliography"/>
        <w:spacing w:after="0"/>
        <w:ind w:left="720" w:hanging="720"/>
      </w:pPr>
      <w:r w:rsidRPr="000F2EFD">
        <w:t xml:space="preserve">———. "Philosophy and Its History." </w:t>
      </w:r>
      <w:r w:rsidRPr="000F2EFD">
        <w:rPr>
          <w:i/>
        </w:rPr>
        <w:t>Analyse &amp; Kritik</w:t>
      </w:r>
      <w:r w:rsidRPr="000F2EFD">
        <w:t xml:space="preserve"> 4, no. 1 (1982): 102-113.</w:t>
      </w:r>
    </w:p>
    <w:p w:rsidR="000F2EFD" w:rsidRPr="000F2EFD" w:rsidRDefault="000F2EFD" w:rsidP="000F2EFD">
      <w:pPr>
        <w:pStyle w:val="EndNoteBibliography"/>
        <w:spacing w:after="0"/>
        <w:ind w:left="720" w:hanging="720"/>
      </w:pPr>
      <w:r w:rsidRPr="000F2EFD">
        <w:t xml:space="preserve">———. "Politics, Philosophy and the Common Good." In </w:t>
      </w:r>
      <w:r w:rsidRPr="000F2EFD">
        <w:rPr>
          <w:i/>
        </w:rPr>
        <w:t>The Macintyre Reader</w:t>
      </w:r>
      <w:r w:rsidRPr="000F2EFD">
        <w:t>, edited by Kelvin Knight, 235-252. Notre Dame, Indiana: University of Notre Dame Press, 1998.</w:t>
      </w:r>
    </w:p>
    <w:p w:rsidR="000F2EFD" w:rsidRPr="000F2EFD" w:rsidRDefault="000F2EFD" w:rsidP="000F2EFD">
      <w:pPr>
        <w:pStyle w:val="EndNoteBibliography"/>
        <w:spacing w:after="0"/>
        <w:ind w:left="720" w:hanging="720"/>
      </w:pPr>
      <w:r w:rsidRPr="000F2EFD">
        <w:t xml:space="preserve">———. "Predictability and Explanation in the Social Sciences." </w:t>
      </w:r>
      <w:r w:rsidRPr="000F2EFD">
        <w:rPr>
          <w:i/>
        </w:rPr>
        <w:t>Philosophic Exchange</w:t>
      </w:r>
      <w:r w:rsidRPr="000F2EFD">
        <w:t xml:space="preserve"> 3, no. 1 (1972): 5-13.</w:t>
      </w:r>
    </w:p>
    <w:p w:rsidR="000F2EFD" w:rsidRPr="000F2EFD" w:rsidRDefault="000F2EFD" w:rsidP="000F2EFD">
      <w:pPr>
        <w:pStyle w:val="EndNoteBibliography"/>
        <w:spacing w:after="0"/>
        <w:ind w:left="720" w:hanging="720"/>
      </w:pPr>
      <w:r w:rsidRPr="000F2EFD">
        <w:t xml:space="preserve">———. "The Privatization of Good: An Inaugural Lecture." </w:t>
      </w:r>
      <w:r w:rsidRPr="000F2EFD">
        <w:rPr>
          <w:i/>
        </w:rPr>
        <w:t>The Review of Politics</w:t>
      </w:r>
      <w:r w:rsidRPr="000F2EFD">
        <w:t xml:space="preserve"> 52, no. 03 (1990): 344-361.</w:t>
      </w:r>
    </w:p>
    <w:p w:rsidR="000F2EFD" w:rsidRPr="000F2EFD" w:rsidRDefault="000F2EFD" w:rsidP="000F2EFD">
      <w:pPr>
        <w:pStyle w:val="EndNoteBibliography"/>
        <w:spacing w:after="0"/>
        <w:ind w:left="720" w:hanging="720"/>
      </w:pPr>
      <w:r w:rsidRPr="000F2EFD">
        <w:t xml:space="preserve">———. "Rival Aristotle’s: Aristotle against Some Renaissance Aristotelians." In </w:t>
      </w:r>
      <w:r w:rsidRPr="000F2EFD">
        <w:rPr>
          <w:i/>
        </w:rPr>
        <w:t>Ethics and Politics: Selected Essays Vol. 2</w:t>
      </w:r>
      <w:r w:rsidRPr="000F2EFD">
        <w:t>, 3-21. Cambridge: Cambridge University Press, 2006.</w:t>
      </w:r>
    </w:p>
    <w:p w:rsidR="000F2EFD" w:rsidRPr="000F2EFD" w:rsidRDefault="000F2EFD" w:rsidP="000F2EFD">
      <w:pPr>
        <w:pStyle w:val="EndNoteBibliography"/>
        <w:spacing w:after="0"/>
        <w:ind w:left="720" w:hanging="720"/>
      </w:pPr>
      <w:r w:rsidRPr="000F2EFD">
        <w:t xml:space="preserve">———. </w:t>
      </w:r>
      <w:r w:rsidRPr="000F2EFD">
        <w:rPr>
          <w:i/>
        </w:rPr>
        <w:t>Secularisation and Moral Change</w:t>
      </w:r>
      <w:r w:rsidRPr="000F2EFD">
        <w:t>. London: Oxford University Press, 1967.</w:t>
      </w:r>
    </w:p>
    <w:p w:rsidR="000F2EFD" w:rsidRPr="000F2EFD" w:rsidRDefault="000F2EFD" w:rsidP="000F2EFD">
      <w:pPr>
        <w:pStyle w:val="EndNoteBibliography"/>
        <w:spacing w:after="0"/>
        <w:ind w:left="720" w:hanging="720"/>
      </w:pPr>
      <w:r w:rsidRPr="000F2EFD">
        <w:t xml:space="preserve">———. "Social Science Methodology as the Ideology of Bureaucratic Authority." In </w:t>
      </w:r>
      <w:r w:rsidRPr="000F2EFD">
        <w:rPr>
          <w:i/>
        </w:rPr>
        <w:t>Through the Looking Glass: Epistemology and the Conduct of Enquiry</w:t>
      </w:r>
      <w:r w:rsidRPr="000F2EFD">
        <w:t>, edited by M.J. Falco, 42-58: University Press of America, 1979.</w:t>
      </w:r>
    </w:p>
    <w:p w:rsidR="000F2EFD" w:rsidRPr="000F2EFD" w:rsidRDefault="000F2EFD" w:rsidP="000F2EFD">
      <w:pPr>
        <w:pStyle w:val="EndNoteBibliography"/>
        <w:spacing w:after="0"/>
        <w:ind w:left="720" w:hanging="720"/>
      </w:pPr>
      <w:r w:rsidRPr="000F2EFD">
        <w:t xml:space="preserve">———. "Social Structures and Their Threats to Moral Agency." </w:t>
      </w:r>
      <w:r w:rsidRPr="000F2EFD">
        <w:rPr>
          <w:i/>
        </w:rPr>
        <w:t>Philosophy</w:t>
      </w:r>
      <w:r w:rsidRPr="000F2EFD">
        <w:t xml:space="preserve"> 74, no. 03 (1999): 311-329.</w:t>
      </w:r>
    </w:p>
    <w:p w:rsidR="000F2EFD" w:rsidRPr="000F2EFD" w:rsidRDefault="000F2EFD" w:rsidP="000F2EFD">
      <w:pPr>
        <w:pStyle w:val="EndNoteBibliography"/>
        <w:spacing w:after="0"/>
        <w:ind w:left="720" w:hanging="720"/>
      </w:pPr>
      <w:r w:rsidRPr="000F2EFD">
        <w:t xml:space="preserve">———. "Toleration and the Goods of Conflict." In </w:t>
      </w:r>
      <w:r w:rsidRPr="000F2EFD">
        <w:rPr>
          <w:i/>
        </w:rPr>
        <w:t>Ethics and Politics: Selected Essays</w:t>
      </w:r>
      <w:r w:rsidRPr="000F2EFD">
        <w:t>, edited by Alasdair MacIntyre, 205-223. Cambridge, UK: Cambridge University Press, 2006.</w:t>
      </w:r>
    </w:p>
    <w:p w:rsidR="000F2EFD" w:rsidRPr="000F2EFD" w:rsidRDefault="000F2EFD" w:rsidP="000F2EFD">
      <w:pPr>
        <w:pStyle w:val="EndNoteBibliography"/>
        <w:spacing w:after="0"/>
        <w:ind w:left="720" w:hanging="720"/>
      </w:pPr>
      <w:r w:rsidRPr="000F2EFD">
        <w:t xml:space="preserve">———. </w:t>
      </w:r>
      <w:r w:rsidRPr="000F2EFD">
        <w:rPr>
          <w:i/>
        </w:rPr>
        <w:t>Whose Justice? Which Rationality?</w:t>
      </w:r>
      <w:r w:rsidRPr="000F2EFD">
        <w:t xml:space="preserve"> Notre Dame, Indiana: University of Notre Dame Press, 1988.</w:t>
      </w:r>
    </w:p>
    <w:p w:rsidR="000F2EFD" w:rsidRPr="000F2EFD" w:rsidRDefault="000F2EFD" w:rsidP="000F2EFD">
      <w:pPr>
        <w:pStyle w:val="EndNoteBibliography"/>
        <w:spacing w:after="0"/>
        <w:ind w:left="720" w:hanging="720"/>
      </w:pPr>
      <w:r w:rsidRPr="000F2EFD">
        <w:t xml:space="preserve">McDowell, John. "Reason, Value and Reality." In </w:t>
      </w:r>
      <w:r w:rsidRPr="000F2EFD">
        <w:rPr>
          <w:i/>
        </w:rPr>
        <w:t>Mind, Value, and Reality</w:t>
      </w:r>
      <w:r w:rsidRPr="000F2EFD">
        <w:t>. Cambridge, MA: Harvard University Press, 1998.</w:t>
      </w:r>
    </w:p>
    <w:p w:rsidR="000F2EFD" w:rsidRPr="000F2EFD" w:rsidRDefault="000F2EFD" w:rsidP="000F2EFD">
      <w:pPr>
        <w:pStyle w:val="EndNoteBibliography"/>
        <w:spacing w:after="0"/>
        <w:ind w:left="720" w:hanging="720"/>
      </w:pPr>
      <w:r w:rsidRPr="000F2EFD">
        <w:t xml:space="preserve">Millgram, Elijah. "Hume on Practical Reasoning (Treatise 463—469)." </w:t>
      </w:r>
      <w:r w:rsidRPr="000F2EFD">
        <w:rPr>
          <w:i/>
        </w:rPr>
        <w:t>Iyyun: The Jerusalem Philosophical Quarterly</w:t>
      </w:r>
      <w:r w:rsidRPr="000F2EFD">
        <w:t>, 46 (1997): 235-265.</w:t>
      </w:r>
    </w:p>
    <w:p w:rsidR="000F2EFD" w:rsidRPr="000F2EFD" w:rsidRDefault="000F2EFD" w:rsidP="000F2EFD">
      <w:pPr>
        <w:pStyle w:val="EndNoteBibliography"/>
        <w:spacing w:after="0"/>
        <w:ind w:left="720" w:hanging="720"/>
      </w:pPr>
      <w:r w:rsidRPr="000F2EFD">
        <w:t xml:space="preserve">———. "Was Hume a Humean?" </w:t>
      </w:r>
      <w:r w:rsidRPr="000F2EFD">
        <w:rPr>
          <w:i/>
        </w:rPr>
        <w:t>Hume Studies</w:t>
      </w:r>
      <w:r w:rsidRPr="000F2EFD">
        <w:t>, 21, no. 1 (1995): 75-93.</w:t>
      </w:r>
    </w:p>
    <w:p w:rsidR="000F2EFD" w:rsidRPr="000F2EFD" w:rsidRDefault="000F2EFD" w:rsidP="000F2EFD">
      <w:pPr>
        <w:pStyle w:val="EndNoteBibliography"/>
        <w:spacing w:after="0"/>
        <w:ind w:left="720" w:hanging="720"/>
      </w:pPr>
      <w:r w:rsidRPr="000F2EFD">
        <w:t xml:space="preserve">Misak, C. J. </w:t>
      </w:r>
      <w:r w:rsidRPr="000F2EFD">
        <w:rPr>
          <w:i/>
        </w:rPr>
        <w:t>Truth, Politics, Morality : Pragmatism and Deliberation</w:t>
      </w:r>
      <w:r w:rsidRPr="000F2EFD">
        <w:t>. London ; New York: Routledge, 2000.</w:t>
      </w:r>
    </w:p>
    <w:p w:rsidR="000F2EFD" w:rsidRPr="000F2EFD" w:rsidRDefault="000F2EFD" w:rsidP="000F2EFD">
      <w:pPr>
        <w:pStyle w:val="EndNoteBibliography"/>
        <w:spacing w:after="0"/>
        <w:ind w:left="720" w:hanging="720"/>
      </w:pPr>
      <w:r w:rsidRPr="000F2EFD">
        <w:t xml:space="preserve">Mounk, Sacha. "The Danger of Deconsolidation: The Democratic Disconnect." </w:t>
      </w:r>
      <w:r w:rsidRPr="000F2EFD">
        <w:rPr>
          <w:i/>
        </w:rPr>
        <w:t>The Journal of Democracy</w:t>
      </w:r>
      <w:r w:rsidRPr="000F2EFD">
        <w:t xml:space="preserve"> 27, no. 3 (2016): 5-17.</w:t>
      </w:r>
    </w:p>
    <w:p w:rsidR="000F2EFD" w:rsidRPr="000F2EFD" w:rsidRDefault="000F2EFD" w:rsidP="000F2EFD">
      <w:pPr>
        <w:pStyle w:val="EndNoteBibliography"/>
        <w:spacing w:after="0"/>
        <w:ind w:left="720" w:hanging="720"/>
      </w:pPr>
      <w:r w:rsidRPr="000F2EFD">
        <w:lastRenderedPageBreak/>
        <w:t xml:space="preserve">Mounk, Yascha. "America Is Not a Democracy." </w:t>
      </w:r>
      <w:r w:rsidRPr="000F2EFD">
        <w:rPr>
          <w:i/>
        </w:rPr>
        <w:t>The Atlantic</w:t>
      </w:r>
      <w:r w:rsidRPr="000F2EFD">
        <w:t xml:space="preserve"> March (2018) </w:t>
      </w:r>
      <w:hyperlink r:id="rId11" w:history="1">
        <w:r w:rsidRPr="000F2EFD">
          <w:rPr>
            <w:rStyle w:val="Hyperlink"/>
          </w:rPr>
          <w:t>https://www.theatlantic.com/magazine/archive/2018/03/america-is-not-a-democracy/550931/</w:t>
        </w:r>
      </w:hyperlink>
      <w:r w:rsidRPr="000F2EFD">
        <w:t>, Mar-2018.</w:t>
      </w:r>
    </w:p>
    <w:p w:rsidR="000F2EFD" w:rsidRPr="000F2EFD" w:rsidRDefault="000F2EFD" w:rsidP="000F2EFD">
      <w:pPr>
        <w:pStyle w:val="EndNoteBibliography"/>
        <w:spacing w:after="0"/>
        <w:ind w:left="720" w:hanging="720"/>
      </w:pPr>
      <w:r w:rsidRPr="000F2EFD">
        <w:t xml:space="preserve">Mulhall, Stephen. </w:t>
      </w:r>
      <w:r w:rsidRPr="000F2EFD">
        <w:rPr>
          <w:i/>
        </w:rPr>
        <w:t>Philosophical Myths of the Fall</w:t>
      </w:r>
      <w:r w:rsidRPr="000F2EFD">
        <w:t xml:space="preserve">, </w:t>
      </w:r>
      <w:r w:rsidRPr="000F2EFD">
        <w:rPr>
          <w:i/>
        </w:rPr>
        <w:t>Princeton Monographs in Philosophy</w:t>
      </w:r>
      <w:r w:rsidRPr="000F2EFD">
        <w:t>. Princeton, N.J.: Princeton University Press, 2005.</w:t>
      </w:r>
    </w:p>
    <w:p w:rsidR="000F2EFD" w:rsidRPr="000F2EFD" w:rsidRDefault="000F2EFD" w:rsidP="000F2EFD">
      <w:pPr>
        <w:pStyle w:val="EndNoteBibliography"/>
        <w:spacing w:after="0"/>
        <w:ind w:left="720" w:hanging="720"/>
      </w:pPr>
      <w:r w:rsidRPr="000F2EFD">
        <w:t xml:space="preserve">Murdoch, Iris. </w:t>
      </w:r>
      <w:r w:rsidRPr="000F2EFD">
        <w:rPr>
          <w:i/>
        </w:rPr>
        <w:t>The Sovereignty of the Good</w:t>
      </w:r>
      <w:r w:rsidRPr="000F2EFD">
        <w:t>. London: Routledge &amp; Kegan Paul, 1970.</w:t>
      </w:r>
    </w:p>
    <w:p w:rsidR="000F2EFD" w:rsidRPr="000F2EFD" w:rsidRDefault="000F2EFD" w:rsidP="000F2EFD">
      <w:pPr>
        <w:pStyle w:val="EndNoteBibliography"/>
        <w:spacing w:after="0"/>
        <w:ind w:left="720" w:hanging="720"/>
      </w:pPr>
      <w:r w:rsidRPr="000F2EFD">
        <w:t xml:space="preserve">Murphy, Mark C. "Macintyre's Political Philosophy." In </w:t>
      </w:r>
      <w:r w:rsidRPr="000F2EFD">
        <w:rPr>
          <w:i/>
        </w:rPr>
        <w:t>Alasdair Macintyre</w:t>
      </w:r>
      <w:r w:rsidRPr="000F2EFD">
        <w:t>, edited by Mark C. Murphy, 152-175. Cambridge, UK ; New York: Cambridge University Press, 2003.</w:t>
      </w:r>
    </w:p>
    <w:p w:rsidR="000F2EFD" w:rsidRPr="000F2EFD" w:rsidRDefault="000F2EFD" w:rsidP="000F2EFD">
      <w:pPr>
        <w:pStyle w:val="EndNoteBibliography"/>
        <w:spacing w:after="0"/>
        <w:ind w:left="720" w:hanging="720"/>
      </w:pPr>
      <w:r w:rsidRPr="000F2EFD">
        <w:t xml:space="preserve">Nichols, Mary. </w:t>
      </w:r>
      <w:r w:rsidRPr="000F2EFD">
        <w:rPr>
          <w:i/>
        </w:rPr>
        <w:t>Citizens and Statesmen: A Study of Aristotle’s Politics</w:t>
      </w:r>
      <w:r w:rsidRPr="000F2EFD">
        <w:t>. Savage, MD: Rowman and Littlefield Publishers, 1992.</w:t>
      </w:r>
    </w:p>
    <w:p w:rsidR="000F2EFD" w:rsidRPr="000F2EFD" w:rsidRDefault="000F2EFD" w:rsidP="000F2EFD">
      <w:pPr>
        <w:pStyle w:val="EndNoteBibliography"/>
        <w:spacing w:after="0"/>
        <w:ind w:left="720" w:hanging="720"/>
      </w:pPr>
      <w:r w:rsidRPr="000F2EFD">
        <w:t xml:space="preserve">Osborne Jr, Thomas M. "Macintyre, Thomism, and the Contemporary Common Good." </w:t>
      </w:r>
      <w:r w:rsidRPr="000F2EFD">
        <w:rPr>
          <w:i/>
        </w:rPr>
        <w:t>Analyse &amp; Kritik</w:t>
      </w:r>
      <w:r w:rsidRPr="000F2EFD">
        <w:t xml:space="preserve"> 2008, no. 1 (2008): 382-397.</w:t>
      </w:r>
    </w:p>
    <w:p w:rsidR="000F2EFD" w:rsidRPr="000F2EFD" w:rsidRDefault="000F2EFD" w:rsidP="000F2EFD">
      <w:pPr>
        <w:pStyle w:val="EndNoteBibliography"/>
        <w:spacing w:after="0"/>
        <w:ind w:left="720" w:hanging="720"/>
      </w:pPr>
      <w:r w:rsidRPr="000F2EFD">
        <w:t>Otte, Marcus S. "A Thomistic Critique of the Ethics of Alasdair Macintyre." University of Central Florida, 2014.</w:t>
      </w:r>
    </w:p>
    <w:p w:rsidR="000F2EFD" w:rsidRPr="000F2EFD" w:rsidRDefault="000F2EFD" w:rsidP="000F2EFD">
      <w:pPr>
        <w:pStyle w:val="EndNoteBibliography"/>
        <w:spacing w:after="0"/>
        <w:ind w:left="720" w:hanging="720"/>
      </w:pPr>
      <w:r w:rsidRPr="000F2EFD">
        <w:rPr>
          <w:i/>
        </w:rPr>
        <w:t>The People V. Hurlbut</w:t>
      </w:r>
      <w:r w:rsidRPr="000F2EFD">
        <w:t>, (24 Mich. 44, 108 (1871)).</w:t>
      </w:r>
    </w:p>
    <w:p w:rsidR="000F2EFD" w:rsidRPr="000F2EFD" w:rsidRDefault="000F2EFD" w:rsidP="000F2EFD">
      <w:pPr>
        <w:pStyle w:val="EndNoteBibliography"/>
        <w:spacing w:after="0"/>
        <w:ind w:left="720" w:hanging="720"/>
      </w:pPr>
      <w:r w:rsidRPr="000F2EFD">
        <w:t xml:space="preserve">Putnam, Hilary. </w:t>
      </w:r>
      <w:r w:rsidRPr="000F2EFD">
        <w:rPr>
          <w:i/>
        </w:rPr>
        <w:t>The Collapse of the Fact/Value Dichotomy and Other Essays</w:t>
      </w:r>
      <w:r w:rsidRPr="000F2EFD">
        <w:t>. Cambridge, MA: Harvard University Press, 2002.</w:t>
      </w:r>
    </w:p>
    <w:p w:rsidR="000F2EFD" w:rsidRPr="000F2EFD" w:rsidRDefault="000F2EFD" w:rsidP="000F2EFD">
      <w:pPr>
        <w:pStyle w:val="EndNoteBibliography"/>
        <w:spacing w:after="0"/>
        <w:ind w:left="720" w:hanging="720"/>
      </w:pPr>
      <w:r w:rsidRPr="000F2EFD">
        <w:t xml:space="preserve">———. </w:t>
      </w:r>
      <w:r w:rsidRPr="000F2EFD">
        <w:rPr>
          <w:i/>
        </w:rPr>
        <w:t>Ethics without Ontology</w:t>
      </w:r>
      <w:r w:rsidRPr="000F2EFD">
        <w:t>. Cambridge, Mass.: Harvard University Press, 2004.</w:t>
      </w:r>
    </w:p>
    <w:p w:rsidR="000F2EFD" w:rsidRPr="000F2EFD" w:rsidRDefault="000F2EFD" w:rsidP="000F2EFD">
      <w:pPr>
        <w:pStyle w:val="EndNoteBibliography"/>
        <w:spacing w:after="0"/>
        <w:ind w:left="720" w:hanging="720"/>
      </w:pPr>
      <w:r w:rsidRPr="000F2EFD">
        <w:t xml:space="preserve">———. "Objectivity and the Science-Ethics Distinction." In </w:t>
      </w:r>
      <w:r w:rsidRPr="000F2EFD">
        <w:rPr>
          <w:i/>
        </w:rPr>
        <w:t>The Quality of Life</w:t>
      </w:r>
      <w:r w:rsidRPr="000F2EFD">
        <w:t>, edited by Martha Nussbaum and Amartya Sen, 143-157. Oxford: Oxford University Press, 1993.</w:t>
      </w:r>
    </w:p>
    <w:p w:rsidR="000F2EFD" w:rsidRPr="000F2EFD" w:rsidRDefault="000F2EFD" w:rsidP="000F2EFD">
      <w:pPr>
        <w:pStyle w:val="EndNoteBibliography"/>
        <w:spacing w:after="0"/>
        <w:ind w:left="720" w:hanging="720"/>
      </w:pPr>
      <w:r w:rsidRPr="000F2EFD">
        <w:t xml:space="preserve">———. "A Reconsideration of Deweyan Democracy." In </w:t>
      </w:r>
      <w:r w:rsidRPr="000F2EFD">
        <w:rPr>
          <w:i/>
        </w:rPr>
        <w:t>Renewing Philosophy</w:t>
      </w:r>
      <w:r w:rsidRPr="000F2EFD">
        <w:t>, 180-200. Cambridge, Mass.: Harvard University Press, 1992.</w:t>
      </w:r>
    </w:p>
    <w:p w:rsidR="000F2EFD" w:rsidRPr="000F2EFD" w:rsidRDefault="000F2EFD" w:rsidP="000F2EFD">
      <w:pPr>
        <w:pStyle w:val="EndNoteBibliography"/>
        <w:spacing w:after="0"/>
        <w:ind w:left="720" w:hanging="720"/>
      </w:pPr>
      <w:r w:rsidRPr="000F2EFD">
        <w:t xml:space="preserve">Quine, Willard V. O. "Two Dogmas of Empiricism." </w:t>
      </w:r>
      <w:r w:rsidRPr="000F2EFD">
        <w:rPr>
          <w:i/>
        </w:rPr>
        <w:t>Philosophical Review</w:t>
      </w:r>
      <w:r w:rsidRPr="000F2EFD">
        <w:t>, 60, no. 1 (1951): 20–43.</w:t>
      </w:r>
    </w:p>
    <w:p w:rsidR="000F2EFD" w:rsidRPr="000F2EFD" w:rsidRDefault="000F2EFD" w:rsidP="000F2EFD">
      <w:pPr>
        <w:pStyle w:val="EndNoteBibliography"/>
        <w:spacing w:after="0"/>
        <w:ind w:left="720" w:hanging="720"/>
      </w:pPr>
      <w:r w:rsidRPr="000F2EFD">
        <w:t xml:space="preserve">Rawls, John. </w:t>
      </w:r>
      <w:r w:rsidRPr="000F2EFD">
        <w:rPr>
          <w:i/>
        </w:rPr>
        <w:t>Political Liberalism</w:t>
      </w:r>
      <w:r w:rsidRPr="000F2EFD">
        <w:t>. New York: Columbia University Press, 1996.</w:t>
      </w:r>
    </w:p>
    <w:p w:rsidR="000F2EFD" w:rsidRPr="000F2EFD" w:rsidRDefault="000F2EFD" w:rsidP="000F2EFD">
      <w:pPr>
        <w:pStyle w:val="EndNoteBibliography"/>
        <w:spacing w:after="0"/>
        <w:ind w:left="720" w:hanging="720"/>
      </w:pPr>
      <w:r w:rsidRPr="000F2EFD">
        <w:t xml:space="preserve">Sandel, Michael. </w:t>
      </w:r>
      <w:r w:rsidRPr="000F2EFD">
        <w:rPr>
          <w:i/>
        </w:rPr>
        <w:t>Liberalism and the Limits of Justice</w:t>
      </w:r>
      <w:r w:rsidRPr="000F2EFD">
        <w:t>. 2nd ed. Cambridge and New York: Cambridge University Press, 1998.</w:t>
      </w:r>
    </w:p>
    <w:p w:rsidR="000F2EFD" w:rsidRPr="000F2EFD" w:rsidRDefault="000F2EFD" w:rsidP="000F2EFD">
      <w:pPr>
        <w:pStyle w:val="EndNoteBibliography"/>
        <w:spacing w:after="0"/>
        <w:ind w:left="720" w:hanging="720"/>
      </w:pPr>
      <w:r w:rsidRPr="000F2EFD">
        <w:t xml:space="preserve">Schneewind, J. B. "The Misfortunes of Virtue." </w:t>
      </w:r>
      <w:r w:rsidRPr="000F2EFD">
        <w:rPr>
          <w:i/>
        </w:rPr>
        <w:t>Ethics</w:t>
      </w:r>
      <w:r w:rsidRPr="000F2EFD">
        <w:t xml:space="preserve"> 101, no. 1 (1990): 42-63.</w:t>
      </w:r>
    </w:p>
    <w:p w:rsidR="000F2EFD" w:rsidRPr="000F2EFD" w:rsidRDefault="000F2EFD" w:rsidP="000F2EFD">
      <w:pPr>
        <w:pStyle w:val="EndNoteBibliography"/>
        <w:spacing w:after="0"/>
        <w:ind w:left="720" w:hanging="720"/>
      </w:pPr>
      <w:r w:rsidRPr="000F2EFD">
        <w:t xml:space="preserve">———. "Moral Crisis and the History of Ethics." </w:t>
      </w:r>
      <w:r w:rsidRPr="000F2EFD">
        <w:rPr>
          <w:i/>
        </w:rPr>
        <w:t>Midwest Studies In Philosophy,</w:t>
      </w:r>
      <w:r w:rsidRPr="000F2EFD">
        <w:t xml:space="preserve"> 8, no. 1 (1983): 525-539.</w:t>
      </w:r>
    </w:p>
    <w:p w:rsidR="000F2EFD" w:rsidRPr="000F2EFD" w:rsidRDefault="000F2EFD" w:rsidP="000F2EFD">
      <w:pPr>
        <w:pStyle w:val="EndNoteBibliography"/>
        <w:spacing w:after="0"/>
        <w:ind w:left="720" w:hanging="720"/>
      </w:pPr>
      <w:r w:rsidRPr="000F2EFD">
        <w:t xml:space="preserve">Stern, Robert. "Macintyre and Historicism." In </w:t>
      </w:r>
      <w:r w:rsidRPr="000F2EFD">
        <w:rPr>
          <w:i/>
        </w:rPr>
        <w:t>After Macintyre: Critical Perspectives on the Work of Alasdair Macintyre</w:t>
      </w:r>
      <w:r w:rsidRPr="000F2EFD">
        <w:t>, edited by and Mendus Horton J., S.: University of Notre Dame Press, 1994.</w:t>
      </w:r>
    </w:p>
    <w:p w:rsidR="000F2EFD" w:rsidRPr="000F2EFD" w:rsidRDefault="000F2EFD" w:rsidP="000F2EFD">
      <w:pPr>
        <w:pStyle w:val="EndNoteBibliography"/>
        <w:spacing w:after="0"/>
        <w:ind w:left="720" w:hanging="720"/>
      </w:pPr>
      <w:r w:rsidRPr="000F2EFD">
        <w:t xml:space="preserve">Stuhr, John. "Dewey's Social and Political Philosophy." In </w:t>
      </w:r>
      <w:r w:rsidRPr="000F2EFD">
        <w:rPr>
          <w:i/>
        </w:rPr>
        <w:t>Reading Dewey</w:t>
      </w:r>
      <w:r w:rsidRPr="000F2EFD">
        <w:t>, edited by Larry Hickman, 82-99. Bloomington and Indianapolis: Indiana University Press, 1998.</w:t>
      </w:r>
    </w:p>
    <w:p w:rsidR="000F2EFD" w:rsidRPr="000F2EFD" w:rsidRDefault="000F2EFD" w:rsidP="000F2EFD">
      <w:pPr>
        <w:pStyle w:val="EndNoteBibliography"/>
        <w:spacing w:after="0"/>
        <w:ind w:left="720" w:hanging="720"/>
      </w:pPr>
      <w:r w:rsidRPr="000F2EFD">
        <w:t xml:space="preserve">Talisse, Robert. "Fairwell to Deweyan Democracy." </w:t>
      </w:r>
      <w:r w:rsidRPr="000F2EFD">
        <w:rPr>
          <w:i/>
        </w:rPr>
        <w:t>Political Studies</w:t>
      </w:r>
      <w:r w:rsidRPr="000F2EFD">
        <w:t xml:space="preserve"> 59 (2011): 509-526.</w:t>
      </w:r>
    </w:p>
    <w:p w:rsidR="000F2EFD" w:rsidRPr="000F2EFD" w:rsidRDefault="000F2EFD" w:rsidP="000F2EFD">
      <w:pPr>
        <w:pStyle w:val="EndNoteBibliography"/>
        <w:spacing w:after="0"/>
        <w:ind w:left="720" w:hanging="720"/>
      </w:pPr>
      <w:r w:rsidRPr="000F2EFD">
        <w:t xml:space="preserve">Taylor, Charles. "Irreducibly Social Goods." In </w:t>
      </w:r>
      <w:r w:rsidRPr="000F2EFD">
        <w:rPr>
          <w:i/>
        </w:rPr>
        <w:t>Philosophical Arguments</w:t>
      </w:r>
      <w:r w:rsidRPr="000F2EFD">
        <w:t>. Cambridge: Harvard University Press, 1995.</w:t>
      </w:r>
    </w:p>
    <w:p w:rsidR="000F2EFD" w:rsidRPr="000F2EFD" w:rsidRDefault="000F2EFD" w:rsidP="000F2EFD">
      <w:pPr>
        <w:pStyle w:val="EndNoteBibliography"/>
        <w:spacing w:after="0"/>
        <w:ind w:left="720" w:hanging="720"/>
      </w:pPr>
      <w:r w:rsidRPr="000F2EFD">
        <w:lastRenderedPageBreak/>
        <w:t xml:space="preserve">Taylor, Richard. "Causation, Determinism, and Voluntarism." In </w:t>
      </w:r>
      <w:r w:rsidRPr="000F2EFD">
        <w:rPr>
          <w:i/>
        </w:rPr>
        <w:t>The Encylopedia of Philosophy</w:t>
      </w:r>
      <w:r w:rsidRPr="000F2EFD">
        <w:t>, edited by Paul Edwards, 76. New York: Macmillan, 1967.</w:t>
      </w:r>
    </w:p>
    <w:p w:rsidR="000F2EFD" w:rsidRPr="000F2EFD" w:rsidRDefault="000F2EFD" w:rsidP="000F2EFD">
      <w:pPr>
        <w:pStyle w:val="EndNoteBibliography"/>
        <w:spacing w:after="0"/>
        <w:ind w:left="720" w:hanging="720"/>
      </w:pPr>
      <w:r w:rsidRPr="000F2EFD">
        <w:t xml:space="preserve">Walsh, Vivian. "Philosophy and Economics." In </w:t>
      </w:r>
      <w:r w:rsidRPr="000F2EFD">
        <w:rPr>
          <w:i/>
        </w:rPr>
        <w:t>The New Palgrave: A Dictionary of Economics</w:t>
      </w:r>
      <w:r w:rsidRPr="000F2EFD">
        <w:t>, edited by J. Eatwell, Milgate, M., and Newman, P., 861-869. London: Macmillan, 1987.</w:t>
      </w:r>
    </w:p>
    <w:p w:rsidR="000F2EFD" w:rsidRPr="000F2EFD" w:rsidRDefault="000F2EFD" w:rsidP="000F2EFD">
      <w:pPr>
        <w:pStyle w:val="EndNoteBibliography"/>
        <w:spacing w:after="0"/>
        <w:ind w:left="720" w:hanging="720"/>
      </w:pPr>
      <w:r w:rsidRPr="000F2EFD">
        <w:t xml:space="preserve">Walzer, Michael. "The Communitarian Critique of Liberalism." </w:t>
      </w:r>
      <w:r w:rsidRPr="000F2EFD">
        <w:rPr>
          <w:i/>
        </w:rPr>
        <w:t>Political Theory</w:t>
      </w:r>
      <w:r w:rsidRPr="000F2EFD">
        <w:t xml:space="preserve"> 18, no. 1 (1990): 6-23.</w:t>
      </w:r>
    </w:p>
    <w:p w:rsidR="000F2EFD" w:rsidRPr="000F2EFD" w:rsidRDefault="000F2EFD" w:rsidP="000F2EFD">
      <w:pPr>
        <w:pStyle w:val="EndNoteBibliography"/>
        <w:ind w:left="720" w:hanging="720"/>
      </w:pPr>
      <w:r w:rsidRPr="000F2EFD">
        <w:t xml:space="preserve">West, J. L. A. "Impartiality and Conceptions of the Good: Brian Barry or Alasdair Macintyre?" </w:t>
      </w:r>
      <w:r w:rsidRPr="000F2EFD">
        <w:rPr>
          <w:i/>
        </w:rPr>
        <w:t>The Philosophical Forum</w:t>
      </w:r>
      <w:r w:rsidRPr="000F2EFD">
        <w:t xml:space="preserve"> 31, no. 1 (2000): 29-45.</w:t>
      </w:r>
    </w:p>
    <w:p w:rsidR="00E07676" w:rsidRPr="00260D19" w:rsidRDefault="00AA2A48" w:rsidP="002536EF">
      <w:pPr>
        <w:pStyle w:val="EndNoteBibliography"/>
        <w:ind w:left="720" w:hanging="720"/>
        <w:rPr>
          <w:rFonts w:ascii="Times New Roman" w:hAnsi="Times New Roman" w:cs="Times New Roman"/>
          <w:sz w:val="24"/>
          <w:szCs w:val="24"/>
        </w:rPr>
      </w:pPr>
      <w:r w:rsidRPr="00260D19">
        <w:rPr>
          <w:rFonts w:ascii="Times New Roman" w:hAnsi="Times New Roman" w:cs="Times New Roman"/>
          <w:sz w:val="24"/>
          <w:szCs w:val="24"/>
        </w:rPr>
        <w:fldChar w:fldCharType="end"/>
      </w:r>
      <w:r w:rsidRPr="00260D19">
        <w:rPr>
          <w:rFonts w:ascii="Times New Roman" w:hAnsi="Times New Roman" w:cs="Times New Roman"/>
          <w:sz w:val="24"/>
          <w:szCs w:val="24"/>
        </w:rPr>
        <w:fldChar w:fldCharType="begin"/>
      </w:r>
      <w:r w:rsidR="005F5A11" w:rsidRPr="00260D19">
        <w:rPr>
          <w:rFonts w:ascii="Times New Roman" w:hAnsi="Times New Roman" w:cs="Times New Roman"/>
          <w:sz w:val="24"/>
          <w:szCs w:val="24"/>
        </w:rPr>
        <w:instrText xml:space="preserve"> ADDIN </w:instrText>
      </w:r>
      <w:r w:rsidRPr="00260D19">
        <w:rPr>
          <w:rFonts w:ascii="Times New Roman" w:hAnsi="Times New Roman" w:cs="Times New Roman"/>
          <w:sz w:val="24"/>
          <w:szCs w:val="24"/>
        </w:rPr>
        <w:fldChar w:fldCharType="end"/>
      </w:r>
      <w:r w:rsidRPr="00260D19">
        <w:rPr>
          <w:rFonts w:ascii="Times New Roman" w:hAnsi="Times New Roman" w:cs="Times New Roman"/>
          <w:sz w:val="24"/>
          <w:szCs w:val="24"/>
        </w:rPr>
        <w:fldChar w:fldCharType="begin"/>
      </w:r>
      <w:r w:rsidR="00814E62" w:rsidRPr="00260D19">
        <w:rPr>
          <w:rFonts w:ascii="Times New Roman" w:hAnsi="Times New Roman" w:cs="Times New Roman"/>
          <w:sz w:val="24"/>
          <w:szCs w:val="24"/>
        </w:rPr>
        <w:instrText xml:space="preserve"> ADDIN </w:instrText>
      </w:r>
      <w:r w:rsidRPr="00260D19">
        <w:rPr>
          <w:rFonts w:ascii="Times New Roman" w:hAnsi="Times New Roman" w:cs="Times New Roman"/>
          <w:sz w:val="24"/>
          <w:szCs w:val="24"/>
        </w:rPr>
        <w:fldChar w:fldCharType="end"/>
      </w:r>
    </w:p>
    <w:sectPr w:rsidR="00E07676" w:rsidRPr="00260D19" w:rsidSect="003D0941">
      <w:footnotePr>
        <w:numRestart w:val="eachSect"/>
      </w:footnotePr>
      <w:pgSz w:w="12240" w:h="15840"/>
      <w:pgMar w:top="1985" w:right="2268" w:bottom="2268" w:left="226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F2C7A" w15:done="0"/>
  <w15:commentEx w15:paraId="1CBEB57D" w15:done="0"/>
  <w15:commentEx w15:paraId="24686DDF" w15:done="0"/>
  <w15:commentEx w15:paraId="0DDADFA9" w15:done="0"/>
  <w15:commentEx w15:paraId="70C82FB2" w15:done="0"/>
  <w15:commentEx w15:paraId="0F815B3C" w15:done="0"/>
  <w15:commentEx w15:paraId="389F99BE" w15:done="0"/>
  <w15:commentEx w15:paraId="41FBCC98" w15:done="0"/>
  <w15:commentEx w15:paraId="162DE881" w15:done="0"/>
  <w15:commentEx w15:paraId="5860A565" w15:done="0"/>
  <w15:commentEx w15:paraId="5C1F8AB8" w15:done="0"/>
  <w15:commentEx w15:paraId="3FD7F60C" w15:done="0"/>
  <w15:commentEx w15:paraId="40A63D76" w15:done="0"/>
  <w15:commentEx w15:paraId="5281D461" w15:done="0"/>
  <w15:commentEx w15:paraId="276B5819" w15:done="0"/>
  <w15:commentEx w15:paraId="43960028" w15:done="0"/>
  <w15:commentEx w15:paraId="44402E68" w15:done="0"/>
  <w15:commentEx w15:paraId="59211CE2" w15:done="0"/>
  <w15:commentEx w15:paraId="7CEDA2FE" w15:done="0"/>
  <w15:commentEx w15:paraId="3DE28295" w15:done="0"/>
  <w15:commentEx w15:paraId="57FCD770" w15:done="0"/>
  <w15:commentEx w15:paraId="00B4BFD6" w15:done="0"/>
  <w15:commentEx w15:paraId="74FF6FEC" w15:done="0"/>
  <w15:commentEx w15:paraId="081C3BB9" w15:done="0"/>
  <w15:commentEx w15:paraId="3874804B" w15:done="0"/>
  <w15:commentEx w15:paraId="3484229A" w15:done="0"/>
  <w15:commentEx w15:paraId="5AF55648" w15:done="0"/>
  <w15:commentEx w15:paraId="7DF79A83" w15:done="0"/>
  <w15:commentEx w15:paraId="5501DCCA" w15:done="0"/>
  <w15:commentEx w15:paraId="393144D7" w15:done="0"/>
  <w15:commentEx w15:paraId="3F5D2390" w15:done="0"/>
  <w15:commentEx w15:paraId="38ACBD4B" w15:done="0"/>
  <w15:commentEx w15:paraId="0D4521B9" w15:done="0"/>
  <w15:commentEx w15:paraId="7E8911FD" w15:done="0"/>
  <w15:commentEx w15:paraId="641318A1" w15:done="0"/>
  <w15:commentEx w15:paraId="1A425D3E" w15:done="0"/>
  <w15:commentEx w15:paraId="4645E8F3" w15:done="0"/>
  <w15:commentEx w15:paraId="31E127F5" w15:done="0"/>
  <w15:commentEx w15:paraId="66D8BE7C" w15:done="0"/>
  <w15:commentEx w15:paraId="02EB0452" w15:done="0"/>
  <w15:commentEx w15:paraId="13071333" w15:done="0"/>
  <w15:commentEx w15:paraId="0A97272A" w15:done="0"/>
  <w15:commentEx w15:paraId="2756A09B" w15:done="0"/>
  <w15:commentEx w15:paraId="574E9BAC" w15:done="0"/>
  <w15:commentEx w15:paraId="61C9EEF2" w15:done="0"/>
  <w15:commentEx w15:paraId="358578AA" w15:done="0"/>
  <w15:commentEx w15:paraId="3B71212F" w15:done="0"/>
  <w15:commentEx w15:paraId="67F8A24A" w15:done="0"/>
  <w15:commentEx w15:paraId="55A6699F" w15:done="0"/>
  <w15:commentEx w15:paraId="0DE1525E" w15:done="0"/>
  <w15:commentEx w15:paraId="5BD8C2B9" w15:done="0"/>
  <w15:commentEx w15:paraId="1BB84B00" w15:done="0"/>
  <w15:commentEx w15:paraId="4A97D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F2C7A" w16cid:durableId="1EC5402F"/>
  <w16cid:commentId w16cid:paraId="1CBEB57D" w16cid:durableId="1EC5406E"/>
  <w16cid:commentId w16cid:paraId="24686DDF" w16cid:durableId="1ECF9369"/>
  <w16cid:commentId w16cid:paraId="0DDADFA9" w16cid:durableId="1EC54893"/>
  <w16cid:commentId w16cid:paraId="70C82FB2" w16cid:durableId="1EC54935"/>
  <w16cid:commentId w16cid:paraId="0F815B3C" w16cid:durableId="1EC549F2"/>
  <w16cid:commentId w16cid:paraId="389F99BE" w16cid:durableId="1EC549CF"/>
  <w16cid:commentId w16cid:paraId="41FBCC98" w16cid:durableId="1EC686CA"/>
  <w16cid:commentId w16cid:paraId="162DE881" w16cid:durableId="1EC68704"/>
  <w16cid:commentId w16cid:paraId="5860A565" w16cid:durableId="1EC68796"/>
  <w16cid:commentId w16cid:paraId="5C1F8AB8" w16cid:durableId="1EC687D8"/>
  <w16cid:commentId w16cid:paraId="3FD7F60C" w16cid:durableId="1EC68806"/>
  <w16cid:commentId w16cid:paraId="40A63D76" w16cid:durableId="1EC68923"/>
  <w16cid:commentId w16cid:paraId="5281D461" w16cid:durableId="1EC68A16"/>
  <w16cid:commentId w16cid:paraId="276B5819" w16cid:durableId="1EC68B42"/>
  <w16cid:commentId w16cid:paraId="43960028" w16cid:durableId="1EC68C1C"/>
  <w16cid:commentId w16cid:paraId="44402E68" w16cid:durableId="1EC68CE9"/>
  <w16cid:commentId w16cid:paraId="59211CE2" w16cid:durableId="1EC68DA2"/>
  <w16cid:commentId w16cid:paraId="7CEDA2FE" w16cid:durableId="1EC68DEC"/>
  <w16cid:commentId w16cid:paraId="3DE28295" w16cid:durableId="1EC79927"/>
  <w16cid:commentId w16cid:paraId="57FCD770" w16cid:durableId="1EC4A5BD"/>
  <w16cid:commentId w16cid:paraId="00B4BFD6" w16cid:durableId="1EC4A5BE"/>
  <w16cid:commentId w16cid:paraId="74FF6FEC" w16cid:durableId="1EC79B4D"/>
  <w16cid:commentId w16cid:paraId="081C3BB9" w16cid:durableId="1EC79D25"/>
  <w16cid:commentId w16cid:paraId="3874804B" w16cid:durableId="1ECC7D12"/>
  <w16cid:commentId w16cid:paraId="3484229A" w16cid:durableId="1ECC7EC6"/>
  <w16cid:commentId w16cid:paraId="5AF55648" w16cid:durableId="1ECC853B"/>
  <w16cid:commentId w16cid:paraId="7DF79A83" w16cid:durableId="1ECC8830"/>
  <w16cid:commentId w16cid:paraId="5501DCCA" w16cid:durableId="1ECC8932"/>
  <w16cid:commentId w16cid:paraId="393144D7" w16cid:durableId="1ECC8E98"/>
  <w16cid:commentId w16cid:paraId="3F5D2390" w16cid:durableId="1ECC8EDC"/>
  <w16cid:commentId w16cid:paraId="38ACBD4B" w16cid:durableId="1ECCD344"/>
  <w16cid:commentId w16cid:paraId="0D4521B9" w16cid:durableId="1ECCD59B"/>
  <w16cid:commentId w16cid:paraId="7E8911FD" w16cid:durableId="1ECCD7B9"/>
  <w16cid:commentId w16cid:paraId="641318A1" w16cid:durableId="1ECCD81C"/>
  <w16cid:commentId w16cid:paraId="1A425D3E" w16cid:durableId="1ECCD908"/>
  <w16cid:commentId w16cid:paraId="4645E8F3" w16cid:durableId="1ECCDA8E"/>
  <w16cid:commentId w16cid:paraId="31E127F5" w16cid:durableId="1ECCDC16"/>
  <w16cid:commentId w16cid:paraId="66D8BE7C" w16cid:durableId="1ECCEDC9"/>
  <w16cid:commentId w16cid:paraId="02EB0452" w16cid:durableId="1ECCF3B4"/>
  <w16cid:commentId w16cid:paraId="13071333" w16cid:durableId="1ECCF6A6"/>
  <w16cid:commentId w16cid:paraId="0A97272A" w16cid:durableId="1ECCF7F2"/>
  <w16cid:commentId w16cid:paraId="2756A09B" w16cid:durableId="1ECCF9C8"/>
  <w16cid:commentId w16cid:paraId="574E9BAC" w16cid:durableId="1ECE0F48"/>
  <w16cid:commentId w16cid:paraId="61C9EEF2" w16cid:durableId="1ECE2F67"/>
  <w16cid:commentId w16cid:paraId="358578AA" w16cid:durableId="1ECE5537"/>
  <w16cid:commentId w16cid:paraId="3B71212F" w16cid:durableId="1ECE5C48"/>
  <w16cid:commentId w16cid:paraId="67F8A24A" w16cid:durableId="1ECE7DF0"/>
  <w16cid:commentId w16cid:paraId="55A6699F" w16cid:durableId="1ECF7923"/>
  <w16cid:commentId w16cid:paraId="0DE1525E" w16cid:durableId="1ECF7B81"/>
  <w16cid:commentId w16cid:paraId="5BD8C2B9" w16cid:durableId="1ECF80F6"/>
  <w16cid:commentId w16cid:paraId="1BB84B00" w16cid:durableId="1ECF83A9"/>
  <w16cid:commentId w16cid:paraId="4A97D4D8" w16cid:durableId="1ECF84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D16" w:rsidRDefault="00406D16" w:rsidP="00016049">
      <w:pPr>
        <w:spacing w:after="0" w:line="240" w:lineRule="auto"/>
      </w:pPr>
      <w:r>
        <w:separator/>
      </w:r>
    </w:p>
  </w:endnote>
  <w:endnote w:type="continuationSeparator" w:id="0">
    <w:p w:rsidR="00406D16" w:rsidRDefault="00406D16" w:rsidP="00016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SimSun"/>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Fd292624-Identity-H">
    <w:altName w:val="Times New Roman"/>
    <w:panose1 w:val="00000000000000000000"/>
    <w:charset w:val="00"/>
    <w:family w:val="roman"/>
    <w:notTrueType/>
    <w:pitch w:val="default"/>
    <w:sig w:usb0="00000000" w:usb1="00000000" w:usb2="00000000" w:usb3="00000000" w:csb0="00000000" w:csb1="00000000"/>
  </w:font>
  <w:font w:name="Fd993181-Identity-H">
    <w:altName w:val="Times New Roman"/>
    <w:panose1 w:val="00000000000000000000"/>
    <w:charset w:val="00"/>
    <w:family w:val="roman"/>
    <w:notTrueType/>
    <w:pitch w:val="default"/>
    <w:sig w:usb0="00000000" w:usb1="00000000" w:usb2="00000000" w:usb3="00000000" w:csb0="00000000" w:csb1="00000000"/>
  </w:font>
  <w:font w:name="Fd810667-Identity-H">
    <w:altName w:val="Times New Roman"/>
    <w:panose1 w:val="00000000000000000000"/>
    <w:charset w:val="00"/>
    <w:family w:val="roman"/>
    <w:notTrueType/>
    <w:pitch w:val="default"/>
    <w:sig w:usb0="00000000" w:usb1="00000000" w:usb2="00000000" w:usb3="00000000" w:csb0="00000000" w:csb1="00000000"/>
  </w:font>
  <w:font w:name="Fd1012963-Identity-H">
    <w:altName w:val="Times New Roman"/>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PMingLiU-ExtB">
    <w:panose1 w:val="02020500000000000000"/>
    <w:charset w:val="88"/>
    <w:family w:val="roman"/>
    <w:pitch w:val="variable"/>
    <w:sig w:usb0="8000002F" w:usb1="0A080008" w:usb2="00000010" w:usb3="00000000" w:csb0="0010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3299"/>
      <w:docPartObj>
        <w:docPartGallery w:val="Page Numbers (Bottom of Page)"/>
        <w:docPartUnique/>
      </w:docPartObj>
    </w:sdtPr>
    <w:sdtEndPr>
      <w:rPr>
        <w:noProof/>
      </w:rPr>
    </w:sdtEndPr>
    <w:sdtContent>
      <w:p w:rsidR="00D810CC" w:rsidRDefault="00D810CC">
        <w:pPr>
          <w:pStyle w:val="Footer"/>
        </w:pPr>
        <w:r>
          <w:t xml:space="preserve">Page | </w:t>
        </w:r>
        <w:r w:rsidR="00AA2A48">
          <w:rPr>
            <w:noProof/>
          </w:rPr>
          <w:fldChar w:fldCharType="begin"/>
        </w:r>
        <w:r>
          <w:rPr>
            <w:noProof/>
          </w:rPr>
          <w:instrText xml:space="preserve"> PAGE   \* MERGEFORMAT </w:instrText>
        </w:r>
        <w:r w:rsidR="00AA2A48">
          <w:rPr>
            <w:noProof/>
          </w:rPr>
          <w:fldChar w:fldCharType="separate"/>
        </w:r>
        <w:r w:rsidR="00A2752B">
          <w:rPr>
            <w:noProof/>
          </w:rPr>
          <w:t>86</w:t>
        </w:r>
        <w:r w:rsidR="00AA2A48">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D16" w:rsidRDefault="00406D16" w:rsidP="00016049">
      <w:pPr>
        <w:spacing w:after="0" w:line="240" w:lineRule="auto"/>
      </w:pPr>
      <w:r>
        <w:separator/>
      </w:r>
    </w:p>
  </w:footnote>
  <w:footnote w:type="continuationSeparator" w:id="0">
    <w:p w:rsidR="00406D16" w:rsidRDefault="00406D16" w:rsidP="00016049">
      <w:pPr>
        <w:spacing w:after="0" w:line="240" w:lineRule="auto"/>
      </w:pPr>
      <w:r>
        <w:continuationSeparator/>
      </w:r>
    </w:p>
  </w:footnote>
  <w:footnote w:id="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&lt;EndNote&gt;&lt;Cite&gt;&lt;RecNum&gt;0&lt;/RecNum&gt;&lt;Note&gt;In After Virtue MacIntyre defines Enlightenment Project as a borad term that captures the various attempts by a number of enlightenment thinkers to formulate an independent rational justification for morality, which did not rest on theological or teleological premises.&lt;/Note&gt;&lt;DisplayText&gt;In After Virtue MacIntyre defines Enlightenment Project as a borad term that captures the various attempts by a number of enlightenment thinkers to formulate an independent rational justification for morality, which did not rest on theological or teleological premises.&lt;/DisplayText&gt;&lt;/Cite&gt;&lt;/EndNote&gt;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In After Virtue MacIntyre defines Enlightenment Project as a borad term that captures the various attempts by a number of enlightenment thinkers to formulate an independent rational justification for morality, which did not rest on theological or teleological premises.</w:t>
      </w:r>
      <w:r w:rsidR="00AA2A48" w:rsidRPr="00DA6BE4">
        <w:rPr>
          <w:rFonts w:ascii="Times New Roman" w:hAnsi="Times New Roman" w:cs="Times New Roman"/>
        </w:rPr>
        <w:fldChar w:fldCharType="end"/>
      </w:r>
    </w:p>
  </w:footnote>
  <w:footnote w:id="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AuthorYear="1"&gt;&lt;Author&gt;Mounk&lt;/Author&gt;&lt;Year&gt;2016&lt;/Year&gt;&lt;RecNum&gt;114&lt;/RecNum&gt;&lt;Pages&gt;5-17&lt;/Pages&gt;&lt;DisplayText&gt;Sacha Mounk, &amp;quot;The Danger of Deconsolidation: The Democratic Disconnect,&amp;quot; &lt;style face="italic"&gt;The Journal of Democracy&lt;/style&gt; 27, no. 3 (2016): 5-17.&lt;/DisplayText&gt;&lt;record&gt;&lt;rec-number&gt;114&lt;/rec-number&gt;&lt;foreign-keys&gt;&lt;key app="EN" db-id="vxze0a2pwrt959ep2afxdw5cat595wt9sv95" timestamp="1520732792"&gt;114&lt;/key&gt;&lt;/foreign-keys&gt;&lt;ref-type name="Journal Article"&gt;17&lt;/ref-type&gt;&lt;contributors&gt;&lt;authors&gt;&lt;author&gt;Mounk, Sacha&lt;/author&gt;&lt;/authors&gt;&lt;/contributors&gt;&lt;titles&gt;&lt;title&gt;The Danger of Deconsolidation: The Democratic Disconnect&lt;/title&gt;&lt;secondary-title&gt;The Journal of Democracy&lt;/secondary-title&gt;&lt;/titles&gt;&lt;periodical&gt;&lt;full-title&gt;The Journal of Democracy&lt;/full-title&gt;&lt;/periodical&gt;&lt;pages&gt;5-17&lt;/pages&gt;&lt;volume&gt;27&lt;/volume&gt;&lt;number&gt;3&lt;/number&gt;&lt;section&gt;5&lt;/section&gt;&lt;dates&gt;&lt;year&gt;2016&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Sacha Mounk, "The Danger of Deconsolidation: The Democratic Disconnect," </w:t>
      </w:r>
      <w:r w:rsidRPr="00DA6BE4">
        <w:rPr>
          <w:rFonts w:ascii="Times New Roman" w:hAnsi="Times New Roman" w:cs="Times New Roman"/>
          <w:i/>
          <w:noProof/>
        </w:rPr>
        <w:t>The Journal of Democracy</w:t>
      </w:r>
      <w:r w:rsidRPr="00DA6BE4">
        <w:rPr>
          <w:rFonts w:ascii="Times New Roman" w:hAnsi="Times New Roman" w:cs="Times New Roman"/>
          <w:noProof/>
        </w:rPr>
        <w:t xml:space="preserve"> 27, no. 3 (2016): 5-17.</w:t>
      </w:r>
      <w:r w:rsidR="00AA2A48" w:rsidRPr="00DA6BE4">
        <w:rPr>
          <w:rFonts w:ascii="Times New Roman" w:hAnsi="Times New Roman" w:cs="Times New Roman"/>
        </w:rPr>
        <w:fldChar w:fldCharType="end"/>
      </w:r>
    </w:p>
  </w:footnote>
  <w:footnote w:id="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&lt;EndNote&gt;&lt;Cite&gt;&lt;Author&gt;Hauerwas&lt;/Author&gt;&lt;Year&gt;2007&lt;/Year&gt;&lt;RecNum&gt;115&lt;/RecNum&gt;&lt;Pages&gt;35-40&lt;/Pages&gt;&lt;DisplayText&gt;Stanley Hauerwas, &amp;quot;The Virtues of Alasdair Macintyre,&amp;quot; &lt;style face="italic"&gt;First Things&lt;/style&gt; October (2007): 35-40.&lt;/DisplayText&gt;&lt;record&gt;&lt;rec-number&gt;115&lt;/rec-number&gt;&lt;foreign-keys&gt;&lt;key app="EN" db-id="vxze0a2pwrt959ep2afxdw5cat595wt9sv95" timestamp="1520733023"&gt;115&lt;/key&gt;&lt;/foreign-keys&gt;&lt;ref-type name="Journal Article"&gt;17&lt;/ref-type&gt;&lt;contributors&gt;&lt;authors&gt;&lt;author&gt;Hauerwas, Stanley&lt;/author&gt;&lt;/authors&gt;&lt;/contributors&gt;&lt;titles&gt;&lt;title&gt;The Virtues of Alasdair MacIntyre&lt;/title&gt;&lt;secondary-title&gt;First Things&lt;/secondary-title&gt;&lt;/titles&gt;&lt;periodical&gt;&lt;full-title&gt;First Things&lt;/full-title&gt;&lt;/periodical&gt;&lt;pages&gt;35-40&lt;/pages&gt;&lt;volume&gt;October&lt;/volume&gt;&lt;section&gt;35&lt;/section&gt;&lt;dates&gt;&lt;year&gt;2007&lt;/year&gt;&lt;/dates&gt;&lt;urls&gt;&lt;/urls&gt;&lt;/record&gt;&lt;/Cite&gt;&lt;/EndNote&gt;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Stanley Hauerwas, "The Virtues of Alasdair Macintyre," </w:t>
      </w:r>
      <w:r w:rsidRPr="00DA6BE4">
        <w:rPr>
          <w:rFonts w:ascii="Times New Roman" w:hAnsi="Times New Roman" w:cs="Times New Roman"/>
          <w:i/>
          <w:noProof/>
        </w:rPr>
        <w:t>First Things</w:t>
      </w:r>
      <w:r w:rsidRPr="00DA6BE4">
        <w:rPr>
          <w:rFonts w:ascii="Times New Roman" w:hAnsi="Times New Roman" w:cs="Times New Roman"/>
          <w:noProof/>
        </w:rPr>
        <w:t xml:space="preserve"> October (2007): 35-40.</w:t>
      </w:r>
      <w:r w:rsidR="00AA2A48" w:rsidRPr="00DA6BE4">
        <w:rPr>
          <w:rFonts w:ascii="Times New Roman" w:hAnsi="Times New Roman" w:cs="Times New Roman"/>
        </w:rPr>
        <w:fldChar w:fldCharType="end"/>
      </w:r>
    </w:p>
  </w:footnote>
  <w:footnote w:id="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Contextualism is the doctrine that attaches great significance to the context of action, expression, and utterance, and that the truth (or meaning) of a particular action or expression is dependent, to an important extent, on the particular context in which, an action takes place, or, a claim is advanced. Historicism here does not refer to the idea that history has immutable laws and that we ought to try to discover them. Instead, historicism is a concept related to contextualism, and it places a great import on the situated and contingent (or circumstantial) background – identifiable in terms of particular geographical, history, language, culture, and social developments – that colours social practices, actions, expressions, and more generally, the set of claims that the participants in a debate adhere to, or advance.</w:t>
      </w:r>
    </w:p>
  </w:footnote>
  <w:footnote w:id="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&lt;EndNote&gt;&lt;Cite&gt;&lt;Author&gt;Haldane&lt;/Author&gt;&lt;Year&gt;1994&lt;/Year&gt;&lt;RecNum&gt;119&lt;/RecNum&gt;&lt;Pages&gt;91-107&lt;/Pages&gt;&lt;DisplayText&gt;John Haldane, &amp;quot;Macintyre’s Thomist Revival: What Next?,&amp;quot; in &lt;style face="italic"&gt;After Macintyre: Critical Perspectives on the Work of Alasdair Macintyre&lt;/style&gt;, ed. and Mendus Horton J., S. (University of Notre Dame Press, 1994), 91-107.&lt;/DisplayText&gt;&lt;record&gt;&lt;rec-number&gt;119&lt;/rec-number&gt;&lt;foreign-keys&gt;&lt;key app="EN" db-id="vxze0a2pwrt959ep2afxdw5cat595wt9sv95" timestamp="1520745028"&gt;119&lt;/key&gt;&lt;/foreign-keys&gt;&lt;ref-type name="Book Section"&gt;5&lt;/ref-type&gt;&lt;contributors&gt;&lt;authors&gt;&lt;author&gt;Haldane, John&lt;/author&gt;&lt;/authors&gt;&lt;secondary-authors&gt;&lt;author&gt;Horton J., and Mendus, S.&lt;/author&gt;&lt;/secondary-authors&gt;&lt;/contributors&gt;&lt;titles&gt;&lt;title&gt;MacIntyre’s Thomist Revival: What Next?&lt;/title&gt;&lt;secondary-title&gt;After Macintyre: Critical Perspectives on the Work of Alasdair Macintyre&lt;/secondary-title&gt;&lt;/titles&gt;&lt;pages&gt;91-107&lt;/pages&gt;&lt;dates&gt;&lt;year&gt;1994&lt;/year&gt;&lt;/dates&gt;&lt;publisher&gt;University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Haldane, "Macintyre’s Thomist Revival: What Next?," in </w:t>
      </w:r>
      <w:r w:rsidRPr="00DA6BE4">
        <w:rPr>
          <w:rFonts w:ascii="Times New Roman" w:hAnsi="Times New Roman" w:cs="Times New Roman"/>
          <w:i/>
          <w:noProof/>
        </w:rPr>
        <w:t>After Macintyre: Critical Perspectives on the Work of Alasdair Macintyre</w:t>
      </w:r>
      <w:r w:rsidRPr="00DA6BE4">
        <w:rPr>
          <w:rFonts w:ascii="Times New Roman" w:hAnsi="Times New Roman" w:cs="Times New Roman"/>
          <w:noProof/>
        </w:rPr>
        <w:t>, ed. and Mendus Horton J., S. (University of Notre Dame Press, 1994), 91-107.</w:t>
      </w:r>
      <w:r w:rsidR="00AA2A48" w:rsidRPr="00DA6BE4">
        <w:rPr>
          <w:rFonts w:ascii="Times New Roman" w:hAnsi="Times New Roman" w:cs="Times New Roman"/>
        </w:rPr>
        <w:fldChar w:fldCharType="end"/>
      </w:r>
      <w:r w:rsidRPr="00DA6BE4">
        <w:rPr>
          <w:rFonts w:ascii="Times New Roman" w:hAnsi="Times New Roman" w:cs="Times New Roman"/>
        </w:rPr>
        <w:t xml:space="preserve"> In a similar vein, Marcus </w:t>
      </w:r>
      <w:proofErr w:type="spellStart"/>
      <w:r w:rsidRPr="00DA6BE4">
        <w:rPr>
          <w:rFonts w:ascii="Times New Roman" w:hAnsi="Times New Roman" w:cs="Times New Roman"/>
        </w:rPr>
        <w:t>Otte</w:t>
      </w:r>
      <w:proofErr w:type="spellEnd"/>
      <w:r w:rsidRPr="00DA6BE4">
        <w:rPr>
          <w:rFonts w:ascii="Times New Roman" w:hAnsi="Times New Roman" w:cs="Times New Roman"/>
        </w:rPr>
        <w:t xml:space="preserve"> argues that the various contextualist and historicist claims in MacIntyre’s work are best understood in the context of MacIntyre’s prioritization of epistemology over metaphysics; nevertheless, </w:t>
      </w:r>
      <w:proofErr w:type="spellStart"/>
      <w:r w:rsidRPr="00DA6BE4">
        <w:rPr>
          <w:rFonts w:ascii="Times New Roman" w:hAnsi="Times New Roman" w:cs="Times New Roman"/>
        </w:rPr>
        <w:t>Otte</w:t>
      </w:r>
      <w:proofErr w:type="spellEnd"/>
      <w:r w:rsidRPr="00DA6BE4">
        <w:rPr>
          <w:rFonts w:ascii="Times New Roman" w:hAnsi="Times New Roman" w:cs="Times New Roman"/>
        </w:rPr>
        <w:t xml:space="preserve"> also argues that viewed in this way, MacIntyre’s account is ultimately at odds with Thomistic philosophy.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&lt;EndNote&gt;&lt;Cite&gt;&lt;Author&gt;Otte&lt;/Author&gt;&lt;Year&gt;2014&lt;/Year&gt;&lt;RecNum&gt;164&lt;/RecNum&gt;&lt;DisplayText&gt;Marcus S. Otte, &amp;quot;A Thomistic Critique of the Ethics of Alasdair Macintyre&amp;quot; (University of Central Florida, 2014).&lt;/DisplayText&gt;&lt;record&gt;&lt;rec-number&gt;164&lt;/rec-number&gt;&lt;foreign-keys&gt;&lt;key app="EN" db-id="vxze0a2pwrt959ep2afxdw5cat595wt9sv95" timestamp="1522858090"&gt;164&lt;/key&gt;&lt;/foreign-keys&gt;&lt;ref-type name="Thesis"&gt;32&lt;/ref-type&gt;&lt;contributors&gt;&lt;authors&gt;&lt;author&gt;Otte, Marcus S.&lt;/author&gt;&lt;/authors&gt;&lt;tertiary-authors&gt;&lt;author&gt;Jones, Donald&lt;/author&gt;&lt;/tertiary-authors&gt;&lt;/contributors&gt;&lt;titles&gt;&lt;title&gt;A Thomistic Critique of the Ethics of Alasdair MacIntyre&lt;/title&gt;&lt;secondary-title&gt;Interdisciplinary Studies&lt;/secondary-title&gt;&lt;/titles&gt;&lt;pages&gt;76&lt;/pages&gt;&lt;volume&gt;M.A.&lt;/volume&gt;&lt;dates&gt;&lt;year&gt;2014&lt;/year&gt;&lt;pub-dates&gt;&lt;date&gt;Dec. 2014&lt;/date&gt;&lt;/pub-dates&gt;&lt;/dates&gt;&lt;pub-location&gt;Florida&lt;/pub-location&gt;&lt;publisher&gt;University of Central Florida&lt;/publisher&gt;&lt;urls&gt;&lt;related-urls&gt;&lt;url&gt;http://purl.fcla.edu/fcla/etd/CFE0005537&lt;/url&gt;&lt;/related-urls&gt;&lt;/urls&gt;&lt;/record&gt;&lt;/Cite&gt;&lt;/EndNote&gt;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Marcus S. Otte, "A Thomistic Critique of the Ethics of Alasdair Macintyre" (University of Central Florida, 2014).</w:t>
      </w:r>
      <w:r w:rsidR="00AA2A48" w:rsidRPr="00DA6BE4">
        <w:rPr>
          <w:rFonts w:ascii="Times New Roman" w:hAnsi="Times New Roman" w:cs="Times New Roman"/>
        </w:rPr>
        <w:fldChar w:fldCharType="end"/>
      </w:r>
    </w:p>
  </w:footnote>
  <w:footnote w:id="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MacIntyre’s historical narrative in </w:t>
      </w:r>
      <w:r w:rsidRPr="00DA6BE4">
        <w:rPr>
          <w:rFonts w:ascii="Times New Roman" w:hAnsi="Times New Roman" w:cs="Times New Roman"/>
          <w:i/>
          <w:lang w:val="en-CA"/>
        </w:rPr>
        <w:t>Whose Justice</w:t>
      </w:r>
      <w:r w:rsidRPr="00DA6BE4">
        <w:rPr>
          <w:rFonts w:ascii="Times New Roman" w:hAnsi="Times New Roman" w:cs="Times New Roman"/>
          <w:lang w:val="en-CA"/>
        </w:rPr>
        <w:t xml:space="preserve"> clearly shows that changes in material conditions that undermined the role played by the polis ultimately undermines the essential role of the polis in Aristotle’s ethics, as an essential organizing force that motivates normative claims in that context. 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&lt;EndNote&gt;&lt;Cite&gt;&lt;Author&gt;MacIntyre&lt;/Author&gt;&lt;Year&gt;1988&lt;/Year&gt;&lt;RecNum&gt;47&lt;/RecNum&gt;&lt;Pages&gt;chapters 8 &amp;amp; 9&lt;/Pages&gt;&lt;DisplayText&gt;Alasdair MacIntyre, &lt;style face="italic"&gt;Whose Justice? Which Rationality?&lt;/style&gt; (Notre Dame, Indiana: University of Notre Dame Press, 1988), chapters 8 &amp;amp; 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 xml:space="preserve">Alasdair MacIntyre, </w:t>
      </w:r>
      <w:r w:rsidRPr="00DA6BE4">
        <w:rPr>
          <w:rFonts w:ascii="Times New Roman" w:hAnsi="Times New Roman" w:cs="Times New Roman"/>
          <w:i/>
          <w:noProof/>
          <w:lang w:val="en-CA"/>
        </w:rPr>
        <w:t>Whose Justice? Which Rationality?</w:t>
      </w:r>
      <w:r w:rsidRPr="00DA6BE4">
        <w:rPr>
          <w:rFonts w:ascii="Times New Roman" w:hAnsi="Times New Roman" w:cs="Times New Roman"/>
          <w:noProof/>
          <w:lang w:val="en-CA"/>
        </w:rPr>
        <w:t xml:space="preserve"> (Notre Dame, Indiana: University of Notre Dame Press, 1988), chapters 8 &amp; 9.</w:t>
      </w:r>
      <w:r w:rsidR="00AA2A48" w:rsidRPr="00DA6BE4">
        <w:rPr>
          <w:rFonts w:ascii="Times New Roman" w:hAnsi="Times New Roman" w:cs="Times New Roman"/>
          <w:lang w:val="en-CA"/>
        </w:rPr>
        <w:fldChar w:fldCharType="end"/>
      </w:r>
    </w:p>
  </w:footnote>
  <w:footnote w:id="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Here, I am referring to MacIntyre’s threefold conception of the virtues (</w:t>
      </w:r>
      <w:proofErr w:type="spellStart"/>
      <w:r w:rsidRPr="00DA6BE4">
        <w:rPr>
          <w:rFonts w:ascii="Times New Roman" w:hAnsi="Times New Roman" w:cs="Times New Roman"/>
        </w:rPr>
        <w:t>i</w:t>
      </w:r>
      <w:proofErr w:type="spellEnd"/>
      <w:r w:rsidRPr="00DA6BE4">
        <w:rPr>
          <w:rFonts w:ascii="Times New Roman" w:hAnsi="Times New Roman" w:cs="Times New Roman"/>
        </w:rPr>
        <w:t>) social practice; (ii) narrative unity of an individual human being directed towards the good; (iii) and the idea of the individual human being who is embedded within a tradition of moral inquiry.</w:t>
      </w:r>
    </w:p>
  </w:footnote>
  <w:footnote w:id="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&lt;EndNote&gt;&lt;Cite&gt;&lt;RecNum&gt;0&lt;/RecNum&gt;&lt;Note&gt;In After Virtue, MacIntyre does not yet identify liberalism as a tradition.&lt;/Note&gt;&lt;DisplayText&gt;In After Virtue, MacIntyre does not yet identify liberalism as a tradition.&lt;/DisplayText&gt;&lt;/Cite&gt;&lt;/EndNote&gt;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In </w:t>
      </w:r>
      <w:r w:rsidRPr="00DA6BE4">
        <w:rPr>
          <w:rFonts w:ascii="Times New Roman" w:hAnsi="Times New Roman" w:cs="Times New Roman"/>
          <w:i/>
          <w:noProof/>
        </w:rPr>
        <w:t>After Virtue</w:t>
      </w:r>
      <w:r w:rsidRPr="00DA6BE4">
        <w:rPr>
          <w:rFonts w:ascii="Times New Roman" w:hAnsi="Times New Roman" w:cs="Times New Roman"/>
          <w:noProof/>
        </w:rPr>
        <w:t>, MacIntyre does not yet identify liberalism as a tradition.</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&lt;EndNote&gt;&lt;Cite&gt;&lt;Author&gt;MacIntyre&lt;/Author&gt;&lt;Year&gt;1984&lt;/Year&gt;&lt;RecNum&gt;48&lt;/RecNum&gt;&lt;DisplayText&gt;Alasdair MacIntyre, &lt;style face="italic"&gt;After Virtue : A Study in Moral Theory&lt;/style&gt;, 2nd ed. (Notre Dame, Indiana: University of Notre Dame Press, 1984).&lt;/DisplayText&gt;&lt;record&gt;&lt;rec-number&gt;48&lt;/rec-number&gt;&lt;foreign-keys&gt;&lt;key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After Virtue : A Study in Moral Theory</w:t>
      </w:r>
      <w:r w:rsidRPr="00DA6BE4">
        <w:rPr>
          <w:rFonts w:ascii="Times New Roman" w:hAnsi="Times New Roman" w:cs="Times New Roman"/>
          <w:noProof/>
        </w:rPr>
        <w:t>, 2nd ed. (Notre Dame, Indiana: University of Notre Dame Press, 1984).</w:t>
      </w:r>
      <w:r w:rsidR="00AA2A48" w:rsidRPr="00DA6BE4">
        <w:rPr>
          <w:rFonts w:ascii="Times New Roman" w:hAnsi="Times New Roman" w:cs="Times New Roman"/>
        </w:rPr>
        <w:fldChar w:fldCharType="end"/>
      </w:r>
    </w:p>
  </w:footnote>
  <w:footnote w:id="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AuthorYear="1"&gt;&lt;Author&gt;MacIntyre&lt;/Author&gt;&lt;Year&gt;1998&lt;/Year&gt;&lt;RecNum&gt;94&lt;/RecNum&gt;&lt;Pages&gt;235-252&lt;/Pages&gt;&lt;DisplayText&gt;Alasdair MacIntyre, &amp;quot;Politics, Philosophy and the Common Good,&amp;quot; in &lt;style face="italic"&gt;The Macintyre Reader&lt;/style&gt;, ed. Kelvin Knight (Notre Dame, Indiana: University of Notre Dame Press, 1998), 235-252.&lt;/DisplayText&gt;&lt;record&gt;&lt;rec-number&gt;94&lt;/rec-number&gt;&lt;foreign-keys&gt;&lt;key app="EN" db-id="vxze0a2pwrt959ep2afxdw5cat595wt9sv95" timestamp="1444068414"&gt;94&lt;/key&gt;&lt;/foreign-keys&gt;&lt;ref-type name="Book Section"&gt;5&lt;/ref-type&gt;&lt;contributors&gt;&lt;authors&gt;&lt;author&gt;MacIntyre, Alasdair&lt;/author&gt;&lt;/authors&gt;&lt;secondary-authors&gt;&lt;author&gt;Kelvin Knight&lt;/author&gt;&lt;/secondary-authors&gt;&lt;/contributors&gt;&lt;titles&gt;&lt;title&gt;Politics, Philosophy and the Common Good&lt;/title&gt;&lt;secondary-title&gt;The MacIntyre Reader&lt;/secondary-title&gt;&lt;/titles&gt;&lt;pages&gt;235-252&lt;/pages&gt;&lt;dates&gt;&lt;year&gt;1998&lt;/year&gt;&lt;/dates&gt;&lt;pub-location&gt;Notre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"Politics, Philosophy and the Common Good," in </w:t>
      </w:r>
      <w:r w:rsidRPr="00DA6BE4">
        <w:rPr>
          <w:rFonts w:ascii="Times New Roman" w:hAnsi="Times New Roman" w:cs="Times New Roman"/>
          <w:i/>
          <w:noProof/>
        </w:rPr>
        <w:t>The Macintyre Reader</w:t>
      </w:r>
      <w:r w:rsidRPr="00DA6BE4">
        <w:rPr>
          <w:rFonts w:ascii="Times New Roman" w:hAnsi="Times New Roman" w:cs="Times New Roman"/>
          <w:noProof/>
        </w:rPr>
        <w:t>, ed. Kelvin Knight (Notre Dame, Indiana: University of Notre Dame Press, 1998), 235-252.</w:t>
      </w:r>
      <w:r w:rsidR="00AA2A48" w:rsidRPr="00DA6BE4">
        <w:rPr>
          <w:rFonts w:ascii="Times New Roman" w:hAnsi="Times New Roman" w:cs="Times New Roman"/>
        </w:rPr>
        <w:fldChar w:fldCharType="end"/>
      </w:r>
    </w:p>
  </w:footnote>
  <w:footnote w:id="1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&lt;EndNote&gt;&lt;Cite&gt;&lt;RecNum&gt;0&lt;/RecNum&gt;&lt;Note&gt;As part of a resolution of the problems I intend to cover in this thesis, I will make use of the arguments offered by other pragmatist philosophers including Hilary Putnam, Cheryl Misak, and Michael Walzer.&lt;/Note&gt;&lt;DisplayText&gt;As part of a resolution of the problems I intend to cover in this thesis, I will make use of the arguments offered by other pragmatist philosophers including Hilary Putnam, Cheryl Misak, and Michael Walzer.&lt;/DisplayText&gt;&lt;/Cite&gt;&lt;/EndNote&gt;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As part of a resolution of the problems I intend to cover in this thesis, I will make use of the arguments offered by other pragmatist philosophers including Hilary Putnam, Cheryl Misak, and Michael Walzer.</w:t>
      </w:r>
      <w:r w:rsidR="00AA2A48" w:rsidRPr="00DA6BE4">
        <w:rPr>
          <w:rFonts w:ascii="Times New Roman" w:hAnsi="Times New Roman" w:cs="Times New Roman"/>
        </w:rPr>
        <w:fldChar w:fldCharType="end"/>
      </w:r>
    </w:p>
  </w:footnote>
  <w:footnote w:id="1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Stanley </w:t>
      </w:r>
      <w:proofErr w:type="spellStart"/>
      <w:r w:rsidRPr="00DA6BE4">
        <w:rPr>
          <w:rFonts w:ascii="Times New Roman" w:hAnsi="Times New Roman" w:cs="Times New Roman"/>
        </w:rPr>
        <w:t>Hauerwas</w:t>
      </w:r>
      <w:proofErr w:type="spellEnd"/>
      <w:r w:rsidRPr="00DA6BE4">
        <w:rPr>
          <w:rFonts w:ascii="Times New Roman" w:hAnsi="Times New Roman" w:cs="Times New Roman"/>
        </w:rPr>
        <w:t xml:space="preserve"> claims that MacIntyre in effect characterises his work in </w:t>
      </w:r>
      <w:r w:rsidRPr="00DA6BE4">
        <w:rPr>
          <w:rFonts w:ascii="Times New Roman" w:hAnsi="Times New Roman" w:cs="Times New Roman"/>
          <w:i/>
        </w:rPr>
        <w:t>After Virtue</w:t>
      </w:r>
      <w:r w:rsidRPr="00DA6BE4">
        <w:rPr>
          <w:rFonts w:ascii="Times New Roman" w:hAnsi="Times New Roman" w:cs="Times New Roman"/>
        </w:rPr>
        <w:t xml:space="preserve"> as socially grounded, but MacIntyre moves away from the social approach to a metaphysically robust account available in Thomism.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&lt;EndNote&gt;&lt;Cite&gt;&lt;Author&gt;Hauerwas&lt;/Author&gt;&lt;Year&gt;2007&lt;/Year&gt;&lt;RecNum&gt;115&lt;/RecNum&gt;&lt;Pages&gt;38&lt;/Pages&gt;&lt;DisplayText&gt;Hauerwas, &amp;quot;The Virtues of Alasdair Macintyre,&amp;quot; 38.&lt;/DisplayText&gt;&lt;record&gt;&lt;rec-number&gt;115&lt;/rec-number&gt;&lt;foreign-keys&gt;&lt;key app="EN" db-id="vxze0a2pwrt959ep2afxdw5cat595wt9sv95" timestamp="1520733023"&gt;115&lt;/key&gt;&lt;/foreign-keys&gt;&lt;ref-type name="Journal Article"&gt;17&lt;/ref-type&gt;&lt;contributors&gt;&lt;authors&gt;&lt;author&gt;Hauerwas, Stanley&lt;/author&gt;&lt;/authors&gt;&lt;/contributors&gt;&lt;titles&gt;&lt;title&gt;The Virtues of Alasdair MacIntyre&lt;/title&gt;&lt;secondary-title&gt;First Things&lt;/secondary-title&gt;&lt;/titles&gt;&lt;periodical&gt;&lt;full-title&gt;First Things&lt;/full-title&gt;&lt;/periodical&gt;&lt;pages&gt;35-40&lt;/pages&gt;&lt;volume&gt;October&lt;/volume&gt;&lt;section&gt;35&lt;/section&gt;&lt;dates&gt;&lt;year&gt;2007&lt;/year&gt;&lt;/dates&gt;&lt;urls&gt;&lt;/urls&gt;&lt;/record&gt;&lt;/Cite&gt;&lt;/EndNote&gt;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Hauerwas, "The Virtues of Alasdair Macintyre," 38.</w:t>
      </w:r>
      <w:r w:rsidR="00AA2A48" w:rsidRPr="00DA6BE4">
        <w:rPr>
          <w:rFonts w:ascii="Times New Roman" w:hAnsi="Times New Roman" w:cs="Times New Roman"/>
        </w:rPr>
        <w:fldChar w:fldCharType="end"/>
      </w:r>
    </w:p>
    <w:p w:rsidR="00D810CC" w:rsidRPr="00DA6BE4" w:rsidRDefault="00D810CC">
      <w:pPr>
        <w:pStyle w:val="FootnoteText"/>
        <w:jc w:val="both"/>
        <w:rPr>
          <w:rFonts w:ascii="Times New Roman" w:hAnsi="Times New Roman" w:cs="Times New Roman"/>
        </w:rPr>
      </w:pPr>
    </w:p>
  </w:footnote>
  <w:footnote w:id="1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Instrumentalism is the view that theories ought to be viewed as tools (or instruments) to be utilised in identifying the relationship between means and ends, for the sake of advancing or formulating a resolution to such problems.</w:t>
      </w:r>
    </w:p>
  </w:footnote>
  <w:footnote w:id="1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&lt;EndNote&gt;&lt;Cite&gt;&lt;RecNum&gt;0&lt;/RecNum&gt;&lt;Note&gt;Now, MacIntyre’s account of fragmentation of contemporary moral discourse is (by his own admission) indebted to the account which Anscombe articulates in her seminal paper ‘Modern Moral Philosophy’.&lt;/Note&gt;&lt;DisplayText&gt;Now, MacIntyre’s account of fragmentation of contemporary moral discourse is (by his own admission) indebted to the account which Anscombe articulates in her seminal paper ‘Modern Moral Philosophy’.&lt;/DisplayText&gt;&lt;/Cite&gt;&lt;/EndNote&gt;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Now, MacIntyre’s account of fragmentation of contemporary moral discourse is (by his own admission) indebted to the account which Anscombe articulates in her seminal paper ‘Modern Moral Philosophy’.</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&lt;EndNote&gt;&lt;Cite&gt;&lt;Author&gt;MacIntyre&lt;/Author&gt;&lt;Year&gt;1984&lt;/Year&gt;&lt;RecNum&gt;48&lt;/RecNum&gt;&lt;Pages&gt;53&lt;/Pages&gt;&lt;DisplayText&gt;MacIntyre, &lt;style face="italic"&gt;After Virtue&lt;/style&gt;, 53.&lt;/DisplayText&gt;&lt;record&gt;&lt;rec-number&gt;48&lt;/rec-number&gt;&lt;foreign-keys&gt;&lt;key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53.</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lang w:val="en-US"/>
        </w:rPr>
        <w:fldChar w:fldCharType="begin"/>
      </w:r>
      <w:r w:rsidRPr="00DA6BE4">
        <w:rPr>
          <w:rFonts w:ascii="Times New Roman" w:hAnsi="Times New Roman" w:cs="Times New Roman"/>
          <w:lang w:val="en-US"/>
        </w:rPr>
        <w:instrText xml:space="preserve"> ADDIN EN.CITE &lt;EndNote&gt;&lt;Cite&gt;&lt;RecNum&gt;0&lt;/RecNum&gt;&lt;Note&gt;Cora Diamond in the article ‘Losing Your Concepts’ makes a similar claim. In this paper, Diamond cites the work of Alasdair MacIntyre, Stanley Cavell, and Iris Murdoch, as different examples of the loss of conceptual schemes.&lt;/Note&gt;&lt;DisplayText&gt;Cora Diamond in the article ‘Losing Your Concepts’ makes a similar claim. In this paper, Diamond cites the work of Alasdair MacIntyre, Stanley Cavell, and Iris Murdoch, as different examples of the loss of conceptual schemes.&lt;/DisplayText&gt;&lt;/Cite&gt;&lt;/EndNote&gt;</w:instrText>
      </w:r>
      <w:r w:rsidR="00AA2A48" w:rsidRPr="00DA6BE4">
        <w:rPr>
          <w:rFonts w:ascii="Times New Roman" w:hAnsi="Times New Roman" w:cs="Times New Roman"/>
          <w:lang w:val="en-US"/>
        </w:rPr>
        <w:fldChar w:fldCharType="separate"/>
      </w:r>
      <w:r w:rsidRPr="00DA6BE4">
        <w:rPr>
          <w:rFonts w:ascii="Times New Roman" w:hAnsi="Times New Roman" w:cs="Times New Roman"/>
          <w:noProof/>
          <w:lang w:val="en-US"/>
        </w:rPr>
        <w:t>Cora Diamond in the article ‘Losing Your Concepts’ makes a similar claim. In this paper, Diamond cites the work of Alasdair MacIntyre, Stanley Cavell, and Iris Murdoch, as different examples of the loss of conceptual schemes.</w:t>
      </w:r>
      <w:r w:rsidR="00AA2A48" w:rsidRPr="00DA6BE4">
        <w:rPr>
          <w:rFonts w:ascii="Times New Roman" w:hAnsi="Times New Roman" w:cs="Times New Roman"/>
          <w:lang w:val="en-US"/>
        </w:rPr>
        <w:fldChar w:fldCharType="end"/>
      </w:r>
      <w:r w:rsidRPr="00DA6BE4">
        <w:rPr>
          <w:rFonts w:ascii="Times New Roman" w:hAnsi="Times New Roman" w:cs="Times New Roman"/>
          <w:lang w:val="en-US"/>
        </w:rPr>
        <w:t xml:space="preserve"> See </w:t>
      </w:r>
      <w:r w:rsidR="00AA2A48" w:rsidRPr="00DA6BE4">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&lt;EndNote&gt;&lt;Cite&gt;&lt;Author&gt;Diamond&lt;/Author&gt;&lt;RecNum&gt;162&lt;/RecNum&gt;&lt;Pages&gt;255-277&lt;/Pages&gt;&lt;DisplayText&gt;Cora Diamond, &amp;quot;Losing Your Concepts,&amp;quot; &lt;style face="italic"&gt;Ethics&lt;/style&gt; 98, no. 2: 255-277.&lt;/DisplayText&gt;&lt;record&gt;&lt;rec-number&gt;162&lt;/rec-number&gt;&lt;foreign-keys&gt;&lt;key app="EN" db-id="vxze0a2pwrt959ep2afxdw5cat595wt9sv95" timestamp="1522575374"&gt;162&lt;/key&gt;&lt;/foreign-keys&gt;&lt;ref-type name="Journal Article"&gt;17&lt;/ref-type&gt;&lt;contributors&gt;&lt;authors&gt;&lt;author&gt;Diamond, Cora&lt;/author&gt;&lt;/authors&gt;&lt;/contributors&gt;&lt;titles&gt;&lt;title&gt;Losing Your Concepts&lt;/title&gt;&lt;secondary-title&gt;Ethics&lt;/secondary-title&gt;&lt;/titles&gt;&lt;periodical&gt;&lt;full-title&gt;Ethics&lt;/full-title&gt;&lt;/periodical&gt;&lt;pages&gt;255-277&lt;/pages&gt;&lt;volume&gt;98&lt;/volume&gt;&lt;number&gt;2&lt;/number&gt;&lt;section&gt;255&lt;/section&gt;&lt;dates&gt;&lt;pub-dates&gt;&lt;date&gt;1988&lt;/date&gt;&lt;/pub-dates&gt;&lt;/dates&gt;&lt;urls&gt;&lt;/urls&gt;&lt;/record&gt;&lt;/Cite&gt;&lt;/EndNote&gt;</w:instrText>
      </w:r>
      <w:r w:rsidR="00AA2A48" w:rsidRPr="00DA6BE4">
        <w:rPr>
          <w:rFonts w:ascii="Times New Roman" w:hAnsi="Times New Roman" w:cs="Times New Roman"/>
          <w:lang w:val="en-US"/>
        </w:rPr>
        <w:fldChar w:fldCharType="separate"/>
      </w:r>
      <w:r>
        <w:rPr>
          <w:rFonts w:ascii="Times New Roman" w:hAnsi="Times New Roman" w:cs="Times New Roman"/>
          <w:noProof/>
          <w:lang w:val="en-US"/>
        </w:rPr>
        <w:t xml:space="preserve">Cora Diamond, "Losing Your Concepts," </w:t>
      </w:r>
      <w:r w:rsidRPr="002225F3">
        <w:rPr>
          <w:rFonts w:ascii="Times New Roman" w:hAnsi="Times New Roman" w:cs="Times New Roman"/>
          <w:i/>
          <w:noProof/>
          <w:lang w:val="en-US"/>
        </w:rPr>
        <w:t>Ethics</w:t>
      </w:r>
      <w:r>
        <w:rPr>
          <w:rFonts w:ascii="Times New Roman" w:hAnsi="Times New Roman" w:cs="Times New Roman"/>
          <w:noProof/>
          <w:lang w:val="en-US"/>
        </w:rPr>
        <w:t xml:space="preserve"> 98, no. 2: 255-277.</w:t>
      </w:r>
      <w:r w:rsidR="00AA2A48" w:rsidRPr="00DA6BE4">
        <w:rPr>
          <w:rFonts w:ascii="Times New Roman" w:hAnsi="Times New Roman" w:cs="Times New Roman"/>
          <w:lang w:val="en-US"/>
        </w:rPr>
        <w:fldChar w:fldCharType="end"/>
      </w:r>
    </w:p>
  </w:footnote>
  <w:footnote w:id="1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AuthorYear="1"&gt;&lt;Author&gt;MacIntyre&lt;/Author&gt;&lt;Year&gt;1984&lt;/Year&gt;&lt;RecNum&gt;48&lt;/RecNum&gt;&lt;Pages&gt;1-2&lt;/Pages&gt;&lt;DisplayText&gt;MacIntyre, &lt;style face="italic"&gt;After Virtue&lt;/style&gt;, 1-2.&lt;/DisplayText&gt;&lt;record&gt;&lt;rec-number&gt;48&lt;/rec-number&gt;&lt;foreign-keys&gt;&lt;key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1-2.</w:t>
      </w:r>
      <w:r w:rsidR="00AA2A48" w:rsidRPr="00DA6BE4">
        <w:rPr>
          <w:rFonts w:ascii="Times New Roman" w:hAnsi="Times New Roman" w:cs="Times New Roman"/>
        </w:rPr>
        <w:fldChar w:fldCharType="end"/>
      </w:r>
    </w:p>
  </w:footnote>
  <w:footnote w:id="1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AuthorYear="1"&gt;&lt;Author&gt;MacIntyre&lt;/Author&gt;&lt;Year&gt;1984&lt;/Year&gt;&lt;RecNum&gt;48&lt;/RecNum&gt;&lt;Pages&gt;2&lt;/Pages&gt;&lt;DisplayText&gt;Ibid., 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w:t>
      </w:r>
      <w:r w:rsidR="00AA2A48" w:rsidRPr="00DA6BE4">
        <w:rPr>
          <w:rFonts w:ascii="Times New Roman" w:hAnsi="Times New Roman" w:cs="Times New Roman"/>
        </w:rPr>
        <w:fldChar w:fldCharType="end"/>
      </w:r>
    </w:p>
  </w:footnote>
  <w:footnote w:id="1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AuthorYear="1"&gt;&lt;Author&gt;MacIntyre&lt;/Author&gt;&lt;Year&gt;1984&lt;/Year&gt;&lt;RecNum&gt;48&lt;/RecNum&gt;&lt;Pages&gt;3&lt;/Pages&gt;&lt;DisplayText&gt;Ibid., 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w:t>
      </w:r>
      <w:r w:rsidR="00AA2A48" w:rsidRPr="00DA6BE4">
        <w:rPr>
          <w:rFonts w:ascii="Times New Roman" w:hAnsi="Times New Roman" w:cs="Times New Roman"/>
        </w:rPr>
        <w:fldChar w:fldCharType="end"/>
      </w:r>
    </w:p>
  </w:footnote>
  <w:footnote w:id="1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AuthorYear="1"&gt;&lt;Author&gt;MacIntyre&lt;/Author&gt;&lt;Year&gt;1984&lt;/Year&gt;&lt;RecNum&gt;48&lt;/RecNum&gt;&lt;Pages&gt;22&lt;/Pages&gt;&lt;DisplayText&gt;Ibid., 22.&lt;/DisplayText&gt;&lt;record&gt;&lt;rec-number&gt;48&lt;/rec-number&gt;&lt;foreign-keys&gt;&lt;key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22.</w:t>
      </w:r>
      <w:r w:rsidR="00AA2A48" w:rsidRPr="00DA6BE4">
        <w:rPr>
          <w:rFonts w:ascii="Times New Roman" w:hAnsi="Times New Roman" w:cs="Times New Roman"/>
        </w:rPr>
        <w:fldChar w:fldCharType="end"/>
      </w:r>
    </w:p>
  </w:footnote>
  <w:footnote w:id="18">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Stanley </w:t>
      </w:r>
      <w:proofErr w:type="spellStart"/>
      <w:r w:rsidRPr="00DA6BE4">
        <w:rPr>
          <w:rFonts w:ascii="Times New Roman" w:hAnsi="Times New Roman" w:cs="Times New Roman"/>
        </w:rPr>
        <w:t>Hauerwas</w:t>
      </w:r>
      <w:proofErr w:type="spellEnd"/>
      <w:r w:rsidRPr="00DA6BE4">
        <w:rPr>
          <w:rFonts w:ascii="Times New Roman" w:hAnsi="Times New Roman" w:cs="Times New Roman"/>
        </w:rPr>
        <w:t xml:space="preserve"> claims that MacIntyre has privately – and I assume privately since </w:t>
      </w:r>
      <w:proofErr w:type="spellStart"/>
      <w:r w:rsidRPr="00DA6BE4">
        <w:rPr>
          <w:rFonts w:ascii="Times New Roman" w:hAnsi="Times New Roman" w:cs="Times New Roman"/>
        </w:rPr>
        <w:t>Hauerwas</w:t>
      </w:r>
      <w:proofErr w:type="spellEnd"/>
      <w:r w:rsidRPr="00DA6BE4">
        <w:rPr>
          <w:rFonts w:ascii="Times New Roman" w:hAnsi="Times New Roman" w:cs="Times New Roman"/>
        </w:rPr>
        <w:t xml:space="preserve"> doesn’t provide any references – told him that the inadequacy of his social account in </w:t>
      </w:r>
      <w:r w:rsidRPr="00DA6BE4">
        <w:rPr>
          <w:rFonts w:ascii="Times New Roman" w:hAnsi="Times New Roman" w:cs="Times New Roman"/>
          <w:i/>
        </w:rPr>
        <w:t>After Virtue</w:t>
      </w:r>
      <w:r w:rsidRPr="00DA6BE4">
        <w:rPr>
          <w:rFonts w:ascii="Times New Roman" w:hAnsi="Times New Roman" w:cs="Times New Roman"/>
        </w:rPr>
        <w:t xml:space="preserve"> led him to seek out a more metaphysically robust way of grounding his philosophy.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&lt;EndNote&gt;&lt;Cite&gt;&lt;Author&gt;Hauerwas&lt;/Author&gt;&lt;Year&gt;2007&lt;/Year&gt;&lt;RecNum&gt;115&lt;/RecNum&gt;&lt;Pages&gt;38&lt;/Pages&gt;&lt;DisplayText&gt;Hauerwas, &amp;quot;The Virtues of Alasdair Macintyre,&amp;quot; 38.&lt;/DisplayText&gt;&lt;record&gt;&lt;rec-number&gt;115&lt;/rec-number&gt;&lt;foreign-keys&gt;&lt;key app="EN" db-id="vxze0a2pwrt959ep2afxdw5cat595wt9sv95" timestamp="1520733023"&gt;115&lt;/key&gt;&lt;/foreign-keys&gt;&lt;ref-type name="Journal Article"&gt;17&lt;/ref-type&gt;&lt;contributors&gt;&lt;authors&gt;&lt;author&gt;Hauerwas, Stanley&lt;/author&gt;&lt;/authors&gt;&lt;/contributors&gt;&lt;titles&gt;&lt;title&gt;The Virtues of Alasdair MacIntyre&lt;/title&gt;&lt;secondary-title&gt;First Things&lt;/secondary-title&gt;&lt;/titles&gt;&lt;periodical&gt;&lt;full-title&gt;First Things&lt;/full-title&gt;&lt;/periodical&gt;&lt;pages&gt;35-40&lt;/pages&gt;&lt;volume&gt;October&lt;/volume&gt;&lt;section&gt;35&lt;/section&gt;&lt;dates&gt;&lt;year&gt;2007&lt;/year&gt;&lt;/dates&gt;&lt;urls&gt;&lt;/urls&gt;&lt;/record&gt;&lt;/Cite&gt;&lt;/EndNote&gt;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Hauerwas, "The Virtues of Alasdair Macintyre," 38.</w:t>
      </w:r>
      <w:r w:rsidR="00AA2A48" w:rsidRPr="00DA6BE4">
        <w:rPr>
          <w:rFonts w:ascii="Times New Roman" w:hAnsi="Times New Roman" w:cs="Times New Roman"/>
        </w:rPr>
        <w:fldChar w:fldCharType="end"/>
      </w:r>
    </w:p>
  </w:footnote>
  <w:footnote w:id="1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AuthorYear="1"&gt;&lt;Author&gt;MacIntyre&lt;/Author&gt;&lt;Year&gt;1984&lt;/Year&gt;&lt;RecNum&gt;48&lt;/RecNum&gt;&lt;Pages&gt;6-7&lt;/Pages&gt;&lt;DisplayText&gt;MacIntyre, &lt;style face="italic"&gt;After Virtue&lt;/style&gt;, 6-7.&lt;/DisplayText&gt;&lt;record&gt;&lt;rec-number&gt;48&lt;/rec-number&gt;&lt;foreign-keys&gt;&lt;key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6-7.</w:t>
      </w:r>
      <w:r w:rsidR="00AA2A48" w:rsidRPr="00DA6BE4">
        <w:rPr>
          <w:rFonts w:ascii="Times New Roman" w:hAnsi="Times New Roman" w:cs="Times New Roman"/>
        </w:rPr>
        <w:fldChar w:fldCharType="end"/>
      </w:r>
    </w:p>
  </w:footnote>
  <w:footnote w:id="2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AuthorYear="1"&gt;&lt;Author&gt;MacIntyre&lt;/Author&gt;&lt;Year&gt;1984&lt;/Year&gt;&lt;RecNum&gt;48&lt;/RecNum&gt;&lt;Pages&gt;8&lt;/Pages&gt;&lt;DisplayText&gt;Ibid., 8.&lt;/DisplayText&gt;&lt;record&gt;&lt;rec-number&gt;48&lt;/rec-number&gt;&lt;foreign-keys&gt;&lt;key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8.</w:t>
      </w:r>
      <w:r w:rsidR="00AA2A48" w:rsidRPr="00DA6BE4">
        <w:rPr>
          <w:rFonts w:ascii="Times New Roman" w:hAnsi="Times New Roman" w:cs="Times New Roman"/>
        </w:rPr>
        <w:fldChar w:fldCharType="end"/>
      </w:r>
    </w:p>
  </w:footnote>
  <w:footnote w:id="2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AuthorYear="1"&gt;&lt;Author&gt;MacIntyre&lt;/Author&gt;&lt;Year&gt;1984&lt;/Year&gt;&lt;RecNum&gt;48&lt;/RecNum&gt;&lt;DisplayText&gt;Ibid.&lt;/DisplayText&gt;&lt;record&gt;&lt;rec-number&gt;48&lt;/rec-number&gt;&lt;foreign-keys&gt;&lt;key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2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AuthorYear="1"&gt;&lt;Author&gt;MacIntyre&lt;/Author&gt;&lt;Year&gt;1984&lt;/Year&gt;&lt;RecNum&gt;48&lt;/RecNum&gt;&lt;Pages&gt;10&lt;/Pages&gt;&lt;DisplayText&gt;Ibid., 10.&lt;/DisplayText&gt;&lt;record&gt;&lt;rec-number&gt;48&lt;/rec-number&gt;&lt;foreign-keys&gt;&lt;key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w:t>
      </w:r>
      <w:r w:rsidR="00AA2A48" w:rsidRPr="00DA6BE4">
        <w:rPr>
          <w:rFonts w:ascii="Times New Roman" w:hAnsi="Times New Roman" w:cs="Times New Roman"/>
        </w:rPr>
        <w:fldChar w:fldCharType="end"/>
      </w:r>
    </w:p>
  </w:footnote>
  <w:footnote w:id="2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&lt;EndNote&gt;&lt;Cite&gt;&lt;RecNum&gt;0&lt;/RecNum&gt;&lt;Note&gt;Later in this chapter I will present the major claims that MacIntyre puts forward as hypotheses in order to show how they raise some important problems.&lt;/Note&gt;&lt;DisplayText&gt;Later in this chapter I will present the major claims that MacIntyre puts forward as hypotheses in order to show how they raise some important problems.&lt;/DisplayText&gt;&lt;/Cite&gt;&lt;/EndNote&gt;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Later in this chapter I will present the major claims that MacIntyre puts forward as hypotheses in order to show how they raise some important problems.</w:t>
      </w:r>
      <w:r w:rsidR="00AA2A48" w:rsidRPr="00DA6BE4">
        <w:rPr>
          <w:rFonts w:ascii="Times New Roman" w:hAnsi="Times New Roman" w:cs="Times New Roman"/>
        </w:rPr>
        <w:fldChar w:fldCharType="end"/>
      </w:r>
      <w:r w:rsidRPr="00DA6BE4">
        <w:rPr>
          <w:rFonts w:ascii="Times New Roman" w:hAnsi="Times New Roman" w:cs="Times New Roman"/>
        </w:rPr>
        <w:t xml:space="preserve"> For a complete list of these hypotheses see the Appendix to this thesis.</w:t>
      </w:r>
    </w:p>
  </w:footnote>
  <w:footnote w:id="24">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AuthorYear="1"&gt;&lt;Author&gt;MacIntyre&lt;/Author&gt;&lt;Year&gt;1984&lt;/Year&gt;&lt;RecNum&gt;48&lt;/RecNum&gt;&lt;Pages&gt;11-12&lt;/Pages&gt;&lt;DisplayText&gt;MacIntyre, &lt;style face="italic"&gt;After Virtue&lt;/style&gt;, 11-12.&lt;/DisplayText&gt;&lt;record&gt;&lt;rec-number&gt;48&lt;/rec-number&gt;&lt;foreign-keys&gt;&lt;key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11-12.</w:t>
      </w:r>
      <w:r w:rsidR="00AA2A48" w:rsidRPr="00DA6BE4">
        <w:rPr>
          <w:rFonts w:ascii="Times New Roman" w:hAnsi="Times New Roman" w:cs="Times New Roman"/>
        </w:rPr>
        <w:fldChar w:fldCharType="end"/>
      </w:r>
    </w:p>
  </w:footnote>
  <w:footnote w:id="2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&lt;EndNote&gt;&lt;Cite&gt;&lt;RecNum&gt;0&lt;/RecNum&gt;&lt;Note&gt;Here, MacIntyre presupposes a distinction between a type of utterance that expresses some personal preferences such as: “it is good to perform some action X because you can make the largest amount of money”; and a second type of utterance that expresses an impersonal criteria such as “Do such and such because it would bring happiness to the largest number of people”, or “because it would reduce the suffering of the largest number of people”.&lt;/Note&gt;&lt;DisplayText&gt;Here, MacIntyre presupposes a distinction between a type of utterance that expresses some personal preferences such as: “it is good to perform some action X because you can make the largest amount of money”; and a second type of utterance that expresses an impersonal criteria such as “Do such and such because it would bring happiness to the largest number of people”, or “because it would reduce the suffering of the largest number of people”.&lt;/DisplayText&gt;&lt;/Cite&gt;&lt;/EndNote&gt;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Here, MacIntyre presupposes a distinction between a type of utterance that expresses some personal preferences such as: “it is good to perform some action X because you can make the largest amount of money”; and a second type of utterance that expresses an impersonal criteria such as “Do such and such because it would bring happiness to the largest number of people”, or “because it would reduce the suffering of the largest number of people”.</w:t>
      </w:r>
      <w:r w:rsidR="00AA2A48" w:rsidRPr="00DA6BE4">
        <w:rPr>
          <w:rFonts w:ascii="Times New Roman" w:hAnsi="Times New Roman" w:cs="Times New Roman"/>
        </w:rPr>
        <w:fldChar w:fldCharType="end"/>
      </w:r>
    </w:p>
  </w:footnote>
  <w:footnote w:id="2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AuthorYear="1"&gt;&lt;Author&gt;MacIntyre&lt;/Author&gt;&lt;Year&gt;1984&lt;/Year&gt;&lt;RecNum&gt;48&lt;/RecNum&gt;&lt;Pages&gt;13&lt;/Pages&gt;&lt;DisplayText&gt;MacIntyre, &lt;style face="italic"&gt;After Virtue&lt;/style&gt;, 13.&lt;/DisplayText&gt;&lt;record&gt;&lt;rec-number&gt;48&lt;/rec-number&gt;&lt;foreign-keys&gt;&lt;key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13.</w:t>
      </w:r>
      <w:r w:rsidR="00AA2A48" w:rsidRPr="00DA6BE4">
        <w:rPr>
          <w:rFonts w:ascii="Times New Roman" w:hAnsi="Times New Roman" w:cs="Times New Roman"/>
        </w:rPr>
        <w:fldChar w:fldCharType="end"/>
      </w:r>
    </w:p>
  </w:footnote>
  <w:footnote w:id="27">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AuthorYear="1"&gt;&lt;Author&gt;MacIntyre&lt;/Author&gt;&lt;Year&gt;1984&lt;/Year&gt;&lt;RecNum&gt;48&lt;/RecNum&gt;&lt;Pages&gt;14&lt;/Pages&gt;&lt;DisplayText&gt;Ibid., 14.&lt;/DisplayText&gt;&lt;record&gt;&lt;rec-number&gt;48&lt;/rec-number&gt;&lt;foreign-keys&gt;&lt;key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14.</w:t>
      </w:r>
      <w:r w:rsidR="00AA2A48" w:rsidRPr="00DA6BE4">
        <w:rPr>
          <w:rFonts w:ascii="Times New Roman" w:hAnsi="Times New Roman" w:cs="Times New Roman"/>
        </w:rPr>
        <w:fldChar w:fldCharType="end"/>
      </w:r>
    </w:p>
  </w:footnote>
  <w:footnote w:id="2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AuthorYear="1"&gt;&lt;Author&gt;MacIntyre&lt;/Author&gt;&lt;Year&gt;1984&lt;/Year&gt;&lt;RecNum&gt;48&lt;/RecNum&gt;&lt;Pages&gt;15&lt;/Pages&gt;&lt;DisplayText&gt;Ibid., 15.&lt;/DisplayText&gt;&lt;record&gt;&lt;rec-number&gt;48&lt;/rec-number&gt;&lt;foreign-keys&gt;&lt;key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w:t>
      </w:r>
      <w:r w:rsidR="00AA2A48" w:rsidRPr="00DA6BE4">
        <w:rPr>
          <w:rFonts w:ascii="Times New Roman" w:hAnsi="Times New Roman" w:cs="Times New Roman"/>
        </w:rPr>
        <w:fldChar w:fldCharType="end"/>
      </w:r>
    </w:p>
  </w:footnote>
  <w:footnote w:id="2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&lt;EndNote&gt;&lt;Cite&gt;&lt;RecNum&gt;0&lt;/RecNum&gt;&lt;Note&gt;C.S. Stevenson, A.J. Ayer, J. L. Austin, and F. Ramsay were influenced by G.E. Moore but came to accept some version of emotivism. It is accurate to say that emotivism was in large part a response to Moore’s Principia Ethica.&lt;/Note&gt;&lt;DisplayText&gt;C.S. Stevenson, A.J. Ayer, J. L. Austin, and F. Ramsay were influenced by G.E. Moore but came to accept some version of emotivism. It is accurate to say that emotivism was in large part a response to Moore’s Principia Ethica.&lt;/DisplayText&gt;&lt;/Cite&gt;&lt;/EndNote&gt;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C.S. Stevenson, A.J. Ayer, J. L. Austin, and F. Ramsay were influenced by G.E. Moore but came to accept some version of emotivism. It is accurate to say that emotivism was in large part a response to Moore’s Principia Ethica.</w:t>
      </w:r>
      <w:r w:rsidR="00AA2A48" w:rsidRPr="00DA6BE4">
        <w:rPr>
          <w:rFonts w:ascii="Times New Roman" w:hAnsi="Times New Roman" w:cs="Times New Roman"/>
        </w:rPr>
        <w:fldChar w:fldCharType="end"/>
      </w:r>
    </w:p>
  </w:footnote>
  <w:footnote w:id="3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AuthorYear="1"&gt;&lt;Author&gt;MacIntyre&lt;/Author&gt;&lt;Year&gt;1984&lt;/Year&gt;&lt;RecNum&gt;48&lt;/RecNum&gt;&lt;Pages&gt;16-18&lt;/Pages&gt;&lt;DisplayText&gt;MacIntyre, &lt;style face="italic"&gt;After Virtue&lt;/style&gt;, 16-18.&lt;/DisplayText&gt;&lt;record&gt;&lt;rec-number&gt;48&lt;/rec-number&gt;&lt;foreign-keys&gt;&lt;key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16-18.</w:t>
      </w:r>
      <w:r w:rsidR="00AA2A48" w:rsidRPr="00DA6BE4">
        <w:rPr>
          <w:rFonts w:ascii="Times New Roman" w:hAnsi="Times New Roman" w:cs="Times New Roman"/>
        </w:rPr>
        <w:fldChar w:fldCharType="end"/>
      </w:r>
      <w:r w:rsidRPr="00DA6BE4">
        <w:rPr>
          <w:rFonts w:ascii="Times New Roman" w:hAnsi="Times New Roman" w:cs="Times New Roman"/>
        </w:rPr>
        <w:t xml:space="preserve"> MacIntyre believes that it is no coincidence that most of Moore’s pupil ultimately endorsed some version of </w:t>
      </w:r>
      <w:proofErr w:type="spellStart"/>
      <w:r w:rsidRPr="00DA6BE4">
        <w:rPr>
          <w:rFonts w:ascii="Times New Roman" w:hAnsi="Times New Roman" w:cs="Times New Roman"/>
        </w:rPr>
        <w:t>emotivisim</w:t>
      </w:r>
      <w:proofErr w:type="spellEnd"/>
      <w:r w:rsidRPr="00DA6BE4">
        <w:rPr>
          <w:rFonts w:ascii="Times New Roman" w:hAnsi="Times New Roman" w:cs="Times New Roman"/>
        </w:rPr>
        <w:t>.</w:t>
      </w:r>
    </w:p>
  </w:footnote>
  <w:footnote w:id="3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AuthorYear="1"&gt;&lt;Author&gt;MacIntyre&lt;/Author&gt;&lt;Year&gt;1984&lt;/Year&gt;&lt;RecNum&gt;48&lt;/RecNum&gt;&lt;Pages&gt;22&lt;/Pages&gt;&lt;DisplayText&gt;Ibid., 22.&lt;/DisplayText&gt;&lt;record&gt;&lt;rec-number&gt;48&lt;/rec-number&gt;&lt;foreign-keys&gt;&lt;key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22.</w:t>
      </w:r>
      <w:r w:rsidR="00AA2A48" w:rsidRPr="00DA6BE4">
        <w:rPr>
          <w:rFonts w:ascii="Times New Roman" w:hAnsi="Times New Roman" w:cs="Times New Roman"/>
        </w:rPr>
        <w:fldChar w:fldCharType="end"/>
      </w:r>
    </w:p>
  </w:footnote>
  <w:footnote w:id="32">
    <w:p w:rsidR="00D810CC" w:rsidRPr="00DA6BE4" w:rsidRDefault="00D810CC" w:rsidP="00C759D0">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Here I am using ‘phenomenal’ as relating to phenomena as being cognizable by the senses.</w:t>
      </w:r>
    </w:p>
  </w:footnote>
  <w:footnote w:id="3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AuthorYear="1"&gt;&lt;Author&gt;MacIntyre&lt;/Author&gt;&lt;Year&gt;1984&lt;/Year&gt;&lt;RecNum&gt;48&lt;/RecNum&gt;&lt;Pages&gt;31-32&lt;/Pages&gt;&lt;DisplayText&gt;MacIntyre, &lt;style face="italic"&gt;After Virtue&lt;/style&gt;, 31-32.&lt;/DisplayText&gt;&lt;record&gt;&lt;rec-number&gt;48&lt;/rec-number&gt;&lt;foreign-keys&gt;&lt;key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31-32.</w:t>
      </w:r>
      <w:r w:rsidR="00AA2A48" w:rsidRPr="00DA6BE4">
        <w:rPr>
          <w:rFonts w:ascii="Times New Roman" w:hAnsi="Times New Roman" w:cs="Times New Roman"/>
        </w:rPr>
        <w:fldChar w:fldCharType="end"/>
      </w:r>
    </w:p>
  </w:footnote>
  <w:footnote w:id="34">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AuthorYear="1"&gt;&lt;Author&gt;MacIntyre&lt;/Author&gt;&lt;Year&gt;1984&lt;/Year&gt;&lt;RecNum&gt;48&lt;/RecNum&gt;&lt;Pages&gt;33&lt;/Pages&gt;&lt;DisplayText&gt;Ibid., 33.&lt;/DisplayText&gt;&lt;record&gt;&lt;rec-number&gt;48&lt;/rec-number&gt;&lt;foreign-keys&gt;&lt;key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33.</w:t>
      </w:r>
      <w:r w:rsidR="00AA2A48" w:rsidRPr="00DA6BE4">
        <w:rPr>
          <w:rFonts w:ascii="Times New Roman" w:hAnsi="Times New Roman" w:cs="Times New Roman"/>
        </w:rPr>
        <w:fldChar w:fldCharType="end"/>
      </w:r>
    </w:p>
  </w:footnote>
  <w:footnote w:id="3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AuthorYear="1"&gt;&lt;Author&gt;MacIntyre&lt;/Author&gt;&lt;Year&gt;1984&lt;/Year&gt;&lt;RecNum&gt;48&lt;/RecNum&gt;&lt;Pages&gt;34&lt;/Pages&gt;&lt;DisplayText&gt;Ibid., 34.&lt;/DisplayText&gt;&lt;record&gt;&lt;rec-number&gt;48&lt;/rec-number&gt;&lt;foreign-keys&gt;&lt;key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34.</w:t>
      </w:r>
      <w:r w:rsidR="00AA2A48" w:rsidRPr="00DA6BE4">
        <w:rPr>
          <w:rFonts w:ascii="Times New Roman" w:hAnsi="Times New Roman" w:cs="Times New Roman"/>
        </w:rPr>
        <w:fldChar w:fldCharType="end"/>
      </w:r>
    </w:p>
  </w:footnote>
  <w:footnote w:id="3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AuthorYear="1"&gt;&lt;Author&gt;MacIntyre&lt;/Author&gt;&lt;Year&gt;1984&lt;/Year&gt;&lt;RecNum&gt;48&lt;/RecNum&gt;&lt;Pages&gt;39&lt;/Pages&gt;&lt;DisplayText&gt;Ibid., 39.&lt;/DisplayText&gt;&lt;record&gt;&lt;rec-number&gt;48&lt;/rec-number&gt;&lt;foreign-keys&gt;&lt;key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39.</w:t>
      </w:r>
      <w:r w:rsidR="00AA2A48" w:rsidRPr="00DA6BE4">
        <w:rPr>
          <w:rFonts w:ascii="Times New Roman" w:hAnsi="Times New Roman" w:cs="Times New Roman"/>
        </w:rPr>
        <w:fldChar w:fldCharType="end"/>
      </w:r>
    </w:p>
  </w:footnote>
  <w:footnote w:id="37">
    <w:p w:rsidR="00D810CC" w:rsidRPr="00DA6BE4" w:rsidRDefault="00D810CC">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note that MacIntyre’s reading of Kierkegaard is controversial and isn’t widely accepted by Kierkegaard scholars: see </w:t>
      </w:r>
      <w:r w:rsidRPr="00DA6BE4">
        <w:rPr>
          <w:rFonts w:ascii="Times New Roman" w:hAnsi="Times New Roman" w:cs="Times New Roman"/>
          <w:i/>
        </w:rPr>
        <w:t>Kierkegaard After MacIntyre: Essays on Freedom, Narrative and Virtue</w:t>
      </w:r>
      <w:r w:rsidRPr="00DA6BE4">
        <w:rPr>
          <w:rFonts w:ascii="Times New Roman" w:hAnsi="Times New Roman" w:cs="Times New Roman"/>
        </w:rPr>
        <w:t>, edited by John J Davenport and Anthony Rudd (Open Court, 2001); nevertheless, for my purposes MacIntyre’s reading can be accepted since I am using MacIntyre’s version of Kierkegaard to advance his historical reconstruction that explains the failure of the Enlightenment Project. Even if MacIntyre’s account of Kierkegaard is controversial, a more widely accepted reading of Kierkegaard is unable to, and indeed does not make, an attempt to save what MacIntyre defines as the ‘Enlightenment Project of Justifying Morality.’</w:t>
      </w:r>
    </w:p>
  </w:footnote>
  <w:footnote w:id="3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AuthorYear="1"&gt;&lt;Author&gt;MacIntyre&lt;/Author&gt;&lt;Year&gt;1984&lt;/Year&gt;&lt;RecNum&gt;48&lt;/RecNum&gt;&lt;Pages&gt;40&lt;/Pages&gt;&lt;DisplayText&gt;MacIntyre, &lt;style face="italic"&gt;After Virtue&lt;/style&gt;, 40.&lt;/DisplayText&gt;&lt;record&gt;&lt;rec-number&gt;48&lt;/rec-number&gt;&lt;foreign-keys&gt;&lt;key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40.</w:t>
      </w:r>
      <w:r w:rsidR="00AA2A48" w:rsidRPr="00DA6BE4">
        <w:rPr>
          <w:rFonts w:ascii="Times New Roman" w:hAnsi="Times New Roman" w:cs="Times New Roman"/>
        </w:rPr>
        <w:fldChar w:fldCharType="end"/>
      </w:r>
    </w:p>
  </w:footnote>
  <w:footnote w:id="3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AuthorYear="1"&gt;&lt;Author&gt;MacIntyre&lt;/Author&gt;&lt;Year&gt;1984&lt;/Year&gt;&lt;RecNum&gt;48&lt;/RecNum&gt;&lt;Pages&gt;42&lt;/Pages&gt;&lt;DisplayText&gt;Ibid., 42.&lt;/DisplayText&gt;&lt;record&gt;&lt;rec-number&gt;48&lt;/rec-number&gt;&lt;foreign-keys&gt;&lt;key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42.</w:t>
      </w:r>
      <w:r w:rsidR="00AA2A48" w:rsidRPr="00DA6BE4">
        <w:rPr>
          <w:rFonts w:ascii="Times New Roman" w:hAnsi="Times New Roman" w:cs="Times New Roman"/>
        </w:rPr>
        <w:fldChar w:fldCharType="end"/>
      </w:r>
    </w:p>
  </w:footnote>
  <w:footnote w:id="4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AuthorYear="1"&gt;&lt;Author&gt;MacIntyre&lt;/Author&gt;&lt;Year&gt;1984&lt;/Year&gt;&lt;RecNum&gt;48&lt;/RecNum&gt;&lt;Pages&gt;49&lt;/Pages&gt;&lt;DisplayText&gt;Ibid., 49.&lt;/DisplayText&gt;&lt;record&gt;&lt;rec-number&gt;48&lt;/rec-number&gt;&lt;foreign-keys&gt;&lt;key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49.</w:t>
      </w:r>
      <w:r w:rsidR="00AA2A48" w:rsidRPr="00DA6BE4">
        <w:rPr>
          <w:rFonts w:ascii="Times New Roman" w:hAnsi="Times New Roman" w:cs="Times New Roman"/>
        </w:rPr>
        <w:fldChar w:fldCharType="end"/>
      </w:r>
    </w:p>
  </w:footnote>
  <w:footnote w:id="4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&lt;EndNote&gt;&lt;Cite&gt;&lt;Author&gt;MacIntyre&lt;/Author&gt;&lt;Year&gt;1984&lt;/Year&gt;&lt;RecNum&gt;48&lt;/RecNum&gt;&lt;DisplayText&gt;Ibid.&lt;/DisplayText&gt;&lt;record&gt;&lt;rec-number&gt;48&lt;/rec-number&gt;&lt;foreign-keys&gt;&lt;key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4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&lt;EndNote&gt;&lt;Cite&gt;&lt;Author&gt;MacIntyre&lt;/Author&gt;&lt;Year&gt;1984&lt;/Year&gt;&lt;RecNum&gt;48&lt;/RecNum&gt;&lt;Pages&gt;53&lt;/Pages&gt;&lt;DisplayText&gt;Ibid., 53.&lt;/DisplayText&gt;&lt;record&gt;&lt;rec-number&gt;48&lt;/rec-number&gt;&lt;foreign-keys&gt;&lt;key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53.</w:t>
      </w:r>
      <w:r w:rsidR="00AA2A48" w:rsidRPr="00DA6BE4">
        <w:rPr>
          <w:rFonts w:ascii="Times New Roman" w:hAnsi="Times New Roman" w:cs="Times New Roman"/>
        </w:rPr>
        <w:fldChar w:fldCharType="end"/>
      </w:r>
    </w:p>
  </w:footnote>
  <w:footnote w:id="4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&lt;EndNote&gt;&lt;Cite&gt;&lt;Author&gt;MacIntyre&lt;/Author&gt;&lt;Year&gt;1984&lt;/Year&gt;&lt;RecNum&gt;48&lt;/RecNum&gt;&lt;Pages&gt;54-55&lt;/Pages&gt;&lt;DisplayText&gt;Ibid., 54-55.&lt;/DisplayText&gt;&lt;record&gt;&lt;rec-number&gt;48&lt;/rec-number&gt;&lt;foreign-keys&gt;&lt;key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54-55.</w:t>
      </w:r>
      <w:r w:rsidR="00AA2A48" w:rsidRPr="00DA6BE4">
        <w:rPr>
          <w:rFonts w:ascii="Times New Roman" w:hAnsi="Times New Roman" w:cs="Times New Roman"/>
        </w:rPr>
        <w:fldChar w:fldCharType="end"/>
      </w:r>
    </w:p>
  </w:footnote>
  <w:footnote w:id="44">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&lt;EndNote&gt;&lt;Cite&gt;&lt;Author&gt;MacIntyre&lt;/Author&gt;&lt;Year&gt;1984&lt;/Year&gt;&lt;RecNum&gt;48&lt;/RecNum&gt;&lt;Pages&gt;56&lt;/Pages&gt;&lt;DisplayText&gt;Ibid., 56.&lt;/DisplayText&gt;&lt;record&gt;&lt;rec-number&gt;48&lt;/rec-number&gt;&lt;foreign-keys&gt;&lt;key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56.</w:t>
      </w:r>
      <w:r w:rsidR="00AA2A48" w:rsidRPr="00DA6BE4">
        <w:rPr>
          <w:rFonts w:ascii="Times New Roman" w:hAnsi="Times New Roman" w:cs="Times New Roman"/>
        </w:rPr>
        <w:fldChar w:fldCharType="end"/>
      </w:r>
    </w:p>
  </w:footnote>
  <w:footnote w:id="4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&lt;EndNote&gt;&lt;Cite&gt;&lt;Author&gt;MacIntyre&lt;/Author&gt;&lt;Year&gt;1984&lt;/Year&gt;&lt;RecNum&gt;48&lt;/RecNum&gt;&lt;Pages&gt;57&lt;/Pages&gt;&lt;DisplayText&gt;Ibid., 57.&lt;/DisplayText&gt;&lt;record&gt;&lt;rec-number&gt;48&lt;/rec-number&gt;&lt;foreign-keys&gt;&lt;key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57.</w:t>
      </w:r>
      <w:r w:rsidR="00AA2A48" w:rsidRPr="00DA6BE4">
        <w:rPr>
          <w:rFonts w:ascii="Times New Roman" w:hAnsi="Times New Roman" w:cs="Times New Roman"/>
        </w:rPr>
        <w:fldChar w:fldCharType="end"/>
      </w:r>
    </w:p>
  </w:footnote>
  <w:footnote w:id="4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&lt;EndNote&gt;&lt;Cite&gt;&lt;Author&gt;MacIntyre&lt;/Author&gt;&lt;Year&gt;1984&lt;/Year&gt;&lt;RecNum&gt;48&lt;/RecNum&gt;&lt;Pages&gt;58-59&lt;/Pages&gt;&lt;DisplayText&gt;Ibid., 58-59.&lt;/DisplayText&gt;&lt;record&gt;&lt;rec-number&gt;48&lt;/rec-number&gt;&lt;foreign-keys&gt;&lt;key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58-59.</w:t>
      </w:r>
      <w:r w:rsidR="00AA2A48" w:rsidRPr="00DA6BE4">
        <w:rPr>
          <w:rFonts w:ascii="Times New Roman" w:hAnsi="Times New Roman" w:cs="Times New Roman"/>
        </w:rPr>
        <w:fldChar w:fldCharType="end"/>
      </w:r>
    </w:p>
  </w:footnote>
  <w:footnote w:id="47">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&lt;EndNote&gt;&lt;Cite&gt;&lt;Author&gt;MacIntyre&lt;/Author&gt;&lt;Year&gt;1984&lt;/Year&gt;&lt;RecNum&gt;48&lt;/RecNum&gt;&lt;Pages&gt;59&lt;/Pages&gt;&lt;DisplayText&gt;Ibid., 59.&lt;/DisplayText&gt;&lt;record&gt;&lt;rec-number&gt;48&lt;/rec-number&gt;&lt;foreign-keys&gt;&lt;key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59.</w:t>
      </w:r>
      <w:r w:rsidR="00AA2A48" w:rsidRPr="00DA6BE4">
        <w:rPr>
          <w:rFonts w:ascii="Times New Roman" w:hAnsi="Times New Roman" w:cs="Times New Roman"/>
        </w:rPr>
        <w:fldChar w:fldCharType="end"/>
      </w:r>
    </w:p>
  </w:footnote>
  <w:footnote w:id="4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&lt;EndNote&gt;&lt;Cite&gt;&lt;Author&gt;MacIntyre&lt;/Author&gt;&lt;Year&gt;1984&lt;/Year&gt;&lt;RecNum&gt;48&lt;/RecNum&gt;&lt;Pages&gt;65&lt;/Pages&gt;&lt;DisplayText&gt;Ibid., 65.&lt;/DisplayText&gt;&lt;record&gt;&lt;rec-number&gt;48&lt;/rec-number&gt;&lt;foreign-keys&gt;&lt;key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65.</w:t>
      </w:r>
      <w:r w:rsidR="00AA2A48" w:rsidRPr="00DA6BE4">
        <w:rPr>
          <w:rFonts w:ascii="Times New Roman" w:hAnsi="Times New Roman" w:cs="Times New Roman"/>
        </w:rPr>
        <w:fldChar w:fldCharType="end"/>
      </w:r>
    </w:p>
  </w:footnote>
  <w:footnote w:id="4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&lt;EndNote&gt;&lt;Cite&gt;&lt;Author&gt;MacIntyre&lt;/Author&gt;&lt;Year&gt;1984&lt;/Year&gt;&lt;RecNum&gt;48&lt;/RecNum&gt;&lt;Pages&gt;117&lt;/Pages&gt;&lt;DisplayText&gt;Ibid., 117.&lt;/DisplayText&gt;&lt;record&gt;&lt;rec-number&gt;48&lt;/rec-number&gt;&lt;foreign-keys&gt;&lt;key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117.</w:t>
      </w:r>
      <w:r w:rsidR="00AA2A48" w:rsidRPr="00DA6BE4">
        <w:rPr>
          <w:rFonts w:ascii="Times New Roman" w:hAnsi="Times New Roman" w:cs="Times New Roman"/>
        </w:rPr>
        <w:fldChar w:fldCharType="end"/>
      </w:r>
    </w:p>
  </w:footnote>
  <w:footnote w:id="50">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&lt;EndNote&gt;&lt;Cite&gt;&lt;Author&gt;Chappell&lt;/Author&gt;&lt;Year&gt;2008&lt;/Year&gt;&lt;RecNum&gt;20&lt;/RecNum&gt;&lt;Pages&gt;181&lt;/Pages&gt;&lt;DisplayText&gt;Timothy Chappell, &amp;quot;Utopias and the Art of the Possible,&amp;quot; &lt;style face="italic"&gt;Analyse &amp;amp; Kritik&lt;/style&gt; 30, no. 1 (2008): 181.&lt;/DisplayText&gt;&lt;record&gt;&lt;rec-number&gt;20&lt;/rec-number&gt;&lt;foreign-keys&gt;&lt;key app="EN" db-id="vxze0a2pwrt959ep2afxdw5cat595wt9sv95" timestamp="1443692382"&gt;20&lt;/key&gt;&lt;/foreign-keys&gt;&lt;ref-type name="Journal Article"&gt;17&lt;/ref-type&gt;&lt;contributors&gt;&lt;authors&gt;&lt;author&gt;Chappell, Timothy&lt;/author&gt;&lt;/authors&gt;&lt;/contributors&gt;&lt;titles&gt;&lt;title&gt;Utopias and the Art of the Possible&lt;/title&gt;&lt;secondary-title&gt;Analyse &amp;amp; Kritik&lt;/secondary-title&gt;&lt;/titles&gt;&lt;periodical&gt;&lt;full-title&gt;Analyse &amp;amp; Kritik&lt;/full-title&gt;&lt;/periodical&gt;&lt;pages&gt;179-203&lt;/pages&gt;&lt;volume&gt;30&lt;/volume&gt;&lt;number&gt;1&lt;/number&gt;&lt;dates&gt;&lt;year&gt;2008&lt;/year&gt;&lt;/dates&gt;&lt;urls&gt;&lt;/urls&gt;&lt;/record&gt;&lt;/Cite&gt;&lt;/EndNote&gt;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 xml:space="preserve">Timothy Chappell, "Utopias and the Art of the Possible," </w:t>
      </w:r>
      <w:r w:rsidRPr="00DA6BE4">
        <w:rPr>
          <w:rFonts w:ascii="Times New Roman" w:hAnsi="Times New Roman" w:cs="Times New Roman"/>
          <w:i/>
          <w:noProof/>
          <w:lang w:val="en-CA"/>
        </w:rPr>
        <w:t>Analyse &amp; Kritik</w:t>
      </w:r>
      <w:r w:rsidRPr="00DA6BE4">
        <w:rPr>
          <w:rFonts w:ascii="Times New Roman" w:hAnsi="Times New Roman" w:cs="Times New Roman"/>
          <w:noProof/>
          <w:lang w:val="en-CA"/>
        </w:rPr>
        <w:t xml:space="preserve"> 30, no. 1 (2008): 181.</w:t>
      </w:r>
      <w:r w:rsidR="00AA2A48" w:rsidRPr="00DA6BE4">
        <w:rPr>
          <w:rFonts w:ascii="Times New Roman" w:hAnsi="Times New Roman" w:cs="Times New Roman"/>
          <w:lang w:val="en-CA"/>
        </w:rPr>
        <w:fldChar w:fldCharType="end"/>
      </w:r>
    </w:p>
  </w:footnote>
  <w:footnote w:id="51">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&lt;EndNote&gt;&lt;Cite&gt;&lt;Author&gt;MacIntyre&lt;/Author&gt;&lt;Year&gt;1984&lt;/Year&gt;&lt;RecNum&gt;48&lt;/RecNum&gt;&lt;Pages&gt;132-135`, 142&lt;/Pages&gt;&lt;DisplayText&gt;MacIntyre, &lt;style face="italic"&gt;After Virtue&lt;/style&gt;, 132-135, 142.&lt;/DisplayText&gt;&lt;record&gt;&lt;rec-number&gt;48&lt;/rec-number&gt;&lt;foreign-keys&gt;&lt;key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132-135, 142.</w:t>
      </w:r>
      <w:r w:rsidR="00AA2A48" w:rsidRPr="00DA6BE4">
        <w:rPr>
          <w:rFonts w:ascii="Times New Roman" w:hAnsi="Times New Roman" w:cs="Times New Roman"/>
        </w:rPr>
        <w:fldChar w:fldCharType="end"/>
      </w:r>
    </w:p>
  </w:footnote>
  <w:footnote w:id="5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&lt;EndNote&gt;&lt;Cite&gt;&lt;Author&gt;MacIntyre&lt;/Author&gt;&lt;Year&gt;1984&lt;/Year&gt;&lt;RecNum&gt;48&lt;/RecNum&gt;&lt;Pages&gt;121&lt;/Pages&gt;&lt;DisplayText&gt;Ibid., 121.&lt;/DisplayText&gt;&lt;record&gt;&lt;rec-number&gt;48&lt;/rec-number&gt;&lt;foreign-keys&gt;&lt;key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121.</w:t>
      </w:r>
      <w:r w:rsidR="00AA2A48" w:rsidRPr="00DA6BE4">
        <w:rPr>
          <w:rFonts w:ascii="Times New Roman" w:hAnsi="Times New Roman" w:cs="Times New Roman"/>
        </w:rPr>
        <w:fldChar w:fldCharType="end"/>
      </w:r>
    </w:p>
  </w:footnote>
  <w:footnote w:id="5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&lt;EndNote&gt;&lt;Cite&gt;&lt;Author&gt;MacIntyre&lt;/Author&gt;&lt;Year&gt;1984&lt;/Year&gt;&lt;RecNum&gt;48&lt;/RecNum&gt;&lt;Pages&gt;123&lt;/Pages&gt;&lt;DisplayText&gt;Ibid., 123.&lt;/DisplayText&gt;&lt;record&gt;&lt;rec-number&gt;48&lt;/rec-number&gt;&lt;foreign-keys&gt;&lt;key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123.</w:t>
      </w:r>
      <w:r w:rsidR="00AA2A48" w:rsidRPr="00DA6BE4">
        <w:rPr>
          <w:rFonts w:ascii="Times New Roman" w:hAnsi="Times New Roman" w:cs="Times New Roman"/>
        </w:rPr>
        <w:fldChar w:fldCharType="end"/>
      </w:r>
    </w:p>
  </w:footnote>
  <w:footnote w:id="54">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&lt;EndNote&gt;&lt;Cite&gt;&lt;Author&gt;MacIntyre&lt;/Author&gt;&lt;Year&gt;1988&lt;/Year&gt;&lt;RecNum&gt;47&lt;/RecNum&gt;&lt;Pages&gt;49-51&lt;/Pages&gt;&lt;DisplayText&gt;MacIntyre, &lt;style face="italic"&gt;Whose Justice? Which Rationality?&lt;/style&gt; , 49-51.&lt;/DisplayText&gt;&lt;record&gt;&lt;rec-number&gt;47&lt;/rec-number&gt;&lt;foreign-keys&gt;&lt;key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49-51.</w:t>
      </w:r>
      <w:r w:rsidR="00AA2A48" w:rsidRPr="00DA6BE4">
        <w:rPr>
          <w:rFonts w:ascii="Times New Roman" w:hAnsi="Times New Roman" w:cs="Times New Roman"/>
        </w:rPr>
        <w:fldChar w:fldCharType="end"/>
      </w:r>
    </w:p>
  </w:footnote>
  <w:footnote w:id="5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AuthorYear="1"&gt;&lt;Author&gt;MacIntyre&lt;/Author&gt;&lt;Year&gt;1984&lt;/Year&gt;&lt;RecNum&gt;48&lt;/RecNum&gt;&lt;Pages&gt;132&lt;/Pages&gt;&lt;DisplayText&gt;MacIntyre, &lt;style face="italic"&gt;After Virtue&lt;/style&gt;, 132.&lt;/DisplayText&gt;&lt;record&gt;&lt;rec-number&gt;48&lt;/rec-number&gt;&lt;foreign-keys&gt;&lt;key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132.</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Pr="00DA6BE4">
        <w:rPr>
          <w:rFonts w:ascii="Times New Roman" w:hAnsi="Times New Roman" w:cs="Times New Roman"/>
          <w:lang w:val="en-US"/>
        </w:rPr>
        <w:t xml:space="preserve">also see </w:t>
      </w:r>
      <w:r w:rsidR="00AA2A48" w:rsidRPr="00DA6BE4">
        <w:rPr>
          <w:rFonts w:ascii="Times New Roman" w:hAnsi="Times New Roman" w:cs="Times New Roman"/>
          <w:lang w:val="en-US"/>
        </w:rPr>
        <w:fldChar w:fldCharType="begin"/>
      </w:r>
      <w:r w:rsidRPr="00DA6BE4">
        <w:rPr>
          <w:rFonts w:ascii="Times New Roman" w:hAnsi="Times New Roman" w:cs="Times New Roman"/>
          <w:lang w:val="en-US"/>
        </w:rPr>
        <w:instrText xml:space="preserve"> ADDIN EN.CITE &lt;EndNote&gt;&lt;Cite AuthorYear="1"&gt;&lt;Author&gt;MacIntyre&lt;/Author&gt;&lt;Year&gt;1988&lt;/Year&gt;&lt;RecNum&gt;47&lt;/RecNum&gt;&lt;Pages&gt;Chapter 3&lt;/Pages&gt;&lt;DisplayText&gt;MacIntyre, &lt;style face="italic"&gt;Whose Justice? Which Rationality?&lt;/style&gt; , Chapter 3.&lt;/DisplayText&gt;&lt;record&gt;&lt;rec-number&gt;47&lt;/rec-number&gt;&lt;foreign-keys&gt;&lt;key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lang w:val="en-US"/>
        </w:rPr>
        <w:fldChar w:fldCharType="separate"/>
      </w:r>
      <w:r w:rsidRPr="00DA6BE4">
        <w:rPr>
          <w:rFonts w:ascii="Times New Roman" w:hAnsi="Times New Roman" w:cs="Times New Roman"/>
          <w:noProof/>
          <w:lang w:val="en-US"/>
        </w:rPr>
        <w:t xml:space="preserve">MacIntyre, </w:t>
      </w:r>
      <w:r w:rsidRPr="00DA6BE4">
        <w:rPr>
          <w:rFonts w:ascii="Times New Roman" w:hAnsi="Times New Roman" w:cs="Times New Roman"/>
          <w:i/>
          <w:noProof/>
          <w:lang w:val="en-US"/>
        </w:rPr>
        <w:t>Whose Justice? Which Rationality?</w:t>
      </w:r>
      <w:r w:rsidRPr="00DA6BE4">
        <w:rPr>
          <w:rFonts w:ascii="Times New Roman" w:hAnsi="Times New Roman" w:cs="Times New Roman"/>
          <w:noProof/>
          <w:lang w:val="en-US"/>
        </w:rPr>
        <w:t xml:space="preserve"> , Chapter 3.</w:t>
      </w:r>
      <w:r w:rsidR="00AA2A48" w:rsidRPr="00DA6BE4">
        <w:rPr>
          <w:rFonts w:ascii="Times New Roman" w:hAnsi="Times New Roman" w:cs="Times New Roman"/>
          <w:lang w:val="en-US"/>
        </w:rPr>
        <w:fldChar w:fldCharType="end"/>
      </w:r>
    </w:p>
  </w:footnote>
  <w:footnote w:id="5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AuthorYear="1"&gt;&lt;Author&gt;MacIntyre&lt;/Author&gt;&lt;Year&gt;1984&lt;/Year&gt;&lt;RecNum&gt;48&lt;/RecNum&gt;&lt;Pages&gt;131-132&lt;/Pages&gt;&lt;DisplayText&gt;MacIntyre, &lt;style face="italic"&gt;After Virtue&lt;/style&gt;, 131-132.&lt;/DisplayText&gt;&lt;record&gt;&lt;rec-number&gt;48&lt;/rec-number&gt;&lt;foreign-keys&gt;&lt;key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131-132.</w:t>
      </w:r>
      <w:r w:rsidR="00AA2A48" w:rsidRPr="00DA6BE4">
        <w:rPr>
          <w:rFonts w:ascii="Times New Roman" w:hAnsi="Times New Roman" w:cs="Times New Roman"/>
        </w:rPr>
        <w:fldChar w:fldCharType="end"/>
      </w:r>
      <w:r w:rsidRPr="00DA6BE4">
        <w:rPr>
          <w:rFonts w:ascii="Times New Roman" w:hAnsi="Times New Roman" w:cs="Times New Roman"/>
        </w:rPr>
        <w:t xml:space="preserve"> I should say that on the standard depiction of the Homeric (bronze age) view, anyone who isn’t one’s kin is potentially, and likely to be, one’s enemy.</w:t>
      </w:r>
    </w:p>
  </w:footnote>
  <w:footnote w:id="5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bCs/>
          <w:i/>
          <w:lang w:val="en-CA"/>
        </w:rPr>
        <w:t>Dikē</w:t>
      </w:r>
      <w:proofErr w:type="spellEnd"/>
      <w:r w:rsidRPr="00DA6BE4">
        <w:rPr>
          <w:rFonts w:ascii="Times New Roman" w:hAnsi="Times New Roman" w:cs="Times New Roman"/>
          <w:bCs/>
          <w:i/>
          <w:lang w:val="en-CA"/>
        </w:rPr>
        <w:t xml:space="preserve"> </w:t>
      </w:r>
      <w:r w:rsidRPr="00DA6BE4">
        <w:rPr>
          <w:rFonts w:ascii="Times New Roman" w:hAnsi="Times New Roman" w:cs="Times New Roman"/>
        </w:rPr>
        <w:t>(</w:t>
      </w:r>
      <w:proofErr w:type="spellStart"/>
      <w:r w:rsidRPr="00DA6BE4">
        <w:rPr>
          <w:rFonts w:ascii="Times New Roman" w:hAnsi="Times New Roman" w:cs="Times New Roman"/>
          <w:lang w:val="en-CA"/>
        </w:rPr>
        <w:t>δίκη</w:t>
      </w:r>
      <w:proofErr w:type="spellEnd"/>
      <w:r w:rsidRPr="00DA6BE4">
        <w:rPr>
          <w:rFonts w:ascii="Times New Roman" w:hAnsi="Times New Roman" w:cs="Times New Roman"/>
        </w:rPr>
        <w:t>) is defined as the established order of the universe.</w:t>
      </w:r>
    </w:p>
  </w:footnote>
  <w:footnote w:id="5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AuthorYear="1"&gt;&lt;Author&gt;MacIntyre&lt;/Author&gt;&lt;Year&gt;1984&lt;/Year&gt;&lt;RecNum&gt;48&lt;/RecNum&gt;&lt;Pages&gt;134&lt;/Pages&gt;&lt;DisplayText&gt;MacIntyre, &lt;style face="italic"&gt;After Virtue&lt;/style&gt;, 134.&lt;/DisplayText&gt;&lt;record&gt;&lt;rec-number&gt;48&lt;/rec-number&gt;&lt;foreign-keys&gt;&lt;key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134.</w:t>
      </w:r>
      <w:r w:rsidR="00AA2A48" w:rsidRPr="00DA6BE4">
        <w:rPr>
          <w:rFonts w:ascii="Times New Roman" w:hAnsi="Times New Roman" w:cs="Times New Roman"/>
        </w:rPr>
        <w:fldChar w:fldCharType="end"/>
      </w:r>
    </w:p>
  </w:footnote>
  <w:footnote w:id="5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AuthorYear="1"&gt;&lt;Author&gt;MacIntyre&lt;/Author&gt;&lt;Year&gt;1984&lt;/Year&gt;&lt;RecNum&gt;48&lt;/RecNum&gt;&lt;Pages&gt;142&lt;/Pages&gt;&lt;DisplayText&gt;Ibid., 142.&lt;/DisplayText&gt;&lt;record&gt;&lt;rec-number&gt;48&lt;/rec-number&gt;&lt;foreign-keys&gt;&lt;key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142.</w:t>
      </w:r>
      <w:r w:rsidR="00AA2A48" w:rsidRPr="00DA6BE4">
        <w:rPr>
          <w:rFonts w:ascii="Times New Roman" w:hAnsi="Times New Roman" w:cs="Times New Roman"/>
        </w:rPr>
        <w:fldChar w:fldCharType="end"/>
      </w:r>
    </w:p>
  </w:footnote>
  <w:footnote w:id="6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AuthorYear="1"&gt;&lt;Author&gt;MacIntyre&lt;/Author&gt;&lt;Year&gt;1984&lt;/Year&gt;&lt;RecNum&gt;48&lt;/RecNum&gt;&lt;DisplayText&gt;Ibid.&lt;/DisplayText&gt;&lt;record&gt;&lt;rec-number&gt;48&lt;/rec-number&gt;&lt;foreign-keys&gt;&lt;key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6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AuthorYear="1"&gt;&lt;Author&gt;MacIntyre&lt;/Author&gt;&lt;Year&gt;1984&lt;/Year&gt;&lt;RecNum&gt;48&lt;/RecNum&gt;&lt;Pages&gt;148&lt;/Pages&gt;&lt;DisplayText&gt;Ibid., 148.&lt;/DisplayText&gt;&lt;record&gt;&lt;rec-number&gt;48&lt;/rec-number&gt;&lt;foreign-keys&gt;&lt;key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148.</w:t>
      </w:r>
      <w:r w:rsidR="00AA2A48" w:rsidRPr="00DA6BE4">
        <w:rPr>
          <w:rFonts w:ascii="Times New Roman" w:hAnsi="Times New Roman" w:cs="Times New Roman"/>
        </w:rPr>
        <w:fldChar w:fldCharType="end"/>
      </w:r>
    </w:p>
  </w:footnote>
  <w:footnote w:id="6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AuthorYear="1"&gt;&lt;Author&gt;MacIntyre&lt;/Author&gt;&lt;Year&gt;1984&lt;/Year&gt;&lt;RecNum&gt;48&lt;/RecNum&gt;&lt;Pages&gt;157&lt;/Pages&gt;&lt;DisplayText&gt;Ibid., 157.&lt;/DisplayText&gt;&lt;record&gt;&lt;rec-number&gt;48&lt;/rec-number&gt;&lt;foreign-keys&gt;&lt;key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157.</w:t>
      </w:r>
      <w:r w:rsidR="00AA2A48" w:rsidRPr="00DA6BE4">
        <w:rPr>
          <w:rFonts w:ascii="Times New Roman" w:hAnsi="Times New Roman" w:cs="Times New Roman"/>
        </w:rPr>
        <w:fldChar w:fldCharType="end"/>
      </w:r>
    </w:p>
  </w:footnote>
  <w:footnote w:id="6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Tradition in the work of MacIntyre has several meanings. Here, it refers to a diachronic practical (or normative) form of inquiry that intellectually articulates a set of social norms and rules governing discourse, which are embodied in everyday social practice. This concept of tradition can be understood as analogous to scientific inquiry; it can be understood in the context of a rule-governed inquiry that aims to advance our ethical life; or as a rule-governed social practice represented in a particular craft (or trade); and it could be understood in the context of the intellectual evolution in a rule-based natural language game.</w:t>
      </w:r>
    </w:p>
  </w:footnote>
  <w:footnote w:id="64">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&lt;EndNote&gt;&lt;Cite&gt;&lt;RecNum&gt;0&lt;/RecNum&gt;&lt;Note&gt;By social teleology I refer to MacIntyre’s three-fold account of the virtues. MacIntyre&amp;apos;s three-fold conception of the virtue is not embedded in a metaphysical framework; rather, it remains social and historical.  MacIntyre’s first concept of the virtues is defined as (social) practices and their internal goods–goods that are irreducibly social. The second concept of the virtues connects the goods derived from social practices to a narrative of a single unified human life; and the third concept, places that individual life as a participant in a particular tradition, and traditions emerge out of a complex social-historical process. With respect to this social conception of the MacIntyre before his Thomistic turn, see Stanley Hauerwas&amp;apos; &amp;quot;The Virtues of Alasdair MacIntyre.&amp;quot;&lt;/Note&gt;&lt;DisplayText&gt;By social teleology I refer to MacIntyre’s three-fold account of the virtues. MacIntyre&amp;apos;s three-fold conception of the virtue is not embedded in a metaphysical framework; rather, it remains social and historical.  MacIntyre’s first concept of the virtues is defined as (social) practices and their internal goods–goods that are irreducibly social. The second concept of the virtues connects the goods derived from social practices to a narrative of a single unified human life; and the third concept, places that individual life as a participant in a particular tradition, and traditions emerge out of a complex social-historical process. With respect to this social conception of the MacIntyre before his Thomistic turn, see Stanley Hauerwas&amp;apos; &amp;quot;The Virtues of Alasdair MacIntyre.&amp;quot;&lt;/DisplayText&gt;&lt;/Cite&gt;&lt;/EndNote&gt;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By social teleology I refer to MacIntyre’s three-fold account of the virtues. MacIntyre's three-fold conception of the virtue is not embedded in a metaphysical framework; rather, it remains social and historical.  MacIntyre’s first concept of the virtues is defined as (social) practices and their internal goods–goods that are irreducibly social. The second concept of the virtues connects the goods derived from social practices to a narrative of a single unified human life; and the third concept, places that individual life as a participant in a particular tradition, and traditions emerge out of a complex social-historical process. With respect to this social conception of the MacIntyre before his Thomistic turn, see Stanley Hauerwas' "The Virtues of Alasdair MacIntyre."</w:t>
      </w:r>
      <w:r w:rsidR="00AA2A48" w:rsidRPr="00DA6BE4">
        <w:rPr>
          <w:rFonts w:ascii="Times New Roman" w:hAnsi="Times New Roman" w:cs="Times New Roman"/>
        </w:rPr>
        <w:fldChar w:fldCharType="end"/>
      </w:r>
    </w:p>
  </w:footnote>
  <w:footnote w:id="65">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AuthorYear="1"&gt;&lt;Author&gt;MacIntyre&lt;/Author&gt;&lt;Year&gt;1984&lt;/Year&gt;&lt;RecNum&gt;48&lt;/RecNum&gt;&lt;Pages&gt;187&lt;/Pages&gt;&lt;DisplayText&gt;MacIntyre, &lt;style face="italic"&gt;After Virtue&lt;/style&gt;, 187.&lt;/DisplayText&gt;&lt;record&gt;&lt;rec-number&gt;48&lt;/rec-number&gt;&lt;foreign-keys&gt;&lt;key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187.</w:t>
      </w:r>
      <w:r w:rsidR="00AA2A48" w:rsidRPr="00DA6BE4">
        <w:rPr>
          <w:rFonts w:ascii="Times New Roman" w:hAnsi="Times New Roman" w:cs="Times New Roman"/>
        </w:rPr>
        <w:fldChar w:fldCharType="end"/>
      </w:r>
    </w:p>
  </w:footnote>
  <w:footnote w:id="6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AuthorYear="1"&gt;&lt;Author&gt;MacIntyre&lt;/Author&gt;&lt;Year&gt;1984&lt;/Year&gt;&lt;RecNum&gt;48&lt;/RecNum&gt;&lt;Pages&gt;191&lt;/Pages&gt;&lt;DisplayText&gt;Ibid., 191.&lt;/DisplayText&gt;&lt;record&gt;&lt;rec-number&gt;48&lt;/rec-number&gt;&lt;foreign-keys&gt;&lt;key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191.</w:t>
      </w:r>
      <w:r w:rsidR="00AA2A48" w:rsidRPr="00DA6BE4">
        <w:rPr>
          <w:rFonts w:ascii="Times New Roman" w:hAnsi="Times New Roman" w:cs="Times New Roman"/>
        </w:rPr>
        <w:fldChar w:fldCharType="end"/>
      </w:r>
    </w:p>
  </w:footnote>
  <w:footnote w:id="67">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AuthorYear="1"&gt;&lt;Author&gt;MacIntyre&lt;/Author&gt;&lt;Year&gt;1984&lt;/Year&gt;&lt;RecNum&gt;48&lt;/RecNum&gt;&lt;Pages&gt;202-203&lt;/Pages&gt;&lt;DisplayText&gt;Ibid., 202-203.&lt;/DisplayText&gt;&lt;record&gt;&lt;rec-number&gt;48&lt;/rec-number&gt;&lt;foreign-keys&gt;&lt;key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202-203.</w:t>
      </w:r>
      <w:r w:rsidR="00AA2A48" w:rsidRPr="00DA6BE4">
        <w:rPr>
          <w:rFonts w:ascii="Times New Roman" w:hAnsi="Times New Roman" w:cs="Times New Roman"/>
        </w:rPr>
        <w:fldChar w:fldCharType="end"/>
      </w:r>
    </w:p>
  </w:footnote>
  <w:footnote w:id="6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AuthorYear="1"&gt;&lt;Author&gt;MacIntyre&lt;/Author&gt;&lt;Year&gt;1984&lt;/Year&gt;&lt;RecNum&gt;48&lt;/RecNum&gt;&lt;Pages&gt;207-208&lt;/Pages&gt;&lt;DisplayText&gt;Ibid., 207-208.&lt;/DisplayText&gt;&lt;record&gt;&lt;rec-number&gt;48&lt;/rec-number&gt;&lt;foreign-keys&gt;&lt;key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207-208.</w:t>
      </w:r>
      <w:r w:rsidR="00AA2A48" w:rsidRPr="00DA6BE4">
        <w:rPr>
          <w:rFonts w:ascii="Times New Roman" w:hAnsi="Times New Roman" w:cs="Times New Roman"/>
        </w:rPr>
        <w:fldChar w:fldCharType="end"/>
      </w:r>
    </w:p>
  </w:footnote>
  <w:footnote w:id="69">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&lt;EndNote&gt;&lt;Cite&gt;&lt;Author&gt;MacIntyre&lt;/Author&gt;&lt;Year&gt;1984&lt;/Year&gt;&lt;RecNum&gt;48&lt;/RecNum&gt;&lt;Pages&gt;219&lt;/Pages&gt;&lt;DisplayText&gt;Ibid., 219.&lt;/DisplayText&gt;&lt;record&gt;&lt;rec-number&gt;48&lt;/rec-number&gt;&lt;foreign-keys&gt;&lt;key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219.</w:t>
      </w:r>
      <w:r w:rsidR="00AA2A48" w:rsidRPr="00DA6BE4">
        <w:rPr>
          <w:rFonts w:ascii="Times New Roman" w:hAnsi="Times New Roman" w:cs="Times New Roman"/>
        </w:rPr>
        <w:fldChar w:fldCharType="end"/>
      </w:r>
    </w:p>
  </w:footnote>
  <w:footnote w:id="7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AuthorYear="1"&gt;&lt;Author&gt;MacIntyre&lt;/Author&gt;&lt;Year&gt;1984&lt;/Year&gt;&lt;RecNum&gt;48&lt;/RecNum&gt;&lt;Pages&gt;220&lt;/Pages&gt;&lt;DisplayText&gt;Ibid., 220.&lt;/DisplayText&gt;&lt;record&gt;&lt;rec-number&gt;48&lt;/rec-number&gt;&lt;foreign-keys&gt;&lt;key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220.</w:t>
      </w:r>
      <w:r w:rsidR="00AA2A48" w:rsidRPr="00DA6BE4">
        <w:rPr>
          <w:rFonts w:ascii="Times New Roman" w:hAnsi="Times New Roman" w:cs="Times New Roman"/>
        </w:rPr>
        <w:fldChar w:fldCharType="end"/>
      </w:r>
    </w:p>
  </w:footnote>
  <w:footnote w:id="7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AuthorYear="1"&gt;&lt;Author&gt;MacIntyre&lt;/Author&gt;&lt;Year&gt;1984&lt;/Year&gt;&lt;RecNum&gt;48&lt;/RecNum&gt;&lt;Pages&gt;221-222&lt;/Pages&gt;&lt;DisplayText&gt;Ibid., 221-222.&lt;/DisplayText&gt;&lt;record&gt;&lt;rec-number&gt;48&lt;/rec-number&gt;&lt;foreign-keys&gt;&lt;key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221-222.</w:t>
      </w:r>
      <w:r w:rsidR="00AA2A48" w:rsidRPr="00DA6BE4">
        <w:rPr>
          <w:rFonts w:ascii="Times New Roman" w:hAnsi="Times New Roman" w:cs="Times New Roman"/>
        </w:rPr>
        <w:fldChar w:fldCharType="end"/>
      </w:r>
    </w:p>
  </w:footnote>
  <w:footnote w:id="7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AuthorYear="1"&gt;&lt;Author&gt;MacIntyre&lt;/Author&gt;&lt;Year&gt;1984&lt;/Year&gt;&lt;RecNum&gt;48&lt;/RecNum&gt;&lt;Pages&gt;222&lt;/Pages&gt;&lt;DisplayText&gt;Ibid., 222.&lt;/DisplayText&gt;&lt;record&gt;&lt;rec-number&gt;48&lt;/rec-number&gt;&lt;foreign-keys&gt;&lt;key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222.</w:t>
      </w:r>
      <w:r w:rsidR="00AA2A48" w:rsidRPr="00DA6BE4">
        <w:rPr>
          <w:rFonts w:ascii="Times New Roman" w:hAnsi="Times New Roman" w:cs="Times New Roman"/>
        </w:rPr>
        <w:fldChar w:fldCharType="end"/>
      </w:r>
    </w:p>
  </w:footnote>
  <w:footnote w:id="7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&lt;EndNote&gt;&lt;Cite&gt;&lt;Author&gt;Schneewind&lt;/Author&gt;&lt;Year&gt;1983&lt;/Year&gt;&lt;RecNum&gt;54&lt;/RecNum&gt;&lt;Pages&gt;525-539&lt;/Pages&gt;&lt;DisplayText&gt;J. B. Schneewind, &amp;quot;Moral Crisis and the History of Ethics,&amp;quot; &lt;style face="italic"&gt;Midwest Studies In Philosophy,&lt;/style&gt; 8, no. 1 (1983): 525-539.&lt;/DisplayText&gt;&lt;record&gt;&lt;rec-number&gt;54&lt;/rec-number&gt;&lt;foreign-keys&gt;&lt;key app="EN" db-id="vxze0a2pwrt959ep2afxdw5cat595wt9sv95" timestamp="1443698037"&gt;54&lt;/key&gt;&lt;/foreign-keys&gt;&lt;ref-type name="Journal Article"&gt;17&lt;/ref-type&gt;&lt;contributors&gt;&lt;authors&gt;&lt;author&gt;Schneewind, J. B.&lt;/author&gt;&lt;/authors&gt;&lt;/contributors&gt;&lt;titles&gt;&lt;title&gt;Moral Crisis and the History of Ethics&lt;/title&gt;&lt;secondary-title&gt;Midwest Studies In Philosophy,&lt;/secondary-title&gt;&lt;/titles&gt;&lt;periodical&gt;&lt;full-title&gt;Midwest Studies In Philosophy,&lt;/full-title&gt;&lt;/periodical&gt;&lt;pages&gt;525-539&lt;/pages&gt;&lt;volume&gt;8&lt;/volume&gt;&lt;number&gt;1&lt;/number&gt;&lt;dates&gt;&lt;year&gt;1983&lt;/year&gt;&lt;/dates&gt;&lt;publisher&gt;Blackwell Publishing Ltd&lt;/publisher&gt;&lt;isbn&gt;1475-4975&lt;/isbn&gt;&lt;urls&gt;&lt;related-urls&gt;&lt;url&gt;http://dx.doi.org/10.1111/j.1475-4975.1983.tb00484.x&lt;/url&gt;&lt;/related-urls&gt;&lt;/urls&gt;&lt;electronic-resource-num&gt;10.1111/j.1475-4975.1983.tb00484.x&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 B. Schneewind, "Moral Crisis and the History of Ethics," </w:t>
      </w:r>
      <w:r w:rsidRPr="00DA6BE4">
        <w:rPr>
          <w:rFonts w:ascii="Times New Roman" w:hAnsi="Times New Roman" w:cs="Times New Roman"/>
          <w:i/>
          <w:noProof/>
        </w:rPr>
        <w:t>Midwest Studies In Philosophy,</w:t>
      </w:r>
      <w:r w:rsidRPr="00DA6BE4">
        <w:rPr>
          <w:rFonts w:ascii="Times New Roman" w:hAnsi="Times New Roman" w:cs="Times New Roman"/>
          <w:noProof/>
        </w:rPr>
        <w:t xml:space="preserve"> 8, no. 1 (1983): 525-539.</w:t>
      </w:r>
      <w:r w:rsidR="00AA2A48" w:rsidRPr="00DA6BE4">
        <w:rPr>
          <w:rFonts w:ascii="Times New Roman" w:hAnsi="Times New Roman" w:cs="Times New Roman"/>
        </w:rPr>
        <w:fldChar w:fldCharType="end"/>
      </w:r>
    </w:p>
  </w:footnote>
  <w:footnote w:id="7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&lt;EndNote&gt;&lt;Cite&gt;&lt;RecNum&gt;0&lt;/RecNum&gt;&lt;Note&gt;Bernstein argues that practices can be viewed as morally wrong and offers spying as a paradigmatic example of such a practice&lt;/Note&gt;&lt;DisplayText&gt;Bernstein argues that practices can be viewed as morally wrong and offers spying as a paradigmatic example of such a practice&lt;/DisplayText&gt;&lt;/Cite&gt;&lt;/EndNote&gt;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Bernstein argues that practices can be viewed as morally wrong and offers spying as a paradigmatic example of such a practice</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&lt;EndNote&gt;&lt;Cite&gt;&lt;Author&gt;Bernstein&lt;/Author&gt;&lt;Year&gt;1984&lt;/Year&gt;&lt;RecNum&gt;23&lt;/RecNum&gt;&lt;Pages&gt;6-29&lt;/Pages&gt;&lt;DisplayText&gt;Richard J. Bernstein, &amp;quot;Nietzsche or Aristotle?: Reflections on Alasdair Macintyre&amp;apos;s &amp;quot;after Virtue&amp;quot;,&amp;quot; &lt;style face="italic"&gt;Soundings: An Interdisciplinary Journal&lt;/style&gt; 67, no. 1 (1984): 6-29.&lt;/DisplayText&gt;&lt;record&gt;&lt;rec-number&gt;23&lt;/rec-number&gt;&lt;foreign-keys&gt;&lt;key app="EN" db-id="vxze0a2pwrt959ep2afxdw5cat595wt9sv95" timestamp="1443692569"&gt;23&lt;/key&gt;&lt;/foreign-keys&gt;&lt;ref-type name="Journal Article"&gt;17&lt;/ref-type&gt;&lt;contributors&gt;&lt;authors&gt;&lt;author&gt;Bernstein, Richard J.&lt;/author&gt;&lt;/authors&gt;&lt;/contributors&gt;&lt;titles&gt;&lt;title&gt;NIETZSCHE OR ARISTOTLE?: Reflections on Alasdair MacIntyre&amp;apos;s &amp;quot;After Virtue&amp;quot;&lt;/title&gt;&lt;secondary-title&gt;Soundings: An Interdisciplinary Journal&lt;/secondary-title&gt;&lt;/titles&gt;&lt;periodical&gt;&lt;full-title&gt;Soundings: An Interdisciplinary Journal&lt;/full-title&gt;&lt;/periodical&gt;&lt;pages&gt;6-29&lt;/pages&gt;&lt;volume&gt;67&lt;/volume&gt;&lt;number&gt;1&lt;/number&gt;&lt;dates&gt;&lt;year&gt;1984&lt;/year&gt;&lt;/dates&gt;&lt;publisher&gt;Penn State University Press&lt;/publisher&gt;&lt;isbn&gt;00381861&lt;/isbn&gt;&lt;urls&gt;&lt;related-urls&gt;&lt;url&gt;http://www.jstor.org/stable/41178281&lt;/url&gt;&lt;/related-urls&gt;&lt;/urls&gt;&lt;electronic-resource-num&gt;10.2307/41178281&lt;/electronic-resource-num&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Richard J. Bernstein, "Nietzsche or Aristotle?: Reflections on Alasdair Macintyre's "after Virtue"," </w:t>
      </w:r>
      <w:r w:rsidRPr="0071578D">
        <w:rPr>
          <w:rFonts w:ascii="Times New Roman" w:hAnsi="Times New Roman" w:cs="Times New Roman"/>
          <w:i/>
          <w:noProof/>
        </w:rPr>
        <w:t>Soundings: An Interdisciplinary Journal</w:t>
      </w:r>
      <w:r>
        <w:rPr>
          <w:rFonts w:ascii="Times New Roman" w:hAnsi="Times New Roman" w:cs="Times New Roman"/>
          <w:noProof/>
        </w:rPr>
        <w:t xml:space="preserve"> 67, no. 1 (1984): 6-29.</w:t>
      </w:r>
      <w:r w:rsidR="00AA2A48" w:rsidRPr="00DA6BE4">
        <w:rPr>
          <w:rFonts w:ascii="Times New Roman" w:hAnsi="Times New Roman" w:cs="Times New Roman"/>
        </w:rPr>
        <w:fldChar w:fldCharType="end"/>
      </w:r>
    </w:p>
  </w:footnote>
  <w:footnote w:id="75">
    <w:p w:rsidR="00D810CC" w:rsidRPr="00DA6BE4" w:rsidRDefault="00D810CC" w:rsidP="00984D40">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explicitly argues later that his earlier rejection of Aristotle’s metaphysical biology, or at least important elements of it, turned out to be a mistake.&lt;/Note&gt;&lt;DisplayText&gt;MacIntyre explicitly argues later that his earlier rejection of Aristotle’s metaphysical biology, or at least important elements of it, turned out to be a mistake.&lt;/DisplayText&gt;&lt;/Cite&gt;&lt;/EndNote&gt;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explicitly argues later that his earlier rejection of Aristotle’s metaphysical biology, or at least important elements of it, turned out to be a mistake.</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&lt;EndNote&gt;&lt;Cite&gt;&lt;Author&gt;MacIntyre&lt;/Author&gt;&lt;Year&gt;1999&lt;/Year&gt;&lt;RecNum&gt;45&lt;/RecNum&gt;&lt;DisplayText&gt;Alasdair MacIntyre, &lt;style face="italic"&gt;Dependent Rational Animals : Why Human Beings Need the Virtues&lt;/style&gt;, &lt;style face="italic"&gt;The Paul Carus Lecture Series&lt;/style&gt; (Chicago, Illinois: Open Court, 1999).&lt;/DisplayText&gt;&lt;record&gt;&lt;rec-number&gt;45&lt;/rec-number&gt;&lt;foreign-keys&gt;&lt;key app="EN" db-id="vxze0a2pwrt959ep2afxdw5cat595wt9sv95" timestamp="1443697041"&gt;45&lt;/key&gt;&lt;/foreign-keys&gt;&lt;ref-type name="Book"&gt;6&lt;/ref-type&gt;&lt;contributors&gt;&lt;authors&gt;&lt;author&gt;MacIntyre, Alasdair&lt;/author&gt;&lt;/authors&gt;&lt;/contributors&gt;&lt;titles&gt;&lt;title&gt;Dependent Rational Animals : Why Human Beings Need the Virtues&lt;/title&gt;&lt;secondary-title&gt;The Paul Carus lecture series&lt;/secondary-title&gt;&lt;/titles&gt;&lt;pages&gt;xiii, 172 p.&lt;/pages&gt;&lt;number&gt;20&lt;/number&gt;&lt;keywords&gt;&lt;keyword&gt;Ethics.&lt;/keyword&gt;&lt;keyword&gt;Virtues.&lt;/keyword&gt;&lt;/keywords&gt;&lt;dates&gt;&lt;year&gt;1999&lt;/year&gt;&lt;/dates&gt;&lt;pub-location&gt;Chicago, Illinois&lt;/pub-location&gt;&lt;publisher&gt;Open Court&lt;/publisher&gt;&lt;isbn&gt;0812693973 (alk. paper)&lt;/isbn&gt;&lt;accession-num&gt;3101914&lt;/accession-num&gt;&lt;call-num&gt;Jefferson or Adams Building Reading Rooms BJ1012 .M326 1999&amp;#xD;Jefferson or Adams Building Reading Rooms - STORED OFFSITE BJ1012 .M326 1999&lt;/call-num&gt;&lt;urls&gt;&lt;/urls&gt;&lt;/record&gt;&lt;/Cite&gt;&lt;/EndNote&gt;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Dependent Rational Animals : Why Human Beings Need the Virtues</w:t>
      </w:r>
      <w:r w:rsidRPr="00DA6BE4">
        <w:rPr>
          <w:rFonts w:ascii="Times New Roman" w:hAnsi="Times New Roman" w:cs="Times New Roman"/>
          <w:noProof/>
        </w:rPr>
        <w:t xml:space="preserve">, </w:t>
      </w:r>
      <w:r w:rsidRPr="00DA6BE4">
        <w:rPr>
          <w:rFonts w:ascii="Times New Roman" w:hAnsi="Times New Roman" w:cs="Times New Roman"/>
          <w:i/>
          <w:noProof/>
        </w:rPr>
        <w:t>The Paul Carus Lecture Series</w:t>
      </w:r>
      <w:r w:rsidRPr="00DA6BE4">
        <w:rPr>
          <w:rFonts w:ascii="Times New Roman" w:hAnsi="Times New Roman" w:cs="Times New Roman"/>
          <w:noProof/>
        </w:rPr>
        <w:t xml:space="preserve"> (Chicago, Illinois: Open Court, 1999).</w:t>
      </w:r>
      <w:r w:rsidR="00AA2A48" w:rsidRPr="00DA6BE4">
        <w:rPr>
          <w:rFonts w:ascii="Times New Roman" w:hAnsi="Times New Roman" w:cs="Times New Roman"/>
        </w:rPr>
        <w:fldChar w:fldCharType="end"/>
      </w:r>
    </w:p>
  </w:footnote>
  <w:footnote w:id="7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lang w:val="en-US"/>
        </w:rPr>
        <w:t xml:space="preserve"> </w:t>
      </w:r>
      <w:r w:rsidR="00AA2A48" w:rsidRPr="00DA6BE4">
        <w:rPr>
          <w:rFonts w:ascii="Times New Roman" w:hAnsi="Times New Roman" w:cs="Times New Roman"/>
          <w:lang w:val="en-US"/>
        </w:rPr>
        <w:fldChar w:fldCharType="begin"/>
      </w:r>
      <w:r w:rsidRPr="00DA6BE4">
        <w:rPr>
          <w:rFonts w:ascii="Times New Roman" w:hAnsi="Times New Roman" w:cs="Times New Roman"/>
          <w:lang w:val="en-US"/>
        </w:rPr>
        <w:instrText xml:space="preserve"> ADDIN EN.CITE &lt;EndNote&gt;&lt;Cite&gt;&lt;RecNum&gt;0&lt;/RecNum&gt;&lt;Note&gt;This occurs at some point in or after 1985. Now, as a point of emphasis we should consider that MacIntyre&amp;apos;s support for Aristotelian-Thomism is well after the criticisms published by Schneewind in 1982 and 1983, as well that of Bernstein published in 1984.&lt;/Note&gt;&lt;DisplayText&gt;This occurs at some point in or after 1985. Now, as a point of emphasis we should consider that MacIntyre&amp;apos;s support for Aristotelian-Thomism is well after the criticisms published by Schneewind in 1982 and 1983, as well that of Bernstein published in 1984.&lt;/DisplayText&gt;&lt;/Cite&gt;&lt;/EndNote&gt;</w:instrText>
      </w:r>
      <w:r w:rsidR="00AA2A48" w:rsidRPr="00DA6BE4">
        <w:rPr>
          <w:rFonts w:ascii="Times New Roman" w:hAnsi="Times New Roman" w:cs="Times New Roman"/>
          <w:lang w:val="en-US"/>
        </w:rPr>
        <w:fldChar w:fldCharType="separate"/>
      </w:r>
      <w:r w:rsidRPr="00DA6BE4">
        <w:rPr>
          <w:rFonts w:ascii="Times New Roman" w:hAnsi="Times New Roman" w:cs="Times New Roman"/>
          <w:noProof/>
          <w:lang w:val="en-US"/>
        </w:rPr>
        <w:t>This occurs at some point in or after 1985. Now, as a point of emphasis we should consider that MacIntyre's support for Aristotelian-Thomism is well after the criticisms published by Schneewind in 1982 and 1983, as well that of Bernstein published in 1984.</w:t>
      </w:r>
      <w:r w:rsidR="00AA2A48" w:rsidRPr="00DA6BE4">
        <w:rPr>
          <w:rFonts w:ascii="Times New Roman" w:hAnsi="Times New Roman" w:cs="Times New Roman"/>
          <w:lang w:val="en-US"/>
        </w:rPr>
        <w:fldChar w:fldCharType="end"/>
      </w:r>
      <w:r w:rsidRPr="00DA6BE4">
        <w:rPr>
          <w:rFonts w:ascii="Times New Roman" w:hAnsi="Times New Roman" w:cs="Times New Roman"/>
          <w:lang w:val="en-US"/>
        </w:rPr>
        <w:t xml:space="preserve"> See </w:t>
      </w:r>
      <w:r w:rsidR="00AA2A48" w:rsidRPr="00DA6BE4">
        <w:rPr>
          <w:rFonts w:ascii="Times New Roman" w:hAnsi="Times New Roman" w:cs="Times New Roman"/>
          <w:lang w:val="en-US"/>
        </w:rPr>
        <w:fldChar w:fldCharType="begin"/>
      </w:r>
      <w:r w:rsidRPr="00DA6BE4">
        <w:rPr>
          <w:rFonts w:ascii="Times New Roman" w:hAnsi="Times New Roman" w:cs="Times New Roman"/>
          <w:lang w:val="en-US"/>
        </w:rPr>
        <w:instrText xml:space="preserve"> ADDIN EN.CITE &lt;EndNote&gt;&lt;Cite&gt;&lt;Author&gt;Knight&lt;/Author&gt;&lt;Year&gt;1998&lt;/Year&gt;&lt;RecNum&gt;117&lt;/RecNum&gt;&lt;Pages&gt;257&lt;/Pages&gt;&lt;DisplayText&gt;Kelvin Knight, &lt;style face="italic"&gt;The Macintyre Reader&lt;/style&gt; (Cambridge, Oxford: Polity Press, 1998), 257.&lt;/DisplayText&gt;&lt;record&gt;&lt;rec-number&gt;117&lt;/rec-number&gt;&lt;foreign-keys&gt;&lt;key app="EN" db-id="vxze0a2pwrt959ep2afxdw5cat595wt9sv95" timestamp="1520738790"&gt;117&lt;/key&gt;&lt;/foreign-keys&gt;&lt;ref-type name="Book"&gt;6&lt;/ref-type&gt;&lt;contributors&gt;&lt;authors&gt;&lt;author&gt;Knight, Kelvin&lt;/author&gt;&lt;/authors&gt;&lt;/contributors&gt;&lt;titles&gt;&lt;title&gt;The MacIntyre Reader&lt;/title&gt;&lt;/titles&gt;&lt;dates&gt;&lt;year&gt;1998&lt;/year&gt;&lt;/dates&gt;&lt;pub-location&gt;Cambridge, Oxford&lt;/pub-location&gt;&lt;publisher&gt;Polity Press&lt;/publisher&gt;&lt;urls&gt;&lt;/urls&gt;&lt;/record&gt;&lt;/Cite&gt;&lt;/EndNote&gt;</w:instrText>
      </w:r>
      <w:r w:rsidR="00AA2A48" w:rsidRPr="00DA6BE4">
        <w:rPr>
          <w:rFonts w:ascii="Times New Roman" w:hAnsi="Times New Roman" w:cs="Times New Roman"/>
          <w:lang w:val="en-US"/>
        </w:rPr>
        <w:fldChar w:fldCharType="separate"/>
      </w:r>
      <w:r w:rsidRPr="00DA6BE4">
        <w:rPr>
          <w:rFonts w:ascii="Times New Roman" w:hAnsi="Times New Roman" w:cs="Times New Roman"/>
          <w:noProof/>
          <w:lang w:val="en-US"/>
        </w:rPr>
        <w:t xml:space="preserve">Kelvin Knight, </w:t>
      </w:r>
      <w:r w:rsidRPr="00DA6BE4">
        <w:rPr>
          <w:rFonts w:ascii="Times New Roman" w:hAnsi="Times New Roman" w:cs="Times New Roman"/>
          <w:i/>
          <w:noProof/>
          <w:lang w:val="en-US"/>
        </w:rPr>
        <w:t>The Macintyre Reader</w:t>
      </w:r>
      <w:r w:rsidRPr="00DA6BE4">
        <w:rPr>
          <w:rFonts w:ascii="Times New Roman" w:hAnsi="Times New Roman" w:cs="Times New Roman"/>
          <w:noProof/>
          <w:lang w:val="en-US"/>
        </w:rPr>
        <w:t xml:space="preserve"> (Cambridge, Oxford: Polity Press, 1998), 257.</w:t>
      </w:r>
      <w:r w:rsidR="00AA2A48" w:rsidRPr="00DA6BE4">
        <w:rPr>
          <w:rFonts w:ascii="Times New Roman" w:hAnsi="Times New Roman" w:cs="Times New Roman"/>
          <w:lang w:val="en-US"/>
        </w:rPr>
        <w:fldChar w:fldCharType="end"/>
      </w:r>
      <w:r w:rsidRPr="00DA6BE4">
        <w:rPr>
          <w:rFonts w:ascii="Times New Roman" w:hAnsi="Times New Roman" w:cs="Times New Roman"/>
          <w:lang w:val="en-US"/>
        </w:rPr>
        <w:t xml:space="preserve"> See </w:t>
      </w:r>
      <w:r w:rsidR="00AA2A48" w:rsidRPr="00DA6BE4">
        <w:rPr>
          <w:rFonts w:ascii="Times New Roman" w:hAnsi="Times New Roman" w:cs="Times New Roman"/>
          <w:lang w:val="en-US"/>
        </w:rPr>
        <w:fldChar w:fldCharType="begin"/>
      </w:r>
      <w:r w:rsidRPr="00DA6BE4">
        <w:rPr>
          <w:rFonts w:ascii="Times New Roman" w:hAnsi="Times New Roman" w:cs="Times New Roman"/>
          <w:lang w:val="en-US"/>
        </w:rPr>
        <w:instrText xml:space="preserve"> ADDIN EN.CITE &lt;EndNote&gt;&lt;Cite&gt;&lt;Author&gt;Lutz&lt;/Author&gt;&lt;Year&gt;2004&lt;/Year&gt;&lt;RecNum&gt;116&lt;/RecNum&gt;&lt;Pages&gt;7-29&lt;/Pages&gt;&lt;DisplayText&gt;Christopher S. Lutz, &lt;style face="italic"&gt;Tradition in the Ethics of Alasdair Macintyre&lt;/style&gt; (Lanham, Maryland: Lexington Books, 2004), 7-29.&lt;/DisplayText&gt;&lt;record&gt;&lt;rec-number&gt;116&lt;/rec-number&gt;&lt;foreign-keys&gt;&lt;key app="EN" db-id="vxze0a2pwrt959ep2afxdw5cat595wt9sv95" timestamp="1520738349"&gt;116&lt;/key&gt;&lt;/foreign-keys&gt;&lt;ref-type name="Book"&gt;6&lt;/ref-type&gt;&lt;contributors&gt;&lt;authors&gt;&lt;author&gt;Lutz, Christopher S.&lt;/author&gt;&lt;/authors&gt;&lt;/contributors&gt;&lt;titles&gt;&lt;title&gt;Tradition in the Ethics of Alasdair MacIntyre&lt;/title&gt;&lt;/titles&gt;&lt;dates&gt;&lt;year&gt;2004&lt;/year&gt;&lt;/dates&gt;&lt;pub-location&gt;Lanham, Maryland&lt;/pub-location&gt;&lt;publisher&gt;Lexington Books&lt;/publisher&gt;&lt;urls&gt;&lt;/urls&gt;&lt;/record&gt;&lt;/Cite&gt;&lt;/EndNote&gt;</w:instrText>
      </w:r>
      <w:r w:rsidR="00AA2A48" w:rsidRPr="00DA6BE4">
        <w:rPr>
          <w:rFonts w:ascii="Times New Roman" w:hAnsi="Times New Roman" w:cs="Times New Roman"/>
          <w:lang w:val="en-US"/>
        </w:rPr>
        <w:fldChar w:fldCharType="separate"/>
      </w:r>
      <w:r w:rsidRPr="00DA6BE4">
        <w:rPr>
          <w:rFonts w:ascii="Times New Roman" w:hAnsi="Times New Roman" w:cs="Times New Roman"/>
          <w:noProof/>
          <w:lang w:val="en-US"/>
        </w:rPr>
        <w:t xml:space="preserve">Christopher S. Lutz, </w:t>
      </w:r>
      <w:r w:rsidRPr="00DA6BE4">
        <w:rPr>
          <w:rFonts w:ascii="Times New Roman" w:hAnsi="Times New Roman" w:cs="Times New Roman"/>
          <w:i/>
          <w:noProof/>
          <w:lang w:val="en-US"/>
        </w:rPr>
        <w:t>Tradition in the Ethics of Alasdair Macintyre</w:t>
      </w:r>
      <w:r w:rsidRPr="00DA6BE4">
        <w:rPr>
          <w:rFonts w:ascii="Times New Roman" w:hAnsi="Times New Roman" w:cs="Times New Roman"/>
          <w:noProof/>
          <w:lang w:val="en-US"/>
        </w:rPr>
        <w:t xml:space="preserve"> (Lanham, Maryland: Lexington Books, 2004), 7-29.</w:t>
      </w:r>
      <w:r w:rsidR="00AA2A48" w:rsidRPr="00DA6BE4">
        <w:rPr>
          <w:rFonts w:ascii="Times New Roman" w:hAnsi="Times New Roman" w:cs="Times New Roman"/>
          <w:lang w:val="en-US"/>
        </w:rPr>
        <w:fldChar w:fldCharType="end"/>
      </w:r>
      <w:r w:rsidRPr="00DA6BE4">
        <w:rPr>
          <w:rFonts w:ascii="Times New Roman" w:hAnsi="Times New Roman" w:cs="Times New Roman"/>
          <w:lang w:val="en-US"/>
        </w:rPr>
        <w:t xml:space="preserve"> See </w:t>
      </w:r>
      <w:r w:rsidR="00AA2A48" w:rsidRPr="00DA6BE4">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&lt;EndNote&gt;&lt;Cite&gt;&lt;Author&gt;Bavister-Gould&lt;/Author&gt;&lt;Year&gt;2008&lt;/Year&gt;&lt;RecNum&gt;21&lt;/RecNum&gt;&lt;Pages&gt;55-74&lt;/Pages&gt;&lt;DisplayText&gt;Alex Bavister-Gould, &amp;quot;The Uniqueness of after Virtue (or &amp;apos;against Hindsight&amp;apos;),&amp;quot; &lt;style face="italic"&gt;Analyse &amp;amp; Kritik&lt;/style&gt; 30, no. 1 (2008): 55-74.&lt;/DisplayText&gt;&lt;record&gt;&lt;rec-number&gt;21&lt;/rec-number&gt;&lt;foreign-keys&gt;&lt;key app="EN" db-id="vxze0a2pwrt959ep2afxdw5cat595wt9sv95" timestamp="1443692446"&gt;21&lt;/key&gt;&lt;/foreign-keys&gt;&lt;ref-type name="Journal Article"&gt;17&lt;/ref-type&gt;&lt;contributors&gt;&lt;authors&gt;&lt;author&gt;Bavister-Gould, Alex&lt;/author&gt;&lt;/authors&gt;&lt;/contributors&gt;&lt;titles&gt;&lt;title&gt;The Uniqueness of After Virtue (or &amp;apos;Against Hindsight&amp;apos;)&lt;/title&gt;&lt;secondary-title&gt;Analyse &amp;amp; Kritik&lt;/secondary-title&gt;&lt;/titles&gt;&lt;periodical&gt;&lt;full-title&gt;Analyse &amp;amp; Kritik&lt;/full-title&gt;&lt;/periodical&gt;&lt;pages&gt;55-74&lt;/pages&gt;&lt;volume&gt;30&lt;/volume&gt;&lt;number&gt;1&lt;/number&gt;&lt;dates&gt;&lt;year&gt;2008&lt;/year&gt;&lt;/dates&gt;&lt;urls&gt;&lt;/urls&gt;&lt;/record&gt;&lt;/Cite&gt;&lt;/EndNote&gt;</w:instrText>
      </w:r>
      <w:r w:rsidR="00AA2A48" w:rsidRPr="00DA6BE4">
        <w:rPr>
          <w:rFonts w:ascii="Times New Roman" w:hAnsi="Times New Roman" w:cs="Times New Roman"/>
          <w:lang w:val="en-US"/>
        </w:rPr>
        <w:fldChar w:fldCharType="separate"/>
      </w:r>
      <w:r>
        <w:rPr>
          <w:rFonts w:ascii="Times New Roman" w:hAnsi="Times New Roman" w:cs="Times New Roman"/>
          <w:noProof/>
          <w:lang w:val="en-US"/>
        </w:rPr>
        <w:t xml:space="preserve">Alex Bavister-Gould, "The Uniqueness of after Virtue (or 'against Hindsight')," </w:t>
      </w:r>
      <w:r w:rsidRPr="00621A3F">
        <w:rPr>
          <w:rFonts w:ascii="Times New Roman" w:hAnsi="Times New Roman" w:cs="Times New Roman"/>
          <w:i/>
          <w:noProof/>
          <w:lang w:val="en-US"/>
        </w:rPr>
        <w:t>Analyse &amp; Kritik</w:t>
      </w:r>
      <w:r>
        <w:rPr>
          <w:rFonts w:ascii="Times New Roman" w:hAnsi="Times New Roman" w:cs="Times New Roman"/>
          <w:noProof/>
          <w:lang w:val="en-US"/>
        </w:rPr>
        <w:t xml:space="preserve"> 30, no. 1 (2008): 55-74.</w:t>
      </w:r>
      <w:r w:rsidR="00AA2A48" w:rsidRPr="00DA6BE4">
        <w:rPr>
          <w:rFonts w:ascii="Times New Roman" w:hAnsi="Times New Roman" w:cs="Times New Roman"/>
          <w:lang w:val="en-US"/>
        </w:rPr>
        <w:fldChar w:fldCharType="end"/>
      </w:r>
    </w:p>
  </w:footnote>
  <w:footnote w:id="7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I should say that MacIntyre in a more abbreviated form begins the first task in </w:t>
      </w:r>
      <w:r w:rsidRPr="00DA6BE4">
        <w:rPr>
          <w:rFonts w:ascii="Times New Roman" w:hAnsi="Times New Roman" w:cs="Times New Roman"/>
          <w:i/>
          <w:lang w:val="en-CA"/>
        </w:rPr>
        <w:t>After Virtue</w:t>
      </w:r>
      <w:r w:rsidRPr="00DA6BE4">
        <w:rPr>
          <w:rFonts w:ascii="Times New Roman" w:hAnsi="Times New Roman" w:cs="Times New Roman"/>
          <w:lang w:val="en-CA"/>
        </w:rPr>
        <w:t>, but he makes a more determined effort in later work.</w:t>
      </w:r>
    </w:p>
  </w:footnote>
  <w:footnote w:id="7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&lt;EndNote&gt;&lt;Cite&gt;&lt;Author&gt;MacIntyre&lt;/Author&gt;&lt;Year&gt;1988&lt;/Year&gt;&lt;RecNum&gt;47&lt;/RecNum&gt;&lt;Pages&gt;7&lt;/Pages&gt;&lt;DisplayText&gt;MacIntyre, &lt;style face="italic"&gt;Whose Justice? Which Rationality?&lt;/style&gt; , 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7.</w:t>
      </w:r>
      <w:r w:rsidR="00AA2A48" w:rsidRPr="00DA6BE4">
        <w:rPr>
          <w:rFonts w:ascii="Times New Roman" w:hAnsi="Times New Roman" w:cs="Times New Roman"/>
        </w:rPr>
        <w:fldChar w:fldCharType="end"/>
      </w:r>
    </w:p>
  </w:footnote>
  <w:footnote w:id="7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AuthorYear="1"&gt;&lt;Author&gt;MacIntyre&lt;/Author&gt;&lt;Year&gt;1988&lt;/Year&gt;&lt;RecNum&gt;47&lt;/RecNum&gt;&lt;Pages&gt;8&lt;/Pages&gt;&lt;DisplayText&gt;Ibid., 8.&lt;/DisplayText&gt;&lt;record&gt;&lt;rec-number&gt;47&lt;/rec-number&gt;&lt;foreign-keys&gt;&lt;key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8.</w:t>
      </w:r>
      <w:r w:rsidR="00AA2A48" w:rsidRPr="00DA6BE4">
        <w:rPr>
          <w:rFonts w:ascii="Times New Roman" w:hAnsi="Times New Roman" w:cs="Times New Roman"/>
        </w:rPr>
        <w:fldChar w:fldCharType="end"/>
      </w:r>
    </w:p>
  </w:footnote>
  <w:footnote w:id="8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AuthorYear="1"&gt;&lt;Author&gt;MacIntyre&lt;/Author&gt;&lt;Year&gt;1988&lt;/Year&gt;&lt;RecNum&gt;47&lt;/RecNum&gt;&lt;Pages&gt;9&lt;/Pages&gt;&lt;DisplayText&gt;Ibid., 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9.</w:t>
      </w:r>
      <w:r w:rsidR="00AA2A48" w:rsidRPr="00DA6BE4">
        <w:rPr>
          <w:rFonts w:ascii="Times New Roman" w:hAnsi="Times New Roman" w:cs="Times New Roman"/>
        </w:rPr>
        <w:fldChar w:fldCharType="end"/>
      </w:r>
    </w:p>
  </w:footnote>
  <w:footnote w:id="8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AuthorYear="1"&gt;&lt;Author&gt;MacIntyre&lt;/Author&gt;&lt;Year&gt;1988&lt;/Year&gt;&lt;RecNum&gt;47&lt;/RecNum&gt;&lt;Pages&gt;12&lt;/Pages&gt;&lt;DisplayText&gt;Ibid., 12.&lt;/DisplayText&gt;&lt;record&gt;&lt;rec-number&gt;47&lt;/rec-number&gt;&lt;foreign-keys&gt;&lt;key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12.</w:t>
      </w:r>
      <w:r w:rsidR="00AA2A48" w:rsidRPr="00DA6BE4">
        <w:rPr>
          <w:rFonts w:ascii="Times New Roman" w:hAnsi="Times New Roman" w:cs="Times New Roman"/>
        </w:rPr>
        <w:fldChar w:fldCharType="end"/>
      </w:r>
    </w:p>
  </w:footnote>
  <w:footnote w:id="8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&lt;EndNote&gt;&lt;Cite&gt;&lt;RecNum&gt;0&lt;/RecNum&gt;&lt;Note&gt;Agōn (ἀγών) is defined as a formal rule governed contests where participants compete in some activity; &lt;/Note&gt;&lt;DisplayText&gt;Agōn (ἀγών) is defined as a formal rule governed contests where participants compete in some activity; &lt;/DisplayText&gt;&lt;/Cite&gt;&lt;/EndNote&gt;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Agōn (ἀγών) is defined as a formal rule governed contests where participants compete in some activity; </w:t>
      </w:r>
      <w:r w:rsidR="00AA2A48" w:rsidRPr="00DA6BE4">
        <w:rPr>
          <w:rFonts w:ascii="Times New Roman" w:hAnsi="Times New Roman" w:cs="Times New Roman"/>
        </w:rPr>
        <w:fldChar w:fldCharType="end"/>
      </w:r>
      <w:r w:rsidRPr="00DA6BE4">
        <w:rPr>
          <w:rFonts w:ascii="Times New Roman" w:hAnsi="Times New Roman" w:cs="Times New Roman"/>
        </w:rPr>
        <w:t xml:space="preserve">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AuthorYear="1"&gt;&lt;Author&gt;MacIntyre&lt;/Author&gt;&lt;Year&gt;1988&lt;/Year&gt;&lt;RecNum&gt;47&lt;/RecNum&gt;&lt;Pages&gt;27&lt;/Pages&gt;&lt;DisplayText&gt;ibid., 27.&lt;/DisplayText&gt;&lt;record&gt;&lt;rec-number&gt;47&lt;/rec-number&gt;&lt;foreign-keys&gt;&lt;key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27.</w:t>
      </w:r>
      <w:r w:rsidR="00AA2A48" w:rsidRPr="00DA6BE4">
        <w:rPr>
          <w:rFonts w:ascii="Times New Roman" w:hAnsi="Times New Roman" w:cs="Times New Roman"/>
        </w:rPr>
        <w:fldChar w:fldCharType="end"/>
      </w:r>
    </w:p>
  </w:footnote>
  <w:footnote w:id="8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Here, MacIntyre is referring to the period that</w:t>
      </w:r>
      <w:r w:rsidRPr="00DA6BE4">
        <w:rPr>
          <w:rFonts w:ascii="Times New Roman" w:hAnsi="Times New Roman" w:cs="Times New Roman"/>
          <w:lang w:val="en-CA"/>
        </w:rPr>
        <w:t xml:space="preserve"> spans the heroic society as depicted by Homer’s epics, and the classical Athens of 4</w:t>
      </w:r>
      <w:r w:rsidRPr="00DA6BE4">
        <w:rPr>
          <w:rFonts w:ascii="Times New Roman" w:hAnsi="Times New Roman" w:cs="Times New Roman"/>
          <w:vertAlign w:val="superscript"/>
          <w:lang w:val="en-CA"/>
        </w:rPr>
        <w:t>th</w:t>
      </w:r>
      <w:r w:rsidRPr="00DA6BE4">
        <w:rPr>
          <w:rFonts w:ascii="Times New Roman" w:hAnsi="Times New Roman" w:cs="Times New Roman"/>
          <w:lang w:val="en-CA"/>
        </w:rPr>
        <w:t>-5</w:t>
      </w:r>
      <w:r w:rsidRPr="00DA6BE4">
        <w:rPr>
          <w:rFonts w:ascii="Times New Roman" w:hAnsi="Times New Roman" w:cs="Times New Roman"/>
          <w:vertAlign w:val="superscript"/>
          <w:lang w:val="en-CA"/>
        </w:rPr>
        <w:t>th</w:t>
      </w:r>
      <w:r w:rsidRPr="00DA6BE4">
        <w:rPr>
          <w:rFonts w:ascii="Times New Roman" w:hAnsi="Times New Roman" w:cs="Times New Roman"/>
          <w:lang w:val="en-CA"/>
        </w:rPr>
        <w:t xml:space="preserve"> century BCE.</w:t>
      </w:r>
    </w:p>
  </w:footnote>
  <w:footnote w:id="84">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See footnote 51.</w:t>
      </w:r>
    </w:p>
  </w:footnote>
  <w:footnote w:id="85">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i/>
          <w:iCs/>
          <w:lang w:val="en-CA"/>
        </w:rPr>
        <w:t>dikaios</w:t>
      </w:r>
      <w:proofErr w:type="spellEnd"/>
      <w:r w:rsidRPr="00DA6BE4">
        <w:rPr>
          <w:rFonts w:ascii="Times New Roman" w:hAnsi="Times New Roman" w:cs="Times New Roman"/>
          <w:lang w:val="en-CA"/>
        </w:rPr>
        <w:t xml:space="preserve"> (</w:t>
      </w:r>
      <w:proofErr w:type="spellStart"/>
      <w:r w:rsidRPr="00DA6BE4">
        <w:rPr>
          <w:rFonts w:ascii="Times New Roman" w:hAnsi="Times New Roman" w:cs="Times New Roman"/>
          <w:lang w:val="en-CA"/>
        </w:rPr>
        <w:t>δ</w:t>
      </w:r>
      <w:r w:rsidRPr="00DA6BE4">
        <w:rPr>
          <w:rFonts w:ascii="Times New Roman" w:hAnsi="Times New Roman" w:cs="Times New Roman"/>
          <w:bCs/>
          <w:lang w:val="en-CA"/>
        </w:rPr>
        <w:t>ί</w:t>
      </w:r>
      <w:r w:rsidRPr="00DA6BE4">
        <w:rPr>
          <w:rFonts w:ascii="Times New Roman" w:hAnsi="Times New Roman" w:cs="Times New Roman"/>
          <w:lang w:val="en-CA"/>
        </w:rPr>
        <w:t>καιος</w:t>
      </w:r>
      <w:proofErr w:type="spellEnd"/>
      <w:r w:rsidRPr="00DA6BE4">
        <w:rPr>
          <w:rFonts w:ascii="Times New Roman" w:hAnsi="Times New Roman" w:cs="Times New Roman"/>
          <w:lang w:val="en-CA"/>
        </w:rPr>
        <w:t xml:space="preserve">) is a person who acts in alignment with the </w:t>
      </w:r>
      <w:proofErr w:type="spellStart"/>
      <w:r w:rsidRPr="00DA6BE4">
        <w:rPr>
          <w:rFonts w:ascii="Times New Roman" w:hAnsi="Times New Roman" w:cs="Times New Roman"/>
          <w:i/>
          <w:iCs/>
          <w:lang w:val="en-CA"/>
        </w:rPr>
        <w:t>dikē</w:t>
      </w:r>
      <w:proofErr w:type="spellEnd"/>
      <w:r w:rsidRPr="00DA6BE4">
        <w:rPr>
          <w:rFonts w:ascii="Times New Roman" w:hAnsi="Times New Roman" w:cs="Times New Roman"/>
          <w:i/>
          <w:iCs/>
          <w:lang w:val="en-CA"/>
        </w:rPr>
        <w:t xml:space="preserve"> </w:t>
      </w:r>
      <w:r w:rsidRPr="00DA6BE4">
        <w:rPr>
          <w:rFonts w:ascii="Times New Roman" w:hAnsi="Times New Roman" w:cs="Times New Roman"/>
          <w:lang w:val="en-CA"/>
        </w:rPr>
        <w:t>(</w:t>
      </w:r>
      <w:proofErr w:type="spellStart"/>
      <w:r w:rsidRPr="00DA6BE4">
        <w:rPr>
          <w:rFonts w:ascii="Times New Roman" w:hAnsi="Times New Roman" w:cs="Times New Roman"/>
          <w:lang w:val="en-CA"/>
        </w:rPr>
        <w:t>δίκη</w:t>
      </w:r>
      <w:proofErr w:type="spellEnd"/>
      <w:r w:rsidRPr="00DA6BE4">
        <w:rPr>
          <w:rFonts w:ascii="Times New Roman" w:hAnsi="Times New Roman" w:cs="Times New Roman"/>
          <w:lang w:val="en-CA"/>
        </w:rPr>
        <w:t>)</w:t>
      </w:r>
    </w:p>
  </w:footnote>
  <w:footnote w:id="8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AuthorYear="1"&gt;&lt;Author&gt;MacIntyre&lt;/Author&gt;&lt;Year&gt;1988&lt;/Year&gt;&lt;RecNum&gt;47&lt;/RecNum&gt;&lt;Pages&gt;14&lt;/Pages&gt;&lt;DisplayText&gt;MacIntyre, &lt;style face="italic"&gt;Whose Justice? Which Rationality?&lt;/style&gt; , 14.&lt;/DisplayText&gt;&lt;record&gt;&lt;rec-number&gt;47&lt;/rec-number&gt;&lt;foreign-keys&gt;&lt;key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14.</w:t>
      </w:r>
      <w:r w:rsidR="00AA2A48" w:rsidRPr="00DA6BE4">
        <w:rPr>
          <w:rFonts w:ascii="Times New Roman" w:hAnsi="Times New Roman" w:cs="Times New Roman"/>
        </w:rPr>
        <w:fldChar w:fldCharType="end"/>
      </w:r>
    </w:p>
  </w:footnote>
  <w:footnote w:id="8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i/>
          <w:iCs/>
          <w:lang w:val="en-CA"/>
        </w:rPr>
        <w:t>Agathós</w:t>
      </w:r>
      <w:proofErr w:type="spellEnd"/>
      <w:r w:rsidRPr="00DA6BE4">
        <w:rPr>
          <w:rFonts w:ascii="Times New Roman" w:hAnsi="Times New Roman" w:cs="Times New Roman"/>
          <w:lang w:val="en-CA"/>
        </w:rPr>
        <w:t xml:space="preserve"> (</w:t>
      </w:r>
      <w:proofErr w:type="spellStart"/>
      <w:r w:rsidRPr="00DA6BE4">
        <w:rPr>
          <w:rFonts w:ascii="Times New Roman" w:hAnsi="Times New Roman" w:cs="Times New Roman"/>
          <w:lang w:val="en-CA"/>
        </w:rPr>
        <w:t>ἀγαθὸς</w:t>
      </w:r>
      <w:proofErr w:type="spellEnd"/>
      <w:r w:rsidRPr="00DA6BE4">
        <w:rPr>
          <w:rFonts w:ascii="Times New Roman" w:hAnsi="Times New Roman" w:cs="Times New Roman"/>
          <w:lang w:val="en-CA"/>
        </w:rPr>
        <w:t>) specifically refers to moral excellence.</w:t>
      </w:r>
    </w:p>
  </w:footnote>
  <w:footnote w:id="88">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bCs/>
          <w:i/>
          <w:iCs/>
          <w:lang w:val="en-CA"/>
        </w:rPr>
        <w:t>Ἀ</w:t>
      </w:r>
      <w:r w:rsidRPr="00DA6BE4">
        <w:rPr>
          <w:rFonts w:ascii="Times New Roman" w:hAnsi="Times New Roman" w:cs="Times New Roman"/>
          <w:i/>
          <w:iCs/>
          <w:lang w:val="en-CA"/>
        </w:rPr>
        <w:t>rête</w:t>
      </w:r>
      <w:proofErr w:type="spellEnd"/>
      <w:r w:rsidRPr="00DA6BE4">
        <w:rPr>
          <w:rFonts w:ascii="Times New Roman" w:hAnsi="Times New Roman" w:cs="Times New Roman"/>
          <w:lang w:val="en-CA"/>
        </w:rPr>
        <w:t xml:space="preserve"> (</w:t>
      </w:r>
      <w:proofErr w:type="spellStart"/>
      <w:r w:rsidRPr="00DA6BE4">
        <w:rPr>
          <w:rFonts w:ascii="Times New Roman" w:hAnsi="Times New Roman" w:cs="Times New Roman"/>
          <w:lang w:val="en-CA"/>
        </w:rPr>
        <w:t>ἀρετή</w:t>
      </w:r>
      <w:proofErr w:type="spellEnd"/>
      <w:r w:rsidRPr="00DA6BE4">
        <w:rPr>
          <w:rFonts w:ascii="Times New Roman" w:hAnsi="Times New Roman" w:cs="Times New Roman"/>
          <w:lang w:val="en-CA"/>
        </w:rPr>
        <w:t xml:space="preserve">) is a more general term and can refer to excellence of any kind, but more often refers to excellence </w:t>
      </w:r>
      <w:r w:rsidRPr="00DA6BE4">
        <w:rPr>
          <w:rFonts w:ascii="Times New Roman" w:hAnsi="Times New Roman" w:cs="Times New Roman"/>
          <w:i/>
          <w:lang w:val="en-CA"/>
        </w:rPr>
        <w:t>qua</w:t>
      </w:r>
      <w:r w:rsidRPr="00DA6BE4">
        <w:rPr>
          <w:rFonts w:ascii="Times New Roman" w:hAnsi="Times New Roman" w:cs="Times New Roman"/>
          <w:lang w:val="en-CA"/>
        </w:rPr>
        <w:t xml:space="preserve"> achievement.</w:t>
      </w:r>
    </w:p>
  </w:footnote>
  <w:footnote w:id="8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AuthorYear="1"&gt;&lt;Author&gt;MacIntyre&lt;/Author&gt;&lt;Year&gt;1988&lt;/Year&gt;&lt;RecNum&gt;47&lt;/RecNum&gt;&lt;Pages&gt;15&lt;/Pages&gt;&lt;DisplayText&gt;MacIntyre, &lt;style face="italic"&gt;Whose Justice? Which Rationality?&lt;/style&gt; , 15.&lt;/DisplayText&gt;&lt;record&gt;&lt;rec-number&gt;47&lt;/rec-number&gt;&lt;foreign-keys&gt;&lt;key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15.</w:t>
      </w:r>
      <w:r w:rsidR="00AA2A48" w:rsidRPr="00DA6BE4">
        <w:rPr>
          <w:rFonts w:ascii="Times New Roman" w:hAnsi="Times New Roman" w:cs="Times New Roman"/>
        </w:rPr>
        <w:fldChar w:fldCharType="end"/>
      </w:r>
    </w:p>
  </w:footnote>
  <w:footnote w:id="9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AuthorYear="1"&gt;&lt;Author&gt;MacIntyre&lt;/Author&gt;&lt;Year&gt;1988&lt;/Year&gt;&lt;RecNum&gt;47&lt;/RecNum&gt;&lt;Pages&gt;27&lt;/Pages&gt;&lt;DisplayText&gt;Ibid., 27.&lt;/DisplayText&gt;&lt;record&gt;&lt;rec-number&gt;47&lt;/rec-number&gt;&lt;foreign-keys&gt;&lt;key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27.</w:t>
      </w:r>
      <w:r w:rsidR="00AA2A48" w:rsidRPr="00DA6BE4">
        <w:rPr>
          <w:rFonts w:ascii="Times New Roman" w:hAnsi="Times New Roman" w:cs="Times New Roman"/>
        </w:rPr>
        <w:fldChar w:fldCharType="end"/>
      </w:r>
    </w:p>
  </w:footnote>
  <w:footnote w:id="9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AuthorYear="1"&gt;&lt;Author&gt;MacIntyre&lt;/Author&gt;&lt;Year&gt;1988&lt;/Year&gt;&lt;RecNum&gt;47&lt;/RecNum&gt;&lt;Pages&gt;32&lt;/Pages&gt;&lt;DisplayText&gt;Ibid., 32.&lt;/DisplayText&gt;&lt;record&gt;&lt;rec-number&gt;47&lt;/rec-number&gt;&lt;foreign-keys&gt;&lt;key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32.</w:t>
      </w:r>
      <w:r w:rsidR="00AA2A48" w:rsidRPr="00DA6BE4">
        <w:rPr>
          <w:rFonts w:ascii="Times New Roman" w:hAnsi="Times New Roman" w:cs="Times New Roman"/>
        </w:rPr>
        <w:fldChar w:fldCharType="end"/>
      </w:r>
    </w:p>
  </w:footnote>
  <w:footnote w:id="92">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AuthorYear="1"&gt;&lt;Author&gt;MacIntyre&lt;/Author&gt;&lt;Year&gt;1988&lt;/Year&gt;&lt;RecNum&gt;47&lt;/RecNum&gt;&lt;DisplayText&gt;Ibid.&lt;/DisplayText&gt;&lt;record&gt;&lt;rec-number&gt;47&lt;/rec-number&gt;&lt;foreign-keys&gt;&lt;key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93">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AuthorYear="1"&gt;&lt;Author&gt;MacIntyre&lt;/Author&gt;&lt;Year&gt;1988&lt;/Year&gt;&lt;RecNum&gt;47&lt;/RecNum&gt;&lt;Pages&gt;42&lt;/Pages&gt;&lt;DisplayText&gt;Ibid., 42.&lt;/DisplayText&gt;&lt;record&gt;&lt;rec-number&gt;47&lt;/rec-number&gt;&lt;foreign-keys&gt;&lt;key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42.</w:t>
      </w:r>
      <w:r w:rsidR="00AA2A48" w:rsidRPr="00DA6BE4">
        <w:rPr>
          <w:rFonts w:ascii="Times New Roman" w:hAnsi="Times New Roman" w:cs="Times New Roman"/>
        </w:rPr>
        <w:fldChar w:fldCharType="end"/>
      </w:r>
    </w:p>
  </w:footnote>
  <w:footnote w:id="94">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AuthorYear="1"&gt;&lt;Author&gt;MacIntyre&lt;/Author&gt;&lt;Year&gt;1988&lt;/Year&gt;&lt;RecNum&gt;47&lt;/RecNum&gt;&lt;Pages&gt;51&lt;/Pages&gt;&lt;DisplayText&gt;Ibid., 51.&lt;/DisplayText&gt;&lt;record&gt;&lt;rec-number&gt;47&lt;/rec-number&gt;&lt;foreign-keys&gt;&lt;key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51.</w:t>
      </w:r>
      <w:r w:rsidR="00AA2A48" w:rsidRPr="00DA6BE4">
        <w:rPr>
          <w:rFonts w:ascii="Times New Roman" w:hAnsi="Times New Roman" w:cs="Times New Roman"/>
        </w:rPr>
        <w:fldChar w:fldCharType="end"/>
      </w:r>
    </w:p>
  </w:footnote>
  <w:footnote w:id="9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&lt;EndNote&gt;&lt;Cite&gt;&lt;RecNum&gt;0&lt;/RecNum&gt;&lt;Note&gt;The history that MacIntyre is referring to describes an ascendant Athens that gradually comes to be the dominant Hellenic city-state within the Delian league, a league that was initially formed as a counter to Persian expansion. Athens utilises the league as a blunt instrument for advancing its own ambitions, often at the expense of the more vulnerable members of the league;&lt;/Note&gt;&lt;DisplayText&gt;The history that MacIntyre is referring to describes an ascendant Athens that gradually comes to be the dominant Hellenic city-state within the Delian league, a league that was initially formed as a counter to Persian expansion. Athens utilises the league as a blunt instrument for advancing its own ambitions, often at the expense of the more vulnerable members of the league;&lt;/DisplayText&gt;&lt;/Cite&gt;&lt;/EndNote&gt;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The history that MacIntyre is referring to describes an ascendant Athens that gradually comes to be the dominant Hellenic city-state within the Delian league, a league that was initially formed as a counter to Persian expansion. Athens utilises the league as a blunt instrument for advancing its own ambitions, often at the expense of the more vulnerable members of the league;</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AuthorYear="1"&gt;&lt;Author&gt;MacIntyre&lt;/Author&gt;&lt;Year&gt;1988&lt;/Year&gt;&lt;RecNum&gt;47&lt;/RecNum&gt;&lt;Pages&gt;52-53&lt;/Pages&gt;&lt;DisplayText&gt;ibid., 52-53.&lt;/DisplayText&gt;&lt;record&gt;&lt;rec-number&gt;47&lt;/rec-number&gt;&lt;foreign-keys&gt;&lt;key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52-53.</w:t>
      </w:r>
      <w:r w:rsidR="00AA2A48" w:rsidRPr="00DA6BE4">
        <w:rPr>
          <w:rFonts w:ascii="Times New Roman" w:hAnsi="Times New Roman" w:cs="Times New Roman"/>
        </w:rPr>
        <w:fldChar w:fldCharType="end"/>
      </w:r>
    </w:p>
  </w:footnote>
  <w:footnote w:id="96">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AuthorYear="1"&gt;&lt;Author&gt;MacIntyre&lt;/Author&gt;&lt;Year&gt;1988&lt;/Year&gt;&lt;RecNum&gt;47&lt;/RecNum&gt;&lt;Pages&gt;59&lt;/Pages&gt;&lt;DisplayText&gt;Ibid., 59.&lt;/DisplayText&gt;&lt;record&gt;&lt;rec-number&gt;47&lt;/rec-number&gt;&lt;foreign-keys&gt;&lt;key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59.</w:t>
      </w:r>
      <w:r w:rsidR="00AA2A48" w:rsidRPr="00DA6BE4">
        <w:rPr>
          <w:rFonts w:ascii="Times New Roman" w:hAnsi="Times New Roman" w:cs="Times New Roman"/>
        </w:rPr>
        <w:fldChar w:fldCharType="end"/>
      </w:r>
    </w:p>
  </w:footnote>
  <w:footnote w:id="9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See footnote 71.</w:t>
      </w:r>
    </w:p>
  </w:footnote>
  <w:footnote w:id="9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AuthorYear="1"&gt;&lt;Author&gt;MacIntyre&lt;/Author&gt;&lt;Year&gt;1988&lt;/Year&gt;&lt;RecNum&gt;47&lt;/RecNum&gt;&lt;Pages&gt;65-69&lt;/Pages&gt;&lt;DisplayText&gt;MacIntyre, &lt;style face="italic"&gt;Whose Justice? Which Rationality?&lt;/style&gt; , 65-69.&lt;/DisplayText&gt;&lt;record&gt;&lt;rec-number&gt;47&lt;/rec-number&gt;&lt;foreign-keys&gt;&lt;key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65-69.</w:t>
      </w:r>
      <w:r w:rsidR="00AA2A48" w:rsidRPr="00DA6BE4">
        <w:rPr>
          <w:rFonts w:ascii="Times New Roman" w:hAnsi="Times New Roman" w:cs="Times New Roman"/>
        </w:rPr>
        <w:fldChar w:fldCharType="end"/>
      </w:r>
    </w:p>
  </w:footnote>
  <w:footnote w:id="9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AuthorYear="1"&gt;&lt;Author&gt;MacIntyre&lt;/Author&gt;&lt;Year&gt;1988&lt;/Year&gt;&lt;RecNum&gt;47&lt;/RecNum&gt;&lt;Pages&gt;70&lt;/Pages&gt;&lt;DisplayText&gt;Ibid., 70.&lt;/DisplayText&gt;&lt;record&gt;&lt;rec-number&gt;47&lt;/rec-number&gt;&lt;foreign-keys&gt;&lt;key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70.</w:t>
      </w:r>
      <w:r w:rsidR="00AA2A48" w:rsidRPr="00DA6BE4">
        <w:rPr>
          <w:rFonts w:ascii="Times New Roman" w:hAnsi="Times New Roman" w:cs="Times New Roman"/>
        </w:rPr>
        <w:fldChar w:fldCharType="end"/>
      </w:r>
    </w:p>
  </w:footnote>
  <w:footnote w:id="10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&lt;EndNote&gt;&lt;Cite&gt;&lt;RecNum&gt;0&lt;/RecNum&gt;&lt;Note&gt;Plato’s dialogue in Gorgias and the Republic should be understood as a rejection of this Thucydidean view.&lt;/Note&gt;&lt;DisplayText&gt;Plato’s dialogue in Gorgias and the Republic should be understood as a rejection of this Thucydidean view.&lt;/DisplayText&gt;&lt;/Cite&gt;&lt;/EndNote&gt;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Plato’s dialogue in Gorgias and the Republic should be understood as a rejection of this Thucydidean view.</w:t>
      </w:r>
      <w:r w:rsidR="00AA2A48" w:rsidRPr="00DA6BE4">
        <w:rPr>
          <w:rFonts w:ascii="Times New Roman" w:hAnsi="Times New Roman" w:cs="Times New Roman"/>
        </w:rPr>
        <w:fldChar w:fldCharType="end"/>
      </w:r>
    </w:p>
  </w:footnote>
  <w:footnote w:id="10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AuthorYear="1"&gt;&lt;Author&gt;MacIntyre&lt;/Author&gt;&lt;Year&gt;1988&lt;/Year&gt;&lt;RecNum&gt;47&lt;/RecNum&gt;&lt;Pages&gt;74&lt;/Pages&gt;&lt;DisplayText&gt;MacIntyre, &lt;style face="italic"&gt;Whose Justice? Which Rationality?&lt;/style&gt; , 74.&lt;/DisplayText&gt;&lt;record&gt;&lt;rec-number&gt;47&lt;/rec-number&gt;&lt;foreign-keys&gt;&lt;key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74.</w:t>
      </w:r>
      <w:r w:rsidR="00AA2A48" w:rsidRPr="00DA6BE4">
        <w:rPr>
          <w:rFonts w:ascii="Times New Roman" w:hAnsi="Times New Roman" w:cs="Times New Roman"/>
        </w:rPr>
        <w:fldChar w:fldCharType="end"/>
      </w:r>
    </w:p>
  </w:footnote>
  <w:footnote w:id="102">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proofErr w:type="gramStart"/>
      <w:r w:rsidRPr="00DA6BE4">
        <w:rPr>
          <w:rFonts w:ascii="Times New Roman" w:hAnsi="Times New Roman" w:cs="Times New Roman"/>
          <w:i/>
          <w:lang w:val="en-CA"/>
        </w:rPr>
        <w:t>arch</w:t>
      </w:r>
      <w:r w:rsidRPr="00DA6BE4">
        <w:rPr>
          <w:rFonts w:ascii="Times New Roman" w:hAnsi="Times New Roman" w:cs="Times New Roman"/>
          <w:bCs/>
          <w:i/>
          <w:lang w:val="en-CA"/>
        </w:rPr>
        <w:t>ē</w:t>
      </w:r>
      <w:proofErr w:type="spellEnd"/>
      <w:proofErr w:type="gramEnd"/>
      <w:r w:rsidRPr="00DA6BE4">
        <w:rPr>
          <w:rFonts w:ascii="Times New Roman" w:hAnsi="Times New Roman" w:cs="Times New Roman"/>
          <w:lang w:val="en-CA"/>
        </w:rPr>
        <w:t xml:space="preserve"> (</w:t>
      </w:r>
      <w:proofErr w:type="spellStart"/>
      <w:r w:rsidRPr="00DA6BE4">
        <w:rPr>
          <w:rFonts w:ascii="Times New Roman" w:hAnsi="Times New Roman" w:cs="Times New Roman"/>
          <w:lang w:val="en-CA"/>
        </w:rPr>
        <w:t>ἀρχή</w:t>
      </w:r>
      <w:proofErr w:type="spellEnd"/>
      <w:r w:rsidRPr="00DA6BE4">
        <w:rPr>
          <w:rFonts w:ascii="Times New Roman" w:hAnsi="Times New Roman" w:cs="Times New Roman"/>
          <w:lang w:val="en-CA"/>
        </w:rPr>
        <w:t>) Approximately translates as “beginning,” “origin,” or “source of action.”</w:t>
      </w:r>
    </w:p>
  </w:footnote>
  <w:footnote w:id="10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AuthorYear="1"&gt;&lt;Author&gt;MacIntyre&lt;/Author&gt;&lt;Year&gt;1988&lt;/Year&gt;&lt;RecNum&gt;47&lt;/RecNum&gt;&lt;Pages&gt;83-84&lt;/Pages&gt;&lt;DisplayText&gt;MacIntyre, &lt;style face="italic"&gt;Whose Justice? Which Rationality?&lt;/style&gt; , 83-84.&lt;/DisplayText&gt;&lt;record&gt;&lt;rec-number&gt;47&lt;/rec-number&gt;&lt;foreign-keys&gt;&lt;key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83-84.</w:t>
      </w:r>
      <w:r w:rsidR="00AA2A48" w:rsidRPr="00DA6BE4">
        <w:rPr>
          <w:rFonts w:ascii="Times New Roman" w:hAnsi="Times New Roman" w:cs="Times New Roman"/>
        </w:rPr>
        <w:fldChar w:fldCharType="end"/>
      </w:r>
    </w:p>
  </w:footnote>
  <w:footnote w:id="10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AuthorYear="1"&gt;&lt;Author&gt;MacIntyre&lt;/Author&gt;&lt;Year&gt;1988&lt;/Year&gt;&lt;RecNum&gt;47&lt;/RecNum&gt;&lt;Pages&gt;86&lt;/Pages&gt;&lt;DisplayText&gt;Ibid., 86.&lt;/DisplayText&gt;&lt;record&gt;&lt;rec-number&gt;47&lt;/rec-number&gt;&lt;foreign-keys&gt;&lt;key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86.</w:t>
      </w:r>
      <w:r w:rsidR="00AA2A48" w:rsidRPr="00DA6BE4">
        <w:rPr>
          <w:rFonts w:ascii="Times New Roman" w:hAnsi="Times New Roman" w:cs="Times New Roman"/>
        </w:rPr>
        <w:fldChar w:fldCharType="end"/>
      </w:r>
    </w:p>
  </w:footnote>
  <w:footnote w:id="10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AuthorYear="1"&gt;&lt;Author&gt;MacIntyre&lt;/Author&gt;&lt;Year&gt;1988&lt;/Year&gt;&lt;RecNum&gt;47&lt;/RecNum&gt;&lt;Pages&gt;84&lt;/Pages&gt;&lt;DisplayText&gt;Ibid., 84.&lt;/DisplayText&gt;&lt;record&gt;&lt;rec-number&gt;47&lt;/rec-number&gt;&lt;foreign-keys&gt;&lt;key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84.</w:t>
      </w:r>
      <w:r w:rsidR="00AA2A48" w:rsidRPr="00DA6BE4">
        <w:rPr>
          <w:rFonts w:ascii="Times New Roman" w:hAnsi="Times New Roman" w:cs="Times New Roman"/>
        </w:rPr>
        <w:fldChar w:fldCharType="end"/>
      </w:r>
    </w:p>
  </w:footnote>
  <w:footnote w:id="106">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See footnote 71.</w:t>
      </w:r>
    </w:p>
  </w:footnote>
  <w:footnote w:id="107">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AuthorYear="1"&gt;&lt;Author&gt;MacIntyre&lt;/Author&gt;&lt;Year&gt;1988&lt;/Year&gt;&lt;RecNum&gt;47&lt;/RecNum&gt;&lt;Pages&gt;90&lt;/Pages&gt;&lt;DisplayText&gt;MacIntyre, &lt;style face="italic"&gt;Whose Justice? Which Rationality?&lt;/style&gt; , 90.&lt;/DisplayText&gt;&lt;record&gt;&lt;rec-number&gt;47&lt;/rec-number&gt;&lt;foreign-keys&gt;&lt;key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90.</w:t>
      </w:r>
      <w:r w:rsidR="00AA2A48" w:rsidRPr="00DA6BE4">
        <w:rPr>
          <w:rFonts w:ascii="Times New Roman" w:hAnsi="Times New Roman" w:cs="Times New Roman"/>
        </w:rPr>
        <w:fldChar w:fldCharType="end"/>
      </w:r>
    </w:p>
  </w:footnote>
  <w:footnote w:id="10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AuthorYear="1"&gt;&lt;Author&gt;MacIntyre&lt;/Author&gt;&lt;Year&gt;1988&lt;/Year&gt;&lt;RecNum&gt;47&lt;/RecNum&gt;&lt;Pages&gt;133&lt;/Pages&gt;&lt;DisplayText&gt;Ibid., 133.&lt;/DisplayText&gt;&lt;record&gt;&lt;rec-number&gt;47&lt;/rec-number&gt;&lt;foreign-keys&gt;&lt;key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133.</w:t>
      </w:r>
      <w:r w:rsidR="00AA2A48" w:rsidRPr="00DA6BE4">
        <w:rPr>
          <w:rFonts w:ascii="Times New Roman" w:hAnsi="Times New Roman" w:cs="Times New Roman"/>
        </w:rPr>
        <w:fldChar w:fldCharType="end"/>
      </w:r>
    </w:p>
  </w:footnote>
  <w:footnote w:id="10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AuthorYear="1"&gt;&lt;Author&gt;MacIntyre&lt;/Author&gt;&lt;Year&gt;1988&lt;/Year&gt;&lt;RecNum&gt;47&lt;/RecNum&gt;&lt;Pages&gt;122&lt;/Pages&gt;&lt;DisplayText&gt;Ibid., 122.&lt;/DisplayText&gt;&lt;record&gt;&lt;rec-number&gt;47&lt;/rec-number&gt;&lt;foreign-keys&gt;&lt;key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122.</w:t>
      </w:r>
      <w:r w:rsidR="00AA2A48" w:rsidRPr="00DA6BE4">
        <w:rPr>
          <w:rFonts w:ascii="Times New Roman" w:hAnsi="Times New Roman" w:cs="Times New Roman"/>
        </w:rPr>
        <w:fldChar w:fldCharType="end"/>
      </w:r>
    </w:p>
  </w:footnote>
  <w:footnote w:id="11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AuthorYear="1"&gt;&lt;Author&gt;MacIntyre&lt;/Author&gt;&lt;Year&gt;1988&lt;/Year&gt;&lt;RecNum&gt;47&lt;/RecNum&gt;&lt;Pages&gt;143&lt;/Pages&gt;&lt;DisplayText&gt;Ibid., 143.&lt;/DisplayText&gt;&lt;record&gt;&lt;rec-number&gt;47&lt;/rec-number&gt;&lt;foreign-keys&gt;&lt;key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143.</w:t>
      </w:r>
      <w:r w:rsidR="00AA2A48" w:rsidRPr="00DA6BE4">
        <w:rPr>
          <w:rFonts w:ascii="Times New Roman" w:hAnsi="Times New Roman" w:cs="Times New Roman"/>
        </w:rPr>
        <w:fldChar w:fldCharType="end"/>
      </w:r>
    </w:p>
  </w:footnote>
  <w:footnote w:id="11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AuthorYear="1"&gt;&lt;Author&gt;MacIntyre&lt;/Author&gt;&lt;Year&gt;1988&lt;/Year&gt;&lt;RecNum&gt;47&lt;/RecNum&gt;&lt;Pages&gt;109&lt;/Pages&gt;&lt;DisplayText&gt;Ibid., 109.&lt;/DisplayText&gt;&lt;record&gt;&lt;rec-number&gt;47&lt;/rec-number&gt;&lt;foreign-keys&gt;&lt;key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109.</w:t>
      </w:r>
      <w:r w:rsidR="00AA2A48" w:rsidRPr="00DA6BE4">
        <w:rPr>
          <w:rFonts w:ascii="Times New Roman" w:hAnsi="Times New Roman" w:cs="Times New Roman"/>
        </w:rPr>
        <w:fldChar w:fldCharType="end"/>
      </w:r>
    </w:p>
  </w:footnote>
  <w:footnote w:id="11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AuthorYear="1"&gt;&lt;Author&gt;MacIntyre&lt;/Author&gt;&lt;Year&gt;1988&lt;/Year&gt;&lt;RecNum&gt;47&lt;/RecNum&gt;&lt;Pages&gt;147&lt;/Pages&gt;&lt;DisplayText&gt;Ibid., 147.&lt;/DisplayText&gt;&lt;record&gt;&lt;rec-number&gt;47&lt;/rec-number&gt;&lt;foreign-keys&gt;&lt;key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147.</w:t>
      </w:r>
      <w:r w:rsidR="00AA2A48" w:rsidRPr="00DA6BE4">
        <w:rPr>
          <w:rFonts w:ascii="Times New Roman" w:hAnsi="Times New Roman" w:cs="Times New Roman"/>
        </w:rPr>
        <w:fldChar w:fldCharType="end"/>
      </w:r>
    </w:p>
  </w:footnote>
  <w:footnote w:id="11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lang w:val="en-CA"/>
        </w:rPr>
        <w:t>Tanakh</w:t>
      </w:r>
      <w:proofErr w:type="spellEnd"/>
      <w:r w:rsidRPr="00DA6BE4">
        <w:rPr>
          <w:rFonts w:ascii="Times New Roman" w:hAnsi="Times New Roman" w:cs="Times New Roman"/>
          <w:lang w:val="en-CA"/>
        </w:rPr>
        <w:t xml:space="preserve"> (</w:t>
      </w:r>
      <w:proofErr w:type="spellStart"/>
      <w:r w:rsidRPr="00DA6BE4">
        <w:rPr>
          <w:rFonts w:ascii="Times New Roman" w:hAnsi="Times New Roman" w:cs="Times New Roman"/>
          <w:lang w:val="en-CA"/>
        </w:rPr>
        <w:t>תנ״ך</w:t>
      </w:r>
      <w:proofErr w:type="spellEnd"/>
      <w:r w:rsidRPr="00DA6BE4">
        <w:rPr>
          <w:rFonts w:ascii="Times New Roman" w:hAnsi="Times New Roman" w:cs="Times New Roman"/>
          <w:lang w:val="en-CA"/>
        </w:rPr>
        <w:t>) is the Hebrew Bible which is corresponds to the Christian Old Testament.</w:t>
      </w:r>
    </w:p>
  </w:footnote>
  <w:footnote w:id="11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AuthorYear="1"&gt;&lt;Author&gt;MacIntyre&lt;/Author&gt;&lt;Year&gt;1988&lt;/Year&gt;&lt;RecNum&gt;47&lt;/RecNum&gt;&lt;Pages&gt;149-150&lt;/Pages&gt;&lt;DisplayText&gt;MacIntyre, &lt;style face="italic"&gt;Whose Justice? Which Rationality?&lt;/style&gt; , 149-150.&lt;/DisplayText&gt;&lt;record&gt;&lt;rec-number&gt;47&lt;/rec-number&gt;&lt;foreign-keys&gt;&lt;key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149-150.</w:t>
      </w:r>
      <w:r w:rsidR="00AA2A48" w:rsidRPr="00DA6BE4">
        <w:rPr>
          <w:rFonts w:ascii="Times New Roman" w:hAnsi="Times New Roman" w:cs="Times New Roman"/>
        </w:rPr>
        <w:fldChar w:fldCharType="end"/>
      </w:r>
    </w:p>
  </w:footnote>
  <w:footnote w:id="11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AuthorYear="1"&gt;&lt;Author&gt;MacIntyre&lt;/Author&gt;&lt;Year&gt;1988&lt;/Year&gt;&lt;RecNum&gt;47&lt;/RecNum&gt;&lt;Pages&gt;156&lt;/Pages&gt;&lt;DisplayText&gt;Ibid., 156.&lt;/DisplayText&gt;&lt;record&gt;&lt;rec-number&gt;47&lt;/rec-number&gt;&lt;foreign-keys&gt;&lt;key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156.</w:t>
      </w:r>
      <w:r w:rsidR="00AA2A48" w:rsidRPr="00DA6BE4">
        <w:rPr>
          <w:rFonts w:ascii="Times New Roman" w:hAnsi="Times New Roman" w:cs="Times New Roman"/>
        </w:rPr>
        <w:fldChar w:fldCharType="end"/>
      </w:r>
    </w:p>
  </w:footnote>
  <w:footnote w:id="11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AuthorYear="1"&gt;&lt;Author&gt;MacIntyre&lt;/Author&gt;&lt;Year&gt;1988&lt;/Year&gt;&lt;RecNum&gt;47&lt;/RecNum&gt;&lt;Pages&gt;154-155&lt;/Pages&gt;&lt;DisplayText&gt;Ibid., 154-155.&lt;/DisplayText&gt;&lt;record&gt;&lt;rec-number&gt;47&lt;/rec-number&gt;&lt;foreign-keys&gt;&lt;key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154-155.</w:t>
      </w:r>
      <w:r w:rsidR="00AA2A48" w:rsidRPr="00DA6BE4">
        <w:rPr>
          <w:rFonts w:ascii="Times New Roman" w:hAnsi="Times New Roman" w:cs="Times New Roman"/>
        </w:rPr>
        <w:fldChar w:fldCharType="end"/>
      </w:r>
    </w:p>
  </w:footnote>
  <w:footnote w:id="11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AuthorYear="1"&gt;&lt;Author&gt;MacIntyre&lt;/Author&gt;&lt;Year&gt;1988&lt;/Year&gt;&lt;RecNum&gt;47&lt;/RecNum&gt;&lt;Pages&gt;156&lt;/Pages&gt;&lt;DisplayText&gt;Ibid., 156.&lt;/DisplayText&gt;&lt;record&gt;&lt;rec-number&gt;47&lt;/rec-number&gt;&lt;foreign-keys&gt;&lt;key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156.</w:t>
      </w:r>
      <w:r w:rsidR="00AA2A48" w:rsidRPr="00DA6BE4">
        <w:rPr>
          <w:rFonts w:ascii="Times New Roman" w:hAnsi="Times New Roman" w:cs="Times New Roman"/>
        </w:rPr>
        <w:fldChar w:fldCharType="end"/>
      </w:r>
    </w:p>
  </w:footnote>
  <w:footnote w:id="11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AuthorYear="1"&gt;&lt;Author&gt;MacIntyre&lt;/Author&gt;&lt;Year&gt;1988&lt;/Year&gt;&lt;RecNum&gt;47&lt;/RecNum&gt;&lt;DisplayText&gt;Ibid.&lt;/DisplayText&gt;&lt;record&gt;&lt;rec-number&gt;47&lt;/rec-number&gt;&lt;foreign-keys&gt;&lt;key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11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AuthorYear="1"&gt;&lt;Author&gt;MacIntyre&lt;/Author&gt;&lt;Year&gt;1988&lt;/Year&gt;&lt;RecNum&gt;47&lt;/RecNum&gt;&lt;Pages&gt;158&lt;/Pages&gt;&lt;DisplayText&gt;Ibid., 158.&lt;/DisplayText&gt;&lt;record&gt;&lt;rec-number&gt;47&lt;/rec-number&gt;&lt;foreign-keys&gt;&lt;key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158.</w:t>
      </w:r>
      <w:r w:rsidR="00AA2A48" w:rsidRPr="00DA6BE4">
        <w:rPr>
          <w:rFonts w:ascii="Times New Roman" w:hAnsi="Times New Roman" w:cs="Times New Roman"/>
        </w:rPr>
        <w:fldChar w:fldCharType="end"/>
      </w:r>
    </w:p>
  </w:footnote>
  <w:footnote w:id="12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AuthorYear="1"&gt;&lt;Author&gt;MacIntyre&lt;/Author&gt;&lt;Year&gt;1988&lt;/Year&gt;&lt;RecNum&gt;47&lt;/RecNum&gt;&lt;Pages&gt;160&lt;/Pages&gt;&lt;DisplayText&gt;Ibid., 160.&lt;/DisplayText&gt;&lt;record&gt;&lt;rec-number&gt;47&lt;/rec-number&gt;&lt;foreign-keys&gt;&lt;key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160.</w:t>
      </w:r>
      <w:r w:rsidR="00AA2A48" w:rsidRPr="00DA6BE4">
        <w:rPr>
          <w:rFonts w:ascii="Times New Roman" w:hAnsi="Times New Roman" w:cs="Times New Roman"/>
        </w:rPr>
        <w:fldChar w:fldCharType="end"/>
      </w:r>
    </w:p>
  </w:footnote>
  <w:footnote w:id="12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AuthorYear="1"&gt;&lt;Author&gt;MacIntyre&lt;/Author&gt;&lt;Year&gt;1988&lt;/Year&gt;&lt;RecNum&gt;47&lt;/RecNum&gt;&lt;Pages&gt;166-167&lt;/Pages&gt;&lt;DisplayText&gt;Ibid., 166-167.&lt;/DisplayText&gt;&lt;record&gt;&lt;rec-number&gt;47&lt;/rec-number&gt;&lt;foreign-keys&gt;&lt;key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166-167.</w:t>
      </w:r>
      <w:r w:rsidR="00AA2A48" w:rsidRPr="00DA6BE4">
        <w:rPr>
          <w:rFonts w:ascii="Times New Roman" w:hAnsi="Times New Roman" w:cs="Times New Roman"/>
        </w:rPr>
        <w:fldChar w:fldCharType="end"/>
      </w:r>
    </w:p>
  </w:footnote>
  <w:footnote w:id="12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AuthorYear="1"&gt;&lt;Author&gt;MacIntyre&lt;/Author&gt;&lt;Year&gt;1988&lt;/Year&gt;&lt;RecNum&gt;47&lt;/RecNum&gt;&lt;Pages&gt;167&lt;/Pages&gt;&lt;DisplayText&gt;Ibid., 167.&lt;/DisplayText&gt;&lt;record&gt;&lt;rec-number&gt;47&lt;/rec-number&gt;&lt;foreign-keys&gt;&lt;key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167.</w:t>
      </w:r>
      <w:r w:rsidR="00AA2A48" w:rsidRPr="00DA6BE4">
        <w:rPr>
          <w:rFonts w:ascii="Times New Roman" w:hAnsi="Times New Roman" w:cs="Times New Roman"/>
        </w:rPr>
        <w:fldChar w:fldCharType="end"/>
      </w:r>
    </w:p>
  </w:footnote>
  <w:footnote w:id="12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AuthorYear="1"&gt;&lt;Author&gt;MacIntyre&lt;/Author&gt;&lt;Year&gt;1988&lt;/Year&gt;&lt;RecNum&gt;47&lt;/RecNum&gt;&lt;Pages&gt;172&lt;/Pages&gt;&lt;DisplayText&gt;Ibid., 172.&lt;/DisplayText&gt;&lt;record&gt;&lt;rec-number&gt;47&lt;/rec-number&gt;&lt;foreign-keys&gt;&lt;key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172.</w:t>
      </w:r>
      <w:r w:rsidR="00AA2A48" w:rsidRPr="00DA6BE4">
        <w:rPr>
          <w:rFonts w:ascii="Times New Roman" w:hAnsi="Times New Roman" w:cs="Times New Roman"/>
        </w:rPr>
        <w:fldChar w:fldCharType="end"/>
      </w:r>
    </w:p>
  </w:footnote>
  <w:footnote w:id="12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AuthorYear="1"&gt;&lt;Author&gt;MacIntyre&lt;/Author&gt;&lt;Year&gt;1988&lt;/Year&gt;&lt;RecNum&gt;47&lt;/RecNum&gt;&lt;Pages&gt;184-187&lt;/Pages&gt;&lt;DisplayText&gt;Ibid., 184-187.&lt;/DisplayText&gt;&lt;record&gt;&lt;rec-number&gt;47&lt;/rec-number&gt;&lt;foreign-keys&gt;&lt;key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184-187.</w:t>
      </w:r>
      <w:r w:rsidR="00AA2A48" w:rsidRPr="00DA6BE4">
        <w:rPr>
          <w:rFonts w:ascii="Times New Roman" w:hAnsi="Times New Roman" w:cs="Times New Roman"/>
        </w:rPr>
        <w:fldChar w:fldCharType="end"/>
      </w:r>
    </w:p>
  </w:footnote>
  <w:footnote w:id="12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AuthorYear="1"&gt;&lt;Author&gt;MacIntyre&lt;/Author&gt;&lt;Year&gt;1988&lt;/Year&gt;&lt;RecNum&gt;47&lt;/RecNum&gt;&lt;Pages&gt;188&lt;/Pages&gt;&lt;DisplayText&gt;Ibid., 188.&lt;/DisplayText&gt;&lt;record&gt;&lt;rec-number&gt;47&lt;/rec-number&gt;&lt;foreign-keys&gt;&lt;key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188.</w:t>
      </w:r>
      <w:r w:rsidR="00AA2A48" w:rsidRPr="00DA6BE4">
        <w:rPr>
          <w:rFonts w:ascii="Times New Roman" w:hAnsi="Times New Roman" w:cs="Times New Roman"/>
        </w:rPr>
        <w:fldChar w:fldCharType="end"/>
      </w:r>
    </w:p>
  </w:footnote>
  <w:footnote w:id="12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AuthorYear="1"&gt;&lt;Author&gt;MacIntyre&lt;/Author&gt;&lt;Year&gt;1988&lt;/Year&gt;&lt;RecNum&gt;47&lt;/RecNum&gt;&lt;Pages&gt;205&lt;/Pages&gt;&lt;DisplayText&gt;Ibid., 205.&lt;/DisplayText&gt;&lt;record&gt;&lt;rec-number&gt;47&lt;/rec-number&gt;&lt;foreign-keys&gt;&lt;key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205.</w:t>
      </w:r>
      <w:r w:rsidR="00AA2A48" w:rsidRPr="00DA6BE4">
        <w:rPr>
          <w:rFonts w:ascii="Times New Roman" w:hAnsi="Times New Roman" w:cs="Times New Roman"/>
        </w:rPr>
        <w:fldChar w:fldCharType="end"/>
      </w:r>
    </w:p>
  </w:footnote>
  <w:footnote w:id="12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AuthorYear="1"&gt;&lt;Author&gt;MacIntyre&lt;/Author&gt;&lt;Year&gt;1988&lt;/Year&gt;&lt;RecNum&gt;47&lt;/RecNum&gt;&lt;Pages&gt;10&lt;/Pages&gt;&lt;DisplayText&gt;Ibid., 10.&lt;/DisplayText&gt;&lt;record&gt;&lt;rec-number&gt;47&lt;/rec-number&gt;&lt;foreign-keys&gt;&lt;key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w:t>
      </w:r>
      <w:r w:rsidR="00AA2A48" w:rsidRPr="00DA6BE4">
        <w:rPr>
          <w:rFonts w:ascii="Times New Roman" w:hAnsi="Times New Roman" w:cs="Times New Roman"/>
        </w:rPr>
        <w:fldChar w:fldCharType="end"/>
      </w:r>
    </w:p>
  </w:footnote>
  <w:footnote w:id="12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AuthorYear="1"&gt;&lt;Author&gt;MacIntyre&lt;/Author&gt;&lt;Year&gt;1988&lt;/Year&gt;&lt;RecNum&gt;47&lt;/RecNum&gt;&lt;Pages&gt;334&lt;/Pages&gt;&lt;DisplayText&gt;Ibid., 334.&lt;/DisplayText&gt;&lt;record&gt;&lt;rec-number&gt;47&lt;/rec-number&gt;&lt;foreign-keys&gt;&lt;key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334.</w:t>
      </w:r>
      <w:r w:rsidR="00AA2A48" w:rsidRPr="00DA6BE4">
        <w:rPr>
          <w:rFonts w:ascii="Times New Roman" w:hAnsi="Times New Roman" w:cs="Times New Roman"/>
        </w:rPr>
        <w:fldChar w:fldCharType="end"/>
      </w:r>
    </w:p>
  </w:footnote>
  <w:footnote w:id="12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AuthorYear="1"&gt;&lt;Author&gt;MacIntyre&lt;/Author&gt;&lt;Year&gt;1988&lt;/Year&gt;&lt;RecNum&gt;47&lt;/RecNum&gt;&lt;Pages&gt;335-336&lt;/Pages&gt;&lt;DisplayText&gt;Ibid., 335-336.&lt;/DisplayText&gt;&lt;record&gt;&lt;rec-number&gt;47&lt;/rec-number&gt;&lt;foreign-keys&gt;&lt;key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335-336.</w:t>
      </w:r>
      <w:r w:rsidR="00AA2A48" w:rsidRPr="00DA6BE4">
        <w:rPr>
          <w:rFonts w:ascii="Times New Roman" w:hAnsi="Times New Roman" w:cs="Times New Roman"/>
        </w:rPr>
        <w:fldChar w:fldCharType="end"/>
      </w:r>
    </w:p>
  </w:footnote>
  <w:footnote w:id="13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AuthorYear="1"&gt;&lt;Author&gt;MacIntyre&lt;/Author&gt;&lt;Year&gt;1988&lt;/Year&gt;&lt;RecNum&gt;47&lt;/RecNum&gt;&lt;Pages&gt;336-339&lt;/Pages&gt;&lt;DisplayText&gt;Ibid., 336-339.&lt;/DisplayText&gt;&lt;record&gt;&lt;rec-number&gt;47&lt;/rec-number&gt;&lt;foreign-keys&gt;&lt;key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336-339.</w:t>
      </w:r>
      <w:r w:rsidR="00AA2A48" w:rsidRPr="00DA6BE4">
        <w:rPr>
          <w:rFonts w:ascii="Times New Roman" w:hAnsi="Times New Roman" w:cs="Times New Roman"/>
        </w:rPr>
        <w:fldChar w:fldCharType="end"/>
      </w:r>
    </w:p>
  </w:footnote>
  <w:footnote w:id="13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AuthorYear="1"&gt;&lt;Author&gt;MacIntyre&lt;/Author&gt;&lt;Year&gt;1988&lt;/Year&gt;&lt;RecNum&gt;47&lt;/RecNum&gt;&lt;Pages&gt;343-344&lt;/Pages&gt;&lt;DisplayText&gt;Ibid., 343-344.&lt;/DisplayText&gt;&lt;record&gt;&lt;rec-number&gt;47&lt;/rec-number&gt;&lt;foreign-keys&gt;&lt;key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343-344.</w:t>
      </w:r>
      <w:r w:rsidR="00AA2A48" w:rsidRPr="00DA6BE4">
        <w:rPr>
          <w:rFonts w:ascii="Times New Roman" w:hAnsi="Times New Roman" w:cs="Times New Roman"/>
        </w:rPr>
        <w:fldChar w:fldCharType="end"/>
      </w:r>
    </w:p>
  </w:footnote>
  <w:footnote w:id="13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AuthorYear="1"&gt;&lt;Author&gt;MacIntyre&lt;/Author&gt;&lt;Year&gt;1988&lt;/Year&gt;&lt;RecNum&gt;47&lt;/RecNum&gt;&lt;Pages&gt;346&lt;/Pages&gt;&lt;DisplayText&gt;Ibid., 346.&lt;/DisplayText&gt;&lt;record&gt;&lt;rec-number&gt;47&lt;/rec-number&gt;&lt;foreign-keys&gt;&lt;key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346.</w:t>
      </w:r>
      <w:r w:rsidR="00AA2A48" w:rsidRPr="00DA6BE4">
        <w:rPr>
          <w:rFonts w:ascii="Times New Roman" w:hAnsi="Times New Roman" w:cs="Times New Roman"/>
        </w:rPr>
        <w:fldChar w:fldCharType="end"/>
      </w:r>
    </w:p>
  </w:footnote>
  <w:footnote w:id="13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says claims that the conception of human being as a functional concept predated Aristotle’s work by quite some time;&lt;/Note&gt;&lt;DisplayText&gt;MacIntyre says claims that the conception of human being as a functional concept predated Aristotle’s work by quite some time;&lt;/DisplayText&gt;&lt;/Cite&gt;&lt;/EndNote&gt;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says claims that the conception of human being as a functional concept predated Aristotle’s work by quite some time;</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Pr="00DA6BE4">
        <w:rPr>
          <w:rFonts w:ascii="Times New Roman" w:hAnsi="Times New Roman" w:cs="Times New Roman"/>
          <w:i/>
        </w:rPr>
        <w:t>After Virtue</w:t>
      </w:r>
      <w:r w:rsidRPr="00DA6BE4">
        <w:rPr>
          <w:rFonts w:ascii="Times New Roman" w:hAnsi="Times New Roman" w:cs="Times New Roman"/>
        </w:rPr>
        <w:t>, pp. 58-59.</w:t>
      </w:r>
    </w:p>
  </w:footnote>
  <w:footnote w:id="13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AuthorYear="1"&gt;&lt;Author&gt;MacIntyre&lt;/Author&gt;&lt;Year&gt;1984&lt;/Year&gt;&lt;RecNum&gt;48&lt;/RecNum&gt;&lt;Pages&gt;147-148&lt;/Pages&gt;&lt;DisplayText&gt;MacIntyre, &lt;style face="italic"&gt;After Virtue&lt;/style&gt;, 147-148.&lt;/DisplayText&gt;&lt;record&gt;&lt;rec-number&gt;48&lt;/rec-number&gt;&lt;foreign-keys&gt;&lt;key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147-148.</w:t>
      </w:r>
      <w:r w:rsidR="00AA2A48" w:rsidRPr="00DA6BE4">
        <w:rPr>
          <w:rFonts w:ascii="Times New Roman" w:hAnsi="Times New Roman" w:cs="Times New Roman"/>
        </w:rPr>
        <w:fldChar w:fldCharType="end"/>
      </w:r>
    </w:p>
  </w:footnote>
  <w:footnote w:id="13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AuthorYear="1"&gt;&lt;Author&gt;MacIntyre&lt;/Author&gt;&lt;Year&gt;1988&lt;/Year&gt;&lt;RecNum&gt;47&lt;/RecNum&gt;&lt;Pages&gt;360&lt;/Pages&gt;&lt;DisplayText&gt;MacIntyre, &lt;style face="italic"&gt;Whose Justice? Which Rationality?&lt;/style&gt; , 360.&lt;/DisplayText&gt;&lt;record&gt;&lt;rec-number&gt;47&lt;/rec-number&gt;&lt;foreign-keys&gt;&lt;key app="EN" db-id="vxze0a2pwrt959ep2afxdw5cat595wt9sv95" timestamp="1443697266"&gt;47&lt;/key&gt;&lt;/foreign-keys&gt;&lt;ref-type name="Book"&gt;6&lt;/ref-type&gt;&lt;contributors&gt;&lt;authors&gt;&lt;author&gt;MacIntyre, Alasdair&lt;/author&gt;&lt;/authors&gt;&lt;/contributors&gt;&lt;titles&gt;&lt;title&gt;Whose Justice? Which Rationality?&lt;/title&gt;&lt;/titles&gt;&lt;pages&gt;xi, 410 p.&lt;/pages&gt;&lt;keywords&gt;&lt;keyword&gt;Justice (Philosophy) History.&lt;/keyword&gt;&lt;keyword&gt;Reason History.&lt;/keyword&gt;&lt;keyword&gt;Ethics History.&lt;/keyword&gt;&lt;/keywords&gt;&lt;dates&gt;&lt;year&gt;1988&lt;/year&gt;&lt;/dates&gt;&lt;pub-location&gt;Notre Dame, Indiana&lt;/pub-location&gt;&lt;publisher&gt;University of Notre Dame Press&lt;/publisher&gt;&lt;isbn&gt;0268019428&lt;/isbn&gt;&lt;accession-num&gt;1479567&lt;/accession-num&gt;&lt;call-num&gt;Jefferson or Adams Building Reading Rooms B105.J87 M33 1988&amp;#xD;Jefferson or Adams Building Reading Rooms - STORED OFFSITE B105.J87 M33 1988&lt;/call-num&gt;&lt;urls&gt;&lt;/urls&gt;&lt;/record&gt;&lt;/Cite&gt;&lt;/EndNote&gt;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Whose Justice? Which Rationality?</w:t>
      </w:r>
      <w:r w:rsidRPr="00DA6BE4">
        <w:rPr>
          <w:rFonts w:ascii="Times New Roman" w:hAnsi="Times New Roman" w:cs="Times New Roman"/>
          <w:noProof/>
        </w:rPr>
        <w:t xml:space="preserve"> , 360.</w:t>
      </w:r>
      <w:r w:rsidR="00AA2A48" w:rsidRPr="00DA6BE4">
        <w:rPr>
          <w:rFonts w:ascii="Times New Roman" w:hAnsi="Times New Roman" w:cs="Times New Roman"/>
        </w:rPr>
        <w:fldChar w:fldCharType="end"/>
      </w:r>
    </w:p>
  </w:footnote>
  <w:footnote w:id="13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&lt;EndNote&gt;&lt;Cite&gt;&lt;Author&gt;MacIntyre&lt;/Author&gt;&lt;Year&gt;1998&lt;/Year&gt;&lt;RecNum&gt;49&lt;/RecNum&gt;&lt;Pages&gt;Section V&lt;/Pages&gt;&lt;DisplayText&gt;Alasdair MacIntyre, &amp;quot;First Principles, Final Ends, and Contemporary Philosophical Issues,&amp;quot; in &lt;style face="italic"&gt;The Macintyre Reader&lt;/style&gt;, ed. Kelvin Knight (Cambridge, Oxford: Polity Press, 1998), Section V.&lt;/DisplayText&gt;&lt;record&gt;&lt;rec-number&gt;49&lt;/rec-number&gt;&lt;foreign-keys&gt;&lt;key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"First Principles, Final Ends, and Contemporary Philosophical Issues," in </w:t>
      </w:r>
      <w:r w:rsidRPr="00DA6BE4">
        <w:rPr>
          <w:rFonts w:ascii="Times New Roman" w:hAnsi="Times New Roman" w:cs="Times New Roman"/>
          <w:i/>
          <w:noProof/>
        </w:rPr>
        <w:t>The Macintyre Reader</w:t>
      </w:r>
      <w:r w:rsidRPr="00DA6BE4">
        <w:rPr>
          <w:rFonts w:ascii="Times New Roman" w:hAnsi="Times New Roman" w:cs="Times New Roman"/>
          <w:noProof/>
        </w:rPr>
        <w:t>, ed. Kelvin Knight (Cambridge, Oxford: Polity Press, 1998), Section V.</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accepts that Aristotelian-Thomism, and especially, the teleology associated with that tradition, was indeed displaced or otherwise marginalised.&lt;/Note&gt;&lt;DisplayText&gt;MacIntyre accepts that Aristotelian-Thomism, and especially, the teleology associated with that tradition, was indeed displaced or otherwise marginalised.&lt;/DisplayText&gt;&lt;/Cite&gt;&lt;/EndNote&gt;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accepts that Aristotelian-Thomism, and especially, the teleology associated with that tradition, was indeed displaced or otherwise marginalised.</w:t>
      </w:r>
      <w:r w:rsidR="00AA2A48" w:rsidRPr="00DA6BE4">
        <w:rPr>
          <w:rFonts w:ascii="Times New Roman" w:hAnsi="Times New Roman" w:cs="Times New Roman"/>
        </w:rPr>
        <w:fldChar w:fldCharType="end"/>
      </w:r>
    </w:p>
  </w:footnote>
  <w:footnote w:id="13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&lt;EndNote&gt;&lt;Cite&gt;&lt;RecNum&gt;0&lt;/RecNum&gt;&lt;Note&gt;The prominent example that MacIntyre offers in After Virtue is Aristotle’s ethics. Aristotle was able to formulate an ethics that on MacIntyre’s view offered a resolution to the radical disagreement between the various rival and incompatible views, advanced by the 4th-5th century Greek tragedians and philosophers. Also recall that these disagreements emerged owing to the difficulties in reconciling Homeric ethics within the new social context of 4th-5th century Athens.&lt;/Note&gt;&lt;DisplayText&gt;The prominent example that MacIntyre offers in After Virtue is Aristotle’s ethics. Aristotle was able to formulate an ethics that on MacIntyre’s view offered a resolution to the radical disagreement between the various rival and incompatible views, advanced by the 4th-5th century Greek tragedians and philosophers. Also recall that these disagreements emerged owing to the difficulties in reconciling Homeric ethics within the new social context of 4th-5th century Athens.&lt;/DisplayText&gt;&lt;/Cite&gt;&lt;/EndNote&gt;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The prominent example that MacIntyre offers in </w:t>
      </w:r>
      <w:r w:rsidRPr="00DA6BE4">
        <w:rPr>
          <w:rFonts w:ascii="Times New Roman" w:hAnsi="Times New Roman" w:cs="Times New Roman"/>
          <w:i/>
          <w:noProof/>
        </w:rPr>
        <w:t>After Virtue</w:t>
      </w:r>
      <w:r w:rsidRPr="00DA6BE4">
        <w:rPr>
          <w:rFonts w:ascii="Times New Roman" w:hAnsi="Times New Roman" w:cs="Times New Roman"/>
          <w:noProof/>
        </w:rPr>
        <w:t xml:space="preserve"> is Aristotle’s ethics. Aristotle was able to formulate an ethics that on MacIntyre’s view offered a resolution to the radical disagreement between the various rival and incompatible views, advanced by the 4th-5th century Greek tragedians and philosophers. Also recall that these disagreements emerged owing to the difficulties in reconciling Homeric ethics within the new social context of 4th-5th century Athens.</w:t>
      </w:r>
      <w:r w:rsidR="00AA2A48" w:rsidRPr="00DA6BE4">
        <w:rPr>
          <w:rFonts w:ascii="Times New Roman" w:hAnsi="Times New Roman" w:cs="Times New Roman"/>
        </w:rPr>
        <w:fldChar w:fldCharType="end"/>
      </w:r>
    </w:p>
  </w:footnote>
  <w:footnote w:id="138">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note that in </w:t>
      </w:r>
      <w:r w:rsidRPr="00DA6BE4">
        <w:rPr>
          <w:rFonts w:ascii="Times New Roman" w:hAnsi="Times New Roman" w:cs="Times New Roman"/>
          <w:i/>
        </w:rPr>
        <w:t>Secularisation and Moral Change</w:t>
      </w:r>
      <w:r w:rsidRPr="00DA6BE4">
        <w:rPr>
          <w:rFonts w:ascii="Times New Roman" w:hAnsi="Times New Roman" w:cs="Times New Roman"/>
        </w:rPr>
        <w:t xml:space="preserve">, in considering the changes experienced by English society, MacIntyre argues in fact that substantive changes to material conditionals can in fact usher in social change, and later changes to a society’s moral framework. Here MacIntyre seems to argue that a moral framework can change as a result of material-social change as opposed to rational/intellectual progress which </w:t>
      </w:r>
      <w:proofErr w:type="spellStart"/>
      <w:r w:rsidRPr="00DA6BE4">
        <w:rPr>
          <w:rFonts w:ascii="Times New Roman" w:hAnsi="Times New Roman" w:cs="Times New Roman"/>
        </w:rPr>
        <w:t>problematizes</w:t>
      </w:r>
      <w:proofErr w:type="spellEnd"/>
      <w:r w:rsidRPr="00DA6BE4">
        <w:rPr>
          <w:rFonts w:ascii="Times New Roman" w:hAnsi="Times New Roman" w:cs="Times New Roman"/>
        </w:rPr>
        <w:t xml:space="preserve"> an earlier moral framework (or tradition).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&lt;EndNote&gt;&lt;Cite&gt;&lt;Author&gt;MacIntyre&lt;/Author&gt;&lt;Year&gt;1967&lt;/Year&gt;&lt;RecNum&gt;170&lt;/RecNum&gt;&lt;DisplayText&gt;Alasdair MacIntyre, &lt;style face="italic"&gt;Secularisation and Moral Change&lt;/style&gt; (London: Oxford University Press, 1967).&lt;/DisplayText&gt;&lt;record&gt;&lt;rec-number&gt;170&lt;/rec-number&gt;&lt;foreign-keys&gt;&lt;key app="EN" db-id="vxze0a2pwrt959ep2afxdw5cat595wt9sv95" timestamp="1525056837"&gt;170&lt;/key&gt;&lt;/foreign-keys&gt;&lt;ref-type name="Book"&gt;6&lt;/ref-type&gt;&lt;contributors&gt;&lt;authors&gt;&lt;author&gt;MacIntyre, Alasdair&lt;/author&gt;&lt;/authors&gt;&lt;/contributors&gt;&lt;titles&gt;&lt;title&gt;Secularisation and Moral Change&lt;/title&gt;&lt;/titles&gt;&lt;section&gt;76&lt;/section&gt;&lt;dates&gt;&lt;year&gt;1967&lt;/year&gt;&lt;/dates&gt;&lt;pub-location&gt;London&lt;/pub-location&gt;&lt;publisher&gt;Oxford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Secularisation and Moral Change</w:t>
      </w:r>
      <w:r w:rsidRPr="00DA6BE4">
        <w:rPr>
          <w:rFonts w:ascii="Times New Roman" w:hAnsi="Times New Roman" w:cs="Times New Roman"/>
          <w:noProof/>
        </w:rPr>
        <w:t xml:space="preserve"> (London: Oxford University Press, 1967).</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&lt;EndNote&gt;&lt;Cite&gt;&lt;Author&gt;MacIntyre&lt;/Author&gt;&lt;Year&gt;1964&lt;/Year&gt;&lt;RecNum&gt;168&lt;/RecNum&gt;&lt;Pages&gt;115-133&lt;/Pages&gt;&lt;DisplayText&gt;Alasdair MacIntyre, &amp;quot;Is Understanding Religion Compatible with Believing?,&amp;quot; in &lt;style face="italic"&gt;Faith and the Philosophers&lt;/style&gt;, ed. John Hick (London Palgrave Macmillan, 1964), 115-133.&lt;/DisplayText&gt;&lt;record&gt;&lt;rec-number&gt;168&lt;/rec-number&gt;&lt;foreign-keys&gt;&lt;key app="EN" db-id="vxze0a2pwrt959ep2afxdw5cat595wt9sv95" timestamp="1525056317"&gt;168&lt;/key&gt;&lt;/foreign-keys&gt;&lt;ref-type name="Book Section"&gt;5&lt;/ref-type&gt;&lt;contributors&gt;&lt;authors&gt;&lt;author&gt;MacIntyre, Alasdair&lt;/author&gt;&lt;/authors&gt;&lt;secondary-authors&gt;&lt;author&gt;Hick, John&lt;/author&gt;&lt;/secondary-authors&gt;&lt;/contributors&gt;&lt;titles&gt;&lt;title&gt;Is Understanding Religion Compatible with Believing?&lt;/title&gt;&lt;secondary-title&gt;Faith and the Philosophers&lt;/secondary-title&gt;&lt;/titles&gt;&lt;pages&gt;115-133&lt;/pages&gt;&lt;dates&gt;&lt;year&gt;1964&lt;/year&gt;&lt;/dates&gt;&lt;pub-location&gt;London &lt;/pub-location&gt;&lt;publisher&gt;Palgrave Macmillan&lt;/publisher&gt;&lt;urls&gt;&lt;/urls&gt;&lt;/record&gt;&lt;/Cite&gt;&lt;/EndNote&gt;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"Is Understanding Religion Compatible with Believing?," in </w:t>
      </w:r>
      <w:r w:rsidRPr="00621A3F">
        <w:rPr>
          <w:rFonts w:ascii="Times New Roman" w:hAnsi="Times New Roman" w:cs="Times New Roman"/>
          <w:i/>
          <w:noProof/>
        </w:rPr>
        <w:t>Faith and the Philosophers</w:t>
      </w:r>
      <w:r>
        <w:rPr>
          <w:rFonts w:ascii="Times New Roman" w:hAnsi="Times New Roman" w:cs="Times New Roman"/>
          <w:noProof/>
        </w:rPr>
        <w:t>, ed. John Hick (London Palgrave Macmillan, 1964), 115-133.</w:t>
      </w:r>
      <w:r w:rsidR="00AA2A48" w:rsidRPr="00DA6BE4">
        <w:rPr>
          <w:rFonts w:ascii="Times New Roman" w:hAnsi="Times New Roman" w:cs="Times New Roman"/>
        </w:rPr>
        <w:fldChar w:fldCharType="end"/>
      </w:r>
    </w:p>
  </w:footnote>
  <w:footnote w:id="13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say that MacIntyre can offer an initial response. MacIntyre could claim that Aristotelian-Thomism possesses Augustinian resources to offer a conception of flourishing for humanity as such and not just humanity within a particular context, for examples the polis. Nevertheless, I think that this kind of response isn’t ultimately enough. First, it is my contention that such a move will weaken MacIntyre’s historicism and contextualism to such a degree where it is not entirely clear how we can tie together his various commitments that are underwritten by his historicist-contextualist thesis. Second, if debates within modern morality, for example those between Kantians and the </w:t>
      </w:r>
      <w:proofErr w:type="spellStart"/>
      <w:r w:rsidRPr="00DA6BE4">
        <w:rPr>
          <w:rFonts w:ascii="Times New Roman" w:hAnsi="Times New Roman" w:cs="Times New Roman"/>
        </w:rPr>
        <w:t>Utilitarians</w:t>
      </w:r>
      <w:proofErr w:type="spellEnd"/>
      <w:r w:rsidRPr="00DA6BE4">
        <w:rPr>
          <w:rFonts w:ascii="Times New Roman" w:hAnsi="Times New Roman" w:cs="Times New Roman"/>
        </w:rPr>
        <w:t>, are caught up in a whole range of problems precisely because these positions for the most part ignore the historical and contextualist aspects of normative phenomena, it is not clear how MacIntyre can consistently maintain his criticism against those positions, while simultaneously reading Aristotelian-Thomism in this strong sense.</w:t>
      </w:r>
    </w:p>
  </w:footnote>
  <w:footnote w:id="14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AuthorYear="1"&gt;&lt;Author&gt;Hauerwas&lt;/Author&gt;&lt;Year&gt;2007&lt;/Year&gt;&lt;RecNum&gt;115&lt;/RecNum&gt;&lt;Pages&gt;38&lt;/Pages&gt;&lt;DisplayText&gt;Hauerwas, &amp;quot;The Virtues of Alasdair Macintyre,&amp;quot; 38.&lt;/DisplayText&gt;&lt;record&gt;&lt;rec-number&gt;115&lt;/rec-number&gt;&lt;foreign-keys&gt;&lt;key app="EN" db-id="vxze0a2pwrt959ep2afxdw5cat595wt9sv95" timestamp="1520733023"&gt;115&lt;/key&gt;&lt;/foreign-keys&gt;&lt;ref-type name="Journal Article"&gt;17&lt;/ref-type&gt;&lt;contributors&gt;&lt;authors&gt;&lt;author&gt;Hauerwas, Stanley&lt;/author&gt;&lt;/authors&gt;&lt;/contributors&gt;&lt;titles&gt;&lt;title&gt;The Virtues of Alasdair MacIntyre&lt;/title&gt;&lt;secondary-title&gt;First Things&lt;/secondary-title&gt;&lt;/titles&gt;&lt;periodical&gt;&lt;full-title&gt;First Things&lt;/full-title&gt;&lt;/periodical&gt;&lt;pages&gt;35-40&lt;/pages&gt;&lt;volume&gt;October&lt;/volume&gt;&lt;section&gt;35&lt;/section&gt;&lt;dates&gt;&lt;year&gt;2007&lt;/year&gt;&lt;/dates&gt;&lt;urls&gt;&lt;/urls&gt;&lt;/record&gt;&lt;/Cite&gt;&lt;/EndNote&gt;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Hauerwas, "The Virtues of Alasdair Macintyre," 38.</w:t>
      </w:r>
      <w:r w:rsidR="00AA2A48" w:rsidRPr="00DA6BE4">
        <w:rPr>
          <w:rFonts w:ascii="Times New Roman" w:hAnsi="Times New Roman" w:cs="Times New Roman"/>
        </w:rPr>
        <w:fldChar w:fldCharType="end"/>
      </w:r>
    </w:p>
  </w:footnote>
  <w:footnote w:id="14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&lt;EndNote&gt;&lt;Cite&gt;&lt;RecNum&gt;0&lt;/RecNum&gt;&lt;Note&gt;For example, in the context of new and productive modes of inquiry, perhaps a number of intellectual problems emerged when it came to reconciling the metaphysical aspects of Aristotelian-Thomistic ethics with these new modes.&lt;/Note&gt;&lt;DisplayText&gt;For example, in the context of new and productive modes of inquiry, perhaps a number of intellectual problems emerged when it came to reconciling the metaphysical aspects of Aristotelian-Thomistic ethics with these new modes.&lt;/DisplayText&gt;&lt;/Cite&gt;&lt;/EndNote&gt;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For example, in the context of new and productive modes of inquiry, perhaps a number of intellectual problems emerged when it came to reconciling the metaphysical aspects of Aristotelian-Thomistic ethics with these new modes.</w:t>
      </w:r>
      <w:r w:rsidR="00AA2A48" w:rsidRPr="00DA6BE4">
        <w:rPr>
          <w:rFonts w:ascii="Times New Roman" w:hAnsi="Times New Roman" w:cs="Times New Roman"/>
        </w:rPr>
        <w:fldChar w:fldCharType="end"/>
      </w:r>
    </w:p>
  </w:footnote>
  <w:footnote w:id="14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&lt;EndNote&gt;&lt;Cite&gt;&lt;RecNum&gt;0&lt;/RecNum&gt;&lt;Note&gt;The transformation of European society could have generated new a number of social/normative problems. Moreover, on MacIntyre’s view, moral inquiry always takes place in the background of particular social context and particular social practices. It is perhaps plausible to argue that the social transformation of European societies raised a new set of problems, and that Aristotelian-Thomism was perhaps ill equipped to offer a satisfactory resolution to them.&lt;/Note&gt;&lt;DisplayText&gt;The transformation of European society could have generated new a number of social/normative problems. Moreover, on MacIntyre’s view, moral inquiry always takes place in the background of particular social context and particular social practices. It is perhaps plausible to argue that the social transformation of European societies raised a new set of problems, and that Aristotelian-Thomism was perhaps ill equipped to offer a satisfactory resolution to them.&lt;/DisplayText&gt;&lt;/Cite&gt;&lt;/EndNote&gt;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The transformation of European society could have generated new a number of social/normative problems. Moreover, on MacIntyre’s view, moral inquiry always takes place in the background of particular social context and particular social practices. It is perhaps plausible to argue that the social transformation of European societies raised a new set of problems, and that Aristotelian-Thomism was perhaps ill equipped to offer a satisfactory resolution to them.</w:t>
      </w:r>
      <w:r w:rsidR="00AA2A48" w:rsidRPr="00DA6BE4">
        <w:rPr>
          <w:rFonts w:ascii="Times New Roman" w:hAnsi="Times New Roman" w:cs="Times New Roman"/>
        </w:rPr>
        <w:fldChar w:fldCharType="end"/>
      </w:r>
    </w:p>
  </w:footnote>
  <w:footnote w:id="14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Part of MacIntyre’s effort in </w:t>
      </w:r>
      <w:r w:rsidRPr="00DA6BE4">
        <w:rPr>
          <w:rFonts w:ascii="Times New Roman" w:hAnsi="Times New Roman" w:cs="Times New Roman"/>
          <w:i/>
        </w:rPr>
        <w:t>After Virtue</w:t>
      </w:r>
      <w:r w:rsidRPr="00DA6BE4">
        <w:rPr>
          <w:rFonts w:ascii="Times New Roman" w:hAnsi="Times New Roman" w:cs="Times New Roman"/>
        </w:rPr>
        <w:t xml:space="preserve"> and </w:t>
      </w:r>
      <w:r w:rsidRPr="00DA6BE4">
        <w:rPr>
          <w:rFonts w:ascii="Times New Roman" w:hAnsi="Times New Roman" w:cs="Times New Roman"/>
          <w:i/>
        </w:rPr>
        <w:t>Whose Justice</w:t>
      </w:r>
      <w:r w:rsidRPr="00DA6BE4">
        <w:rPr>
          <w:rFonts w:ascii="Times New Roman" w:hAnsi="Times New Roman" w:cs="Times New Roman"/>
        </w:rPr>
        <w:t xml:space="preserve"> can be construed as a demonstration of a number of historical contingencies surrounding the loss of certain modes of thinking with respect to ethics.</w:t>
      </w:r>
    </w:p>
  </w:footnote>
  <w:footnote w:id="14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fldData xml:space="preserve">PEVuZE5vdGU+PENpdGU+PFJlY051bT4wPC9SZWNOdW0+PE5vdGU+SW4gQ2hhcHRlciBPbmUgSSBw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</w:fldData>
        </w:fldChar>
      </w:r>
      <w:r w:rsidRPr="00DA6BE4">
        <w:rPr>
          <w:rFonts w:ascii="Times New Roman" w:hAnsi="Times New Roman" w:cs="Times New Roman"/>
        </w:rPr>
        <w:instrText xml:space="preserve"> ADDIN EN.CITE </w:instrText>
      </w:r>
      <w:r w:rsidR="00AA2A48" w:rsidRPr="00DA6BE4">
        <w:rPr>
          <w:rFonts w:ascii="Times New Roman" w:hAnsi="Times New Roman" w:cs="Times New Roman"/>
        </w:rPr>
        <w:fldChar w:fldCharType="begin">
          <w:fldData xml:space="preserve">PEVuZE5vdGU+PENpdGU+PFJlY051bT4wPC9SZWNOdW0+PE5vdGU+SW4gQ2hhcHRlciBPbmUgSSBw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</w:fldData>
        </w:fldChar>
      </w:r>
      <w:r w:rsidRPr="00DA6BE4">
        <w:rPr>
          <w:rFonts w:ascii="Times New Roman" w:hAnsi="Times New Roman" w:cs="Times New Roman"/>
        </w:rPr>
        <w:instrText xml:space="preserve"> ADDIN EN.CITE.DATA </w:instrText>
      </w:r>
      <w:r w:rsidR="00AA2A48" w:rsidRPr="00DA6BE4">
        <w:rPr>
          <w:rFonts w:ascii="Times New Roman" w:hAnsi="Times New Roman" w:cs="Times New Roman"/>
        </w:rPr>
      </w:r>
      <w:r w:rsidR="00AA2A48" w:rsidRPr="00DA6BE4">
        <w:rPr>
          <w:rFonts w:ascii="Times New Roman" w:hAnsi="Times New Roman" w:cs="Times New Roman"/>
        </w:rPr>
        <w:fldChar w:fldCharType="end"/>
      </w:r>
      <w:r w:rsidR="00AA2A48" w:rsidRPr="00DA6BE4">
        <w:rPr>
          <w:rFonts w:ascii="Times New Roman" w:hAnsi="Times New Roman" w:cs="Times New Roman"/>
        </w:rPr>
      </w:r>
      <w:r w:rsidR="00AA2A48" w:rsidRPr="00DA6BE4">
        <w:rPr>
          <w:rFonts w:ascii="Times New Roman" w:hAnsi="Times New Roman" w:cs="Times New Roman"/>
        </w:rPr>
        <w:fldChar w:fldCharType="separate"/>
      </w:r>
      <w:r w:rsidRPr="00DA6BE4">
        <w:rPr>
          <w:rFonts w:ascii="Times New Roman" w:hAnsi="Times New Roman" w:cs="Times New Roman"/>
          <w:noProof/>
        </w:rPr>
        <w:t>In Chapter One I presented five hypotheses which I attributed to MacIntyre. Those hypotheses were (H1): ‘we can only make sense of theoretical claims within the context of some background social structure or context’; (H2): ‘emotivist theories emerge under conditions of liberalism and pluralism’; (H3): ‘the change in the Hellenic social structure from the earlier Heroic period, to that of 4th-5th century BCE Athens, was precipitated by the historical transition which gradually dissolved and transformed the social bonds and practices of the earlier period’; (H4): ‘that social change in the intervening period from Heroic Society to 4th-5th century BCE Athens had generated the sort of conditions where the incompatibility between the goods of excellence and goods of winning more and more become acknowledged in conceptual terms.’; (H5): ‘traditions of moral inquiry must be evaluated dialectically, where later traditions transcend the limitations present in earlier ones, and that the Aristotelian-Thomistic tradition hasn’t really been surpassed or defeated in this sense’.</w:t>
      </w:r>
      <w:r w:rsidR="00AA2A48" w:rsidRPr="00DA6BE4">
        <w:rPr>
          <w:rFonts w:ascii="Times New Roman" w:hAnsi="Times New Roman" w:cs="Times New Roman"/>
        </w:rPr>
        <w:fldChar w:fldCharType="end"/>
      </w:r>
    </w:p>
  </w:footnote>
  <w:footnote w:id="14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&lt;EndNote&gt;&lt;Cite&gt;&lt;RecNum&gt;0&lt;/RecNum&gt;&lt;Note&gt;See Chapter One where I quote MacIntyre’s definition of ‘the Good’. MacIntyre closely connects social practices to the virtues via the internal goods of practices. This ensures a close connection between particular social-cum-historical practices and the internal ethical goods from which the virtues emerge. In addition, MacIntyre argues for an historical-contextualist position such as when he suggests that the good of the Athenian general is different than the good of the 17th century farmer.&lt;/Note&gt;&lt;DisplayText&gt;See Chapter One where I quote MacIntyre’s definition of ‘the Good’. MacIntyre closely connects social practices to the virtues via the internal goods of practices. This ensures a close connection between particular social-cum-historical practices and the internal ethical goods from which the virtues emerge. In addition, MacIntyre argues for an historical-contextualist position such as when he suggests that the good of the Athenian general is different than the good of the 17th century farmer.&lt;/DisplayText&gt;&lt;/Cite&gt;&lt;/EndNote&gt;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See Chapter One where I quote MacIntyre’s definition of ‘the Good’. MacIntyre closely connects social practices to the virtues via the internal goods of practices. This ensures a close connection between particular social-cum-historical practices and the internal ethical goods from which the virtues emerge. In addition, MacIntyre argues for an historical-contextualist position such as when he suggests that the good of the Athenian general is different than the good of the 17th century farmer.</w:t>
      </w:r>
      <w:r w:rsidR="00AA2A48" w:rsidRPr="00DA6BE4">
        <w:rPr>
          <w:rFonts w:ascii="Times New Roman" w:hAnsi="Times New Roman" w:cs="Times New Roman"/>
        </w:rPr>
        <w:fldChar w:fldCharType="end"/>
      </w:r>
    </w:p>
  </w:footnote>
  <w:footnote w:id="14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the Appendix or Chapter One: hypothesis (H1).</w:t>
      </w:r>
    </w:p>
  </w:footnote>
  <w:footnote w:id="14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AuthorYear="1"&gt;&lt;Author&gt;Bernstein&lt;/Author&gt;&lt;Year&gt;1984&lt;/Year&gt;&lt;RecNum&gt;23&lt;/RecNum&gt;&lt;Prefix&gt;Bernstein argues that MacIntyre needs a metaphysical biology with a substantive account of human nature and the human good available in the Aristotelian tradition. See &lt;/Prefix&gt;&lt;DisplayText&gt;Bernstein argues that MacIntyre needs a metaphysical biology with a substantive account of human nature and the human good available in the Aristotelian tradition. See Bernstein, &amp;quot;Nietzsche or Aristotle?: Reflections on Alasdair Macintyre&amp;apos;s &amp;quot;after Virtue&amp;quot;.&amp;quot;&lt;/DisplayText&gt;&lt;record&gt;&lt;rec-number&gt;23&lt;/rec-number&gt;&lt;foreign-keys&gt;&lt;key app="EN" db-id="vxze0a2pwrt959ep2afxdw5cat595wt9sv95" timestamp="1443692569"&gt;23&lt;/key&gt;&lt;/foreign-keys&gt;&lt;ref-type name="Journal Article"&gt;17&lt;/ref-type&gt;&lt;contributors&gt;&lt;authors&gt;&lt;author&gt;Bernstein, Richard J.&lt;/author&gt;&lt;/authors&gt;&lt;/contributors&gt;&lt;titles&gt;&lt;title&gt;NIETZSCHE OR ARISTOTLE?: Reflections on Alasdair MacIntyre&amp;apos;s &amp;quot;After Virtue&amp;quot;&lt;/title&gt;&lt;secondary-title&gt;Soundings: An Interdisciplinary Journal&lt;/secondary-title&gt;&lt;/titles&gt;&lt;periodical&gt;&lt;full-title&gt;Soundings: An Interdisciplinary Journal&lt;/full-title&gt;&lt;/periodical&gt;&lt;pages&gt;6-29&lt;/pages&gt;&lt;volume&gt;67&lt;/volume&gt;&lt;number&gt;1&lt;/number&gt;&lt;dates&gt;&lt;year&gt;1984&lt;/year&gt;&lt;/dates&gt;&lt;publisher&gt;Penn State University Press&lt;/publisher&gt;&lt;isbn&gt;00381861&lt;/isbn&gt;&lt;urls&gt;&lt;related-urls&gt;&lt;url&gt;http://www.jstor.org/stable/41178281&lt;/url&gt;&lt;/related-urls&gt;&lt;/urls&gt;&lt;electronic-resource-num&gt;10.2307/41178281&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Bernstein argues that MacIntyre needs a metaphysical biology with a substantive account of human nature and the human good available in the Aristotelian tradition. See Bernstein, "Nietzsche or Aristotle?: Reflections on Alasdair Macintyre's "after Virtue"."</w:t>
      </w:r>
      <w:r w:rsidR="00AA2A48" w:rsidRPr="00DA6BE4">
        <w:rPr>
          <w:rFonts w:ascii="Times New Roman" w:hAnsi="Times New Roman" w:cs="Times New Roman"/>
        </w:rPr>
        <w:fldChar w:fldCharType="end"/>
      </w:r>
    </w:p>
  </w:footnote>
  <w:footnote w:id="14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&lt;EndNote&gt;&lt;Cite&gt;&lt;RecNum&gt;0&lt;/RecNum&gt;&lt;Note&gt;This worry is generated in part due to the potential for conflict between on the one hand MacIntyre’s third and fourth hypotheses H3/H4, and on the other, his fifth hypothesis H5.&lt;/Note&gt;&lt;DisplayText&gt;This worry is generated in part due to the potential for conflict between on the one hand MacIntyre’s third and fourth hypotheses H3/H4, and on the other, his fifth hypothesis H5.&lt;/DisplayText&gt;&lt;/Cite&gt;&lt;/EndNote&gt;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This worry is generated in part due to the potential for conflict between on the one hand MacIntyre’s third and fourth hypotheses H3/H4, and on the other, his fifth hypothesis H5.</w:t>
      </w:r>
      <w:r w:rsidR="00AA2A48" w:rsidRPr="00DA6BE4">
        <w:rPr>
          <w:rFonts w:ascii="Times New Roman" w:hAnsi="Times New Roman" w:cs="Times New Roman"/>
        </w:rPr>
        <w:fldChar w:fldCharType="end"/>
      </w:r>
    </w:p>
  </w:footnote>
  <w:footnote w:id="14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&lt;EndNote&gt;&lt;Cite&gt;&lt;RecNum&gt;0&lt;/RecNum&gt;&lt;Note&gt;An example of this sort of scenario is offered in MacIntyre’s account of Aristotle’s ethics. MacIntyre identifies Aristotle within the same tradition more or less that goes all the way back to Homer;&lt;/Note&gt;&lt;DisplayText&gt;An example of this sort of scenario is offered in MacIntyre’s account of Aristotle’s ethics. MacIntyre identifies Aristotle within the same tradition more or less that goes all the way back to Homer;&lt;/DisplayText&gt;&lt;/Cite&gt;&lt;/EndNote&gt;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An example of this sort of scenario is offered in MacIntyre’s account of Aristotle’s ethics. MacIntyre identifies Aristotle within the same tradition more or less that goes all the way back to Homer;</w:t>
      </w:r>
      <w:r w:rsidR="00AA2A48" w:rsidRPr="00DA6BE4">
        <w:rPr>
          <w:rFonts w:ascii="Times New Roman" w:hAnsi="Times New Roman" w:cs="Times New Roman"/>
        </w:rPr>
        <w:fldChar w:fldCharType="end"/>
      </w:r>
      <w:r w:rsidRPr="00DA6BE4">
        <w:rPr>
          <w:rFonts w:ascii="Times New Roman" w:hAnsi="Times New Roman" w:cs="Times New Roman"/>
        </w:rPr>
        <w:t xml:space="preserve"> see </w:t>
      </w:r>
      <w:r w:rsidRPr="00DA6BE4">
        <w:rPr>
          <w:rFonts w:ascii="Times New Roman" w:hAnsi="Times New Roman" w:cs="Times New Roman"/>
          <w:i/>
          <w:iCs/>
        </w:rPr>
        <w:t>After Virtue</w:t>
      </w:r>
      <w:r w:rsidRPr="00DA6BE4">
        <w:rPr>
          <w:rFonts w:ascii="Times New Roman" w:hAnsi="Times New Roman" w:cs="Times New Roman"/>
        </w:rPr>
        <w:t xml:space="preserve"> and </w:t>
      </w:r>
      <w:r w:rsidRPr="00DA6BE4">
        <w:rPr>
          <w:rFonts w:ascii="Times New Roman" w:hAnsi="Times New Roman" w:cs="Times New Roman"/>
          <w:i/>
          <w:iCs/>
        </w:rPr>
        <w:t>Whose Justice</w:t>
      </w:r>
      <w:r w:rsidRPr="00DA6BE4">
        <w:rPr>
          <w:rFonts w:ascii="Times New Roman" w:hAnsi="Times New Roman" w:cs="Times New Roman"/>
        </w:rPr>
        <w:t>.</w:t>
      </w:r>
    </w:p>
  </w:footnote>
  <w:footnote w:id="15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&lt;EndNote&gt;&lt;Cite&gt;&lt;RecNum&gt;0&lt;/RecNum&gt;&lt;Note&gt;An example of this is the Augustinian tradition when the breakdown of the polis renders Aristotle’s account defective; see my account of Whose Justice in Chapter One.&lt;/Note&gt;&lt;DisplayText&gt;An example of this is the Augustinian tradition when the breakdown of the polis renders Aristotle’s account defective; see my account of Whose Justice in Chapter One.&lt;/DisplayText&gt;&lt;/Cite&gt;&lt;/EndNote&gt;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An example of this is the Augustinian tradition when the breakdown of the polis renders Aristotle’s account defective; see my account of Whose Justice in Chapter One.</w:t>
      </w:r>
      <w:r w:rsidR="00AA2A48" w:rsidRPr="00DA6BE4">
        <w:rPr>
          <w:rFonts w:ascii="Times New Roman" w:hAnsi="Times New Roman" w:cs="Times New Roman"/>
        </w:rPr>
        <w:fldChar w:fldCharType="end"/>
      </w:r>
    </w:p>
  </w:footnote>
  <w:footnote w:id="15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&lt;EndNote&gt;&lt;Cite&gt;&lt;RecNum&gt;0&lt;/RecNum&gt;&lt;Note&gt;This aspect of progress is captured in MacIntyre’s fifth hypothesis H5.&lt;/Note&gt;&lt;DisplayText&gt;This aspect of progress is captured in MacIntyre’s fifth hypothesis H5.&lt;/DisplayText&gt;&lt;/Cite&gt;&lt;/EndNote&gt;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This aspect of progress is captured in MacIntyre’s fifth hypothesis H5.</w:t>
      </w:r>
      <w:r w:rsidR="00AA2A48" w:rsidRPr="00DA6BE4">
        <w:rPr>
          <w:rFonts w:ascii="Times New Roman" w:hAnsi="Times New Roman" w:cs="Times New Roman"/>
        </w:rPr>
        <w:fldChar w:fldCharType="end"/>
      </w:r>
    </w:p>
  </w:footnote>
  <w:footnote w:id="15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in his work in the philosophy of science has used examples from science; there, the influence of Thomas Kuhn amongst others is identifiable in his work.&lt;/Note&gt;&lt;DisplayText&gt;MacIntyre in his work in the philosophy of science has used examples from science; there, the influence of Thomas Kuhn amongst others is identifiable in his work.&lt;/DisplayText&gt;&lt;/Cite&gt;&lt;/EndNote&gt;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in his work in the philosophy of science has used examples from science; there, the influence of Thomas Kuhn amongst others is identifiable in his work.</w:t>
      </w:r>
      <w:r w:rsidR="00AA2A48" w:rsidRPr="00DA6BE4">
        <w:rPr>
          <w:rFonts w:ascii="Times New Roman" w:hAnsi="Times New Roman" w:cs="Times New Roman"/>
        </w:rPr>
        <w:fldChar w:fldCharType="end"/>
      </w:r>
    </w:p>
  </w:footnote>
  <w:footnote w:id="15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&lt;EndNote&gt;&lt;Cite&gt;&lt;Author&gt;Angier&lt;/Author&gt;&lt;Year&gt;2011&lt;/Year&gt;&lt;RecNum&gt;16&lt;/RecNum&gt;&lt;Prefix&gt;In a recent paper Tom Angier argues that MacIntyre’s account of tradition is best understood if it is situated in the Kuhnian framework. See &lt;/Prefix&gt;&lt;Pages&gt;540-572&lt;/Pages&gt;&lt;DisplayText&gt;In a recent paper Tom Angier argues that MacIntyre’s account of tradition is best understood if it is situated in the Kuhnian framework. See Tom Angier, &amp;quot;Alasdair Macintyre&amp;apos;s Analysis of Tradition,&amp;quot; &lt;style face="italic"&gt;European Journal of Philosophy&lt;/style&gt; 22, no. 4 (2011): 540-572.&lt;/DisplayText&gt;&lt;record&gt;&lt;rec-number&gt;16&lt;/rec-number&gt;&lt;foreign-keys&gt;&lt;key app="EN" db-id="vxze0a2pwrt959ep2afxdw5cat595wt9sv95" timestamp="1443692133"&gt;16&lt;/key&gt;&lt;/foreign-keys&gt;&lt;ref-type name="Journal Article"&gt;17&lt;/ref-type&gt;&lt;contributors&gt;&lt;authors&gt;&lt;author&gt;Angier, Tom&lt;/author&gt;&lt;/authors&gt;&lt;/contributors&gt;&lt;titles&gt;&lt;title&gt;Alasdair MacIntyre&amp;apos;s Analysis of Tradition&lt;/title&gt;&lt;secondary-title&gt;European Journal of Philosophy&lt;/secondary-title&gt;&lt;/titles&gt;&lt;periodical&gt;&lt;full-title&gt;European Journal of Philosophy&lt;/full-title&gt;&lt;/periodical&gt;&lt;pages&gt;540-572&lt;/pages&gt;&lt;volume&gt;22&lt;/volume&gt;&lt;number&gt;4&lt;/number&gt;&lt;dates&gt;&lt;year&gt;2011&lt;/year&gt;&lt;/dates&gt;&lt;isbn&gt;1468-0378&lt;/isbn&gt;&lt;urls&gt;&lt;related-urls&gt;&lt;url&gt;http://dx.doi.org/10.1111/j.1468-0378.2011.00505.x&lt;/url&gt;&lt;/related-urls&gt;&lt;/urls&gt;&lt;electronic-resource-num&gt;10.1111/j.1468-0378.2011.00505.x&lt;/electronic-resource-num&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In a recent paper Tom Angier argues that MacIntyre’s account of tradition is best understood if it is situated in the Kuhnian framework. See Tom Angier, "Alasdair Macintyre's Analysis of Tradition," </w:t>
      </w:r>
      <w:r w:rsidRPr="00BA4E7E">
        <w:rPr>
          <w:rFonts w:ascii="Times New Roman" w:hAnsi="Times New Roman" w:cs="Times New Roman"/>
          <w:i/>
          <w:noProof/>
        </w:rPr>
        <w:t>European Journal of Philosophy</w:t>
      </w:r>
      <w:r>
        <w:rPr>
          <w:rFonts w:ascii="Times New Roman" w:hAnsi="Times New Roman" w:cs="Times New Roman"/>
          <w:noProof/>
        </w:rPr>
        <w:t xml:space="preserve"> 22, no. 4 (2011): 540-572.</w:t>
      </w:r>
      <w:r w:rsidR="00AA2A48" w:rsidRPr="00DA6BE4">
        <w:rPr>
          <w:rFonts w:ascii="Times New Roman" w:hAnsi="Times New Roman" w:cs="Times New Roman"/>
        </w:rPr>
        <w:fldChar w:fldCharType="end"/>
      </w:r>
    </w:p>
  </w:footnote>
  <w:footnote w:id="15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&lt;EndNote&gt;&lt;Cite&gt;&lt;RecNum&gt;0&lt;/RecNum&gt;&lt;Note&gt;For the sake of simplicity in this example I will use scientific tradition instead of Kuhn’s term scientific paradigm used in his seminal work The Structure of Scientific Revolutions.&lt;/Note&gt;&lt;DisplayText&gt;For the sake of simplicity in this example I will use scientific tradition instead of Kuhn’s term scientific paradigm used in his seminal work The Structure of Scientific Revolutions.&lt;/DisplayText&gt;&lt;/Cite&gt;&lt;/EndNote&gt;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For the sake of simplicity in this example I will use scientific tradition instead of Kuhn’s term scientific paradigm used in his seminal work </w:t>
      </w:r>
      <w:r w:rsidRPr="00DA6BE4">
        <w:rPr>
          <w:rFonts w:ascii="Times New Roman" w:hAnsi="Times New Roman" w:cs="Times New Roman"/>
          <w:i/>
          <w:noProof/>
        </w:rPr>
        <w:t>The Structure of Scientific Revolutions</w:t>
      </w:r>
      <w:r w:rsidRPr="00DA6BE4">
        <w:rPr>
          <w:rFonts w:ascii="Times New Roman" w:hAnsi="Times New Roman" w:cs="Times New Roman"/>
          <w:noProof/>
        </w:rPr>
        <w:t>.</w:t>
      </w:r>
      <w:r w:rsidR="00AA2A48" w:rsidRPr="00DA6BE4">
        <w:rPr>
          <w:rFonts w:ascii="Times New Roman" w:hAnsi="Times New Roman" w:cs="Times New Roman"/>
        </w:rPr>
        <w:fldChar w:fldCharType="end"/>
      </w:r>
    </w:p>
  </w:footnote>
  <w:footnote w:id="15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&lt;EndNote&gt;&lt;Cite&gt;&lt;Author&gt;Stern&lt;/Author&gt;&lt;Year&gt;1994&lt;/Year&gt;&lt;RecNum&gt;118&lt;/RecNum&gt;&lt;Pages&gt;Chapter 8&lt;/Pages&gt;&lt;DisplayText&gt;Robert Stern, &amp;quot;Macintyre and Historicism,&amp;quot; in &lt;style face="italic"&gt;After Macintyre: Critical Perspectives on the Work of Alasdair Macintyre&lt;/style&gt;, ed. and Mendus Horton J., S. (University of Notre Dame Press, 1994), Chapter 8.&lt;/DisplayText&gt;&lt;record&gt;&lt;rec-number&gt;118&lt;/rec-number&gt;&lt;foreign-keys&gt;&lt;key app="EN" db-id="vxze0a2pwrt959ep2afxdw5cat595wt9sv95" timestamp="1520743612"&gt;118&lt;/key&gt;&lt;/foreign-keys&gt;&lt;ref-type name="Book Section"&gt;5&lt;/ref-type&gt;&lt;contributors&gt;&lt;authors&gt;&lt;author&gt;Stern, Robert&lt;/author&gt;&lt;/authors&gt;&lt;secondary-authors&gt;&lt;author&gt;Horton J., and Mendus, S.&lt;/author&gt;&lt;/secondary-authors&gt;&lt;/contributors&gt;&lt;titles&gt;&lt;title&gt;MacIntyre and Historicism&lt;/title&gt;&lt;secondary-title&gt;After MacIntyre: Critical Perspectives on the Work of Alasdair MacIntyre&lt;/secondary-title&gt;&lt;/titles&gt;&lt;dates&gt;&lt;year&gt;1994&lt;/year&gt;&lt;/dates&gt;&lt;publisher&gt;University of Notre Dame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Robert Stern, "Macintyre and Historicism," in </w:t>
      </w:r>
      <w:r w:rsidRPr="002E36DE">
        <w:rPr>
          <w:rFonts w:ascii="Times New Roman" w:hAnsi="Times New Roman" w:cs="Times New Roman"/>
          <w:i/>
          <w:noProof/>
        </w:rPr>
        <w:t>After Macintyre: Critical Perspectives on the Work of Alasdair Macintyre</w:t>
      </w:r>
      <w:r>
        <w:rPr>
          <w:rFonts w:ascii="Times New Roman" w:hAnsi="Times New Roman" w:cs="Times New Roman"/>
          <w:noProof/>
        </w:rPr>
        <w:t>, ed. and Mendus Horton J., S. (University of Notre Dame Press, 1994), Chapter 8.</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&lt;EndNote&gt;&lt;Cite&gt;&lt;RecNum&gt;0&lt;/RecNum&gt;&lt;Note&gt;Stern, in this paper outlines how we can understand Macintyre’s parallel between moral inquiry and science, and how we can come to conceive moral inquiry as progressive.&lt;/Note&gt;&lt;DisplayText&gt;Stern, in this paper outlines how we can understand Macintyre’s parallel between moral inquiry and science, and how we can come to conceive moral inquiry as progressive.&lt;/DisplayText&gt;&lt;/Cite&gt;&lt;/EndNote&gt;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Stern, in this paper outlines how we can understand Macintyre’s parallel between moral inquiry and science, and how we can come to conceive moral inquiry as progressive.</w:t>
      </w:r>
      <w:r w:rsidR="00AA2A48" w:rsidRPr="00DA6BE4">
        <w:rPr>
          <w:rFonts w:ascii="Times New Roman" w:hAnsi="Times New Roman" w:cs="Times New Roman"/>
        </w:rPr>
        <w:fldChar w:fldCharType="end"/>
      </w:r>
    </w:p>
  </w:footnote>
  <w:footnote w:id="15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AuthorYear="1"&gt;&lt;Author&gt;Stern&lt;/Author&gt;&lt;Year&gt;1994&lt;/Year&gt;&lt;RecNum&gt;118&lt;/RecNum&gt;&lt;DisplayText&gt;Ibid.&lt;/DisplayText&gt;&lt;record&gt;&lt;rec-number&gt;118&lt;/rec-number&gt;&lt;foreign-keys&gt;&lt;key app="EN" db-id="vxze0a2pwrt959ep2afxdw5cat595wt9sv95" timestamp="1520743612"&gt;118&lt;/key&gt;&lt;/foreign-keys&gt;&lt;ref-type name="Book Section"&gt;5&lt;/ref-type&gt;&lt;contributors&gt;&lt;authors&gt;&lt;author&gt;Stern, Robert&lt;/author&gt;&lt;/authors&gt;&lt;secondary-authors&gt;&lt;author&gt;Horton J., and Mendus, S.&lt;/author&gt;&lt;/secondary-authors&gt;&lt;/contributors&gt;&lt;titles&gt;&lt;title&gt;MacIntyre and Historicism&lt;/title&gt;&lt;secondary-title&gt;After MacIntyre: Critical Perspectives on the Work of Alasdair MacIntyre&lt;/secondary-title&gt;&lt;/titles&gt;&lt;dates&gt;&lt;year&gt;1994&lt;/year&gt;&lt;/dates&gt;&lt;publisher&gt;University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&lt;EndNote&gt;&lt;Cite&gt;&lt;RecNum&gt;0&lt;/RecNum&gt;&lt;Note&gt;In fact in this paper Stern argues that MacIntyre along with other prominent Historicists such as Taylor and Sandel, although they have accepted the central Hegelian conception of rationality as historically conditioned, they have dropped Hegel’s more controversial idea on the inevitability of historical rational progress.&lt;/Note&gt;&lt;DisplayText&gt;In fact in this paper Stern argues that MacIntyre along with other prominent Historicists such as Taylor and Sandel, although they have accepted the central Hegelian conception of rationality as historically conditioned, they have dropped Hegel’s more controversial idea on the inevitability of historical rational progress.&lt;/DisplayText&gt;&lt;/Cite&gt;&lt;/EndNote&gt;</w:instrText>
      </w:r>
      <w:r w:rsidR="00AA2A48" w:rsidRPr="00DA6BE4">
        <w:rPr>
          <w:rFonts w:ascii="Times New Roman" w:hAnsi="Times New Roman" w:cs="Times New Roman"/>
        </w:rPr>
        <w:fldChar w:fldCharType="separate"/>
      </w:r>
      <w:r>
        <w:rPr>
          <w:rFonts w:ascii="Times New Roman" w:hAnsi="Times New Roman" w:cs="Times New Roman"/>
          <w:noProof/>
        </w:rPr>
        <w:t>In fact in this paper Stern argues that MacIntyre along with other prominent Historicists such as Taylor and Sandel, although they have accepted the central Hegelian conception of rationality as historically conditioned, they have dropped Hegel’s more controversial idea on the inevitability of historical rational progress.</w:t>
      </w:r>
      <w:r w:rsidR="00AA2A48" w:rsidRPr="00DA6BE4">
        <w:rPr>
          <w:rFonts w:ascii="Times New Roman" w:hAnsi="Times New Roman" w:cs="Times New Roman"/>
        </w:rPr>
        <w:fldChar w:fldCharType="end"/>
      </w:r>
    </w:p>
  </w:footnote>
  <w:footnote w:id="15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&lt;EndNote&gt;&lt;Cite&gt;&lt;RecNum&gt;0&lt;/RecNum&gt;&lt;Note&gt;This aspect of progress is captured in MacIntyre’s third and fourth hypothesis H3 and H4.&lt;/Note&gt;&lt;DisplayText&gt;This aspect of progress is captured in MacIntyre’s third and fourth hypothesis H3 and H4.&lt;/DisplayText&gt;&lt;/Cite&gt;&lt;/EndNote&gt;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This aspect of progress is captured in MacIntyre’s third and fourth hypothesis H3 and H4.</w:t>
      </w:r>
      <w:r w:rsidR="00AA2A48" w:rsidRPr="00DA6BE4">
        <w:rPr>
          <w:rFonts w:ascii="Times New Roman" w:hAnsi="Times New Roman" w:cs="Times New Roman"/>
        </w:rPr>
        <w:fldChar w:fldCharType="end"/>
      </w:r>
    </w:p>
  </w:footnote>
  <w:footnote w:id="158">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Material aspect of progress, I should note, captures changes generated by the influence of power and changes in relationships defined by power.</w:t>
      </w:r>
    </w:p>
  </w:footnote>
  <w:footnote w:id="15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&lt;EndNote&gt;&lt;Cite&gt;&lt;Author&gt;MacIntyre&lt;/Author&gt;&lt;Year&gt;1998&lt;/Year&gt;&lt;RecNum&gt;94&lt;/RecNum&gt;&lt;Pages&gt;250`, 252&lt;/Pages&gt;&lt;DisplayText&gt;MacIntyre, &amp;quot;Politics, Philosophy and the Common Good,&amp;quot; 250, 252.&lt;/DisplayText&gt;&lt;record&gt;&lt;rec-number&gt;94&lt;/rec-number&gt;&lt;foreign-keys&gt;&lt;key app="EN" db-id="vxze0a2pwrt959ep2afxdw5cat595wt9sv95" timestamp="1444068414"&gt;94&lt;/key&gt;&lt;/foreign-keys&gt;&lt;ref-type name="Book Section"&gt;5&lt;/ref-type&gt;&lt;contributors&gt;&lt;authors&gt;&lt;author&gt;MacIntyre, Alasdair&lt;/author&gt;&lt;/authors&gt;&lt;secondary-authors&gt;&lt;author&gt;Kelvin Knight&lt;/author&gt;&lt;/secondary-authors&gt;&lt;/contributors&gt;&lt;titles&gt;&lt;title&gt;Politics, Philosophy and the Common Good&lt;/title&gt;&lt;secondary-title&gt;The MacIntyre Reader&lt;/secondary-title&gt;&lt;/titles&gt;&lt;pages&gt;235-252&lt;/pages&gt;&lt;dates&gt;&lt;year&gt;1998&lt;/year&gt;&lt;/dates&gt;&lt;pub-location&gt;Notre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"Politics, Philosophy and the Common Good," 250, 252.</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Pr="00DA6BE4">
        <w:rPr>
          <w:rFonts w:ascii="Times New Roman" w:hAnsi="Times New Roman" w:cs="Times New Roman"/>
          <w:i/>
        </w:rPr>
        <w:t>After Virtue</w:t>
      </w:r>
      <w:r w:rsidRPr="00DA6BE4">
        <w:rPr>
          <w:rFonts w:ascii="Times New Roman" w:hAnsi="Times New Roman" w:cs="Times New Roman"/>
        </w:rPr>
        <w:t xml:space="preserve">, 196.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&lt;EndNote&gt;&lt;Cite&gt;&lt;RecNum&gt;0&lt;/RecNum&gt;&lt;Note&gt;In both places MacIntyre appears to suggest that the degree of material progress that has been realised under the conditions of modern capitalism is incompatible with the kind of society in which a genuine form of morality is capable of sustaining itself; and Keith Breen who is generally sympathetic to MacIntyre’s account, cites this as a flaw in his work.&lt;/Note&gt;&lt;DisplayText&gt;In both places MacIntyre appears to suggest that the degree of material progress that has been realised under the conditions of modern capitalism is incompatible with the kind of society in which a genuine form of morality is capable of sustaining itself; and Keith Breen who is generally sympathetic to MacIntyre’s account, cites this as a flaw in his work.&lt;/DisplayText&gt;&lt;/Cite&gt;&lt;/EndNote&gt;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In both places MacIntyre appears to suggest that the degree of material progress that has been realised under the conditions of modern capitalism is incompatible with the kind of society in which a genuine form of morality is capable of sustaining itself; and Keith Breen who is generally sympathetic to MacIntyre’s account, cites this as a flaw in his work.</w:t>
      </w:r>
      <w:r w:rsidR="00AA2A48" w:rsidRPr="00DA6BE4">
        <w:rPr>
          <w:rFonts w:ascii="Times New Roman" w:hAnsi="Times New Roman" w:cs="Times New Roman"/>
        </w:rPr>
        <w:fldChar w:fldCharType="end"/>
      </w:r>
    </w:p>
  </w:footnote>
  <w:footnote w:id="160">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One reason why MacIntyre will have difficulty maintaining this distinction is that, it is not entirely clear that all of the historical facts that could be potentially classed under rational/intellectual aspect of progress are in fact disentangled from other non-intellectual facts or considerations. Nevertheless, I cannot expand on this in greater detail since it would be an altogether separate thesis on its own.</w:t>
      </w:r>
    </w:p>
  </w:footnote>
  <w:footnote w:id="16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would like to maintain that MacIntyre does not necessarily discount the story of science in its broad outlines. Rather, I aim to argue that MacIntyre is looking to offer a more nuanced or sophisticated story that more or less accepts the story of science in its broad outlines; he nevertheless wants to argue that where it not for a number of mistakes by his intellectual predecessors, Aristotelian-Thomistic ethics could have potentially endured. </w:t>
      </w:r>
    </w:p>
  </w:footnote>
  <w:footnote w:id="162">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Just as important is the fact that there are perhaps other stories that we could tell, for example the influence power plays in advancing intellectual and scientific progress. I take it that when we do take a larger view of events, it could reasonably argue that advances in rational or scientific thinking certainly at times originated in the interplay of power, and relationships involving power. Even a tradition of inquiry, can advance intellectually not simply on the account of purely rational/intellectual considerations, but because of certain considerations that can be best understood in terms of power.</w:t>
      </w:r>
    </w:p>
  </w:footnote>
  <w:footnote w:id="16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doesn’t endorse Thomism in After Virtue, and although Aquinas is mentioned, his treatment is rather brief and dismissive.&lt;/Note&gt;&lt;DisplayText&gt;MacIntyre doesn’t endorse Thomism in After Virtue, and although Aquinas is mentioned, his treatment is rather brief and dismissive.&lt;/DisplayText&gt;&lt;/Cite&gt;&lt;/EndNote&gt;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doesn’t endorse Thomism in </w:t>
      </w:r>
      <w:r w:rsidRPr="00DA6BE4">
        <w:rPr>
          <w:rFonts w:ascii="Times New Roman" w:hAnsi="Times New Roman" w:cs="Times New Roman"/>
          <w:i/>
          <w:noProof/>
        </w:rPr>
        <w:t>After Virtue</w:t>
      </w:r>
      <w:r w:rsidRPr="00DA6BE4">
        <w:rPr>
          <w:rFonts w:ascii="Times New Roman" w:hAnsi="Times New Roman" w:cs="Times New Roman"/>
          <w:noProof/>
        </w:rPr>
        <w:t>, and although Aquinas is mentioned, his treatment is rather brief and dismissive.</w:t>
      </w:r>
      <w:r w:rsidR="00AA2A48" w:rsidRPr="00DA6BE4">
        <w:rPr>
          <w:rFonts w:ascii="Times New Roman" w:hAnsi="Times New Roman" w:cs="Times New Roman"/>
        </w:rPr>
        <w:fldChar w:fldCharType="end"/>
      </w:r>
    </w:p>
  </w:footnote>
  <w:footnote w:id="16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While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&lt;EndNote&gt;&lt;Cite&gt;&lt;RecNum&gt;0&lt;/RecNum&gt;&lt;Note&gt;MacIntyre declares himself an adherent of Thomism in Whose Justice and defends it as a tradition, he doesn’t explicitly discuss the historical processes which precipitated the marginalisation of Aristotelian-Thomism.&lt;/Note&gt;&lt;DisplayText&gt;MacIntyre declares himself an adherent of Thomism in Whose Justice and defends it as a tradition, he doesn’t explicitly discuss the historical processes which precipitated the marginalisation of Aristotelian-Thomism.&lt;/DisplayText&gt;&lt;/Cite&gt;&lt;/EndNote&gt;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declares himself an adherent of Thomism in </w:t>
      </w:r>
      <w:r w:rsidRPr="00DA6BE4">
        <w:rPr>
          <w:rFonts w:ascii="Times New Roman" w:hAnsi="Times New Roman" w:cs="Times New Roman"/>
          <w:i/>
          <w:noProof/>
        </w:rPr>
        <w:t>Whose Justice</w:t>
      </w:r>
      <w:r w:rsidRPr="00DA6BE4">
        <w:rPr>
          <w:rFonts w:ascii="Times New Roman" w:hAnsi="Times New Roman" w:cs="Times New Roman"/>
          <w:noProof/>
        </w:rPr>
        <w:t xml:space="preserve"> and defends it as a tradition, he doesn’t explicitly discuss the historical processes which precipitated the marginalisation of Aristotelian-Thomism.</w:t>
      </w:r>
      <w:r w:rsidR="00AA2A48" w:rsidRPr="00DA6BE4">
        <w:rPr>
          <w:rFonts w:ascii="Times New Roman" w:hAnsi="Times New Roman" w:cs="Times New Roman"/>
        </w:rPr>
        <w:fldChar w:fldCharType="end"/>
      </w:r>
    </w:p>
  </w:footnote>
  <w:footnote w:id="16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&lt;EndNote&gt;&lt;Cite&gt;&lt;Author&gt;Anscombe&lt;/Author&gt;&lt;Year&gt;1958&lt;/Year&gt;&lt;RecNum&gt;67&lt;/RecNum&gt;&lt;Pages&gt;1-19&lt;/Pages&gt;&lt;DisplayText&gt;G. E. M. Anscombe, &amp;quot;Modern Moral Philosophy,&amp;quot; &lt;style face="italic"&gt;Philosophy&lt;/style&gt; 33, no. 124 (1958): 1-19.&lt;/DisplayText&gt;&lt;record&gt;&lt;rec-number&gt;67&lt;/rec-number&gt;&lt;foreign-keys&gt;&lt;key app="EN" db-id="vxze0a2pwrt959ep2afxdw5cat595wt9sv95" timestamp="1443702950"&gt;67&lt;/key&gt;&lt;/foreign-keys&gt;&lt;ref-type name="Journal Article"&gt;17&lt;/ref-type&gt;&lt;contributors&gt;&lt;authors&gt;&lt;author&gt;Anscombe, G. E. M.&lt;/author&gt;&lt;/authors&gt;&lt;/contributors&gt;&lt;titles&gt;&lt;title&gt;Modern Moral Philosophy&lt;/title&gt;&lt;secondary-title&gt;Philosophy&lt;/secondary-title&gt;&lt;/titles&gt;&lt;periodical&gt;&lt;full-title&gt;Philosophy&lt;/full-title&gt;&lt;/periodical&gt;&lt;pages&gt;1-19&lt;/pages&gt;&lt;volume&gt;33&lt;/volume&gt;&lt;number&gt;124&lt;/number&gt;&lt;dates&gt;&lt;year&gt;1958&lt;/year&gt;&lt;/dates&gt;&lt;publisher&gt;Cambridge University Press on behalf of Royal Institute of Philosophy&lt;/publisher&gt;&lt;isbn&gt;00318191&lt;/isbn&gt;&lt;urls&gt;&lt;related-urls&gt;&lt;url&gt;http://www.jstor.org/stable/3749051&lt;/url&gt;&lt;/related-urls&gt;&lt;/urls&gt;&lt;electronic-resource-num&gt;10.2307/3749051&lt;/electronic-resource-num&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G. E. M. Anscombe, "Modern Moral Philosophy," </w:t>
      </w:r>
      <w:r w:rsidRPr="00D04700">
        <w:rPr>
          <w:rFonts w:ascii="Times New Roman" w:hAnsi="Times New Roman" w:cs="Times New Roman"/>
          <w:i/>
          <w:noProof/>
        </w:rPr>
        <w:t>Philosophy</w:t>
      </w:r>
      <w:r>
        <w:rPr>
          <w:rFonts w:ascii="Times New Roman" w:hAnsi="Times New Roman" w:cs="Times New Roman"/>
          <w:noProof/>
        </w:rPr>
        <w:t xml:space="preserve"> 33, no. 124 (1958): 1-19.</w:t>
      </w:r>
      <w:r w:rsidR="00AA2A48" w:rsidRPr="00DA6BE4">
        <w:rPr>
          <w:rFonts w:ascii="Times New Roman" w:hAnsi="Times New Roman" w:cs="Times New Roman"/>
        </w:rPr>
        <w:fldChar w:fldCharType="end"/>
      </w:r>
    </w:p>
  </w:footnote>
  <w:footnote w:id="16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&lt;EndNote&gt;&lt;Cite&gt;&lt;RecNum&gt;0&lt;/RecNum&gt;&lt;Note&gt;Interestingly this development was itself related to the fact that during the high Middle Ages many more manuscripts were acquired through trade and various degrees of exchange with the Islamic world. In addition, many more manuscripts were brought over from the Byzantine Empire, which was in a precipitous state of decline in the 14th and early 15th century, before the ultimate fall of Constantinople in 1453.&lt;/Note&gt;&lt;DisplayText&gt;Interestingly this development was itself related to the fact that during the high Middle Ages many more manuscripts were acquired through trade and various degrees of exchange with the Islamic world. In addition, many more manuscripts were brought over from the Byzantine Empire, which was in a precipitous state of decline in the 14th and early 15th century, before the ultimate fall of Constantinople in 1453.&lt;/DisplayText&gt;&lt;/Cite&gt;&lt;/EndNote&gt;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Interestingly this development was itself related to the fact that during the high Middle Ages many more manuscripts were acquired through trade and various degrees of exchange with the Islamic world. In addition, many more manuscripts were brought over from the Byzantine Empire, which was in a precipitous state of decline in the 14th and early 15th century, before the ultimate fall of Constantinople in 1453.</w:t>
      </w:r>
      <w:r w:rsidR="00AA2A48" w:rsidRPr="00DA6BE4">
        <w:rPr>
          <w:rFonts w:ascii="Times New Roman" w:hAnsi="Times New Roman" w:cs="Times New Roman"/>
        </w:rPr>
        <w:fldChar w:fldCharType="end"/>
      </w:r>
    </w:p>
  </w:footnote>
  <w:footnote w:id="16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say that MacIntyre, in </w:t>
      </w:r>
      <w:r w:rsidRPr="00DA6BE4">
        <w:rPr>
          <w:rFonts w:ascii="Times New Roman" w:hAnsi="Times New Roman" w:cs="Times New Roman"/>
          <w:i/>
        </w:rPr>
        <w:t>God, Philosophy, Universities</w:t>
      </w:r>
      <w:r w:rsidRPr="00DA6BE4">
        <w:rPr>
          <w:rFonts w:ascii="Times New Roman" w:hAnsi="Times New Roman" w:cs="Times New Roman"/>
        </w:rPr>
        <w:t xml:space="preserve">, offers an historical account of the development of the Catholic philosophical tradition in European universities that spans this period, but he doesn’t appear to posit the sort of historical narrative I have presented here.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&lt;EndNote&gt;&lt;Cite&gt;&lt;Author&gt;MacIntyre&lt;/Author&gt;&lt;Year&gt;2011&lt;/Year&gt;&lt;RecNum&gt;166&lt;/RecNum&gt;&lt;DisplayText&gt;Alasdair MacIntyre, &lt;style face="italic"&gt;God, Philosophy, Universities: A Selective History of the Catholic Philosophical Tradition&lt;/style&gt; (Lanham, Maryland: Rowman &amp;amp; Littlefield Publishers Inc., 2011).&lt;/DisplayText&gt;&lt;record&gt;&lt;rec-number&gt;166&lt;/rec-number&gt;&lt;foreign-keys&gt;&lt;key app="EN" db-id="vxze0a2pwrt959ep2afxdw5cat595wt9sv95" timestamp="1524851095"&gt;166&lt;/key&gt;&lt;/foreign-keys&gt;&lt;ref-type name="Book"&gt;6&lt;/ref-type&gt;&lt;contributors&gt;&lt;authors&gt;&lt;author&gt;MacIntyre, Alasdair&lt;/author&gt;&lt;/authors&gt;&lt;/contributors&gt;&lt;titles&gt;&lt;title&gt;God, Philosophy, Universities: A Selective History of the Catholic Philosophical Tradition&lt;/title&gt;&lt;/titles&gt;&lt;dates&gt;&lt;year&gt;2011&lt;/year&gt;&lt;/dates&gt;&lt;pub-location&gt;Lanham, Maryland&lt;/pub-location&gt;&lt;publisher&gt;Rowman &amp;amp; Littlefield Publishers Inc.&lt;/publisher&gt;&lt;urls&gt;&lt;/urls&gt;&lt;/record&gt;&lt;/Cite&gt;&lt;/EndNote&gt;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God, Philosophy, Universities: A Selective History of the Catholic Philosophical Tradition</w:t>
      </w:r>
      <w:r w:rsidRPr="00DA6BE4">
        <w:rPr>
          <w:rFonts w:ascii="Times New Roman" w:hAnsi="Times New Roman" w:cs="Times New Roman"/>
          <w:noProof/>
        </w:rPr>
        <w:t xml:space="preserve"> (Lanham, Maryland: Rowman &amp; Littlefield Publishers Inc., 2011).</w:t>
      </w:r>
      <w:r w:rsidR="00AA2A48" w:rsidRPr="00DA6BE4">
        <w:rPr>
          <w:rFonts w:ascii="Times New Roman" w:hAnsi="Times New Roman" w:cs="Times New Roman"/>
        </w:rPr>
        <w:fldChar w:fldCharType="end"/>
      </w:r>
    </w:p>
  </w:footnote>
  <w:footnote w:id="16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&lt;EndNote&gt;&lt;Cite&gt;&lt;RecNum&gt;0&lt;/RecNum&gt;&lt;Note&gt;See Chapter One where I consider MacIntyre’s argument for the loss of the Aristotelian concept of nature/essence and the corresponding concept of teleology where human beings are thought to possess a specific nature. Here ethics is supposed to guide human beings from an initial state in which their nature is unrealised, moving to a state where human nature is then fully realized.&lt;/Note&gt;&lt;DisplayText&gt;See Chapter One where I consider MacIntyre’s argument for the loss of the Aristotelian concept of nature/essence and the corresponding concept of teleology where human beings are thought to possess a specific nature. Here ethics is supposed to guide human beings from an initial state in which their nature is unrealised, moving to a state where human nature is then fully realized.&lt;/DisplayText&gt;&lt;/Cite&gt;&lt;/EndNote&gt;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See Chapter One where I consider MacIntyre’s argument for the loss of the Aristotelian concept of nature/essence and the corresponding concept of teleology where human beings are thought to possess a specific nature. Here ethics is supposed to guide human beings from an initial state in which their nature is unrealised, moving to a state where human nature is then fully realized.</w:t>
      </w:r>
      <w:r w:rsidR="00AA2A48" w:rsidRPr="00DA6BE4">
        <w:rPr>
          <w:rFonts w:ascii="Times New Roman" w:hAnsi="Times New Roman" w:cs="Times New Roman"/>
        </w:rPr>
        <w:fldChar w:fldCharType="end"/>
      </w:r>
    </w:p>
  </w:footnote>
  <w:footnote w:id="16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treating of final causes in physics has driven out the inquiry of physical ones, and made men rest in specious and shadowy causes, without ever searching in earnest after such as are real and truly physical’ (</w:t>
      </w:r>
      <w:r w:rsidRPr="00DA6BE4">
        <w:rPr>
          <w:rFonts w:ascii="Times New Roman" w:hAnsi="Times New Roman" w:cs="Times New Roman"/>
          <w:i/>
          <w:iCs/>
        </w:rPr>
        <w:t>Advancement of Learning</w:t>
      </w:r>
      <w:r w:rsidRPr="00DA6BE4">
        <w:rPr>
          <w:rFonts w:ascii="Times New Roman" w:hAnsi="Times New Roman" w:cs="Times New Roman"/>
        </w:rPr>
        <w:t>, iii.4, p. 141).</w:t>
      </w:r>
    </w:p>
  </w:footnote>
  <w:footnote w:id="17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gramStart"/>
      <w:r w:rsidRPr="00DA6BE4">
        <w:rPr>
          <w:rFonts w:ascii="Times New Roman" w:hAnsi="Times New Roman" w:cs="Times New Roman"/>
        </w:rPr>
        <w:t>‘</w:t>
      </w:r>
      <w:r w:rsidRPr="00DA6BE4">
        <w:rPr>
          <w:rFonts w:ascii="Times New Roman" w:hAnsi="Times New Roman" w:cs="Times New Roman"/>
          <w:i/>
          <w:iCs/>
        </w:rPr>
        <w:t>That we must not inquire into the final, but only the efficient causes of created things</w:t>
      </w:r>
      <w:r w:rsidRPr="00DA6BE4">
        <w:rPr>
          <w:rFonts w:ascii="Times New Roman" w:hAnsi="Times New Roman" w:cs="Times New Roman"/>
        </w:rPr>
        <w:t>.</w:t>
      </w:r>
      <w:proofErr w:type="gramEnd"/>
      <w:r w:rsidRPr="00DA6BE4">
        <w:rPr>
          <w:rFonts w:ascii="Times New Roman" w:hAnsi="Times New Roman" w:cs="Times New Roman"/>
        </w:rPr>
        <w:t xml:space="preserve"> Finally we shall not seek for the reason of natural things from the end which god or nature has set before him in the creation.’ </w:t>
      </w:r>
      <w:proofErr w:type="gramStart"/>
      <w:r w:rsidRPr="00DA6BE4">
        <w:rPr>
          <w:rFonts w:ascii="Times New Roman" w:hAnsi="Times New Roman" w:cs="Times New Roman"/>
        </w:rPr>
        <w:t>(</w:t>
      </w:r>
      <w:r w:rsidRPr="00DA6BE4">
        <w:rPr>
          <w:rFonts w:ascii="Times New Roman" w:hAnsi="Times New Roman" w:cs="Times New Roman"/>
          <w:i/>
          <w:iCs/>
        </w:rPr>
        <w:t>Principles of Philosophy</w:t>
      </w:r>
      <w:r w:rsidRPr="00DA6BE4">
        <w:rPr>
          <w:rFonts w:ascii="Times New Roman" w:hAnsi="Times New Roman" w:cs="Times New Roman"/>
        </w:rPr>
        <w:t xml:space="preserve"> I.28).</w:t>
      </w:r>
      <w:proofErr w:type="gramEnd"/>
    </w:p>
  </w:footnote>
  <w:footnote w:id="17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Appendix to </w:t>
      </w:r>
      <w:r w:rsidRPr="00DA6BE4">
        <w:rPr>
          <w:rFonts w:ascii="Times New Roman" w:hAnsi="Times New Roman" w:cs="Times New Roman"/>
          <w:i/>
          <w:iCs/>
        </w:rPr>
        <w:t>Ethics</w:t>
      </w:r>
      <w:r w:rsidRPr="00DA6BE4">
        <w:rPr>
          <w:rFonts w:ascii="Times New Roman" w:hAnsi="Times New Roman" w:cs="Times New Roman"/>
        </w:rPr>
        <w:t xml:space="preserve"> I.</w:t>
      </w:r>
    </w:p>
  </w:footnote>
  <w:footnote w:id="17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&lt;EndNote&gt;&lt;Cite&gt;&lt;Author&gt;Taylor&lt;/Author&gt;&lt;Year&gt;1967&lt;/Year&gt;&lt;RecNum&gt;172&lt;/RecNum&gt;&lt;Pages&gt;Vol II`, 56&lt;/Pages&gt;&lt;DisplayText&gt;Richard Taylor, &amp;quot;Causation, Determinism, and Voluntarism,&amp;quot; in &lt;style face="italic"&gt;The Encylopedia of Philosophy&lt;/style&gt;, ed. Paul Edwards (New York: Macmillan, 1967), Vol II, 56.&lt;/DisplayText&gt;&lt;record&gt;&lt;rec-number&gt;172&lt;/rec-number&gt;&lt;foreign-keys&gt;&lt;key app="EN" db-id="vxze0a2pwrt959ep2afxdw5cat595wt9sv95" timestamp="1528213656"&gt;172&lt;/key&gt;&lt;/foreign-keys&gt;&lt;ref-type name="Encyclopedia"&gt;53&lt;/ref-type&gt;&lt;contributors&gt;&lt;authors&gt;&lt;author&gt;Taylor, Richard&lt;/author&gt;&lt;/authors&gt;&lt;secondary-authors&gt;&lt;author&gt;Edwards, Paul&lt;/author&gt;&lt;/secondary-authors&gt;&lt;/contributors&gt;&lt;titles&gt;&lt;title&gt;Causation, Determinism, and Voluntarism&lt;/title&gt;&lt;secondary-title&gt;The Encylopedia of Philosophy&lt;/secondary-title&gt;&lt;/titles&gt;&lt;pages&gt;76&lt;/pages&gt;&lt;dates&gt;&lt;year&gt;1967&lt;/year&gt;&lt;/dates&gt;&lt;pub-location&gt;New York&lt;/pub-location&gt;&lt;publisher&gt;Macmillan&lt;/publisher&gt;&lt;urls&gt;&lt;/urls&gt;&lt;/record&gt;&lt;/Cite&gt;&lt;/EndNote&gt;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Richard Taylor, "Causation, Determinism, and Voluntarism," in </w:t>
      </w:r>
      <w:r w:rsidRPr="00DA6BE4">
        <w:rPr>
          <w:rFonts w:ascii="Times New Roman" w:hAnsi="Times New Roman" w:cs="Times New Roman"/>
          <w:i/>
          <w:noProof/>
        </w:rPr>
        <w:t>The Encylopedia of Philosophy</w:t>
      </w:r>
      <w:r w:rsidRPr="00DA6BE4">
        <w:rPr>
          <w:rFonts w:ascii="Times New Roman" w:hAnsi="Times New Roman" w:cs="Times New Roman"/>
          <w:noProof/>
        </w:rPr>
        <w:t>, ed. Paul Edwards (New York: Macmillan, 1967), Vol II, 56.</w:t>
      </w:r>
      <w:r w:rsidR="00AA2A48" w:rsidRPr="00DA6BE4">
        <w:rPr>
          <w:rFonts w:ascii="Times New Roman" w:hAnsi="Times New Roman" w:cs="Times New Roman"/>
        </w:rPr>
        <w:fldChar w:fldCharType="end"/>
      </w:r>
      <w:r w:rsidRPr="00DA6BE4">
        <w:rPr>
          <w:rFonts w:ascii="Times New Roman" w:hAnsi="Times New Roman" w:cs="Times New Roman"/>
        </w:rPr>
        <w:t xml:space="preserve"> There, Richard Taylor claims that ‘The concepts of material and formal causes are archaic and now have little significance outside aesthetics. Final causes have likewise been expurgated from physics…Partly because of the rise of physical science and the accompanying demise of Aristotelian modes of thought, the concept of cause is now generally that of an efficient cause.’</w:t>
      </w:r>
    </w:p>
  </w:footnote>
  <w:footnote w:id="17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will again refer to the </w:t>
      </w:r>
      <w:r w:rsidRPr="00DA6BE4">
        <w:rPr>
          <w:rFonts w:ascii="Times New Roman" w:hAnsi="Times New Roman" w:cs="Times New Roman"/>
          <w:i/>
          <w:iCs/>
        </w:rPr>
        <w:t>philosophy-science</w:t>
      </w:r>
      <w:r w:rsidRPr="00DA6BE4">
        <w:rPr>
          <w:rFonts w:ascii="Times New Roman" w:hAnsi="Times New Roman" w:cs="Times New Roman"/>
        </w:rPr>
        <w:t xml:space="preserve"> distinction. By this distinction, I am highlighting the fact that philosophy and science had not yet come to be viewed as strictly separate disciplines at the outset of the modern period. So for example, Galileo, Descartes and Newton are all in an important sense philosopher-scientists. MacIntyre himself in his 1982 paper ‘Philosophy and Its History’ implicitly acknowledges the emergence of this distinction, and faults it for generating a kind of philosophical inquiry that slowly becomes more and more disconnected and detached from other disciplines;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&lt;EndNote&gt;&lt;Cite&gt;&lt;Author&gt;MacIntyre&lt;/Author&gt;&lt;Year&gt;1982&lt;/Year&gt;&lt;RecNum&gt;83&lt;/RecNum&gt;&lt;Pages&gt;102-113&lt;/Pages&gt;&lt;DisplayText&gt;Alasdair MacIntyre, &amp;quot;Philosophy and Its History,&amp;quot; &lt;style face="italic"&gt;Analyse &amp;amp; Kritik&lt;/style&gt; 4, no. 1 (1982): 102-113.&lt;/DisplayText&gt;&lt;record&gt;&lt;rec-number&gt;83&lt;/rec-number&gt;&lt;foreign-keys&gt;&lt;key app="EN" db-id="vxze0a2pwrt959ep2afxdw5cat595wt9sv95" timestamp="1444053019"&gt;83&lt;/key&gt;&lt;/foreign-keys&gt;&lt;ref-type name="Journal Article"&gt;17&lt;/ref-type&gt;&lt;contributors&gt;&lt;authors&gt;&lt;author&gt;MacIntyre, Alasdair&lt;/author&gt;&lt;/authors&gt;&lt;/contributors&gt;&lt;titles&gt;&lt;title&gt;Philosophy and its History&lt;/title&gt;&lt;secondary-title&gt;Analyse &amp;amp; Kritik&lt;/secondary-title&gt;&lt;/titles&gt;&lt;periodical&gt;&lt;full-title&gt;Analyse &amp;amp; Kritik&lt;/full-title&gt;&lt;/periodical&gt;&lt;pages&gt;102-113&lt;/pages&gt;&lt;volume&gt;4&lt;/volume&gt;&lt;number&gt;1&lt;/number&gt;&lt;dates&gt;&lt;year&gt;1982&lt;/year&gt;&lt;/dates&gt;&lt;urls&gt;&lt;/urls&gt;&lt;/record&gt;&lt;/Cite&gt;&lt;/EndNote&gt;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"Philosophy and Its History," </w:t>
      </w:r>
      <w:r w:rsidRPr="00D04700">
        <w:rPr>
          <w:rFonts w:ascii="Times New Roman" w:hAnsi="Times New Roman" w:cs="Times New Roman"/>
          <w:i/>
          <w:noProof/>
        </w:rPr>
        <w:t>Analyse &amp; Kritik</w:t>
      </w:r>
      <w:r>
        <w:rPr>
          <w:rFonts w:ascii="Times New Roman" w:hAnsi="Times New Roman" w:cs="Times New Roman"/>
          <w:noProof/>
        </w:rPr>
        <w:t xml:space="preserve"> 4, no. 1 (1982): 102-113.</w:t>
      </w:r>
      <w:r w:rsidR="00AA2A48" w:rsidRPr="00DA6BE4">
        <w:rPr>
          <w:rFonts w:ascii="Times New Roman" w:hAnsi="Times New Roman" w:cs="Times New Roman"/>
        </w:rPr>
        <w:fldChar w:fldCharType="end"/>
      </w:r>
    </w:p>
  </w:footnote>
  <w:footnote w:id="17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&lt;EndNote&gt;&lt;Cite&gt;&lt;Author&gt;Haldane&lt;/Author&gt;&lt;Year&gt;1994&lt;/Year&gt;&lt;RecNum&gt;119&lt;/RecNum&gt;&lt;DisplayText&gt;Haldane, &amp;quot;Macintyre’s Thomist Revival: What Next?.&amp;quot;&lt;/DisplayText&gt;&lt;record&gt;&lt;rec-number&gt;119&lt;/rec-number&gt;&lt;foreign-keys&gt;&lt;key app="EN" db-id="vxze0a2pwrt959ep2afxdw5cat595wt9sv95" timestamp="1520745028"&gt;119&lt;/key&gt;&lt;/foreign-keys&gt;&lt;ref-type name="Book Section"&gt;5&lt;/ref-type&gt;&lt;contributors&gt;&lt;authors&gt;&lt;author&gt;Haldane, John&lt;/author&gt;&lt;/authors&gt;&lt;secondary-authors&gt;&lt;author&gt;Horton J., and Mendus, S.&lt;/author&gt;&lt;/secondary-authors&gt;&lt;/contributors&gt;&lt;titles&gt;&lt;title&gt;MacIntyre’s Thomist Revival: What Next?&lt;/title&gt;&lt;secondary-title&gt;After Macintyre: Critical Perspectives on the Work of Alasdair Macintyre&lt;/secondary-title&gt;&lt;/titles&gt;&lt;pages&gt;91-107&lt;/pages&gt;&lt;dates&gt;&lt;year&gt;1994&lt;/year&gt;&lt;/dates&gt;&lt;publisher&gt;University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Haldane, "Macintyre’s Thomist Revival: What Next?."</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Pr="00DA6BE4">
        <w:rPr>
          <w:rFonts w:ascii="Times New Roman" w:hAnsi="Times New Roman" w:cs="Times New Roman"/>
          <w:i/>
          <w:iCs/>
        </w:rPr>
        <w:t>After Virtue</w:t>
      </w:r>
      <w:r w:rsidRPr="00DA6BE4">
        <w:rPr>
          <w:rFonts w:ascii="Times New Roman" w:hAnsi="Times New Roman" w:cs="Times New Roman"/>
        </w:rPr>
        <w:t>.</w:t>
      </w:r>
    </w:p>
  </w:footnote>
  <w:footnote w:id="17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We can view the various options available between no teleology whatsoever and a strong form of teleology in the work of Aristotle. So for example (</w:t>
      </w:r>
      <w:proofErr w:type="spellStart"/>
      <w:r w:rsidRPr="00DA6BE4">
        <w:rPr>
          <w:rFonts w:ascii="Times New Roman" w:hAnsi="Times New Roman" w:cs="Times New Roman"/>
        </w:rPr>
        <w:t>i</w:t>
      </w:r>
      <w:proofErr w:type="spellEnd"/>
      <w:r w:rsidRPr="00DA6BE4">
        <w:rPr>
          <w:rFonts w:ascii="Times New Roman" w:hAnsi="Times New Roman" w:cs="Times New Roman"/>
        </w:rPr>
        <w:t xml:space="preserve">) there is perhaps a particular standard view of science that would deny teleology altogether; (ii) we can also have a weak or moderate teleology that would rest on empirical grounds or perhaps on some conceptual ground that is supported by evidence; and finally (iii) stronger forms of teleology associated with Aristotle and Aquinas. Note the loss of teleology is very much relevant to our earlier discussion in Chapter One where MacIntyre blames the loss of teleology for what he describes as the present-day state of moral fragmentation and disorder. Part of MacIntyre’s effort in </w:t>
      </w:r>
      <w:r w:rsidRPr="00DA6BE4">
        <w:rPr>
          <w:rFonts w:ascii="Times New Roman" w:hAnsi="Times New Roman" w:cs="Times New Roman"/>
          <w:i/>
        </w:rPr>
        <w:t>After Virtue</w:t>
      </w:r>
      <w:r w:rsidRPr="00DA6BE4">
        <w:rPr>
          <w:rFonts w:ascii="Times New Roman" w:hAnsi="Times New Roman" w:cs="Times New Roman"/>
        </w:rPr>
        <w:t xml:space="preserve"> is aimed at developing a new teleology within his tripartite account of the virtues; yet, recall that MacIntyre’s account is vulnerable to the criticisms advanced by Bernstein and </w:t>
      </w:r>
      <w:proofErr w:type="spellStart"/>
      <w:r w:rsidRPr="00DA6BE4">
        <w:rPr>
          <w:rFonts w:ascii="Times New Roman" w:hAnsi="Times New Roman" w:cs="Times New Roman"/>
        </w:rPr>
        <w:t>Schneewind</w:t>
      </w:r>
      <w:proofErr w:type="spellEnd"/>
      <w:r w:rsidRPr="00DA6BE4">
        <w:rPr>
          <w:rFonts w:ascii="Times New Roman" w:hAnsi="Times New Roman" w:cs="Times New Roman"/>
        </w:rPr>
        <w:t xml:space="preserve">, because it appears as though the arguments in </w:t>
      </w:r>
      <w:r w:rsidRPr="00DA6BE4">
        <w:rPr>
          <w:rFonts w:ascii="Times New Roman" w:hAnsi="Times New Roman" w:cs="Times New Roman"/>
          <w:i/>
        </w:rPr>
        <w:t>After Virtue</w:t>
      </w:r>
      <w:r w:rsidRPr="00DA6BE4">
        <w:rPr>
          <w:rFonts w:ascii="Times New Roman" w:hAnsi="Times New Roman" w:cs="Times New Roman"/>
        </w:rPr>
        <w:t xml:space="preserve"> in effect validate and reinforces emotivism. </w:t>
      </w:r>
    </w:p>
  </w:footnote>
  <w:footnote w:id="17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&lt;EndNote&gt;&lt;Cite&gt;&lt;Author&gt;MacIntyre&lt;/Author&gt;&lt;Year&gt;1984&lt;/Year&gt;&lt;RecNum&gt;48&lt;/RecNum&gt;&lt;DisplayText&gt;MacIntyre, &lt;style face="italic"&gt;After Virtue&lt;/style&gt;.&lt;/DisplayText&gt;&lt;record&gt;&lt;rec-number&gt;48&lt;/rec-number&gt;&lt;foreign-keys&gt;&lt;key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w:t>
      </w:r>
      <w:r w:rsidR="00AA2A48" w:rsidRPr="00DA6BE4">
        <w:rPr>
          <w:rFonts w:ascii="Times New Roman" w:hAnsi="Times New Roman" w:cs="Times New Roman"/>
        </w:rPr>
        <w:fldChar w:fldCharType="end"/>
      </w:r>
    </w:p>
  </w:footnote>
  <w:footnote w:id="17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AuthorYear="1"&gt;&lt;Author&gt;MacIntyre&lt;/Author&gt;&lt;Year&gt;1998&lt;/Year&gt;&lt;RecNum&gt;49&lt;/RecNum&gt;&lt;Pages&gt;Section V`, 196&lt;/Pages&gt;&lt;DisplayText&gt;MacIntyre, &amp;quot;First Principles, Final Ends, and Contemporary Philosophical Issues,&amp;quot; Section V, 196.&lt;/DisplayText&gt;&lt;record&gt;&lt;rec-number&gt;49&lt;/rec-number&gt;&lt;foreign-keys&gt;&lt;key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"First Principles, Final Ends, and Contemporary Philosophical Issues," Section V, 196.</w:t>
      </w:r>
      <w:r w:rsidR="00AA2A48" w:rsidRPr="00DA6BE4">
        <w:rPr>
          <w:rFonts w:ascii="Times New Roman" w:hAnsi="Times New Roman" w:cs="Times New Roman"/>
        </w:rPr>
        <w:fldChar w:fldCharType="end"/>
      </w:r>
    </w:p>
  </w:footnote>
  <w:footnote w:id="17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AuthorYear="1"&gt;&lt;Author&gt;MacIntyre&lt;/Author&gt;&lt;Year&gt;1998&lt;/Year&gt;&lt;RecNum&gt;49&lt;/RecNum&gt;&lt;DisplayText&gt;Ibid.&lt;/DisplayText&gt;&lt;record&gt;&lt;rec-number&gt;49&lt;/rec-number&gt;&lt;foreign-keys&gt;&lt;key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179">
    <w:p w:rsidR="00D810CC" w:rsidRPr="00DA6BE4" w:rsidRDefault="00D810CC">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&lt;EndNote&gt;&lt;Cite&gt;&lt;Author&gt;MacIntyre&lt;/Author&gt;&lt;Year&gt;1998&lt;/Year&gt;&lt;RecNum&gt;49&lt;/RecNum&gt;&lt;Pages&gt;197&lt;/Pages&gt;&lt;DisplayText&gt;Ibid., 197.&lt;/DisplayText&gt;&lt;record&gt;&lt;rec-number&gt;49&lt;/rec-number&gt;&lt;foreign-keys&gt;&lt;key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197.</w:t>
      </w:r>
      <w:r w:rsidR="00AA2A48" w:rsidRPr="00DA6BE4">
        <w:rPr>
          <w:rFonts w:ascii="Times New Roman" w:hAnsi="Times New Roman" w:cs="Times New Roman"/>
        </w:rPr>
        <w:fldChar w:fldCharType="end"/>
      </w:r>
    </w:p>
  </w:footnote>
  <w:footnote w:id="18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AuthorYear="1"&gt;&lt;Author&gt;MacIntyre&lt;/Author&gt;&lt;Year&gt;1998&lt;/Year&gt;&lt;RecNum&gt;49&lt;/RecNum&gt;&lt;Pages&gt;199&lt;/Pages&gt;&lt;DisplayText&gt;Ibid., 199.&lt;/DisplayText&gt;&lt;record&gt;&lt;rec-number&gt;49&lt;/rec-number&gt;&lt;foreign-keys&gt;&lt;key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199.</w:t>
      </w:r>
      <w:r w:rsidR="00AA2A48" w:rsidRPr="00DA6BE4">
        <w:rPr>
          <w:rFonts w:ascii="Times New Roman" w:hAnsi="Times New Roman" w:cs="Times New Roman"/>
        </w:rPr>
        <w:fldChar w:fldCharType="end"/>
      </w:r>
      <w:r w:rsidRPr="00DA6BE4">
        <w:rPr>
          <w:rFonts w:ascii="Times New Roman" w:hAnsi="Times New Roman" w:cs="Times New Roman"/>
        </w:rPr>
        <w:t xml:space="preserve"> I should note that in Chapter 7 of </w:t>
      </w:r>
      <w:r w:rsidRPr="00DA6BE4">
        <w:rPr>
          <w:rFonts w:ascii="Times New Roman" w:hAnsi="Times New Roman" w:cs="Times New Roman"/>
          <w:i/>
        </w:rPr>
        <w:t>Three Rival Version of Moral Inquiry</w:t>
      </w:r>
      <w:r w:rsidRPr="00DA6BE4">
        <w:rPr>
          <w:rFonts w:ascii="Times New Roman" w:hAnsi="Times New Roman" w:cs="Times New Roman"/>
        </w:rPr>
        <w:t xml:space="preserve"> (1990) – originally presented as the (1987) Gifford lectures – MacIntyre appears to offer a not entirely compelling argument that the </w:t>
      </w:r>
      <w:r w:rsidRPr="00DA6BE4">
        <w:rPr>
          <w:rFonts w:ascii="Times New Roman" w:eastAsia="Times New Roman" w:hAnsi="Times New Roman" w:cs="Times New Roman"/>
        </w:rPr>
        <w:t>decline of Aristotelian-Thomism was on the account of a number of intellectual struggles, internal to Medieval European universities in the period spanning the 14</w:t>
      </w:r>
      <w:r w:rsidRPr="00DA6BE4">
        <w:rPr>
          <w:rFonts w:ascii="Times New Roman" w:eastAsia="Times New Roman" w:hAnsi="Times New Roman" w:cs="Times New Roman"/>
          <w:vertAlign w:val="superscript"/>
        </w:rPr>
        <w:t>th</w:t>
      </w:r>
      <w:r w:rsidRPr="00DA6BE4">
        <w:rPr>
          <w:rStyle w:val="apple-converted-space"/>
          <w:rFonts w:ascii="Times New Roman" w:eastAsia="Times New Roman" w:hAnsi="Times New Roman" w:cs="Times New Roman"/>
        </w:rPr>
        <w:t> </w:t>
      </w:r>
      <w:r w:rsidRPr="00DA6BE4">
        <w:rPr>
          <w:rFonts w:ascii="Times New Roman" w:eastAsia="Times New Roman" w:hAnsi="Times New Roman" w:cs="Times New Roman"/>
        </w:rPr>
        <w:t xml:space="preserve">century. However, approximately three years later, MacIntyre moves in a different direction when in the (1990) Aquinas lecture, published as </w:t>
      </w:r>
      <w:r w:rsidRPr="00DA6BE4">
        <w:rPr>
          <w:rFonts w:ascii="Times New Roman" w:eastAsia="Times New Roman" w:hAnsi="Times New Roman" w:cs="Times New Roman"/>
          <w:i/>
        </w:rPr>
        <w:t>First Principle, Final Ends, and Contemporary Philosophical Issues</w:t>
      </w:r>
      <w:r w:rsidRPr="00DA6BE4">
        <w:rPr>
          <w:rFonts w:ascii="Times New Roman" w:eastAsia="Times New Roman" w:hAnsi="Times New Roman" w:cs="Times New Roman"/>
        </w:rPr>
        <w:t xml:space="preserve"> (1991) he appears to suggest that Aristotelian-Thomism was ultimately rejected at the threshold of the modern period (late 16</w:t>
      </w:r>
      <w:r w:rsidRPr="00DA6BE4">
        <w:rPr>
          <w:rFonts w:ascii="Times New Roman" w:eastAsia="Times New Roman" w:hAnsi="Times New Roman" w:cs="Times New Roman"/>
          <w:vertAlign w:val="superscript"/>
        </w:rPr>
        <w:t>th</w:t>
      </w:r>
      <w:r w:rsidRPr="00DA6BE4">
        <w:rPr>
          <w:rFonts w:ascii="Times New Roman" w:eastAsia="Times New Roman" w:hAnsi="Times New Roman" w:cs="Times New Roman"/>
        </w:rPr>
        <w:t xml:space="preserve"> early 17</w:t>
      </w:r>
      <w:r w:rsidRPr="00DA6BE4">
        <w:rPr>
          <w:rFonts w:ascii="Times New Roman" w:eastAsia="Times New Roman" w:hAnsi="Times New Roman" w:cs="Times New Roman"/>
          <w:vertAlign w:val="superscript"/>
        </w:rPr>
        <w:t>th</w:t>
      </w:r>
      <w:r w:rsidRPr="00DA6BE4">
        <w:rPr>
          <w:rFonts w:ascii="Times New Roman" w:eastAsia="Times New Roman" w:hAnsi="Times New Roman" w:cs="Times New Roman"/>
        </w:rPr>
        <w:t xml:space="preserve"> century). Just as important is that MacIntyre, in two separate papers, ‘Rival Aristotle’s: Aristotle </w:t>
      </w:r>
      <w:proofErr w:type="gramStart"/>
      <w:r w:rsidRPr="00DA6BE4">
        <w:rPr>
          <w:rFonts w:ascii="Times New Roman" w:eastAsia="Times New Roman" w:hAnsi="Times New Roman" w:cs="Times New Roman"/>
        </w:rPr>
        <w:t>Against</w:t>
      </w:r>
      <w:proofErr w:type="gramEnd"/>
      <w:r w:rsidRPr="00DA6BE4">
        <w:rPr>
          <w:rFonts w:ascii="Times New Roman" w:eastAsia="Times New Roman" w:hAnsi="Times New Roman" w:cs="Times New Roman"/>
        </w:rPr>
        <w:t xml:space="preserve"> Some Renaissance Aristotelians’ (1998) and ‘John Case: An Example of </w:t>
      </w:r>
      <w:proofErr w:type="spellStart"/>
      <w:r w:rsidRPr="00DA6BE4">
        <w:rPr>
          <w:rFonts w:ascii="Times New Roman" w:eastAsia="Times New Roman" w:hAnsi="Times New Roman" w:cs="Times New Roman"/>
          <w:lang w:val="en-CA"/>
        </w:rPr>
        <w:t>Aristotelianism’s</w:t>
      </w:r>
      <w:proofErr w:type="spellEnd"/>
      <w:r w:rsidRPr="00DA6BE4">
        <w:rPr>
          <w:rFonts w:ascii="Times New Roman" w:eastAsia="Times New Roman" w:hAnsi="Times New Roman" w:cs="Times New Roman"/>
          <w:lang w:val="en-CA"/>
        </w:rPr>
        <w:t xml:space="preserve"> Self-Subversion</w:t>
      </w:r>
      <w:r w:rsidRPr="00DA6BE4">
        <w:rPr>
          <w:rFonts w:ascii="Times New Roman" w:eastAsia="Times New Roman" w:hAnsi="Times New Roman" w:cs="Times New Roman"/>
        </w:rPr>
        <w:t xml:space="preserve">’ (1999) offers </w:t>
      </w:r>
      <w:r w:rsidRPr="00DA6BE4">
        <w:rPr>
          <w:rFonts w:ascii="Times New Roman" w:eastAsia="Times New Roman" w:hAnsi="Times New Roman" w:cs="Times New Roman"/>
          <w:lang w:val="en-CA"/>
        </w:rPr>
        <w:t xml:space="preserve">Francesco </w:t>
      </w:r>
      <w:proofErr w:type="spellStart"/>
      <w:r w:rsidRPr="00DA6BE4">
        <w:rPr>
          <w:rFonts w:ascii="Times New Roman" w:eastAsia="Times New Roman" w:hAnsi="Times New Roman" w:cs="Times New Roman"/>
        </w:rPr>
        <w:t>Piccolomini</w:t>
      </w:r>
      <w:proofErr w:type="spellEnd"/>
      <w:r w:rsidRPr="00DA6BE4">
        <w:rPr>
          <w:rFonts w:ascii="Times New Roman" w:eastAsia="Times New Roman" w:hAnsi="Times New Roman" w:cs="Times New Roman"/>
        </w:rPr>
        <w:t xml:space="preserve"> and John Case, respectively, as two paradigmatic cases where Renaissance Aristotelians contributed to the decline of Aristotelian-Thomistic moral and political philosophy. The first of these two texts will be discussed in detail below.</w:t>
      </w:r>
    </w:p>
  </w:footnote>
  <w:footnote w:id="18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AuthorYear="1"&gt;&lt;Author&gt;MacIntyre&lt;/Author&gt;&lt;Year&gt;1998&lt;/Year&gt;&lt;RecNum&gt;49&lt;/RecNum&gt;&lt;Pages&gt;198-199&lt;/Pages&gt;&lt;DisplayText&gt;Ibid., 198-199.&lt;/DisplayText&gt;&lt;record&gt;&lt;rec-number&gt;49&lt;/rec-number&gt;&lt;foreign-keys&gt;&lt;key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198-199.</w:t>
      </w:r>
      <w:r w:rsidR="00AA2A48" w:rsidRPr="00DA6BE4">
        <w:rPr>
          <w:rFonts w:ascii="Times New Roman" w:hAnsi="Times New Roman" w:cs="Times New Roman"/>
        </w:rPr>
        <w:fldChar w:fldCharType="end"/>
      </w:r>
    </w:p>
  </w:footnote>
  <w:footnote w:id="18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AuthorYear="1"&gt;&lt;Author&gt;MacIntyre&lt;/Author&gt;&lt;Year&gt;1998&lt;/Year&gt;&lt;RecNum&gt;49&lt;/RecNum&gt;&lt;Pages&gt;194-200&lt;/Pages&gt;&lt;DisplayText&gt;Ibid., 194-200.&lt;/DisplayText&gt;&lt;record&gt;&lt;rec-number&gt;49&lt;/rec-number&gt;&lt;foreign-keys&gt;&lt;key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194-200.</w:t>
      </w:r>
      <w:r w:rsidR="00AA2A48" w:rsidRPr="00DA6BE4">
        <w:rPr>
          <w:rFonts w:ascii="Times New Roman" w:hAnsi="Times New Roman" w:cs="Times New Roman"/>
        </w:rPr>
        <w:fldChar w:fldCharType="end"/>
      </w:r>
    </w:p>
  </w:footnote>
  <w:footnote w:id="18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AuthorYear="1"&gt;&lt;Author&gt;MacIntyre&lt;/Author&gt;&lt;Year&gt;1984&lt;/Year&gt;&lt;RecNum&gt;48&lt;/RecNum&gt;&lt;Pages&gt;xi`, 162-163`,196&lt;/Pages&gt;&lt;DisplayText&gt;MacIntyre, &lt;style face="italic"&gt;After Virtue&lt;/style&gt;, xi, 162-163,196.&lt;/DisplayText&gt;&lt;record&gt;&lt;rec-number&gt;48&lt;/rec-number&gt;&lt;foreign-keys&gt;&lt;key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xi, 162-163,196.</w:t>
      </w:r>
      <w:r w:rsidR="00AA2A48" w:rsidRPr="00DA6BE4">
        <w:rPr>
          <w:rFonts w:ascii="Times New Roman" w:hAnsi="Times New Roman" w:cs="Times New Roman"/>
        </w:rPr>
        <w:fldChar w:fldCharType="end"/>
      </w:r>
    </w:p>
  </w:footnote>
  <w:footnote w:id="18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&lt;EndNote&gt;&lt;Cite&gt;&lt;Author&gt;MacIntyre&lt;/Author&gt;&lt;Year&gt;2006&lt;/Year&gt;&lt;RecNum&gt;120&lt;/RecNum&gt;&lt;DisplayText&gt;Alasdair MacIntyre, &amp;quot;Rival Aristotle’s: Aristotle against Some Renaissance Aristotelians,&amp;quot; in &lt;style face="italic"&gt;Ethics and Politics: Selected Essays Vol. 2&lt;/style&gt; (Cambridge: Cambridge University Press, 2006).&lt;/DisplayText&gt;&lt;record&gt;&lt;rec-number&gt;120&lt;/rec-number&gt;&lt;foreign-keys&gt;&lt;key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"Rival Aristotle’s: Aristotle against Some Renaissance Aristotelians," in </w:t>
      </w:r>
      <w:r w:rsidRPr="00DA6BE4">
        <w:rPr>
          <w:rFonts w:ascii="Times New Roman" w:hAnsi="Times New Roman" w:cs="Times New Roman"/>
          <w:i/>
          <w:noProof/>
        </w:rPr>
        <w:t>Ethics and Politics: Selected Essays Vol. 2</w:t>
      </w:r>
      <w:r w:rsidRPr="00DA6BE4">
        <w:rPr>
          <w:rFonts w:ascii="Times New Roman" w:hAnsi="Times New Roman" w:cs="Times New Roman"/>
          <w:noProof/>
        </w:rPr>
        <w:t xml:space="preserve"> (Cambridge: Cambridge University Press, 2006).</w:t>
      </w:r>
      <w:r w:rsidR="00AA2A48" w:rsidRPr="00DA6BE4">
        <w:rPr>
          <w:rFonts w:ascii="Times New Roman" w:hAnsi="Times New Roman" w:cs="Times New Roman"/>
        </w:rPr>
        <w:fldChar w:fldCharType="end"/>
      </w:r>
      <w:r w:rsidRPr="00DA6BE4">
        <w:rPr>
          <w:rFonts w:ascii="Times New Roman" w:hAnsi="Times New Roman" w:cs="Times New Roman"/>
        </w:rPr>
        <w:t xml:space="preserve"> This paper was originally presented as part of the (1997/1998) Brian O’Neill Memorial Lecture Series. MacIntyre makes a similar argument in ‘John Case: An Example of </w:t>
      </w:r>
      <w:proofErr w:type="spellStart"/>
      <w:r w:rsidRPr="00DA6BE4">
        <w:rPr>
          <w:rFonts w:ascii="Times New Roman" w:hAnsi="Times New Roman" w:cs="Times New Roman"/>
        </w:rPr>
        <w:t>Aristotelianism’s</w:t>
      </w:r>
      <w:proofErr w:type="spellEnd"/>
      <w:r w:rsidRPr="00DA6BE4">
        <w:rPr>
          <w:rFonts w:ascii="Times New Roman" w:hAnsi="Times New Roman" w:cs="Times New Roman"/>
        </w:rPr>
        <w:t xml:space="preserve"> Self-Subversion’.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&lt;EndNote&gt;&lt;Cite&gt;&lt;Author&gt;MacIntyre&lt;/Author&gt;&lt;Year&gt;1999&lt;/Year&gt;&lt;RecNum&gt;167&lt;/RecNum&gt;&lt;Pages&gt;71-82&lt;/Pages&gt;&lt;DisplayText&gt;Alasdair MacIntyre, &amp;quot;John Case: An Example of Aristotelianism&amp;apos;s Self-Subversion?,&amp;quot; in &lt;style face="italic"&gt;Recovering Nature: Essays in Natural Philosophy, Ethics, and Metaphysics in Honor of Ralph Mcinerny&lt;/style&gt;, ed. Thomas Hibbs John P. O’Callaghan (Notre Dame, Indiana: University of Notre Dame Press, 1999), 71-82.&lt;/DisplayText&gt;&lt;record&gt;&lt;rec-number&gt;167&lt;/rec-number&gt;&lt;foreign-keys&gt;&lt;key app="EN" db-id="vxze0a2pwrt959ep2afxdw5cat595wt9sv95" timestamp="1525055922"&gt;167&lt;/key&gt;&lt;/foreign-keys&gt;&lt;ref-type name="Book Section"&gt;5&lt;/ref-type&gt;&lt;contributors&gt;&lt;authors&gt;&lt;author&gt;MacIntyre, Alasdair&lt;/author&gt;&lt;/authors&gt;&lt;secondary-authors&gt;&lt;author&gt;John P. O’Callaghan, Thomas Hibbs&lt;/author&gt;&lt;/secondary-authors&gt;&lt;/contributors&gt;&lt;titles&gt;&lt;title&gt;John Case: An Example of Aristotelianism&amp;apos;s Self-Subversion?&lt;/title&gt;&lt;secondary-title&gt;Recovering Nature: Essays in Natural Philosophy, Ethics, and Metaphysics in Honor of Ralph McInerny&lt;/secondary-title&gt;&lt;/titles&gt;&lt;pages&gt;71-82&lt;/pages&gt;&lt;dates&gt;&lt;year&gt;1999&lt;/year&gt;&lt;/dates&gt;&lt;pub-location&gt;Notre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"John Case: An Example of Aristotelianism's Self-Subversion?," in </w:t>
      </w:r>
      <w:r w:rsidRPr="00D04700">
        <w:rPr>
          <w:rFonts w:ascii="Times New Roman" w:hAnsi="Times New Roman" w:cs="Times New Roman"/>
          <w:i/>
          <w:noProof/>
        </w:rPr>
        <w:t>Recovering Nature: Essays in Natural Philosophy, Ethics, and Metaphysics in Honor of Ralph Mcinerny</w:t>
      </w:r>
      <w:r>
        <w:rPr>
          <w:rFonts w:ascii="Times New Roman" w:hAnsi="Times New Roman" w:cs="Times New Roman"/>
          <w:noProof/>
        </w:rPr>
        <w:t>, ed. Thomas Hibbs John P. O’Callaghan (Notre Dame, Indiana: University of Notre Dame Press, 1999), 71-82.</w:t>
      </w:r>
      <w:r w:rsidR="00AA2A48" w:rsidRPr="00DA6BE4">
        <w:rPr>
          <w:rFonts w:ascii="Times New Roman" w:hAnsi="Times New Roman" w:cs="Times New Roman"/>
        </w:rPr>
        <w:fldChar w:fldCharType="end"/>
      </w:r>
    </w:p>
  </w:footnote>
  <w:footnote w:id="18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&lt;EndNote&gt;&lt;Cite&gt;&lt;Author&gt;MacIntyre&lt;/Author&gt;&lt;Year&gt;2006&lt;/Year&gt;&lt;RecNum&gt;95&lt;/RecNum&gt;&lt;Pages&gt;41-64&lt;/Pages&gt;&lt;DisplayText&gt;Alasdair MacIntyre, &amp;quot;Natural Law as Subversive: The Case of Aquinas,&amp;quot; in &lt;style face="italic"&gt;Ethics and Politics&lt;/style&gt; (Cambridge, UK: Cambridge University Press, 2006), 41-64.&lt;/DisplayText&gt;&lt;record&gt;&lt;rec-number&gt;95&lt;/rec-number&gt;&lt;foreign-keys&gt;&lt;key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"Natural Law as Subversive: The Case of Aquinas," in </w:t>
      </w:r>
      <w:r w:rsidRPr="00D04700">
        <w:rPr>
          <w:rFonts w:ascii="Times New Roman" w:hAnsi="Times New Roman" w:cs="Times New Roman"/>
          <w:i/>
          <w:noProof/>
        </w:rPr>
        <w:t>Ethics and Politics</w:t>
      </w:r>
      <w:r>
        <w:rPr>
          <w:rFonts w:ascii="Times New Roman" w:hAnsi="Times New Roman" w:cs="Times New Roman"/>
          <w:noProof/>
        </w:rPr>
        <w:t xml:space="preserve"> (Cambridge, UK: Cambridge University Press, 2006), 41-64.</w:t>
      </w:r>
      <w:r w:rsidR="00AA2A48" w:rsidRPr="00DA6BE4">
        <w:rPr>
          <w:rFonts w:ascii="Times New Roman" w:hAnsi="Times New Roman" w:cs="Times New Roman"/>
        </w:rPr>
        <w:fldChar w:fldCharType="end"/>
      </w:r>
    </w:p>
  </w:footnote>
  <w:footnote w:id="18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AuthorYear="1"&gt;&lt;Author&gt;MacIntyre&lt;/Author&gt;&lt;Year&gt;2006&lt;/Year&gt;&lt;RecNum&gt;95&lt;/RecNum&gt;&lt;DisplayText&gt;Ibid.&lt;/DisplayText&gt;&lt;record&gt;&lt;rec-number&gt;95&lt;/rec-number&gt;&lt;foreign-keys&gt;&lt;key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18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w:t>
      </w:r>
      <w:r w:rsidRPr="00DA6BE4">
        <w:rPr>
          <w:rFonts w:ascii="Times New Roman" w:hAnsi="Times New Roman" w:cs="Times New Roman"/>
          <w:i/>
        </w:rPr>
        <w:t>After Virtue</w:t>
      </w:r>
      <w:r w:rsidRPr="00DA6BE4">
        <w:rPr>
          <w:rFonts w:ascii="Times New Roman" w:hAnsi="Times New Roman" w:cs="Times New Roman"/>
        </w:rPr>
        <w:t xml:space="preserve"> MacIntyre does discuss the fact/value distinction, but the discussion in that work does not amount to a successful and forceful challenge that can undermine this distinction.</w:t>
      </w:r>
    </w:p>
  </w:footnote>
  <w:footnote w:id="18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&lt;EndNote&gt;&lt;Cite&gt;&lt;RecNum&gt;0&lt;/RecNum&gt;&lt;Note&gt;Of course if we are to successfully reconstitute a functional account of human nature, such an account cannot be framed in terms of Aristotle’s metaphysics; instead, it ought to be structured in terms of an historically sensitive and empirically informed, sociological-psychological account of human beings.&lt;/Note&gt;&lt;DisplayText&gt;Of course if we are to successfully reconstitute a functional account of human nature, such an account cannot be framed in terms of Aristotle’s metaphysics; instead, it ought to be structured in terms of an historically sensitive and empirically informed, sociological-psychological account of human beings.&lt;/DisplayText&gt;&lt;/Cite&gt;&lt;/EndNote&gt;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Of course if we are to successfully reconstitute a functional account of human nature, such an account cannot be framed in terms of Aristotle’s metaphysics; instead, it ought to be structured in terms of an historically sensitive and empirically informed, sociological-psychological account of human beings.</w:t>
      </w:r>
      <w:r w:rsidR="00AA2A48" w:rsidRPr="00DA6BE4">
        <w:rPr>
          <w:rFonts w:ascii="Times New Roman" w:hAnsi="Times New Roman" w:cs="Times New Roman"/>
        </w:rPr>
        <w:fldChar w:fldCharType="end"/>
      </w:r>
    </w:p>
  </w:footnote>
  <w:footnote w:id="18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AuthorYear="1"&gt;&lt;Author&gt;MacIntyre&lt;/Author&gt;&lt;Year&gt;2006&lt;/Year&gt;&lt;RecNum&gt;120&lt;/RecNum&gt;&lt;Pages&gt;3&lt;/Pages&gt;&lt;DisplayText&gt;MacIntyre, &amp;quot;Rival Aristotle’s: Aristotle against Some Renaissance Aristotelians,&amp;quot; 3.&lt;/DisplayText&gt;&lt;record&gt;&lt;rec-number&gt;120&lt;/rec-number&gt;&lt;foreign-keys&gt;&lt;key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"Rival Aristotle’s: Aristotle against Some Renaissance Aristotelians," 3.</w:t>
      </w:r>
      <w:r w:rsidR="00AA2A48" w:rsidRPr="00DA6BE4">
        <w:rPr>
          <w:rFonts w:ascii="Times New Roman" w:hAnsi="Times New Roman" w:cs="Times New Roman"/>
        </w:rPr>
        <w:fldChar w:fldCharType="end"/>
      </w:r>
    </w:p>
  </w:footnote>
  <w:footnote w:id="19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AuthorYear="1"&gt;&lt;Author&gt;MacIntyre&lt;/Author&gt;&lt;Year&gt;2006&lt;/Year&gt;&lt;RecNum&gt;120&lt;/RecNum&gt;&lt;Pages&gt;10-11&lt;/Pages&gt;&lt;DisplayText&gt;Ibid., 10-11.&lt;/DisplayText&gt;&lt;record&gt;&lt;rec-number&gt;120&lt;/rec-number&gt;&lt;foreign-keys&gt;&lt;key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10-11.</w:t>
      </w:r>
      <w:r w:rsidR="00AA2A48" w:rsidRPr="00DA6BE4">
        <w:rPr>
          <w:rFonts w:ascii="Times New Roman" w:hAnsi="Times New Roman" w:cs="Times New Roman"/>
        </w:rPr>
        <w:fldChar w:fldCharType="end"/>
      </w:r>
    </w:p>
  </w:footnote>
  <w:footnote w:id="19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AuthorYear="1"&gt;&lt;Author&gt;MacIntyre&lt;/Author&gt;&lt;Year&gt;2006&lt;/Year&gt;&lt;RecNum&gt;120&lt;/RecNum&gt;&lt;Pages&gt;11&lt;/Pages&gt;&lt;DisplayText&gt;Ibid., 11.&lt;/DisplayText&gt;&lt;record&gt;&lt;rec-number&gt;120&lt;/rec-number&gt;&lt;foreign-keys&gt;&lt;key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w:t>
      </w:r>
      <w:r w:rsidR="00AA2A48" w:rsidRPr="00DA6BE4">
        <w:rPr>
          <w:rFonts w:ascii="Times New Roman" w:hAnsi="Times New Roman" w:cs="Times New Roman"/>
        </w:rPr>
        <w:fldChar w:fldCharType="end"/>
      </w:r>
    </w:p>
  </w:footnote>
  <w:footnote w:id="192">
    <w:p w:rsidR="00D810CC" w:rsidRPr="006E433D"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6E433D">
        <w:rPr>
          <w:rFonts w:ascii="Times New Roman" w:hAnsi="Times New Roman" w:cs="Times New Roman"/>
        </w:rPr>
        <w:t xml:space="preserve"> </w:t>
      </w:r>
      <w:r w:rsidR="00AA2A48" w:rsidRPr="006E433D">
        <w:rPr>
          <w:rFonts w:ascii="Times New Roman" w:hAnsi="Times New Roman" w:cs="Times New Roman"/>
        </w:rPr>
        <w:fldChar w:fldCharType="begin"/>
      </w:r>
      <w:r w:rsidRPr="006E433D">
        <w:rPr>
          <w:rFonts w:ascii="Times New Roman" w:hAnsi="Times New Roman" w:cs="Times New Roman"/>
        </w:rPr>
        <w:instrText xml:space="preserve"> ADDIN EN.CITE &lt;EndNote&gt;&lt;Cite&gt;&lt;Author&gt;MacIntyre&lt;/Author&gt;&lt;Year&gt;2006&lt;/Year&gt;&lt;RecNum&gt;120&lt;/RecNum&gt;&lt;Pages&gt;12&lt;/Pages&gt;&lt;DisplayText&gt;Ibid., 12.&lt;/DisplayText&gt;&lt;record&gt;&lt;rec-number&gt;120&lt;/rec-number&gt;&lt;foreign-keys&gt;&lt;key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6E433D">
        <w:rPr>
          <w:rFonts w:ascii="Times New Roman" w:hAnsi="Times New Roman" w:cs="Times New Roman"/>
        </w:rPr>
        <w:fldChar w:fldCharType="separate"/>
      </w:r>
      <w:r w:rsidRPr="006E433D">
        <w:rPr>
          <w:rFonts w:ascii="Times New Roman" w:hAnsi="Times New Roman" w:cs="Times New Roman"/>
          <w:noProof/>
        </w:rPr>
        <w:t>Ibid., 12.</w:t>
      </w:r>
      <w:r w:rsidR="00AA2A48" w:rsidRPr="006E433D">
        <w:rPr>
          <w:rFonts w:ascii="Times New Roman" w:hAnsi="Times New Roman" w:cs="Times New Roman"/>
        </w:rPr>
        <w:fldChar w:fldCharType="end"/>
      </w:r>
    </w:p>
  </w:footnote>
  <w:footnote w:id="193">
    <w:p w:rsidR="00D810CC" w:rsidRPr="009C37AC" w:rsidRDefault="00D810CC">
      <w:pPr>
        <w:pStyle w:val="FootnoteText"/>
        <w:rPr>
          <w:lang w:val="en-CA"/>
        </w:rPr>
      </w:pPr>
      <w:r w:rsidRPr="006E433D">
        <w:rPr>
          <w:rStyle w:val="FootnoteReference"/>
          <w:rFonts w:ascii="Times New Roman" w:hAnsi="Times New Roman" w:cs="Times New Roman"/>
        </w:rPr>
        <w:footnoteRef/>
      </w:r>
      <w:r w:rsidRPr="006E433D">
        <w:rPr>
          <w:rFonts w:ascii="Times New Roman" w:hAnsi="Times New Roman" w:cs="Times New Roman"/>
        </w:rPr>
        <w:t xml:space="preserve"> The Greek word </w:t>
      </w:r>
      <w:proofErr w:type="spellStart"/>
      <w:r w:rsidRPr="006E433D">
        <w:rPr>
          <w:rFonts w:ascii="Times New Roman" w:hAnsi="Times New Roman" w:cs="Times New Roman"/>
          <w:iCs/>
        </w:rPr>
        <w:t>phronēsis</w:t>
      </w:r>
      <w:proofErr w:type="spellEnd"/>
      <w:r w:rsidRPr="006E433D">
        <w:rPr>
          <w:rFonts w:ascii="Times New Roman" w:hAnsi="Times New Roman" w:cs="Times New Roman"/>
        </w:rPr>
        <w:t xml:space="preserve"> </w:t>
      </w:r>
      <w:r w:rsidRPr="006E433D">
        <w:rPr>
          <w:rFonts w:ascii="Times New Roman" w:hAnsi="Times New Roman" w:cs="Times New Roman"/>
          <w:lang w:val="en-CA"/>
        </w:rPr>
        <w:t xml:space="preserve">approximately translates to the word prudence. However this definition is more of a mistranslation since the meaning of Aristotle’s </w:t>
      </w:r>
      <w:proofErr w:type="spellStart"/>
      <w:r w:rsidRPr="006E433D">
        <w:rPr>
          <w:rFonts w:ascii="Times New Roman" w:hAnsi="Times New Roman" w:cs="Times New Roman"/>
          <w:iCs/>
        </w:rPr>
        <w:t>phronēsis</w:t>
      </w:r>
      <w:proofErr w:type="spellEnd"/>
      <w:r w:rsidRPr="006E433D">
        <w:rPr>
          <w:rFonts w:ascii="Times New Roman" w:hAnsi="Times New Roman" w:cs="Times New Roman"/>
        </w:rPr>
        <w:t xml:space="preserve"> </w:t>
      </w:r>
      <w:r w:rsidRPr="006E433D">
        <w:rPr>
          <w:rFonts w:ascii="Times New Roman" w:hAnsi="Times New Roman" w:cs="Times New Roman"/>
          <w:lang w:val="en-CA"/>
        </w:rPr>
        <w:t>is very much different than the modern conception of the word prudence.</w:t>
      </w:r>
    </w:p>
  </w:footnote>
  <w:footnote w:id="19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&lt;EndNote&gt;&lt;Cite&gt;&lt;Author&gt;MacIntyre&lt;/Author&gt;&lt;Year&gt;2006&lt;/Year&gt;&lt;RecNum&gt;120&lt;/RecNum&gt;&lt;Pages&gt;13&lt;/Pages&gt;&lt;DisplayText&gt;Ibid., 13.&lt;/DisplayText&gt;&lt;record&gt;&lt;rec-number&gt;120&lt;/rec-number&gt;&lt;foreign-keys&gt;&lt;key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w:t>
      </w:r>
      <w:r w:rsidR="00AA2A48" w:rsidRPr="00DA6BE4">
        <w:rPr>
          <w:rFonts w:ascii="Times New Roman" w:hAnsi="Times New Roman" w:cs="Times New Roman"/>
        </w:rPr>
        <w:fldChar w:fldCharType="end"/>
      </w:r>
    </w:p>
  </w:footnote>
  <w:footnote w:id="19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&lt;EndNote&gt;&lt;Cite&gt;&lt;Author&gt;MacIntyre&lt;/Author&gt;&lt;Year&gt;2006&lt;/Year&gt;&lt;RecNum&gt;120&lt;/RecNum&gt;&lt;Pages&gt;15&lt;/Pages&gt;&lt;DisplayText&gt;Ibid., 15.&lt;/DisplayText&gt;&lt;record&gt;&lt;rec-number&gt;120&lt;/rec-number&gt;&lt;foreign-keys&gt;&lt;key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w:t>
      </w:r>
      <w:r w:rsidR="00AA2A48" w:rsidRPr="00DA6BE4">
        <w:rPr>
          <w:rFonts w:ascii="Times New Roman" w:hAnsi="Times New Roman" w:cs="Times New Roman"/>
        </w:rPr>
        <w:fldChar w:fldCharType="end"/>
      </w:r>
    </w:p>
  </w:footnote>
  <w:footnote w:id="19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&lt;EndNote&gt;&lt;Cite&gt;&lt;Author&gt;MacIntyre&lt;/Author&gt;&lt;Year&gt;2006&lt;/Year&gt;&lt;RecNum&gt;120&lt;/RecNum&gt;&lt;Pages&gt;16&lt;/Pages&gt;&lt;DisplayText&gt;Ibid., 16.&lt;/DisplayText&gt;&lt;record&gt;&lt;rec-number&gt;120&lt;/rec-number&gt;&lt;foreign-keys&gt;&lt;key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w:t>
      </w:r>
      <w:r w:rsidR="00AA2A48" w:rsidRPr="00DA6BE4">
        <w:rPr>
          <w:rFonts w:ascii="Times New Roman" w:hAnsi="Times New Roman" w:cs="Times New Roman"/>
        </w:rPr>
        <w:fldChar w:fldCharType="end"/>
      </w:r>
    </w:p>
  </w:footnote>
  <w:footnote w:id="19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&lt;EndNote&gt;&lt;Cite&gt;&lt;Author&gt;MacIntyre&lt;/Author&gt;&lt;Year&gt;2006&lt;/Year&gt;&lt;RecNum&gt;120&lt;/RecNum&gt;&lt;DisplayText&gt;Ibid.&lt;/DisplayText&gt;&lt;record&gt;&lt;rec-number&gt;120&lt;/rec-number&gt;&lt;foreign-keys&gt;&lt;key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19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For example, in ‘John Case: An Example of </w:t>
      </w:r>
      <w:proofErr w:type="spellStart"/>
      <w:r w:rsidRPr="00DA6BE4">
        <w:rPr>
          <w:rFonts w:ascii="Times New Roman" w:hAnsi="Times New Roman" w:cs="Times New Roman"/>
        </w:rPr>
        <w:t>Aristotelianism’s</w:t>
      </w:r>
      <w:proofErr w:type="spellEnd"/>
      <w:r w:rsidRPr="00DA6BE4">
        <w:rPr>
          <w:rFonts w:ascii="Times New Roman" w:hAnsi="Times New Roman" w:cs="Times New Roman"/>
        </w:rPr>
        <w:t xml:space="preserve"> Self-Subversion,’ MacIntyre makes precisely the same point, with respect to Case’s deviation from the Aristotelian account of education.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&lt;EndNote&gt;&lt;Cite&gt;&lt;RecNum&gt;0&lt;/RecNum&gt;&lt;Note&gt;I take it that MacIntyre wants to suggest that Renaissance Aristotelians, taken together as a whole, more or less made the mistake of revising Aristotle in ways that undermined Aristotelian ethics altogether.&lt;/Note&gt;&lt;DisplayText&gt;I take it that MacIntyre wants to suggest that Renaissance Aristotelians, taken together as a whole, more or less made the mistake of revising Aristotle in ways that undermined Aristotelian ethics altogether.&lt;/DisplayText&gt;&lt;/Cite&gt;&lt;/EndNote&gt;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 take it that MacIntyre wants to suggest that Renaissance Aristotelians, taken together as a whole, more or less made the mistake of revising Aristotle in ways that undermined Aristotelian ethics altogether.</w:t>
      </w:r>
      <w:r w:rsidR="00AA2A48" w:rsidRPr="00DA6BE4">
        <w:rPr>
          <w:rFonts w:ascii="Times New Roman" w:hAnsi="Times New Roman" w:cs="Times New Roman"/>
        </w:rPr>
        <w:fldChar w:fldCharType="end"/>
      </w:r>
    </w:p>
  </w:footnote>
  <w:footnote w:id="19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&lt;EndNote&gt;&lt;Cite&gt;&lt;RecNum&gt;0&lt;/RecNum&gt;&lt;Note&gt;Leonardo Bruni taught in the early 15th century; John Case was a teacher at Oxford in the late 16th century.&lt;/Note&gt;&lt;DisplayText&gt;Leonardo Bruni taught in the early 15th century; John Case was a teacher at Oxford in the late 16th century.&lt;/DisplayText&gt;&lt;/Cite&gt;&lt;/EndNote&gt;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Leonardo Bruni taught in the early 15th century; John Case was a teacher at Oxford in the late 16th century.</w:t>
      </w:r>
      <w:r w:rsidR="00AA2A48" w:rsidRPr="00DA6BE4">
        <w:rPr>
          <w:rFonts w:ascii="Times New Roman" w:hAnsi="Times New Roman" w:cs="Times New Roman"/>
        </w:rPr>
        <w:fldChar w:fldCharType="end"/>
      </w:r>
    </w:p>
  </w:footnote>
  <w:footnote w:id="20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&lt;EndNote&gt;&lt;Cite&gt;&lt;Author&gt;MacIntyre&lt;/Author&gt;&lt;Year&gt;2006&lt;/Year&gt;&lt;RecNum&gt;120&lt;/RecNum&gt;&lt;Pages&gt;9-10&lt;/Pages&gt;&lt;DisplayText&gt;MacIntyre, &amp;quot;Rival Aristotle’s: Aristotle against Some Renaissance Aristotelians,&amp;quot; 9-10.&lt;/DisplayText&gt;&lt;record&gt;&lt;rec-number&gt;120&lt;/rec-number&gt;&lt;foreign-keys&gt;&lt;key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"Rival Aristotle’s: Aristotle against Some Renaissance Aristotelians," 9-10.</w:t>
      </w:r>
      <w:r w:rsidR="00AA2A48" w:rsidRPr="00DA6BE4">
        <w:rPr>
          <w:rFonts w:ascii="Times New Roman" w:hAnsi="Times New Roman" w:cs="Times New Roman"/>
        </w:rPr>
        <w:fldChar w:fldCharType="end"/>
      </w:r>
    </w:p>
  </w:footnote>
  <w:footnote w:id="20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&lt;EndNote&gt;&lt;Cite&gt;&lt;Author&gt;MacIntyre&lt;/Author&gt;&lt;Year&gt;2006&lt;/Year&gt;&lt;RecNum&gt;120&lt;/RecNum&gt;&lt;Pages&gt;10&lt;/Pages&gt;&lt;DisplayText&gt;Ibid., 10.&lt;/DisplayText&gt;&lt;record&gt;&lt;rec-number&gt;120&lt;/rec-number&gt;&lt;foreign-keys&gt;&lt;key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w:t>
      </w:r>
      <w:r w:rsidR="00AA2A48" w:rsidRPr="00DA6BE4">
        <w:rPr>
          <w:rFonts w:ascii="Times New Roman" w:hAnsi="Times New Roman" w:cs="Times New Roman"/>
        </w:rPr>
        <w:fldChar w:fldCharType="end"/>
      </w:r>
    </w:p>
  </w:footnote>
  <w:footnote w:id="202">
    <w:p w:rsidR="00D810CC" w:rsidRPr="00DA6BE4" w:rsidRDefault="00D810CC">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&lt;EndNote&gt;&lt;Cite&gt;&lt;Author&gt;MacIntyre&lt;/Author&gt;&lt;Year&gt;2006&lt;/Year&gt;&lt;RecNum&gt;120&lt;/RecNum&gt;&lt;Pages&gt;21&lt;/Pages&gt;&lt;DisplayText&gt;Ibid., 21.&lt;/DisplayText&gt;&lt;record&gt;&lt;rec-number&gt;120&lt;/rec-number&gt;&lt;foreign-keys&gt;&lt;key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21.</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&lt;EndNote&gt;&lt;Cite&gt;&lt;Author&gt;MacIntyre&lt;/Author&gt;&lt;Year&gt;1999&lt;/Year&gt;&lt;RecNum&gt;167&lt;/RecNum&gt;&lt;Pages&gt;71`, 81&lt;/Pages&gt;&lt;DisplayText&gt;MacIntyre, &amp;quot;John Case: An Example of Aristotelianism&amp;apos;s Self-Subversion?,&amp;quot; 71, 81.&lt;/DisplayText&gt;&lt;record&gt;&lt;rec-number&gt;167&lt;/rec-number&gt;&lt;foreign-keys&gt;&lt;key app="EN" db-id="vxze0a2pwrt959ep2afxdw5cat595wt9sv95" timestamp="1525055922"&gt;167&lt;/key&gt;&lt;/foreign-keys&gt;&lt;ref-type name="Book Section"&gt;5&lt;/ref-type&gt;&lt;contributors&gt;&lt;authors&gt;&lt;author&gt;MacIntyre, Alasdair&lt;/author&gt;&lt;/authors&gt;&lt;secondary-authors&gt;&lt;author&gt;John P. O’Callaghan, Thomas Hibbs&lt;/author&gt;&lt;/secondary-authors&gt;&lt;/contributors&gt;&lt;titles&gt;&lt;title&gt;John Case: An Example of Aristotelianism&amp;apos;s Self-Subversion?&lt;/title&gt;&lt;secondary-title&gt;Recovering Nature: Essays in Natural Philosophy, Ethics, and Metaphysics in Honor of Ralph McInerny&lt;/secondary-title&gt;&lt;/titles&gt;&lt;pages&gt;71-82&lt;/pages&gt;&lt;dates&gt;&lt;year&gt;1999&lt;/year&gt;&lt;/dates&gt;&lt;pub-location&gt;Notre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"John Case: An Example of Aristotelianism's Self-Subversion?," 71, 81.</w:t>
      </w:r>
      <w:r w:rsidR="00AA2A48" w:rsidRPr="00DA6BE4">
        <w:rPr>
          <w:rFonts w:ascii="Times New Roman" w:hAnsi="Times New Roman" w:cs="Times New Roman"/>
        </w:rPr>
        <w:fldChar w:fldCharType="end"/>
      </w:r>
      <w:r w:rsidRPr="00DA6BE4">
        <w:rPr>
          <w:rFonts w:ascii="Times New Roman" w:hAnsi="Times New Roman" w:cs="Times New Roman"/>
        </w:rPr>
        <w:t xml:space="preserve"> MacIntyre states: “There is certainly no single answer, but sometimes at least it seems to have been the case that moral and political </w:t>
      </w:r>
      <w:proofErr w:type="spellStart"/>
      <w:r w:rsidRPr="00DA6BE4">
        <w:rPr>
          <w:rFonts w:ascii="Times New Roman" w:hAnsi="Times New Roman" w:cs="Times New Roman"/>
        </w:rPr>
        <w:t>Aristotelianism</w:t>
      </w:r>
      <w:proofErr w:type="spellEnd"/>
      <w:r w:rsidRPr="00DA6BE4">
        <w:rPr>
          <w:rFonts w:ascii="Times New Roman" w:hAnsi="Times New Roman" w:cs="Times New Roman"/>
        </w:rPr>
        <w:t xml:space="preserve"> has been self-subverting, that it has been its protagonists who brought about its downfall.” And “even if the scientific, theological, and social climate of Western Europe of the early seventeenth century had not been in these ways inhospitable to Aristotle’s moral philosophy, that moral philosophy would still have fallen into disfavour and deservedly so…Because it would have been discredited by the unfounded claims made for it by some of its sixteenth-century teachers.”</w:t>
      </w:r>
    </w:p>
  </w:footnote>
  <w:footnote w:id="20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&lt;EndNote&gt;&lt;Cite&gt;&lt;Author&gt;MacIntyre&lt;/Author&gt;&lt;Year&gt;2006&lt;/Year&gt;&lt;RecNum&gt;120&lt;/RecNum&gt;&lt;Pages&gt;21&lt;/Pages&gt;&lt;DisplayText&gt;MacIntyre, &amp;quot;Rival Aristotle’s: Aristotle against Some Renaissance Aristotelians,&amp;quot; 21.&lt;/DisplayText&gt;&lt;record&gt;&lt;rec-number&gt;120&lt;/rec-number&gt;&lt;foreign-keys&gt;&lt;key app="EN" db-id="vxze0a2pwrt959ep2afxdw5cat595wt9sv95" timestamp="1520804010"&gt;120&lt;/key&gt;&lt;/foreign-keys&gt;&lt;ref-type name="Book Section"&gt;5&lt;/ref-type&gt;&lt;contributors&gt;&lt;authors&gt;&lt;author&gt;MacIntyre, Alasdair&lt;/author&gt;&lt;/authors&gt;&lt;/contributors&gt;&lt;titles&gt;&lt;title&gt;Rival Aristotle’s: Aristotle against some Renaissance Aristotelians&lt;/title&gt;&lt;secondary-title&gt;Ethics and Politics: Selected Essays Vol. 2&lt;/secondary-title&gt;&lt;/titles&gt;&lt;pages&gt;3-21&lt;/pages&gt;&lt;volume&gt;2&lt;/volume&gt;&lt;num-vols&gt;2&lt;/num-vols&gt;&lt;section&gt;1&lt;/section&gt;&lt;dates&gt;&lt;year&gt;2006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"Rival Aristotle’s: Aristotle against Some Renaissance Aristotelians," 21.</w:t>
      </w:r>
      <w:r w:rsidR="00AA2A48" w:rsidRPr="00DA6BE4">
        <w:rPr>
          <w:rFonts w:ascii="Times New Roman" w:hAnsi="Times New Roman" w:cs="Times New Roman"/>
        </w:rPr>
        <w:fldChar w:fldCharType="end"/>
      </w:r>
    </w:p>
  </w:footnote>
  <w:footnote w:id="20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AuthorYear="1"&gt;&lt;Author&gt;MacIntyre&lt;/Author&gt;&lt;Year&gt;2006&lt;/Year&gt;&lt;RecNum&gt;95&lt;/RecNum&gt;&lt;DisplayText&gt;MacIntyre, &amp;quot;Natural Law as Subversive: The Case of Aquinas.&amp;quot;&lt;/DisplayText&gt;&lt;record&gt;&lt;rec-number&gt;95&lt;/rec-number&gt;&lt;foreign-keys&gt;&lt;key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"Natural Law as Subversive: The Case of Aquinas."</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AuthorYear="1"&gt;&lt;Author&gt;MacIntyre&lt;/Author&gt;&lt;Year&gt;1998&lt;/Year&gt;&lt;RecNum&gt;49&lt;/RecNum&gt;&lt;DisplayText&gt;MacIntyre, &amp;quot;First Principles, Final Ends, and Contemporary Philosophical Issues.&amp;quot;&lt;/DisplayText&gt;&lt;record&gt;&lt;rec-number&gt;49&lt;/rec-number&gt;&lt;foreign-keys&gt;&lt;key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"First Principles, Final Ends, and Contemporary Philosophical Issues."</w:t>
      </w:r>
      <w:r w:rsidR="00AA2A48" w:rsidRPr="00DA6BE4">
        <w:rPr>
          <w:rFonts w:ascii="Times New Roman" w:hAnsi="Times New Roman" w:cs="Times New Roman"/>
        </w:rPr>
        <w:fldChar w:fldCharType="end"/>
      </w:r>
    </w:p>
  </w:footnote>
  <w:footnote w:id="20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AuthorYear="1"&gt;&lt;Author&gt;MacIntyre&lt;/Author&gt;&lt;Year&gt;2006&lt;/Year&gt;&lt;RecNum&gt;95&lt;/RecNum&gt;&lt;DisplayText&gt;MacIntyre, &amp;quot;Natural Law as Subversive: The Case of Aquinas.&amp;quot;&lt;/DisplayText&gt;&lt;record&gt;&lt;rec-number&gt;95&lt;/rec-number&gt;&lt;foreign-keys&gt;&lt;key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"Natural Law as Subversive: The Case of Aquinas."</w:t>
      </w:r>
      <w:r w:rsidR="00AA2A48" w:rsidRPr="00DA6BE4">
        <w:rPr>
          <w:rFonts w:ascii="Times New Roman" w:hAnsi="Times New Roman" w:cs="Times New Roman"/>
        </w:rPr>
        <w:fldChar w:fldCharType="end"/>
      </w:r>
    </w:p>
  </w:footnote>
  <w:footnote w:id="20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&lt;EndNote&gt;&lt;Cite&gt;&lt;RecNum&gt;0&lt;/RecNum&gt;&lt;Note&gt;When referring to Christian morality the paradigmatic case that I have in mind here is St. Augustine.&lt;/Note&gt;&lt;DisplayText&gt;When referring to Christian morality the paradigmatic case that I have in mind here is St. Augustine.&lt;/DisplayText&gt;&lt;/Cite&gt;&lt;/EndNote&gt;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When referring to Christian morality the paradigmatic case that I have in mind here is St. Augustine.</w:t>
      </w:r>
      <w:r w:rsidR="00AA2A48" w:rsidRPr="00DA6BE4">
        <w:rPr>
          <w:rFonts w:ascii="Times New Roman" w:hAnsi="Times New Roman" w:cs="Times New Roman"/>
        </w:rPr>
        <w:fldChar w:fldCharType="end"/>
      </w:r>
    </w:p>
  </w:footnote>
  <w:footnote w:id="207">
    <w:p w:rsidR="00D810CC" w:rsidRPr="00DA6BE4" w:rsidRDefault="00D810CC">
      <w:pPr>
        <w:pStyle w:val="FootnoteText"/>
        <w:jc w:val="both"/>
        <w:rPr>
          <w:rFonts w:ascii="Times New Roman" w:hAnsi="Times New Roman" w:cs="Times New Roman"/>
          <w:i/>
        </w:rPr>
      </w:pPr>
      <w:r w:rsidRPr="00DA6BE4">
        <w:rPr>
          <w:rStyle w:val="FootnoteReference"/>
          <w:rFonts w:ascii="Times New Roman" w:hAnsi="Times New Roman" w:cs="Times New Roman"/>
        </w:rPr>
        <w:footnoteRef/>
      </w:r>
      <w:r w:rsidRPr="00DA6BE4">
        <w:rPr>
          <w:rFonts w:ascii="Times New Roman" w:hAnsi="Times New Roman" w:cs="Times New Roman"/>
        </w:rPr>
        <w:t xml:space="preserve"> Aquinas, Thomas, </w:t>
      </w:r>
      <w:r w:rsidRPr="00DA6BE4">
        <w:rPr>
          <w:rFonts w:ascii="Times New Roman" w:hAnsi="Times New Roman" w:cs="Times New Roman"/>
          <w:i/>
        </w:rPr>
        <w:t xml:space="preserve">Summa </w:t>
      </w:r>
      <w:proofErr w:type="spellStart"/>
      <w:r w:rsidRPr="00DA6BE4">
        <w:rPr>
          <w:rFonts w:ascii="Times New Roman" w:hAnsi="Times New Roman" w:cs="Times New Roman"/>
          <w:i/>
        </w:rPr>
        <w:t>Theologiae</w:t>
      </w:r>
      <w:proofErr w:type="spellEnd"/>
      <w:r w:rsidRPr="00DA6BE4">
        <w:rPr>
          <w:rFonts w:ascii="Times New Roman" w:hAnsi="Times New Roman" w:cs="Times New Roman"/>
        </w:rPr>
        <w:t xml:space="preserve">, 95, 2 (as cited in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AuthorYear="1"&gt;&lt;Author&gt;MacIntyre&lt;/Author&gt;&lt;Year&gt;2006&lt;/Year&gt;&lt;RecNum&gt;95&lt;/RecNum&gt;&lt;Pages&gt;48&lt;/Pages&gt;&lt;DisplayText&gt;MacIntyre, &amp;quot;Natural Law as Subversive: The Case of Aquinas,&amp;quot; 48.&lt;/DisplayText&gt;&lt;record&gt;&lt;rec-number&gt;95&lt;/rec-number&gt;&lt;foreign-keys&gt;&lt;key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"Natural Law as Subversive: The Case of Aquinas," 48.</w:t>
      </w:r>
      <w:r w:rsidR="00AA2A48" w:rsidRPr="00DA6BE4">
        <w:rPr>
          <w:rFonts w:ascii="Times New Roman" w:hAnsi="Times New Roman" w:cs="Times New Roman"/>
        </w:rPr>
        <w:fldChar w:fldCharType="end"/>
      </w:r>
      <w:r w:rsidRPr="00DA6BE4">
        <w:rPr>
          <w:rFonts w:ascii="Times New Roman" w:hAnsi="Times New Roman" w:cs="Times New Roman"/>
        </w:rPr>
        <w:t>).</w:t>
      </w:r>
    </w:p>
  </w:footnote>
  <w:footnote w:id="20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&lt;EndNote&gt;&lt;Cite&gt;&lt;Author&gt;MacIntyre&lt;/Author&gt;&lt;Year&gt;2006&lt;/Year&gt;&lt;RecNum&gt;95&lt;/RecNum&gt;&lt;Pages&gt;47-48&lt;/Pages&gt;&lt;DisplayText&gt;Ibid., 47-48.&lt;/DisplayText&gt;&lt;record&gt;&lt;rec-number&gt;95&lt;/rec-number&gt;&lt;foreign-keys&gt;&lt;key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47-48.</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&lt;EndNote&gt;&lt;Cite&gt;&lt;RecNum&gt;0&lt;/RecNum&gt;&lt;Note&gt;Here I accept MacIntyre’s reading of Aquinas’ natural law and natural reason; nevertheless, there are other views such as those represented by J.B. Schneewind and Suarez, both of whom maintained that adequate intellectual education and reasoning is a prerequisite to understanding Aquinas’ fundamental precepts of natural law.&lt;/Note&gt;&lt;DisplayText&gt;Here I accept MacIntyre’s reading of Aquinas’ natural law and natural reason; nevertheless, there are other views such as those represented by J.B. Schneewind and Suarez, both of whom maintained that adequate intellectual education and reasoning is a prerequisite to understanding Aquinas’ fundamental precepts of natural law.&lt;/DisplayText&gt;&lt;/Cite&gt;&lt;/EndNote&gt;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Here I accept MacIntyre’s reading of Aquinas’ natural law and natural reason; nevertheless, there are other views such as those represented by J.B. Schneewind and Suarez, both of whom maintained that adequate intellectual education and reasoning is a prerequisite to understanding Aquinas’ fundamental precepts of natural law.</w:t>
      </w:r>
      <w:r w:rsidR="00AA2A48" w:rsidRPr="00DA6BE4">
        <w:rPr>
          <w:rFonts w:ascii="Times New Roman" w:hAnsi="Times New Roman" w:cs="Times New Roman"/>
        </w:rPr>
        <w:fldChar w:fldCharType="end"/>
      </w:r>
    </w:p>
  </w:footnote>
  <w:footnote w:id="20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95&lt;/RecNum&gt;&lt;Pages&gt;47-48&lt;/Pages&gt;&lt;DisplayText&gt;Ibid.&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21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&lt;EndNote&gt;&lt;Cite&gt;&lt;Author&gt;MacIntyre&lt;/Author&gt;&lt;Year&gt;2006&lt;/Year&gt;&lt;RecNum&gt;95&lt;/RecNum&gt;&lt;Pages&gt;48&lt;/Pages&gt;&lt;DisplayText&gt;Ibid., 48.&lt;/DisplayText&gt;&lt;record&gt;&lt;rec-number&gt;95&lt;/rec-number&gt;&lt;foreign-keys&gt;&lt;key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48.</w:t>
      </w:r>
      <w:r w:rsidR="00AA2A48" w:rsidRPr="00DA6BE4">
        <w:rPr>
          <w:rFonts w:ascii="Times New Roman" w:hAnsi="Times New Roman" w:cs="Times New Roman"/>
        </w:rPr>
        <w:fldChar w:fldCharType="end"/>
      </w:r>
    </w:p>
  </w:footnote>
  <w:footnote w:id="21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&lt;EndNote&gt;&lt;Cite&gt;&lt;Author&gt;MacIntyre&lt;/Author&gt;&lt;Year&gt;2006&lt;/Year&gt;&lt;RecNum&gt;95&lt;/RecNum&gt;&lt;DisplayText&gt;ibid.&lt;/DisplayText&gt;&lt;record&gt;&lt;rec-number&gt;95&lt;/rec-number&gt;&lt;foreign-keys&gt;&lt;key app="EN" db-id="vxze0a2pwrt959ep2afxdw5cat595wt9sv95" timestamp="1444152833"&gt;95&lt;/key&gt;&lt;/foreign-keys&gt;&lt;ref-type name="Book Section"&gt;5&lt;/ref-type&gt;&lt;contributors&gt;&lt;authors&gt;&lt;author&gt;MacIntyre, Alasdair&lt;/author&gt;&lt;/authors&gt;&lt;/contributors&gt;&lt;titles&gt;&lt;title&gt;Natural law as subversive: the case of Aquinas&lt;/title&gt;&lt;secondary-title&gt;Ethics and Politics&lt;/secondary-title&gt;&lt;alt-title&gt;Web: http://dx.doi.org/10.1017/CBO9780511606670.004&lt;/alt-title&gt;&lt;/titles&gt;&lt;pages&gt;41-64&lt;/pages&gt;&lt;volume&gt;2&lt;/volume&gt;&lt;num-vols&gt;2&lt;/num-vols&gt;&lt;section&gt;3&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ibid.</w:t>
      </w:r>
      <w:r w:rsidR="00AA2A48" w:rsidRPr="00DA6BE4">
        <w:rPr>
          <w:rFonts w:ascii="Times New Roman" w:hAnsi="Times New Roman" w:cs="Times New Roman"/>
        </w:rPr>
        <w:fldChar w:fldCharType="end"/>
      </w:r>
    </w:p>
  </w:footnote>
  <w:footnote w:id="21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For example, they include a commitment to shared deliberation, promise keeping, or even the commitment by a leader to do whatever is necessary to protect his or her subjects. 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&lt;EndNote&gt;&lt;Cite&gt;&lt;Author&gt;MacIntyre&lt;/Author&gt;&lt;Year&gt;2011&lt;/Year&gt;&lt;RecNum&gt;166&lt;/RecNum&gt;&lt;Pages&gt;89-91&lt;/Pages&gt;&lt;DisplayText&gt;MacIntyre, &lt;style face="italic"&gt;God, Philosophy, Universities: A Selective History of the Catholic Philosophical Tradition&lt;/style&gt;, 89-91.&lt;/DisplayText&gt;&lt;record&gt;&lt;rec-number&gt;166&lt;/rec-number&gt;&lt;foreign-keys&gt;&lt;key app="EN" db-id="vxze0a2pwrt959ep2afxdw5cat595wt9sv95" timestamp="1524851095"&gt;166&lt;/key&gt;&lt;/foreign-keys&gt;&lt;ref-type name="Book"&gt;6&lt;/ref-type&gt;&lt;contributors&gt;&lt;authors&gt;&lt;author&gt;MacIntyre, Alasdair&lt;/author&gt;&lt;/authors&gt;&lt;/contributors&gt;&lt;titles&gt;&lt;title&gt;God, Philosophy, Universities: A Selective History of the Catholic Philosophical Tradition&lt;/title&gt;&lt;/titles&gt;&lt;dates&gt;&lt;year&gt;2011&lt;/year&gt;&lt;/dates&gt;&lt;pub-location&gt;Lanham, Maryland&lt;/pub-location&gt;&lt;publisher&gt;Rowman &amp;amp; Littlefield Publishers Inc.&lt;/publisher&gt;&lt;urls&gt;&lt;/urls&gt;&lt;/record&gt;&lt;/Cite&gt;&lt;/EndNote&gt;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 xml:space="preserve">MacIntyre, </w:t>
      </w:r>
      <w:r w:rsidRPr="00DA6BE4">
        <w:rPr>
          <w:rFonts w:ascii="Times New Roman" w:hAnsi="Times New Roman" w:cs="Times New Roman"/>
          <w:i/>
          <w:noProof/>
          <w:lang w:val="en-CA"/>
        </w:rPr>
        <w:t>God, Philosophy, Universities: A Selective History of the Catholic Philosophical Tradition</w:t>
      </w:r>
      <w:r w:rsidRPr="00DA6BE4">
        <w:rPr>
          <w:rFonts w:ascii="Times New Roman" w:hAnsi="Times New Roman" w:cs="Times New Roman"/>
          <w:noProof/>
          <w:lang w:val="en-CA"/>
        </w:rPr>
        <w:t>, 89-91.</w:t>
      </w:r>
      <w:r w:rsidR="00AA2A48" w:rsidRPr="00DA6BE4">
        <w:rPr>
          <w:rFonts w:ascii="Times New Roman" w:hAnsi="Times New Roman" w:cs="Times New Roman"/>
          <w:lang w:val="en-CA"/>
        </w:rPr>
        <w:fldChar w:fldCharType="end"/>
      </w:r>
    </w:p>
  </w:footnote>
  <w:footnote w:id="21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&lt;EndNote&gt;&lt;Cite&gt;&lt;Author&gt;Hoffmann&lt;/Author&gt;&lt;Year&gt;2012&lt;/Year&gt;&lt;RecNum&gt;161&lt;/RecNum&gt;&lt;Pages&gt;Chapter 19&lt;/Pages&gt;&lt;DisplayText&gt;Tobias Hoffmann, &amp;quot;Conscience and Synderesis,&amp;quot; in &lt;style face="italic"&gt;The Oxford Handbook of Aquinas&lt;/style&gt;, ed. Brian Davies (Oxford: Oxford University Press, 2012), Chapter 19.&lt;/DisplayText&gt;&lt;record&gt;&lt;rec-number&gt;161&lt;/rec-number&gt;&lt;foreign-keys&gt;&lt;key app="EN" db-id="vxze0a2pwrt959ep2afxdw5cat595wt9sv95" timestamp="1521926363"&gt;161&lt;/key&gt;&lt;/foreign-keys&gt;&lt;ref-type name="Book Section"&gt;5&lt;/ref-type&gt;&lt;contributors&gt;&lt;authors&gt;&lt;author&gt;Hoffmann, Tobias&lt;/author&gt;&lt;/authors&gt;&lt;secondary-authors&gt;&lt;author&gt;Davies, Brian&lt;/author&gt;&lt;/secondary-authors&gt;&lt;/contributors&gt;&lt;titles&gt;&lt;title&gt;Conscience and Synderesis&lt;/title&gt;&lt;secondary-title&gt;The Oxford Handbook of Aquinas&lt;/secondary-title&gt;&lt;/titles&gt;&lt;dates&gt;&lt;year&gt;2012&lt;/year&gt;&lt;/dates&gt;&lt;pub-location&gt;Oxford&lt;/pub-location&gt;&lt;publisher&gt;Oxford University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Tobias Hoffmann, "Conscience and Synderesis," in </w:t>
      </w:r>
      <w:r w:rsidRPr="003D3DF4">
        <w:rPr>
          <w:rFonts w:ascii="Times New Roman" w:hAnsi="Times New Roman" w:cs="Times New Roman"/>
          <w:i/>
          <w:noProof/>
        </w:rPr>
        <w:t>The Oxford Handbook of Aquinas</w:t>
      </w:r>
      <w:r>
        <w:rPr>
          <w:rFonts w:ascii="Times New Roman" w:hAnsi="Times New Roman" w:cs="Times New Roman"/>
          <w:noProof/>
        </w:rPr>
        <w:t>, ed. Brian Davies (Oxford: Oxford University Press, 2012), Chapter 19.</w:t>
      </w:r>
      <w:r w:rsidR="00AA2A48" w:rsidRPr="00DA6BE4">
        <w:rPr>
          <w:rFonts w:ascii="Times New Roman" w:hAnsi="Times New Roman" w:cs="Times New Roman"/>
        </w:rPr>
        <w:fldChar w:fldCharType="end"/>
      </w:r>
    </w:p>
  </w:footnote>
  <w:footnote w:id="21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&lt;EndNote&gt;&lt;Cite&gt;&lt;Author&gt;Schneewind&lt;/Author&gt;&lt;Year&gt;1990&lt;/Year&gt;&lt;RecNum&gt;14&lt;/RecNum&gt;&lt;Pages&gt;63&lt;/Pages&gt;&lt;DisplayText&gt;J. B. Schneewind, &amp;quot;The Misfortunes of Virtue,&amp;quot; &lt;style face="italic"&gt;Ethics&lt;/style&gt; 101, no. 1 (1990): 63.&lt;/DisplayText&gt;&lt;record&gt;&lt;rec-number&gt;14&lt;/rec-number&gt;&lt;foreign-keys&gt;&lt;key app="EN" db-id="vxze0a2pwrt959ep2afxdw5cat595wt9sv95" timestamp="1443691895"&gt;14&lt;/key&gt;&lt;/foreign-keys&gt;&lt;ref-type name="Journal Article"&gt;17&lt;/ref-type&gt;&lt;contributors&gt;&lt;authors&gt;&lt;author&gt;Schneewind, J. B.&lt;/author&gt;&lt;/authors&gt;&lt;/contributors&gt;&lt;titles&gt;&lt;title&gt;The Misfortunes of Virtue&lt;/title&gt;&lt;secondary-title&gt;Ethics&lt;/secondary-title&gt;&lt;/titles&gt;&lt;periodical&gt;&lt;full-title&gt;Ethics&lt;/full-title&gt;&lt;/periodical&gt;&lt;pages&gt;42-63&lt;/pages&gt;&lt;volume&gt;101&lt;/volume&gt;&lt;number&gt;1&lt;/number&gt;&lt;dates&gt;&lt;year&gt;1990&lt;/year&gt;&lt;/dates&gt;&lt;publisher&gt;The University of Chicago Press&lt;/publisher&gt;&lt;isbn&gt;00141704&lt;/isbn&gt;&lt;urls&gt;&lt;related-urls&gt;&lt;url&gt;http://www.jstor.org/stable/2381891&lt;/url&gt;&lt;/related-urls&gt;&lt;/urls&gt;&lt;electronic-resource-num&gt;10.2307/2381891&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 B. Schneewind, "The Misfortunes of Virtue," </w:t>
      </w:r>
      <w:r w:rsidRPr="00DA6BE4">
        <w:rPr>
          <w:rFonts w:ascii="Times New Roman" w:hAnsi="Times New Roman" w:cs="Times New Roman"/>
          <w:i/>
          <w:noProof/>
        </w:rPr>
        <w:t>Ethics</w:t>
      </w:r>
      <w:r w:rsidRPr="00DA6BE4">
        <w:rPr>
          <w:rFonts w:ascii="Times New Roman" w:hAnsi="Times New Roman" w:cs="Times New Roman"/>
          <w:noProof/>
        </w:rPr>
        <w:t xml:space="preserve"> 101, no. 1 (1990): 63.</w:t>
      </w:r>
      <w:r w:rsidR="00AA2A48" w:rsidRPr="00DA6BE4">
        <w:rPr>
          <w:rFonts w:ascii="Times New Roman" w:hAnsi="Times New Roman" w:cs="Times New Roman"/>
        </w:rPr>
        <w:fldChar w:fldCharType="end"/>
      </w:r>
    </w:p>
  </w:footnote>
  <w:footnote w:id="21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AuthorYear="1"&gt;&lt;Author&gt;Schneewind&lt;/Author&gt;&lt;Year&gt;1990&lt;/Year&gt;&lt;RecNum&gt;14&lt;/RecNum&gt;&lt;DisplayText&gt;Ibid.&lt;/DisplayText&gt;&lt;record&gt;&lt;rec-number&gt;14&lt;/rec-number&gt;&lt;foreign-keys&gt;&lt;key app="EN" db-id="vxze0a2pwrt959ep2afxdw5cat595wt9sv95" timestamp="1443691895"&gt;14&lt;/key&gt;&lt;/foreign-keys&gt;&lt;ref-type name="Journal Article"&gt;17&lt;/ref-type&gt;&lt;contributors&gt;&lt;authors&gt;&lt;author&gt;Schneewind, J. B.&lt;/author&gt;&lt;/authors&gt;&lt;/contributors&gt;&lt;titles&gt;&lt;title&gt;The Misfortunes of Virtue&lt;/title&gt;&lt;secondary-title&gt;Ethics&lt;/secondary-title&gt;&lt;/titles&gt;&lt;periodical&gt;&lt;full-title&gt;Ethics&lt;/full-title&gt;&lt;/periodical&gt;&lt;pages&gt;42-63&lt;/pages&gt;&lt;volume&gt;101&lt;/volume&gt;&lt;number&gt;1&lt;/number&gt;&lt;dates&gt;&lt;year&gt;1990&lt;/year&gt;&lt;/dates&gt;&lt;publisher&gt;The University of Chicago Press&lt;/publisher&gt;&lt;isbn&gt;00141704&lt;/isbn&gt;&lt;urls&gt;&lt;related-urls&gt;&lt;url&gt;http://www.jstor.org/stable/2381891&lt;/url&gt;&lt;/related-urls&gt;&lt;/urls&gt;&lt;electronic-resource-num&gt;10.2307/2381891&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21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&lt;EndNote&gt;&lt;Cite&gt;&lt;Author&gt;Mulhall&lt;/Author&gt;&lt;Year&gt;2005&lt;/Year&gt;&lt;RecNum&gt;66&lt;/RecNum&gt;&lt;Pages&gt;chapter 1&lt;/Pages&gt;&lt;DisplayText&gt;Stephen Mulhall, &lt;style face="italic"&gt;Philosophical Myths of the Fall&lt;/style&gt;, &lt;style face="italic"&gt;Princeton Monographs in Philosophy&lt;/style&gt; (Princeton, N.J.: Princeton University Press, 2005), chapter 1.&lt;/DisplayText&gt;&lt;record&gt;&lt;rec-number&gt;66&lt;/rec-number&gt;&lt;foreign-keys&gt;&lt;key app="EN" db-id="vxze0a2pwrt959ep2afxdw5cat595wt9sv95" timestamp="1443702894"&gt;66&lt;/key&gt;&lt;/foreign-keys&gt;&lt;ref-type name="Book"&gt;6&lt;/ref-type&gt;&lt;contributors&gt;&lt;authors&gt;&lt;author&gt;Mulhall, Stephen&lt;/author&gt;&lt;/authors&gt;&lt;/contributors&gt;&lt;titles&gt;&lt;title&gt;Philosophical Myths of the Fall&lt;/title&gt;&lt;secondary-title&gt;Princeton monographs in philosophy&lt;/secondary-title&gt;&lt;/titles&gt;&lt;pages&gt;126 p.&lt;/pages&gt;&lt;keywords&gt;&lt;keyword&gt;Fall of man.&lt;/keyword&gt;&lt;keyword&gt;Philosophical anthropology.&lt;/keyword&gt;&lt;keyword&gt;Nietzsche, Friedrich Wilhelm, 1844-1900.&lt;/keyword&gt;&lt;keyword&gt;Wittgenstein, Ludwig, 1889-1951.&lt;/keyword&gt;&lt;keyword&gt;Heidegger, Martin, 1889-1976.&lt;/keyword&gt;&lt;/keywords&gt;&lt;dates&gt;&lt;year&gt;2005&lt;/year&gt;&lt;/dates&gt;&lt;pub-location&gt;Princeton, N.J.&lt;/pub-location&gt;&lt;publisher&gt;Princeton University Press&lt;/publisher&gt;&lt;isbn&gt;0691122202 (alk. paper)&amp;#xD;9780691122205 (alk. paper)&lt;/isbn&gt;&lt;accession-num&gt;13677941&lt;/accession-num&gt;&lt;call-num&gt;Jefferson or Adams Building Reading Rooms - STORED OFFSITE BD450 .M774 2005&lt;/call-num&gt;&lt;urls&gt;&lt;related-urls&gt;&lt;url&gt;Publisher description http://www.loc.gov/catdir/enhancements/fy0654/2004054931-d.html&lt;/url&gt;&lt;url&gt;Table of contents only http://www.loc.gov/catdir/enhancements/fy0654/2004054931-t.html&lt;/url&gt;&lt;url&gt;Contributor biographical information http://www.loc.gov/catdir/enhancements/fy0734/2004054931-b.html&lt;/url&gt;&lt;/related-urls&gt;&lt;/urls&gt;&lt;/record&gt;&lt;/Cite&gt;&lt;/EndNote&gt;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Stephen Mulhall, </w:t>
      </w:r>
      <w:r w:rsidRPr="00DA6BE4">
        <w:rPr>
          <w:rFonts w:ascii="Times New Roman" w:hAnsi="Times New Roman" w:cs="Times New Roman"/>
          <w:i/>
          <w:noProof/>
        </w:rPr>
        <w:t>Philosophical Myths of the Fall</w:t>
      </w:r>
      <w:r w:rsidRPr="00DA6BE4">
        <w:rPr>
          <w:rFonts w:ascii="Times New Roman" w:hAnsi="Times New Roman" w:cs="Times New Roman"/>
          <w:noProof/>
        </w:rPr>
        <w:t xml:space="preserve">, </w:t>
      </w:r>
      <w:r w:rsidRPr="00DA6BE4">
        <w:rPr>
          <w:rFonts w:ascii="Times New Roman" w:hAnsi="Times New Roman" w:cs="Times New Roman"/>
          <w:i/>
          <w:noProof/>
        </w:rPr>
        <w:t>Princeton Monographs in Philosophy</w:t>
      </w:r>
      <w:r w:rsidRPr="00DA6BE4">
        <w:rPr>
          <w:rFonts w:ascii="Times New Roman" w:hAnsi="Times New Roman" w:cs="Times New Roman"/>
          <w:noProof/>
        </w:rPr>
        <w:t xml:space="preserve"> (Princeton, N.J.: Princeton University Press, 2005), chapter 1.</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&lt;EndNote&gt;&lt;Cite&gt;&lt;RecNum&gt;0&lt;/RecNum&gt;&lt;Note&gt;Mulhall and others have alluded to the sharp divide between Aristotelian and Christian cosmology. The ideal of ethical improvement within the Aristotelian framework emphasizes the developmental nature of human beings. Now the contrast with the Augustinian view of moral excellence is clear. For Augustine, the conception of original sin and mankind’s wretchedness does not then lead him to emphasise moral habituation, and ongoing exercise of the virtues; rather moral excellence is wholly dependent on God’s grace, namely, a transcendental concept which is intrinsically beyond mere habituation realised through the exercise of the virtues.&lt;/Note&gt;&lt;DisplayText&gt;Mulhall and others have alluded to the sharp divide between Aristotelian and Christian cosmology. The ideal of ethical improvement within the Aristotelian framework emphasizes the developmental nature of human beings. Now the contrast with the Augustinian view of moral excellence is clear. For Augustine, the conception of original sin and mankind’s wretchedness does not then lead him to emphasise moral habituation, and ongoing exercise of the virtues; rather moral excellence is wholly dependent on God’s grace, namely, a transcendental concept which is intrinsically beyond mere habituation realised through the exercise of the virtues.&lt;/DisplayText&gt;&lt;/Cite&gt;&lt;/EndNote&gt;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Mulhall and others have alluded to the sharp divide between Aristotelian and Christian cosmology. The ideal of ethical improvement within the Aristotelian framework emphasizes the developmental nature of human beings. Now the contrast with the Augustinian view of moral excellence is clear. For Augustine, the conception of original sin and mankind’s wretchedness does not then lead him to emphasise moral habituation, and ongoing exercise of the virtues; rather moral excellence is wholly dependent on God’s grace, namely, a transcendental concept which is intrinsically beyond mere habituation realised through the exercise of the virtues.</w:t>
      </w:r>
      <w:r w:rsidR="00AA2A48" w:rsidRPr="00DA6BE4">
        <w:rPr>
          <w:rFonts w:ascii="Times New Roman" w:hAnsi="Times New Roman" w:cs="Times New Roman"/>
        </w:rPr>
        <w:fldChar w:fldCharType="end"/>
      </w:r>
    </w:p>
  </w:footnote>
  <w:footnote w:id="21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&lt;EndNote&gt;&lt;Cite&gt;&lt;Author&gt;MacIntyre&lt;/Author&gt;&lt;Year&gt;1998&lt;/Year&gt;&lt;RecNum&gt;49&lt;/RecNum&gt;&lt;Pages&gt;Section V&lt;/Pages&gt;&lt;DisplayText&gt;MacIntyre, &amp;quot;First Principles, Final Ends, and Contemporary Philosophical Issues,&amp;quot; Section V.&lt;/DisplayText&gt;&lt;record&gt;&lt;rec-number&gt;49&lt;/rec-number&gt;&lt;foreign-keys&gt;&lt;key app="EN" db-id="vxze0a2pwrt959ep2afxdw5cat595wt9sv95" timestamp="1443697431"&gt;49&lt;/key&gt;&lt;/foreign-keys&gt;&lt;ref-type name="Book Section"&gt;5&lt;/ref-type&gt;&lt;contributors&gt;&lt;authors&gt;&lt;author&gt;MacIntyre, Alasdair&lt;/author&gt;&lt;/authors&gt;&lt;secondary-authors&gt;&lt;author&gt;Knight, Kelvin&lt;/author&gt;&lt;/secondary-authors&gt;&lt;/contributors&gt;&lt;titles&gt;&lt;title&gt;First Principles, Final Ends, and Contemporary Philosophical Issues&lt;/title&gt;&lt;secondary-title&gt;The MacIntyre Reader&lt;/secondary-title&gt;&lt;/titles&gt;&lt;pages&gt;171-201&lt;/pages&gt;&lt;keywords&gt;&lt;keyword&gt;Philosophy, Modern 20th century.&lt;/keyword&gt;&lt;keyword&gt;Thomists.&lt;/keyword&gt;&lt;keyword&gt;Teleology.&lt;/keyword&gt;&lt;/keywords&gt;&lt;dates&gt;&lt;year&gt;1998&lt;/year&gt;&lt;/dates&gt;&lt;pub-location&gt;Cambridge, Oxford&lt;/pub-location&gt;&lt;publisher&gt;Polity Press&lt;/publisher&gt;&lt;orig-pub&gt;1990&lt;/orig-pub&gt;&lt;isbn&gt;0874621577&lt;/isbn&gt;&lt;accession-num&gt;2455586&lt;/accession-num&gt;&lt;call-num&gt;Jefferson or Adams Building Reading Rooms (FLS2) B804 .M225 1990&amp;#xD;Jefferson or Adams Building Reading Rooms - STORED OFFSITE B804 .M225 1990&lt;/call-num&gt;&lt;urls&gt;&lt;/urls&gt;&lt;/record&gt;&lt;/Cite&gt;&lt;/EndNote&gt;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"First Principles, Final Ends, and Contemporary Philosophical Issues," Section V.</w:t>
      </w:r>
      <w:r w:rsidR="00AA2A48" w:rsidRPr="00DA6BE4">
        <w:rPr>
          <w:rFonts w:ascii="Times New Roman" w:hAnsi="Times New Roman" w:cs="Times New Roman"/>
        </w:rPr>
        <w:fldChar w:fldCharType="end"/>
      </w:r>
    </w:p>
  </w:footnote>
  <w:footnote w:id="21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&lt;EndNote&gt;&lt;Cite&gt;&lt;RecNum&gt;0&lt;/RecNum&gt;&lt;Note&gt;Recall that we need to address the sort of objections advanced by Bernstein and Schneewind, precisely because MacIntyre’s social teleology–his three-fold account of the virtues–is not substantive enough to successfully order the heterogeneous set of goods, which is generated by his account in &lt;/Note&gt;&lt;DisplayText&gt;Recall that we need to address the sort of objections advanced by Bernstein and Schneewind, precisely because MacIntyre’s social teleology–his three-fold account of the virtues–is not substantive enough to successfully order the heterogeneous set of goods, which is generated by his account in &lt;/DisplayText&gt;&lt;/Cite&gt;&lt;/EndNote&gt;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Recall that we need to address the sort of objections advanced by Bernstein and Schneewind, precisely because MacIntyre’s social teleology–his three-fold account of the virtues–is not substantive enough to successfully order the heterogeneous set of goods, which is generated by his account in </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ExcludeAuth="1"&gt;&lt;Author&gt;MacIntyre&lt;/Author&gt;&lt;Year&gt;1984&lt;/Year&gt;&lt;RecNum&gt;48&lt;/RecNum&gt;&lt;DisplayText&gt;&lt;style face="italic"&gt;After Virtue&lt;/style&gt;.&lt;/DisplayText&gt;&lt;record&gt;&lt;rec-number&gt;48&lt;/rec-number&gt;&lt;foreign-keys&gt;&lt;key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i/>
          <w:noProof/>
        </w:rPr>
        <w:t>After Virtue</w:t>
      </w:r>
      <w:r w:rsidRPr="00DA6BE4">
        <w:rPr>
          <w:rFonts w:ascii="Times New Roman" w:hAnsi="Times New Roman" w:cs="Times New Roman"/>
          <w:noProof/>
        </w:rPr>
        <w:t>.</w:t>
      </w:r>
      <w:r w:rsidR="00AA2A48" w:rsidRPr="00DA6BE4">
        <w:rPr>
          <w:rFonts w:ascii="Times New Roman" w:hAnsi="Times New Roman" w:cs="Times New Roman"/>
        </w:rPr>
        <w:fldChar w:fldCharType="end"/>
      </w:r>
    </w:p>
  </w:footnote>
  <w:footnote w:id="21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&lt;EndNote&gt;&lt;Cite&gt;&lt;Author&gt;Dewey&lt;/Author&gt;&lt;Year&gt;1969-1991&lt;/Year&gt;&lt;RecNum&gt;122&lt;/RecNum&gt;&lt;Pages&gt;MW 4:4-15&lt;/Pages&gt;&lt;DisplayText&gt;John Dewey, &lt;style face="italic"&gt;The Collected Works of John Dewey: The Early Works, the Middle Works, the Later Works, 1882-1953&lt;/style&gt;, 37 vols. (Carbondale and Edwardsville: Southern Illinois University Press, 1969-1991), MW 4:4-15.&lt;/DisplayText&gt;&lt;record&gt;&lt;rec-number&gt;122&lt;/rec-number&gt;&lt;foreign-keys&gt;&lt;key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37 vols. (Carbondale and Edwardsville: Southern Illinois University Press, 1969-1991), MW 4:4-15.</w:t>
      </w:r>
      <w:r w:rsidR="00AA2A48" w:rsidRPr="00DA6BE4">
        <w:rPr>
          <w:rFonts w:ascii="Times New Roman" w:hAnsi="Times New Roman" w:cs="Times New Roman"/>
        </w:rPr>
        <w:fldChar w:fldCharType="end"/>
      </w:r>
    </w:p>
  </w:footnote>
  <w:footnote w:id="22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&lt;EndNote&gt;&lt;Cite&gt;&lt;Author&gt;Dewey&lt;/Author&gt;&lt;Year&gt;1910&lt;/Year&gt;&lt;RecNum&gt;171&lt;/RecNum&gt;&lt;Pages&gt;Section IV&lt;/Pages&gt;&lt;DisplayText&gt;John Dewey, &amp;quot;The Influence of Darwinism on Philosophy,&amp;quot; in &lt;style face="italic"&gt;The Influence of Darwin on Philosophy&lt;/style&gt; (New York: Henry Holt and Company, 1910), Section IV.&lt;/DisplayText&gt;&lt;record&gt;&lt;rec-number&gt;171&lt;/rec-number&gt;&lt;foreign-keys&gt;&lt;key app="EN" db-id="vxze0a2pwrt959ep2afxdw5cat595wt9sv95" timestamp="1525378367"&gt;171&lt;/key&gt;&lt;/foreign-keys&gt;&lt;ref-type name="Book Section"&gt;5&lt;/ref-type&gt;&lt;contributors&gt;&lt;authors&gt;&lt;author&gt;Dewey, John&lt;/author&gt;&lt;/authors&gt;&lt;/contributors&gt;&lt;titles&gt;&lt;title&gt;The Influence of Darwinism on Philosophy&lt;/title&gt;&lt;secondary-title&gt;The Influence of Darwin on Philosophy&lt;/secondary-title&gt;&lt;/titles&gt;&lt;pages&gt;1-19&lt;/pages&gt;&lt;section&gt;1&lt;/section&gt;&lt;dates&gt;&lt;year&gt;1910&lt;/year&gt;&lt;/dates&gt;&lt;pub-location&gt;New York&lt;/pub-location&gt;&lt;publisher&gt;Henry Holt and Company&lt;/publisher&gt;&lt;urls&gt;&lt;/urls&gt;&lt;/record&gt;&lt;/Cite&gt;&lt;/EndNote&gt;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Dewey, "The Influence of Darwinism on Philosophy," in </w:t>
      </w:r>
      <w:r w:rsidRPr="00DA6BE4">
        <w:rPr>
          <w:rFonts w:ascii="Times New Roman" w:hAnsi="Times New Roman" w:cs="Times New Roman"/>
          <w:i/>
          <w:noProof/>
        </w:rPr>
        <w:t>The Influence of Darwin on Philosophy</w:t>
      </w:r>
      <w:r w:rsidRPr="00DA6BE4">
        <w:rPr>
          <w:rFonts w:ascii="Times New Roman" w:hAnsi="Times New Roman" w:cs="Times New Roman"/>
          <w:noProof/>
        </w:rPr>
        <w:t xml:space="preserve"> (New York: Henry Holt and Company, 1910), Section IV.</w:t>
      </w:r>
      <w:r w:rsidR="00AA2A48" w:rsidRPr="00DA6BE4">
        <w:rPr>
          <w:rFonts w:ascii="Times New Roman" w:hAnsi="Times New Roman" w:cs="Times New Roman"/>
        </w:rPr>
        <w:fldChar w:fldCharType="end"/>
      </w:r>
    </w:p>
  </w:footnote>
  <w:footnote w:id="221">
    <w:p w:rsidR="00D810CC" w:rsidRPr="00DA6BE4" w:rsidRDefault="00D810CC" w:rsidP="002D425D">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&lt;EndNote&gt;&lt;Cite&gt;&lt;Author&gt;Dewey&lt;/Author&gt;&lt;Year&gt;1969-1991&lt;/Year&gt;&lt;RecNum&gt;122&lt;/RecNum&gt;&lt;Pages&gt;MW 12:186&lt;/Pages&gt;&lt;DisplayText&gt;Dewey, &lt;style face="italic"&gt;The Collected Works of John Dewey: The Early Works, the Middle Works, the Later Works, 1882-1953&lt;/style&gt;, MW 12:186.&lt;/DisplayText&gt;&lt;record&gt;&lt;rec-number&gt;122&lt;/rec-number&gt;&lt;foreign-keys&gt;&lt;key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MW 12:186.</w:t>
      </w:r>
      <w:r w:rsidR="00AA2A48" w:rsidRPr="00DA6BE4">
        <w:rPr>
          <w:rFonts w:ascii="Times New Roman" w:hAnsi="Times New Roman" w:cs="Times New Roman"/>
        </w:rPr>
        <w:fldChar w:fldCharType="end"/>
      </w:r>
    </w:p>
  </w:footnote>
  <w:footnote w:id="22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won’t consider MacIntyre’s Thomistic good because I have already showed that Thomistic teleology and the Thomistic tradition clash with important elements of MacIntyre’s overall account.</w:t>
      </w:r>
    </w:p>
  </w:footnote>
  <w:footnote w:id="223">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&lt;EndNote&gt;&lt;Cite&gt;&lt;Author&gt;Lenman&lt;/Author&gt;&lt;Year&gt;2005&lt;/Year&gt;&lt;RecNum&gt;165&lt;/RecNum&gt;&lt;Pages&gt;37-50&lt;/Pages&gt;&lt;DisplayText&gt;James Lenman, &amp;quot;The Saucer of Mud, the Kudzu Vine and the Uxorious Cheetah: Against Neo-Aristotelian Naturalism in Metaethics,&amp;quot; &lt;style face="italic"&gt;European Journal of Applied Philosophy&lt;/style&gt; 1, no. 2 (2005): 37-50.&lt;/DisplayText&gt;&lt;record&gt;&lt;rec-number&gt;165&lt;/rec-number&gt;&lt;foreign-keys&gt;&lt;key app="EN" db-id="vxze0a2pwrt959ep2afxdw5cat595wt9sv95" timestamp="1523023141"&gt;165&lt;/key&gt;&lt;/foreign-keys&gt;&lt;ref-type name="Journal Article"&gt;17&lt;/ref-type&gt;&lt;contributors&gt;&lt;authors&gt;&lt;author&gt;Lenman, James&lt;/author&gt;&lt;/authors&gt;&lt;/contributors&gt;&lt;titles&gt;&lt;title&gt;The Saucer of Mud, The Kudzu Vine and the Uxorious Cheetah: Against Neo-Aristotelian Naturalism in Metaethics&lt;/title&gt;&lt;secondary-title&gt;European Journal of Applied Philosophy&lt;/secondary-title&gt;&lt;/titles&gt;&lt;periodical&gt;&lt;full-title&gt;European Journal of Applied Philosophy&lt;/full-title&gt;&lt;/periodical&gt;&lt;pages&gt;37-50&lt;/pages&gt;&lt;volume&gt;1&lt;/volume&gt;&lt;number&gt;2&lt;/number&gt;&lt;dates&gt;&lt;year&gt;2005&lt;/year&gt;&lt;/dates&gt;&lt;urls&gt;&lt;/urls&gt;&lt;/record&gt;&lt;/Cite&gt;&lt;/EndNote&gt;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James Lenman, "The Saucer of Mud, the Kudzu Vine and the Uxorious Cheetah: Against Neo-Aristotelian Naturalism in Metaethics," </w:t>
      </w:r>
      <w:r w:rsidRPr="00AA7B82">
        <w:rPr>
          <w:rFonts w:ascii="Times New Roman" w:hAnsi="Times New Roman" w:cs="Times New Roman"/>
          <w:i/>
          <w:noProof/>
        </w:rPr>
        <w:t>European Journal of Applied Philosophy</w:t>
      </w:r>
      <w:r>
        <w:rPr>
          <w:rFonts w:ascii="Times New Roman" w:hAnsi="Times New Roman" w:cs="Times New Roman"/>
          <w:noProof/>
        </w:rPr>
        <w:t xml:space="preserve"> 1, no. 2 (2005): 37-50.</w:t>
      </w:r>
      <w:r w:rsidR="00AA2A48" w:rsidRPr="00DA6BE4">
        <w:rPr>
          <w:rFonts w:ascii="Times New Roman" w:hAnsi="Times New Roman" w:cs="Times New Roman"/>
        </w:rPr>
        <w:fldChar w:fldCharType="end"/>
      </w:r>
    </w:p>
  </w:footnote>
  <w:footnote w:id="224">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&lt;EndNote&gt;&lt;Cite&gt;&lt;Author&gt;Dewey&lt;/Author&gt;&lt;Year&gt;1969-1991&lt;/Year&gt;&lt;RecNum&gt;122&lt;/RecNum&gt;&lt;Pages&gt;LW 2:325&lt;/Pages&gt;&lt;DisplayText&gt;Dewey, &lt;style face="italic"&gt;The Collected Works of John Dewey: The Early Works, the Middle Works, the Later Works, 1882-1953&lt;/style&gt;, LW 2:325.&lt;/DisplayText&gt;&lt;record&gt;&lt;rec-number&gt;122&lt;/rec-number&gt;&lt;foreign-keys&gt;&lt;key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LW 2:325.</w:t>
      </w:r>
      <w:r w:rsidR="00AA2A48" w:rsidRPr="00DA6BE4">
        <w:rPr>
          <w:rFonts w:ascii="Times New Roman" w:hAnsi="Times New Roman" w:cs="Times New Roman"/>
        </w:rPr>
        <w:fldChar w:fldCharType="end"/>
      </w:r>
    </w:p>
  </w:footnote>
  <w:footnote w:id="22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&lt;EndNote&gt;&lt;Cite&gt;&lt;Author&gt;Dewey&lt;/Author&gt;&lt;Year&gt;1969-1991&lt;/Year&gt;&lt;RecNum&gt;122&lt;/RecNum&gt;&lt;Pages&gt;EW 1:229-231&lt;/Pages&gt;&lt;DisplayText&gt;Ibid., EW 1:229-231.&lt;/DisplayText&gt;&lt;record&gt;&lt;rec-number&gt;122&lt;/rec-number&gt;&lt;foreign-keys&gt;&lt;key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EW 1:229-231.</w:t>
      </w:r>
      <w:r w:rsidR="00AA2A48" w:rsidRPr="00DA6BE4">
        <w:rPr>
          <w:rFonts w:ascii="Times New Roman" w:hAnsi="Times New Roman" w:cs="Times New Roman"/>
        </w:rPr>
        <w:fldChar w:fldCharType="end"/>
      </w:r>
    </w:p>
  </w:footnote>
  <w:footnote w:id="22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&lt;EndNote&gt;&lt;Cite&gt;&lt;Author&gt;Stuhr&lt;/Author&gt;&lt;Year&gt;1998&lt;/Year&gt;&lt;RecNum&gt;123&lt;/RecNum&gt;&lt;Pages&gt;86&lt;/Pages&gt;&lt;DisplayText&gt;John Stuhr, &amp;quot;Dewey&amp;apos;s Social and Political Philosophy,&amp;quot; in &lt;style face="italic"&gt;Reading Dewey&lt;/style&gt;, ed. Larry Hickman (Bloomington and Indianapolis: Indiana University Press, 1998), 86.&lt;/DisplayText&gt;&lt;record&gt;&lt;rec-number&gt;123&lt;/rec-number&gt;&lt;foreign-keys&gt;&lt;key app="EN" db-id="vxze0a2pwrt959ep2afxdw5cat595wt9sv95" timestamp="1520810963"&gt;123&lt;/key&gt;&lt;/foreign-keys&gt;&lt;ref-type name="Book Section"&gt;5&lt;/ref-type&gt;&lt;contributors&gt;&lt;authors&gt;&lt;author&gt;Stuhr, John&lt;/author&gt;&lt;/authors&gt;&lt;secondary-authors&gt;&lt;author&gt;Hickman, Larry&lt;/author&gt;&lt;/secondary-authors&gt;&lt;/contributors&gt;&lt;titles&gt;&lt;title&gt;Dewey&amp;apos;s Social and Political Philosophy&lt;/title&gt;&lt;secondary-title&gt;Reading Dewey&lt;/secondary-title&gt;&lt;/titles&gt;&lt;pages&gt;82-99&lt;/pages&gt;&lt;section&gt;5&lt;/section&gt;&lt;dates&gt;&lt;year&gt;1998&lt;/year&gt;&lt;/dates&gt;&lt;pub-location&gt;Bloomington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Stuhr, "Dewey's Social and Political Philosophy," in </w:t>
      </w:r>
      <w:r w:rsidRPr="00DA6BE4">
        <w:rPr>
          <w:rFonts w:ascii="Times New Roman" w:hAnsi="Times New Roman" w:cs="Times New Roman"/>
          <w:i/>
          <w:noProof/>
        </w:rPr>
        <w:t>Reading Dewey</w:t>
      </w:r>
      <w:r w:rsidRPr="00DA6BE4">
        <w:rPr>
          <w:rFonts w:ascii="Times New Roman" w:hAnsi="Times New Roman" w:cs="Times New Roman"/>
          <w:noProof/>
        </w:rPr>
        <w:t>, ed. Larry Hickman (Bloomington and Indianapolis: Indiana University Press, 1998), 86.</w:t>
      </w:r>
      <w:r w:rsidR="00AA2A48" w:rsidRPr="00DA6BE4">
        <w:rPr>
          <w:rFonts w:ascii="Times New Roman" w:hAnsi="Times New Roman" w:cs="Times New Roman"/>
        </w:rPr>
        <w:fldChar w:fldCharType="end"/>
      </w:r>
    </w:p>
  </w:footnote>
  <w:footnote w:id="22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&lt;EndNote&gt;&lt;Cite&gt;&lt;Author&gt;Dewey&lt;/Author&gt;&lt;Year&gt;1969-1991&lt;/Year&gt;&lt;RecNum&gt;122&lt;/RecNum&gt;&lt;Pages&gt;LW 14:226`, cited in Ibid&lt;/Pages&gt;&lt;DisplayText&gt;Dewey, &lt;style face="italic"&gt;The Collected Works of John Dewey: The Early Works, the Middle Works, the Later Works, 1882-1953&lt;/style&gt;, LW 14:226, cited in Ibid.&lt;/DisplayText&gt;&lt;record&gt;&lt;rec-number&gt;122&lt;/rec-number&gt;&lt;foreign-keys&gt;&lt;key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LW 14:226, cited in Ibid.</w:t>
      </w:r>
      <w:r w:rsidR="00AA2A48" w:rsidRPr="00DA6BE4">
        <w:rPr>
          <w:rFonts w:ascii="Times New Roman" w:hAnsi="Times New Roman" w:cs="Times New Roman"/>
        </w:rPr>
        <w:fldChar w:fldCharType="end"/>
      </w:r>
    </w:p>
  </w:footnote>
  <w:footnote w:id="228">
    <w:p w:rsidR="00D810CC" w:rsidRPr="00DA6BE4" w:rsidRDefault="00D810CC">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&lt;EndNote&gt;&lt;Cite&gt;&lt;Author&gt;Dewey&lt;/Author&gt;&lt;Year&gt;1969-1991&lt;/Year&gt;&lt;RecNum&gt;122&lt;/RecNum&gt;&lt;Pages&gt;LW 2:325&lt;/Pages&gt;&lt;DisplayText&gt;Ibid., LW 2:325.&lt;/DisplayText&gt;&lt;record&gt;&lt;rec-number&gt;122&lt;/rec-number&gt;&lt;foreign-keys&gt;&lt;key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LW 2:325.</w:t>
      </w:r>
      <w:r w:rsidR="00AA2A48" w:rsidRPr="00DA6BE4">
        <w:rPr>
          <w:rFonts w:ascii="Times New Roman" w:hAnsi="Times New Roman" w:cs="Times New Roman"/>
        </w:rPr>
        <w:fldChar w:fldCharType="end"/>
      </w:r>
    </w:p>
  </w:footnote>
  <w:footnote w:id="22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AuthorYear="1"&gt;&lt;Author&gt;Dewey&lt;/Author&gt;&lt;Year&gt;1969-1991&lt;/Year&gt;&lt;RecNum&gt;122&lt;/RecNum&gt;&lt;Pages&gt;LW 2:327-328&lt;/Pages&gt;&lt;DisplayText&gt;Ibid., LW 2:327-328.&lt;/DisplayText&gt;&lt;record&gt;&lt;rec-number&gt;122&lt;/rec-number&gt;&lt;foreign-keys&gt;&lt;key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LW 2:327-328.</w:t>
      </w:r>
      <w:r w:rsidR="00AA2A48" w:rsidRPr="00DA6BE4">
        <w:rPr>
          <w:rFonts w:ascii="Times New Roman" w:hAnsi="Times New Roman" w:cs="Times New Roman"/>
        </w:rPr>
        <w:fldChar w:fldCharType="end"/>
      </w:r>
    </w:p>
  </w:footnote>
  <w:footnote w:id="23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&lt;EndNote&gt;&lt;Cite&gt;&lt;Author&gt;Campbell&lt;/Author&gt;&lt;Year&gt;1998&lt;/Year&gt;&lt;RecNum&gt;124&lt;/RecNum&gt;&lt;Pages&gt;30&lt;/Pages&gt;&lt;DisplayText&gt;James Campbell, &amp;quot;Dewey&amp;apos;s Conception of Community,&amp;quot; in &lt;style face="italic"&gt;Reading Dewey&lt;/style&gt;, ed. Larry Hickman (Bloomington and Indianapolis: Indiana University Press, 1998), 30.&lt;/DisplayText&gt;&lt;record&gt;&lt;rec-number&gt;124&lt;/rec-number&gt;&lt;foreign-keys&gt;&lt;key app="EN" db-id="vxze0a2pwrt959ep2afxdw5cat595wt9sv95" timestamp="1520812999"&gt;124&lt;/key&gt;&lt;/foreign-keys&gt;&lt;ref-type name="Book Section"&gt;5&lt;/ref-type&gt;&lt;contributors&gt;&lt;authors&gt;&lt;author&gt;Campbell, James&lt;/author&gt;&lt;/authors&gt;&lt;secondary-authors&gt;&lt;author&gt;Hickman, Larry&lt;/author&gt;&lt;/secondary-authors&gt;&lt;/contributors&gt;&lt;titles&gt;&lt;title&gt;Dewey&amp;apos;s Conception of Community&lt;/title&gt;&lt;secondary-title&gt;Reading Dewey&lt;/secondary-title&gt;&lt;/titles&gt;&lt;pages&gt;22-42&lt;/pages&gt;&lt;section&gt;2&lt;/section&gt;&lt;dates&gt;&lt;year&gt;1998&lt;/year&gt;&lt;/dates&gt;&lt;pub-location&gt;Bloomington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James Campbell, "Dewey's Conception of Community," in </w:t>
      </w:r>
      <w:r w:rsidRPr="00DA6BE4">
        <w:rPr>
          <w:rFonts w:ascii="Times New Roman" w:hAnsi="Times New Roman" w:cs="Times New Roman"/>
          <w:i/>
          <w:noProof/>
        </w:rPr>
        <w:t>Reading Dewey</w:t>
      </w:r>
      <w:r w:rsidRPr="00DA6BE4">
        <w:rPr>
          <w:rFonts w:ascii="Times New Roman" w:hAnsi="Times New Roman" w:cs="Times New Roman"/>
          <w:noProof/>
        </w:rPr>
        <w:t>, ed. Larry Hickman (Bloomington and Indianapolis: Indiana University Press, 1998), 30.</w:t>
      </w:r>
      <w:r w:rsidR="00AA2A48" w:rsidRPr="00DA6BE4">
        <w:rPr>
          <w:rFonts w:ascii="Times New Roman" w:hAnsi="Times New Roman" w:cs="Times New Roman"/>
        </w:rPr>
        <w:fldChar w:fldCharType="end"/>
      </w:r>
    </w:p>
  </w:footnote>
  <w:footnote w:id="231">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AuthorYear="1"&gt;&lt;Author&gt;Stuhr&lt;/Author&gt;&lt;Year&gt;1998&lt;/Year&gt;&lt;RecNum&gt;123&lt;/RecNum&gt;&lt;Pages&gt;92&lt;/Pages&gt;&lt;DisplayText&gt;Stuhr, &amp;quot;Dewey&amp;apos;s Social and Political Philosophy,&amp;quot; 92.&lt;/DisplayText&gt;&lt;record&gt;&lt;rec-number&gt;123&lt;/rec-number&gt;&lt;foreign-keys&gt;&lt;key app="EN" db-id="vxze0a2pwrt959ep2afxdw5cat595wt9sv95" timestamp="1520810963"&gt;123&lt;/key&gt;&lt;/foreign-keys&gt;&lt;ref-type name="Book Section"&gt;5&lt;/ref-type&gt;&lt;contributors&gt;&lt;authors&gt;&lt;author&gt;Stuhr, John&lt;/author&gt;&lt;/authors&gt;&lt;secondary-authors&gt;&lt;author&gt;Hickman, Larry&lt;/author&gt;&lt;/secondary-authors&gt;&lt;/contributors&gt;&lt;titles&gt;&lt;title&gt;Dewey&amp;apos;s Social and Political Philosophy&lt;/title&gt;&lt;secondary-title&gt;Reading Dewey&lt;/secondary-title&gt;&lt;/titles&gt;&lt;pages&gt;82-99&lt;/pages&gt;&lt;section&gt;5&lt;/section&gt;&lt;dates&gt;&lt;year&gt;1998&lt;/year&gt;&lt;/dates&gt;&lt;pub-location&gt;Bloomington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Stuhr, "Dewey's Social and Political Philosophy," 92.</w:t>
      </w:r>
      <w:r w:rsidR="00AA2A48" w:rsidRPr="00DA6BE4">
        <w:rPr>
          <w:rFonts w:ascii="Times New Roman" w:hAnsi="Times New Roman" w:cs="Times New Roman"/>
        </w:rPr>
        <w:fldChar w:fldCharType="end"/>
      </w:r>
    </w:p>
  </w:footnote>
  <w:footnote w:id="23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AuthorYear="1"&gt;&lt;Author&gt;Stuhr&lt;/Author&gt;&lt;Year&gt;1998&lt;/Year&gt;&lt;RecNum&gt;123&lt;/RecNum&gt;&lt;Pages&gt;93-94&lt;/Pages&gt;&lt;DisplayText&gt;Ibid., 93-94.&lt;/DisplayText&gt;&lt;record&gt;&lt;rec-number&gt;123&lt;/rec-number&gt;&lt;foreign-keys&gt;&lt;key app="EN" db-id="vxze0a2pwrt959ep2afxdw5cat595wt9sv95" timestamp="1520810963"&gt;123&lt;/key&gt;&lt;/foreign-keys&gt;&lt;ref-type name="Book Section"&gt;5&lt;/ref-type&gt;&lt;contributors&gt;&lt;authors&gt;&lt;author&gt;Stuhr, John&lt;/author&gt;&lt;/authors&gt;&lt;secondary-authors&gt;&lt;author&gt;Hickman, Larry&lt;/author&gt;&lt;/secondary-authors&gt;&lt;/contributors&gt;&lt;titles&gt;&lt;title&gt;Dewey&amp;apos;s Social and Political Philosophy&lt;/title&gt;&lt;secondary-title&gt;Reading Dewey&lt;/secondary-title&gt;&lt;/titles&gt;&lt;pages&gt;82-99&lt;/pages&gt;&lt;section&gt;5&lt;/section&gt;&lt;dates&gt;&lt;year&gt;1998&lt;/year&gt;&lt;/dates&gt;&lt;pub-location&gt;Bloomington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93-94.</w:t>
      </w:r>
      <w:r w:rsidR="00AA2A48" w:rsidRPr="00DA6BE4">
        <w:rPr>
          <w:rFonts w:ascii="Times New Roman" w:hAnsi="Times New Roman" w:cs="Times New Roman"/>
        </w:rPr>
        <w:fldChar w:fldCharType="end"/>
      </w:r>
    </w:p>
  </w:footnote>
  <w:footnote w:id="23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&lt;EndNote&gt;&lt;Cite&gt;&lt;Author&gt;Stuhr&lt;/Author&gt;&lt;Year&gt;1998&lt;/Year&gt;&lt;RecNum&gt;123&lt;/RecNum&gt;&lt;Pages&gt;94&lt;/Pages&gt;&lt;DisplayText&gt;Ibid., 94.&lt;/DisplayText&gt;&lt;record&gt;&lt;rec-number&gt;123&lt;/rec-number&gt;&lt;foreign-keys&gt;&lt;key app="EN" db-id="vxze0a2pwrt959ep2afxdw5cat595wt9sv95" timestamp="1520810963"&gt;123&lt;/key&gt;&lt;/foreign-keys&gt;&lt;ref-type name="Book Section"&gt;5&lt;/ref-type&gt;&lt;contributors&gt;&lt;authors&gt;&lt;author&gt;Stuhr, John&lt;/author&gt;&lt;/authors&gt;&lt;secondary-authors&gt;&lt;author&gt;Hickman, Larry&lt;/author&gt;&lt;/secondary-authors&gt;&lt;/contributors&gt;&lt;titles&gt;&lt;title&gt;Dewey&amp;apos;s Social and Political Philosophy&lt;/title&gt;&lt;secondary-title&gt;Reading Dewey&lt;/secondary-title&gt;&lt;/titles&gt;&lt;pages&gt;82-99&lt;/pages&gt;&lt;section&gt;5&lt;/section&gt;&lt;dates&gt;&lt;year&gt;1998&lt;/year&gt;&lt;/dates&gt;&lt;pub-location&gt;Bloomington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94.</w:t>
      </w:r>
      <w:r w:rsidR="00AA2A48" w:rsidRPr="00DA6BE4">
        <w:rPr>
          <w:rFonts w:ascii="Times New Roman" w:hAnsi="Times New Roman" w:cs="Times New Roman"/>
        </w:rPr>
        <w:fldChar w:fldCharType="end"/>
      </w:r>
    </w:p>
  </w:footnote>
  <w:footnote w:id="234">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&lt;EndNote&gt;&lt;Cite&gt;&lt;Author&gt;Dewey&lt;/Author&gt;&lt;Year&gt;1969-1991&lt;/Year&gt;&lt;RecNum&gt;122&lt;/RecNum&gt;&lt;Pages&gt;LW 3:100-101&lt;/Pages&gt;&lt;DisplayText&gt;Dewey, &lt;style face="italic"&gt;The Collected Works of John Dewey: The Early Works, the Middle Works, the Later Works, 1882-1953&lt;/style&gt;, LW 3:100-101.&lt;/DisplayText&gt;&lt;record&gt;&lt;rec-number&gt;122&lt;/rec-number&gt;&lt;foreign-keys&gt;&lt;key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LW 3:100-101.</w:t>
      </w:r>
      <w:r w:rsidR="00AA2A48" w:rsidRPr="00DA6BE4">
        <w:rPr>
          <w:rFonts w:ascii="Times New Roman" w:hAnsi="Times New Roman" w:cs="Times New Roman"/>
        </w:rPr>
        <w:fldChar w:fldCharType="end"/>
      </w:r>
    </w:p>
  </w:footnote>
  <w:footnote w:id="23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AuthorYear="1"&gt;&lt;Author&gt;Stuhr&lt;/Author&gt;&lt;Year&gt;1998&lt;/Year&gt;&lt;RecNum&gt;123&lt;/RecNum&gt;&lt;Pages&gt;94&lt;/Pages&gt;&lt;DisplayText&gt;Stuhr, &amp;quot;Dewey&amp;apos;s Social and Political Philosophy,&amp;quot; 94.&lt;/DisplayText&gt;&lt;record&gt;&lt;rec-number&gt;123&lt;/rec-number&gt;&lt;foreign-keys&gt;&lt;key app="EN" db-id="vxze0a2pwrt959ep2afxdw5cat595wt9sv95" timestamp="1520810963"&gt;123&lt;/key&gt;&lt;/foreign-keys&gt;&lt;ref-type name="Book Section"&gt;5&lt;/ref-type&gt;&lt;contributors&gt;&lt;authors&gt;&lt;author&gt;Stuhr, John&lt;/author&gt;&lt;/authors&gt;&lt;secondary-authors&gt;&lt;author&gt;Hickman, Larry&lt;/author&gt;&lt;/secondary-authors&gt;&lt;/contributors&gt;&lt;titles&gt;&lt;title&gt;Dewey&amp;apos;s Social and Political Philosophy&lt;/title&gt;&lt;secondary-title&gt;Reading Dewey&lt;/secondary-title&gt;&lt;/titles&gt;&lt;pages&gt;82-99&lt;/pages&gt;&lt;section&gt;5&lt;/section&gt;&lt;dates&gt;&lt;year&gt;1998&lt;/year&gt;&lt;/dates&gt;&lt;pub-location&gt;Bloomington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Stuhr, "Dewey's Social and Political Philosophy," 94.</w:t>
      </w:r>
      <w:r w:rsidR="00AA2A48" w:rsidRPr="00DA6BE4">
        <w:rPr>
          <w:rFonts w:ascii="Times New Roman" w:hAnsi="Times New Roman" w:cs="Times New Roman"/>
        </w:rPr>
        <w:fldChar w:fldCharType="end"/>
      </w:r>
    </w:p>
  </w:footnote>
  <w:footnote w:id="23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have shown above that MacIntyre’s later Thomistic turn creates additional difficulties for his position, and that his social teleology in </w:t>
      </w:r>
      <w:r w:rsidRPr="00DA6BE4">
        <w:rPr>
          <w:rFonts w:ascii="Times New Roman" w:hAnsi="Times New Roman" w:cs="Times New Roman"/>
          <w:i/>
        </w:rPr>
        <w:t>After Virtue</w:t>
      </w:r>
      <w:r w:rsidRPr="00DA6BE4">
        <w:rPr>
          <w:rFonts w:ascii="Times New Roman" w:hAnsi="Times New Roman" w:cs="Times New Roman"/>
        </w:rPr>
        <w:t xml:space="preserve"> isn’t sufficient because his definition of the good in that work is much too ambiguous and abstract to be viable.</w:t>
      </w:r>
    </w:p>
  </w:footnote>
  <w:footnote w:id="237">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am using the adjectives substantive and non-instrumental interchangeably, in large part because it is used in ethical debates in the same way. However, I do prefer the term non-instrumental because I do not wish to get bogged down on issues relating to metaphysics, and more specifically, the metaphysical questions concerning substance. </w:t>
      </w:r>
    </w:p>
  </w:footnote>
  <w:footnote w:id="238">
    <w:p w:rsidR="00D810CC" w:rsidRPr="00DA6BE4" w:rsidRDefault="00D810CC" w:rsidP="00EE4F2D">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By non-instrumental in the appropriate sense, I mean to say that Dewey’s account is moderately non-instrumental – or if you prefer weakly instrumental; but, I do not intend to convey that his account affords a strong version of non–instrumentality.</w:t>
      </w:r>
      <w:r>
        <w:rPr>
          <w:rFonts w:ascii="Times New Roman" w:hAnsi="Times New Roman" w:cs="Times New Roman"/>
        </w:rPr>
        <w:t xml:space="preserve"> By moderate non-instrumentalism I mean to say that Dewey’s non-instrumental (or substantive) conception of the good isn’t unconditional; nor is Dewey’s ‘good’ a sort of ‘good’ that is good in itself in a completely non-relational sense. However, moderate non-instrumentalism still means that Dewey’s conception of human good is a good not on the account of purely subjective reasons; rather we can broadly define the human good precisely because human beings are a specific sort of creatures living in particular environmental conditions which circumscribe the ways in which they can flourish.</w:t>
      </w:r>
    </w:p>
  </w:footnote>
  <w:footnote w:id="239">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Specifically, my claim is that Dewey’s commitment here, and thus his definition of the good, is more substantive than the one MacIntyre posits in </w:t>
      </w:r>
      <w:r w:rsidRPr="00DA6BE4">
        <w:rPr>
          <w:rFonts w:ascii="Times New Roman" w:hAnsi="Times New Roman" w:cs="Times New Roman"/>
          <w:i/>
        </w:rPr>
        <w:t>After Virtue</w:t>
      </w:r>
      <w:r w:rsidRPr="00DA6BE4">
        <w:rPr>
          <w:rFonts w:ascii="Times New Roman" w:hAnsi="Times New Roman" w:cs="Times New Roman"/>
        </w:rPr>
        <w:t>.</w:t>
      </w:r>
    </w:p>
  </w:footnote>
  <w:footnote w:id="24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&lt;EndNote&gt;&lt;Cite&gt;&lt;Author&gt;Talisse&lt;/Author&gt;&lt;Year&gt;2011&lt;/Year&gt;&lt;RecNum&gt;126&lt;/RecNum&gt;&lt;Pages&gt;510&lt;/Pages&gt;&lt;DisplayText&gt;Robert Talisse, &amp;quot;Fairwell to Deweyan Democracy,&amp;quot; &lt;style face="italic"&gt;Political Studies&lt;/style&gt; 59 (2011): 510.&lt;/DisplayText&gt;&lt;record&gt;&lt;rec-number&gt;126&lt;/rec-number&gt;&lt;foreign-keys&gt;&lt;key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Robert Talisse, "Fairwell to Deweyan Democracy," </w:t>
      </w:r>
      <w:r w:rsidRPr="00DA6BE4">
        <w:rPr>
          <w:rFonts w:ascii="Times New Roman" w:hAnsi="Times New Roman" w:cs="Times New Roman"/>
          <w:i/>
          <w:noProof/>
        </w:rPr>
        <w:t>Political Studies</w:t>
      </w:r>
      <w:r w:rsidRPr="00DA6BE4">
        <w:rPr>
          <w:rFonts w:ascii="Times New Roman" w:hAnsi="Times New Roman" w:cs="Times New Roman"/>
          <w:noProof/>
        </w:rPr>
        <w:t xml:space="preserve"> 59 (2011): 510.</w:t>
      </w:r>
      <w:r w:rsidR="00AA2A48" w:rsidRPr="00DA6BE4">
        <w:rPr>
          <w:rFonts w:ascii="Times New Roman" w:hAnsi="Times New Roman" w:cs="Times New Roman"/>
        </w:rPr>
        <w:fldChar w:fldCharType="end"/>
      </w:r>
    </w:p>
  </w:footnote>
  <w:footnote w:id="24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AuthorYear="1"&gt;&lt;Author&gt;Dewey&lt;/Author&gt;&lt;Year&gt;1969-1991&lt;/Year&gt;&lt;RecNum&gt;122&lt;/RecNum&gt;&lt;Pages&gt;MW 12:192&lt;/Pages&gt;&lt;DisplayText&gt;Dewey, &lt;style face="italic"&gt;The Collected Works of John Dewey: The Early Works, the Middle Works, the Later Works, 1882-1953&lt;/style&gt;, MW 12:192.&lt;/DisplayText&gt;&lt;record&gt;&lt;rec-number&gt;122&lt;/rec-number&gt;&lt;foreign-keys&gt;&lt;key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MW 12:192.</w:t>
      </w:r>
      <w:r w:rsidR="00AA2A48" w:rsidRPr="00DA6BE4">
        <w:rPr>
          <w:rFonts w:ascii="Times New Roman" w:hAnsi="Times New Roman" w:cs="Times New Roman"/>
        </w:rPr>
        <w:fldChar w:fldCharType="end"/>
      </w:r>
    </w:p>
  </w:footnote>
  <w:footnote w:id="24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AuthorYear="1"&gt;&lt;Author&gt;Talisse&lt;/Author&gt;&lt;Year&gt;2011&lt;/Year&gt;&lt;RecNum&gt;126&lt;/RecNum&gt;&lt;Pages&gt;510&lt;/Pages&gt;&lt;DisplayText&gt;Talisse, &amp;quot;Fairwell to Deweyan Democracy,&amp;quot; 510.&lt;/DisplayText&gt;&lt;record&gt;&lt;rec-number&gt;126&lt;/rec-number&gt;&lt;foreign-keys&gt;&lt;key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Talisse, "Fairwell to Deweyan Democracy," 510.</w:t>
      </w:r>
      <w:r w:rsidR="00AA2A48" w:rsidRPr="00DA6BE4">
        <w:rPr>
          <w:rFonts w:ascii="Times New Roman" w:hAnsi="Times New Roman" w:cs="Times New Roman"/>
        </w:rPr>
        <w:fldChar w:fldCharType="end"/>
      </w:r>
    </w:p>
  </w:footnote>
  <w:footnote w:id="24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AuthorYear="1"&gt;&lt;Author&gt;Dewey&lt;/Author&gt;&lt;Year&gt;1969-1991&lt;/Year&gt;&lt;RecNum&gt;122&lt;/RecNum&gt;&lt;Pages&gt;MW 10:404&lt;/Pages&gt;&lt;DisplayText&gt;Dewey, &lt;style face="italic"&gt;The Collected Works of John Dewey: The Early Works, the Middle Works, the Later Works, 1882-1953&lt;/style&gt;, MW 10:404.&lt;/DisplayText&gt;&lt;record&gt;&lt;rec-number&gt;122&lt;/rec-number&gt;&lt;foreign-keys&gt;&lt;key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MW 10:404.</w:t>
      </w:r>
      <w:r w:rsidR="00AA2A48" w:rsidRPr="00DA6BE4">
        <w:rPr>
          <w:rFonts w:ascii="Times New Roman" w:hAnsi="Times New Roman" w:cs="Times New Roman"/>
        </w:rPr>
        <w:fldChar w:fldCharType="end"/>
      </w:r>
    </w:p>
  </w:footnote>
  <w:footnote w:id="24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AuthorYear="1"&gt;&lt;Author&gt;Talisse&lt;/Author&gt;&lt;Year&gt;2011&lt;/Year&gt;&lt;RecNum&gt;126&lt;/RecNum&gt;&lt;Pages&gt;511&lt;/Pages&gt;&lt;DisplayText&gt;Talisse, &amp;quot;Fairwell to Deweyan Democracy,&amp;quot; 511.&lt;/DisplayText&gt;&lt;record&gt;&lt;rec-number&gt;126&lt;/rec-number&gt;&lt;foreign-keys&gt;&lt;key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Talisse, "Fairwell to Deweyan Democracy," 511.</w:t>
      </w:r>
      <w:r w:rsidR="00AA2A48" w:rsidRPr="00DA6BE4">
        <w:rPr>
          <w:rFonts w:ascii="Times New Roman" w:hAnsi="Times New Roman" w:cs="Times New Roman"/>
        </w:rPr>
        <w:fldChar w:fldCharType="end"/>
      </w:r>
    </w:p>
  </w:footnote>
  <w:footnote w:id="24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AuthorYear="1"&gt;&lt;Author&gt;Talisse&lt;/Author&gt;&lt;Year&gt;2011&lt;/Year&gt;&lt;RecNum&gt;126&lt;/RecNum&gt;&lt;Pages&gt;510&lt;/Pages&gt;&lt;DisplayText&gt;Ibid., 510.&lt;/DisplayText&gt;&lt;record&gt;&lt;rec-number&gt;126&lt;/rec-number&gt;&lt;foreign-keys&gt;&lt;key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510.</w:t>
      </w:r>
      <w:r w:rsidR="00AA2A48" w:rsidRPr="00DA6BE4">
        <w:rPr>
          <w:rFonts w:ascii="Times New Roman" w:hAnsi="Times New Roman" w:cs="Times New Roman"/>
        </w:rPr>
        <w:fldChar w:fldCharType="end"/>
      </w:r>
    </w:p>
  </w:footnote>
  <w:footnote w:id="246">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&lt;EndNote&gt;&lt;Cite&gt;&lt;Author&gt;Rawls&lt;/Author&gt;&lt;Year&gt;1996&lt;/Year&gt;&lt;RecNum&gt;127&lt;/RecNum&gt;&lt;Pages&gt;36&lt;/Pages&gt;&lt;DisplayText&gt;John Rawls, &lt;style face="italic"&gt;Political Liberalism&lt;/style&gt; (New York: Columbia University Press, 1996), 36.&lt;/DisplayText&gt;&lt;record&gt;&lt;rec-number&gt;127&lt;/rec-number&gt;&lt;foreign-keys&gt;&lt;key app="EN" db-id="vxze0a2pwrt959ep2afxdw5cat595wt9sv95" timestamp="1520817728"&gt;127&lt;/key&gt;&lt;/foreign-keys&gt;&lt;ref-type name="Book"&gt;6&lt;/ref-type&gt;&lt;contributors&gt;&lt;authors&gt;&lt;author&gt;Rawls, John&lt;/author&gt;&lt;/authors&gt;&lt;/contributors&gt;&lt;titles&gt;&lt;title&gt;Political Liberalism&lt;/title&gt;&lt;/titles&gt;&lt;dates&gt;&lt;year&gt;1996&lt;/year&gt;&lt;/dates&gt;&lt;pub-location&gt;New York&lt;/pub-location&gt;&lt;publisher&gt;Columbia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Rawls, </w:t>
      </w:r>
      <w:r w:rsidRPr="00DA6BE4">
        <w:rPr>
          <w:rFonts w:ascii="Times New Roman" w:hAnsi="Times New Roman" w:cs="Times New Roman"/>
          <w:i/>
          <w:noProof/>
        </w:rPr>
        <w:t>Political Liberalism</w:t>
      </w:r>
      <w:r w:rsidRPr="00DA6BE4">
        <w:rPr>
          <w:rFonts w:ascii="Times New Roman" w:hAnsi="Times New Roman" w:cs="Times New Roman"/>
          <w:noProof/>
        </w:rPr>
        <w:t xml:space="preserve"> (New York: Columbia University Press, 1996), 36.</w:t>
      </w:r>
      <w:r w:rsidR="00AA2A48" w:rsidRPr="00DA6BE4">
        <w:rPr>
          <w:rFonts w:ascii="Times New Roman" w:hAnsi="Times New Roman" w:cs="Times New Roman"/>
        </w:rPr>
        <w:fldChar w:fldCharType="end"/>
      </w:r>
    </w:p>
  </w:footnote>
  <w:footnote w:id="24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AuthorYear="1"&gt;&lt;Author&gt;Talisse&lt;/Author&gt;&lt;Year&gt;2011&lt;/Year&gt;&lt;RecNum&gt;126&lt;/RecNum&gt;&lt;Pages&gt;512&lt;/Pages&gt;&lt;DisplayText&gt;Talisse, &amp;quot;Fairwell to Deweyan Democracy,&amp;quot; 512.&lt;/DisplayText&gt;&lt;record&gt;&lt;rec-number&gt;126&lt;/rec-number&gt;&lt;foreign-keys&gt;&lt;key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Talisse, "Fairwell to Deweyan Democracy," 512.</w:t>
      </w:r>
      <w:r w:rsidR="00AA2A48" w:rsidRPr="00DA6BE4">
        <w:rPr>
          <w:rFonts w:ascii="Times New Roman" w:hAnsi="Times New Roman" w:cs="Times New Roman"/>
        </w:rPr>
        <w:fldChar w:fldCharType="end"/>
      </w:r>
    </w:p>
  </w:footnote>
  <w:footnote w:id="248">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&lt;EndNote&gt;&lt;Cite&gt;&lt;RecNum&gt;0&lt;/RecNum&gt;&lt;Note&gt;Dewey’s view of education is connected to Dewey’s politics and democracy as a way of life. On this view, initially it is the role of education to prepare us for democracy as a way of life. Here, the right kind of education helps us to form the correct habits, attitudes, and patterns of thinking. Needless to say, Dewey’s education is political, and therefore, controversial by liberal standards since it violates requirement for neutrality.&lt;/Note&gt;&lt;DisplayText&gt;Dewey’s view of education is connected to Dewey’s politics and democracy as a way of life. On this view, initially it is the role of education to prepare us for democracy as a way of life. Here, the right kind of education helps us to form the correct habits, attitudes, and patterns of thinking. Needless to say, Dewey’s education is political, and therefore, controversial by liberal standards since it violates requirement for neutrality.&lt;/DisplayText&gt;&lt;/Cite&gt;&lt;/EndNote&gt;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Dewey’s view of education is connected to Dewey’s politics and democracy as a way of life. On this view, initially it is the role of education to prepare us for democracy as a way of life. Here, the right kind of education helps us to form the correct habits, attitudes, and patterns of thinking. Needless to say, Dewey’s education is political, and therefore, controversial by liberal standards since it violates requirement for neutrality.</w:t>
      </w:r>
      <w:r w:rsidR="00AA2A48" w:rsidRPr="00DA6BE4">
        <w:rPr>
          <w:rFonts w:ascii="Times New Roman" w:hAnsi="Times New Roman" w:cs="Times New Roman"/>
        </w:rPr>
        <w:fldChar w:fldCharType="end"/>
      </w:r>
    </w:p>
  </w:footnote>
  <w:footnote w:id="24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&lt;EndNote&gt;&lt;Cite&gt;&lt;RecNum&gt;0&lt;/RecNum&gt;&lt;Note&gt;The principle of neutrality upholds the distinction between public and private spheres of social life.&lt;/Note&gt;&lt;DisplayText&gt;The principle of neutrality upholds the distinction between public and private spheres of social life.&lt;/DisplayText&gt;&lt;/Cite&gt;&lt;/EndNote&gt;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The principle of neutrality upholds the distinction between public and private spheres of social life.</w:t>
      </w:r>
      <w:r w:rsidR="00AA2A48" w:rsidRPr="00DA6BE4">
        <w:rPr>
          <w:rFonts w:ascii="Times New Roman" w:hAnsi="Times New Roman" w:cs="Times New Roman"/>
        </w:rPr>
        <w:fldChar w:fldCharType="end"/>
      </w:r>
    </w:p>
  </w:footnote>
  <w:footnote w:id="250">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AuthorYear="1"&gt;&lt;Author&gt;Dewey&lt;/Author&gt;&lt;Year&gt;1969-1991&lt;/Year&gt;&lt;RecNum&gt;122&lt;/RecNum&gt;&lt;Pages&gt;MW 12:186`; (as cited in Talisse`, 2011`, &amp;apos;Fairwell to Deweyan Democracy&amp;apos;)&lt;/Pages&gt;&lt;DisplayText&gt;Dewey, &lt;style face="italic"&gt;The Collected Works of John Dewey: The Early Works, the Middle Works, the Later Works, 1882-1953&lt;/style&gt;, MW 12:186; (as cited in Talisse, 2011, &amp;apos;Fairwell to Deweyan Democracy&amp;apos;).&lt;/DisplayText&gt;&lt;record&gt;&lt;rec-number&gt;122&lt;/rec-number&gt;&lt;foreign-keys&gt;&lt;key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MW 12:186; (as cited in Talisse, 2011, 'Fairwell to Deweyan Democracy').</w:t>
      </w:r>
      <w:r w:rsidR="00AA2A48" w:rsidRPr="00DA6BE4">
        <w:rPr>
          <w:rFonts w:ascii="Times New Roman" w:hAnsi="Times New Roman" w:cs="Times New Roman"/>
        </w:rPr>
        <w:fldChar w:fldCharType="end"/>
      </w:r>
    </w:p>
  </w:footnote>
  <w:footnote w:id="25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AuthorYear="1"&gt;&lt;Author&gt;Talisse&lt;/Author&gt;&lt;Year&gt;2011&lt;/Year&gt;&lt;RecNum&gt;126&lt;/RecNum&gt;&lt;Pages&gt;511`, 518`, 523&lt;/Pages&gt;&lt;DisplayText&gt;Talisse, &amp;quot;Fairwell to Deweyan Democracy,&amp;quot; 511, 518, 523.&lt;/DisplayText&gt;&lt;record&gt;&lt;rec-number&gt;126&lt;/rec-number&gt;&lt;foreign-keys&gt;&lt;key app="EN" db-id="vxze0a2pwrt959ep2afxdw5cat595wt9sv95" timestamp="1520816001"&gt;126&lt;/key&gt;&lt;/foreign-keys&gt;&lt;ref-type name="Journal Article"&gt;17&lt;/ref-type&gt;&lt;contributors&gt;&lt;authors&gt;&lt;author&gt;Talisse, Robert&lt;/author&gt;&lt;/authors&gt;&lt;/contributors&gt;&lt;titles&gt;&lt;title&gt;Fairwell to Deweyan Democracy&lt;/title&gt;&lt;secondary-title&gt;Political Studies&lt;/secondary-title&gt;&lt;/titles&gt;&lt;periodical&gt;&lt;full-title&gt;Political Studies&lt;/full-title&gt;&lt;/periodical&gt;&lt;pages&gt;509-526&lt;/pages&gt;&lt;volume&gt;59&lt;/volume&gt;&lt;dates&gt;&lt;year&gt;2011&lt;/year&gt;&lt;/dates&gt;&lt;urls&gt;&lt;/urls&gt;&lt;/record&gt;&lt;/Cite&gt;&lt;/EndNote&gt;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Talisse, "Fairwell to Deweyan Democracy," 511, 518, 523.</w:t>
      </w:r>
      <w:r w:rsidR="00AA2A48" w:rsidRPr="00DA6BE4">
        <w:rPr>
          <w:rFonts w:ascii="Times New Roman" w:hAnsi="Times New Roman" w:cs="Times New Roman"/>
        </w:rPr>
        <w:fldChar w:fldCharType="end"/>
      </w:r>
    </w:p>
  </w:footnote>
  <w:footnote w:id="252">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our discussion of liberalism and neutrality, I have been narrowly considering </w:t>
      </w:r>
      <w:proofErr w:type="spellStart"/>
      <w:r w:rsidRPr="00DA6BE4">
        <w:rPr>
          <w:rFonts w:ascii="Times New Roman" w:hAnsi="Times New Roman" w:cs="Times New Roman"/>
        </w:rPr>
        <w:t>Rawlsian</w:t>
      </w:r>
      <w:proofErr w:type="spellEnd"/>
      <w:r w:rsidRPr="00DA6BE4">
        <w:rPr>
          <w:rFonts w:ascii="Times New Roman" w:hAnsi="Times New Roman" w:cs="Times New Roman"/>
        </w:rPr>
        <w:t xml:space="preserve"> liberalism, since this form of liberalism is the more standard and therefore dominant interpretation of contemporary liberalism. Other forms of liberalism – i.e., Mills’ classical account, or </w:t>
      </w:r>
      <w:proofErr w:type="spellStart"/>
      <w:r w:rsidRPr="00DA6BE4">
        <w:rPr>
          <w:rFonts w:ascii="Times New Roman" w:hAnsi="Times New Roman" w:cs="Times New Roman"/>
        </w:rPr>
        <w:t>Raz’s</w:t>
      </w:r>
      <w:proofErr w:type="spellEnd"/>
      <w:r w:rsidRPr="00DA6BE4">
        <w:rPr>
          <w:rFonts w:ascii="Times New Roman" w:hAnsi="Times New Roman" w:cs="Times New Roman"/>
        </w:rPr>
        <w:t xml:space="preserve"> perfectionism – do not claim to be neutral.</w:t>
      </w:r>
    </w:p>
  </w:footnote>
  <w:footnote w:id="25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&lt;EndNote&gt;&lt;Cite&gt;&lt;Author&gt;MacIntyre&lt;/Author&gt;&lt;Year&gt;2006&lt;/Year&gt;&lt;RecNum&gt;99&lt;/RecNum&gt;&lt;Pages&gt;205-223&lt;/Pages&gt;&lt;DisplayText&gt;Alasdair MacIntyre, &amp;quot;Toleration and the Goods of Conflict,&amp;quot; in &lt;style face="italic"&gt;Ethics and Politics: Selected Essays&lt;/style&gt;, ed. Alasdair MacIntyre (Cambridge, UK: Cambridge University Press, 2006), 205-223.&lt;/DisplayText&gt;&lt;record&gt;&lt;rec-number&gt;99&lt;/rec-number&gt;&lt;foreign-keys&gt;&lt;key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"Toleration and the Goods of Conflict," in </w:t>
      </w:r>
      <w:r w:rsidRPr="0094141C">
        <w:rPr>
          <w:rFonts w:ascii="Times New Roman" w:hAnsi="Times New Roman" w:cs="Times New Roman"/>
          <w:i/>
          <w:noProof/>
        </w:rPr>
        <w:t>Ethics and Politics: Selected Essays</w:t>
      </w:r>
      <w:r>
        <w:rPr>
          <w:rFonts w:ascii="Times New Roman" w:hAnsi="Times New Roman" w:cs="Times New Roman"/>
          <w:noProof/>
        </w:rPr>
        <w:t>, ed. Alasdair MacIntyre (Cambridge, UK: Cambridge University Press, 2006), 205-223.</w:t>
      </w:r>
      <w:r w:rsidR="00AA2A48" w:rsidRPr="00DA6BE4">
        <w:rPr>
          <w:rFonts w:ascii="Times New Roman" w:hAnsi="Times New Roman" w:cs="Times New Roman"/>
        </w:rPr>
        <w:fldChar w:fldCharType="end"/>
      </w:r>
    </w:p>
  </w:footnote>
  <w:footnote w:id="25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&lt;EndNote&gt;&lt;Cite&gt;&lt;Author&gt;Bernstein&lt;/Author&gt;&lt;Year&gt;2000&lt;/Year&gt;&lt;RecNum&gt;128&lt;/RecNum&gt;&lt;Pages&gt;215-228&lt;/Pages&gt;&lt;DisplayText&gt;Richard J. Bernstein, &amp;quot;Creative Democracy – the Task Still before Us,&amp;quot; &lt;style face="italic"&gt;American Journal of Theology &amp;amp; Philosophy&lt;/style&gt;, 21, no. 3 (2000): 215-228.&lt;/DisplayText&gt;&lt;record&gt;&lt;rec-number&gt;128&lt;/rec-number&gt;&lt;foreign-keys&gt;&lt;key app="EN" db-id="vxze0a2pwrt959ep2afxdw5cat595wt9sv95" timestamp="1520819734"&gt;128&lt;/key&gt;&lt;/foreign-keys&gt;&lt;ref-type name="Journal Article"&gt;17&lt;/ref-type&gt;&lt;contributors&gt;&lt;authors&gt;&lt;author&gt;Bernstein, Richard J.&lt;/author&gt;&lt;/authors&gt;&lt;/contributors&gt;&lt;titles&gt;&lt;title&gt;Creative Democracy – The Task Still before Us&lt;/title&gt;&lt;secondary-title&gt;American Journal of Theology &amp;amp; Philosophy&lt;/secondary-title&gt;&lt;/titles&gt;&lt;periodical&gt;&lt;full-title&gt;American Journal of Theology &amp;amp; Philosophy&lt;/full-title&gt;&lt;/periodical&gt;&lt;pages&gt;215-228&lt;/pages&gt;&lt;volume&gt;, 21&lt;/volume&gt;&lt;number&gt;3&lt;/number&gt;&lt;dates&gt;&lt;year&gt;2000&lt;/year&gt;&lt;pub-dates&gt;&lt;date&gt;September 2000&lt;/date&gt;&lt;/pub-dates&gt;&lt;/dates&gt;&lt;urls&gt;&lt;/urls&gt;&lt;/record&gt;&lt;/Cite&gt;&lt;/EndNote&gt;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Richard J. Bernstein, "Creative Democracy – the Task Still before Us," </w:t>
      </w:r>
      <w:r w:rsidRPr="00DA6BE4">
        <w:rPr>
          <w:rFonts w:ascii="Times New Roman" w:hAnsi="Times New Roman" w:cs="Times New Roman"/>
          <w:i/>
          <w:noProof/>
        </w:rPr>
        <w:t>American Journal of Theology &amp; Philosophy</w:t>
      </w:r>
      <w:r w:rsidRPr="00DA6BE4">
        <w:rPr>
          <w:rFonts w:ascii="Times New Roman" w:hAnsi="Times New Roman" w:cs="Times New Roman"/>
          <w:noProof/>
        </w:rPr>
        <w:t>, 21, no. 3 (2000): 215-228.</w:t>
      </w:r>
      <w:r w:rsidR="00AA2A48" w:rsidRPr="00DA6BE4">
        <w:rPr>
          <w:rFonts w:ascii="Times New Roman" w:hAnsi="Times New Roman" w:cs="Times New Roman"/>
        </w:rPr>
        <w:fldChar w:fldCharType="end"/>
      </w:r>
    </w:p>
  </w:footnote>
  <w:footnote w:id="255">
    <w:p w:rsidR="00D810CC" w:rsidRPr="00DA6BE4" w:rsidRDefault="00D810CC" w:rsidP="00AC7E71">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&lt;EndNote&gt;&lt;Cite&gt;&lt;RecNum&gt;0&lt;/RecNum&gt;&lt;Note&gt;Faith is term that Dewey uses to describe why he believes in cooperative human activity, and the potential that cooperative inquiry holds for an intelligent engagement with (social) problem.&lt;/Note&gt;&lt;DisplayText&gt;Faith is term that Dewey uses to describe why he believes in cooperative human activity, and the potential that cooperative inquiry holds for an intelligent engagement with (social) problem.&lt;/DisplayText&gt;&lt;/Cite&gt;&lt;/EndNote&gt;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Faith is term that Dewey uses to describe why he believes in cooperative human activity, and the potential that cooperative inquiry holds for an intelligent engagement with (social) problem.</w:t>
      </w:r>
      <w:r w:rsidR="00AA2A48" w:rsidRPr="00DA6BE4">
        <w:rPr>
          <w:rFonts w:ascii="Times New Roman" w:hAnsi="Times New Roman" w:cs="Times New Roman"/>
        </w:rPr>
        <w:fldChar w:fldCharType="end"/>
      </w:r>
      <w:r w:rsidRPr="00DA6BE4">
        <w:rPr>
          <w:rFonts w:ascii="Times New Roman" w:hAnsi="Times New Roman" w:cs="Times New Roman"/>
        </w:rPr>
        <w:t xml:space="preserve"> For reference see the next note.</w:t>
      </w:r>
    </w:p>
  </w:footnote>
  <w:footnote w:id="256">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&lt;EndNote&gt;&lt;Cite&gt;&lt;Author&gt;Dewey&lt;/Author&gt;&lt;Year&gt;1969-1991&lt;/Year&gt;&lt;RecNum&gt;122&lt;/RecNum&gt;&lt;Pages&gt;LW 9:57-58&lt;/Pages&gt;&lt;DisplayText&gt;Dewey, &lt;style face="italic"&gt;The Collected Works of John Dewey: The Early Works, the Middle Works, the Later Works, 1882-1953&lt;/style&gt;, LW 9:57-58.&lt;/DisplayText&gt;&lt;record&gt;&lt;rec-number&gt;122&lt;/rec-number&gt;&lt;foreign-keys&gt;&lt;key app="EN" db-id="vxze0a2pwrt959ep2afxdw5cat595wt9sv95" timestamp="1520809894"&gt;122&lt;/key&gt;&lt;/foreign-keys&gt;&lt;ref-type name="Book"&gt;6&lt;/ref-type&gt;&lt;contributors&gt;&lt;authors&gt;&lt;author&gt;Dewey, John&lt;/author&gt;&lt;/authors&gt;&lt;tertiary-authors&gt;&lt;author&gt;Jo Ann Boydston&lt;/author&gt;&lt;/tertiary-authors&gt;&lt;/contributors&gt;&lt;titles&gt;&lt;title&gt;The Collected Works of John Dewey: The Early Works, the Middle Works, the Later Works, 1882-1953&lt;/title&gt;&lt;/titles&gt;&lt;num-vols&gt;37&lt;/num-vols&gt;&lt;dates&gt;&lt;year&gt;1969-1991&lt;/year&gt;&lt;/dates&gt;&lt;pub-location&gt;Carbondale and Edwardsville&lt;/pub-location&gt;&lt;publisher&gt;Southern Illinois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Collected Works of John Dewey: The Early Works, the Middle Works, the Later Works, 1882-1953</w:t>
      </w:r>
      <w:r w:rsidRPr="00DA6BE4">
        <w:rPr>
          <w:rFonts w:ascii="Times New Roman" w:hAnsi="Times New Roman" w:cs="Times New Roman"/>
          <w:noProof/>
        </w:rPr>
        <w:t>, LW 9:57-58.</w:t>
      </w:r>
      <w:r w:rsidR="00AA2A48" w:rsidRPr="00DA6BE4">
        <w:rPr>
          <w:rFonts w:ascii="Times New Roman" w:hAnsi="Times New Roman" w:cs="Times New Roman"/>
        </w:rPr>
        <w:fldChar w:fldCharType="end"/>
      </w:r>
    </w:p>
  </w:footnote>
  <w:footnote w:id="25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AuthorYear="1"&gt;&lt;Author&gt;Campbell&lt;/Author&gt;&lt;Year&gt;1998&lt;/Year&gt;&lt;RecNum&gt;124&lt;/RecNum&gt;&lt;Pages&gt;30&lt;/Pages&gt;&lt;DisplayText&gt;Campbell, &amp;quot;Dewey&amp;apos;s Conception of Community,&amp;quot; 30.&lt;/DisplayText&gt;&lt;record&gt;&lt;rec-number&gt;124&lt;/rec-number&gt;&lt;foreign-keys&gt;&lt;key app="EN" db-id="vxze0a2pwrt959ep2afxdw5cat595wt9sv95" timestamp="1520812999"&gt;124&lt;/key&gt;&lt;/foreign-keys&gt;&lt;ref-type name="Book Section"&gt;5&lt;/ref-type&gt;&lt;contributors&gt;&lt;authors&gt;&lt;author&gt;Campbell, James&lt;/author&gt;&lt;/authors&gt;&lt;secondary-authors&gt;&lt;author&gt;Hickman, Larry&lt;/author&gt;&lt;/secondary-authors&gt;&lt;/contributors&gt;&lt;titles&gt;&lt;title&gt;Dewey&amp;apos;s Conception of Community&lt;/title&gt;&lt;secondary-title&gt;Reading Dewey&lt;/secondary-title&gt;&lt;/titles&gt;&lt;pages&gt;22-42&lt;/pages&gt;&lt;section&gt;2&lt;/section&gt;&lt;dates&gt;&lt;year&gt;1998&lt;/year&gt;&lt;/dates&gt;&lt;pub-location&gt;Bloomington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Campbell, "Dewey's Conception of Community," 30.</w:t>
      </w:r>
      <w:r w:rsidR="00AA2A48" w:rsidRPr="00DA6BE4">
        <w:rPr>
          <w:rFonts w:ascii="Times New Roman" w:hAnsi="Times New Roman" w:cs="Times New Roman"/>
        </w:rPr>
        <w:fldChar w:fldCharType="end"/>
      </w:r>
    </w:p>
  </w:footnote>
  <w:footnote w:id="25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AuthorYear="1"&gt;&lt;Author&gt;Campbell&lt;/Author&gt;&lt;Year&gt;1998&lt;/Year&gt;&lt;RecNum&gt;124&lt;/RecNum&gt;&lt;Pages&gt;29&lt;/Pages&gt;&lt;DisplayText&gt;Ibid., 29.&lt;/DisplayText&gt;&lt;record&gt;&lt;rec-number&gt;124&lt;/rec-number&gt;&lt;foreign-keys&gt;&lt;key app="EN" db-id="vxze0a2pwrt959ep2afxdw5cat595wt9sv95" timestamp="1520812999"&gt;124&lt;/key&gt;&lt;/foreign-keys&gt;&lt;ref-type name="Book Section"&gt;5&lt;/ref-type&gt;&lt;contributors&gt;&lt;authors&gt;&lt;author&gt;Campbell, James&lt;/author&gt;&lt;/authors&gt;&lt;secondary-authors&gt;&lt;author&gt;Hickman, Larry&lt;/author&gt;&lt;/secondary-authors&gt;&lt;/contributors&gt;&lt;titles&gt;&lt;title&gt;Dewey&amp;apos;s Conception of Community&lt;/title&gt;&lt;secondary-title&gt;Reading Dewey&lt;/secondary-title&gt;&lt;/titles&gt;&lt;pages&gt;22-42&lt;/pages&gt;&lt;section&gt;2&lt;/section&gt;&lt;dates&gt;&lt;year&gt;1998&lt;/year&gt;&lt;/dates&gt;&lt;pub-location&gt;Bloomington and Indianapolis&lt;/pub-location&gt;&lt;publisher&gt;Indiana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29.</w:t>
      </w:r>
      <w:r w:rsidR="00AA2A48" w:rsidRPr="00DA6BE4">
        <w:rPr>
          <w:rFonts w:ascii="Times New Roman" w:hAnsi="Times New Roman" w:cs="Times New Roman"/>
        </w:rPr>
        <w:fldChar w:fldCharType="end"/>
      </w:r>
    </w:p>
  </w:footnote>
  <w:footnote w:id="25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Find source of reference p. 186</w:t>
      </w:r>
    </w:p>
  </w:footnote>
  <w:footnote w:id="26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&lt;EndNote&gt;&lt;Cite&gt;&lt;RecNum&gt;0&lt;/RecNum&gt;&lt;Note&gt;By inquiry I am referring to Dewey’s pragmatist version of inquiry; see&lt;/Note&gt;&lt;DisplayText&gt;By inquiry I am referring to Dewey’s pragmatist version of inquiry; see&lt;/DisplayText&gt;&lt;/Cite&gt;&lt;/EndNote&gt;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By inquiry I am referring to Dewey’s pragmatist version of inquiry; see</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&lt;EndNote&gt;&lt;Cite&gt;&lt;Author&gt;Hickman&lt;/Author&gt;&lt;Year&gt;1998&lt;/Year&gt;&lt;RecNum&gt;129&lt;/RecNum&gt;&lt;Pages&gt;166-186&lt;/Pages&gt;&lt;DisplayText&gt;Larry Hickman, &amp;quot;Dewey&amp;apos;s Theory of Inquiry,&amp;quot; in &lt;style face="italic"&gt;Reading Dewey&lt;/style&gt;, ed. Larry Hickman (Bloomington and Indianapolis: Indianapolis University Press, 1998), 166-186.&lt;/DisplayText&gt;&lt;record&gt;&lt;rec-number&gt;129&lt;/rec-number&gt;&lt;foreign-keys&gt;&lt;key app="EN" db-id="vxze0a2pwrt959ep2afxdw5cat595wt9sv95" timestamp="1520820321"&gt;129&lt;/key&gt;&lt;/foreign-keys&gt;&lt;ref-type name="Book Section"&gt;5&lt;/ref-type&gt;&lt;contributors&gt;&lt;authors&gt;&lt;author&gt;Hickman, Larry&lt;/author&gt;&lt;/authors&gt;&lt;secondary-authors&gt;&lt;author&gt;Hickman, Larry&lt;/author&gt;&lt;/secondary-authors&gt;&lt;/contributors&gt;&lt;titles&gt;&lt;title&gt;Dewey&amp;apos;s Theory of Inquiry&lt;/title&gt;&lt;secondary-title&gt;Reading Dewey&lt;/secondary-title&gt;&lt;/titles&gt;&lt;pages&gt;166-186&lt;/pages&gt;&lt;section&gt;9&lt;/section&gt;&lt;dates&gt;&lt;year&gt;1998&lt;/year&gt;&lt;/dates&gt;&lt;pub-location&gt;Bloomington and Indianapolis&lt;/pub-location&gt;&lt;publisher&gt;Indianapolis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Larry Hickman, "Dewey's Theory of Inquiry," in </w:t>
      </w:r>
      <w:r w:rsidRPr="00DA6BE4">
        <w:rPr>
          <w:rFonts w:ascii="Times New Roman" w:hAnsi="Times New Roman" w:cs="Times New Roman"/>
          <w:i/>
          <w:noProof/>
        </w:rPr>
        <w:t>Reading Dewey</w:t>
      </w:r>
      <w:r w:rsidRPr="00DA6BE4">
        <w:rPr>
          <w:rFonts w:ascii="Times New Roman" w:hAnsi="Times New Roman" w:cs="Times New Roman"/>
          <w:noProof/>
        </w:rPr>
        <w:t>, ed. Larry Hickman (Bloomington and Indianapolis: Indianapolis University Press, 1998), 166-186.</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Dewey, </w:t>
      </w:r>
      <w:r w:rsidRPr="00DA6BE4">
        <w:rPr>
          <w:rFonts w:ascii="Times New Roman" w:hAnsi="Times New Roman" w:cs="Times New Roman"/>
          <w:i/>
        </w:rPr>
        <w:t xml:space="preserve">Logic: </w:t>
      </w:r>
      <w:proofErr w:type="gramStart"/>
      <w:r w:rsidRPr="00DA6BE4">
        <w:rPr>
          <w:rFonts w:ascii="Times New Roman" w:hAnsi="Times New Roman" w:cs="Times New Roman"/>
          <w:i/>
        </w:rPr>
        <w:t>The</w:t>
      </w:r>
      <w:proofErr w:type="gramEnd"/>
      <w:r w:rsidRPr="00DA6BE4">
        <w:rPr>
          <w:rFonts w:ascii="Times New Roman" w:hAnsi="Times New Roman" w:cs="Times New Roman"/>
          <w:i/>
        </w:rPr>
        <w:t xml:space="preserve"> Theory of Inquiry</w:t>
      </w:r>
      <w:r w:rsidRPr="00DA6BE4">
        <w:rPr>
          <w:rFonts w:ascii="Times New Roman" w:hAnsi="Times New Roman" w:cs="Times New Roman"/>
        </w:rPr>
        <w:t>.</w:t>
      </w:r>
    </w:p>
  </w:footnote>
  <w:footnote w:id="261">
    <w:p w:rsidR="00D810CC" w:rsidRPr="00DA6BE4" w:rsidRDefault="00D810CC" w:rsidP="000B1FD4">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Some have </w:t>
      </w:r>
      <w:r w:rsidRPr="00DA6BE4">
        <w:rPr>
          <w:rFonts w:ascii="Times New Roman" w:hAnsi="Times New Roman" w:cs="Times New Roman"/>
          <w:iCs/>
          <w:color w:val="2C221F"/>
        </w:rPr>
        <w:t xml:space="preserve">argued that MacIntyre was committed to a metaphysics before his Thomistic turn; see </w:t>
      </w:r>
      <w:r w:rsidR="00AA2A48" w:rsidRPr="00DA6BE4">
        <w:rPr>
          <w:rFonts w:ascii="Times New Roman" w:hAnsi="Times New Roman" w:cs="Times New Roman"/>
          <w:iCs/>
          <w:color w:val="2C221F"/>
        </w:rPr>
        <w:fldChar w:fldCharType="begin"/>
      </w:r>
      <w:r w:rsidRPr="00DA6BE4">
        <w:rPr>
          <w:rFonts w:ascii="Times New Roman" w:hAnsi="Times New Roman" w:cs="Times New Roman"/>
          <w:iCs/>
          <w:color w:val="2C221F"/>
        </w:rPr>
        <w:instrText xml:space="preserve"> ADDIN EN.CITE &lt;EndNote&gt;&lt;Cite&gt;&lt;Author&gt;Kuna&lt;/Author&gt;&lt;Year&gt;2005&lt;/Year&gt;&lt;RecNum&gt;59&lt;/RecNum&gt;&lt;Pages&gt;251-273&lt;/Pages&gt;&lt;DisplayText&gt;Marian Kuna, &amp;quot;Macintyre&amp;apos;s Search for a Defensible Aristotelian Ethics and the Role of Metaphysics,&amp;quot; &lt;style face="italic"&gt;Res Publica&lt;/style&gt;, 11, no. 3 (2005): 251-273.&lt;/DisplayText&gt;&lt;record&gt;&lt;rec-number&gt;59&lt;/rec-number&gt;&lt;foreign-keys&gt;&lt;key app="EN" db-id="vxze0a2pwrt959ep2afxdw5cat595wt9sv95" timestamp="1443700160"&gt;59&lt;/key&gt;&lt;/foreign-keys&gt;&lt;ref-type name="Journal Article"&gt;17&lt;/ref-type&gt;&lt;contributors&gt;&lt;authors&gt;&lt;author&gt;Kuna, Marian&lt;/author&gt;&lt;/authors&gt;&lt;/contributors&gt;&lt;titles&gt;&lt;title&gt;MacIntyre&amp;apos;s Search for a Defensible Aristotelian Ethics and the Role of Metaphysics&lt;/title&gt;&lt;secondary-title&gt;Res Publica&lt;/secondary-title&gt;&lt;/titles&gt;&lt;periodical&gt;&lt;full-title&gt;Res Publica&lt;/full-title&gt;&lt;abbr-1&gt;Res Publica&lt;/abbr-1&gt;&lt;/periodical&gt;&lt;pages&gt;251-273&lt;/pages&gt;&lt;volume&gt;, 11&lt;/volume&gt;&lt;number&gt;3&lt;/number&gt;&lt;dates&gt;&lt;year&gt;2005&lt;/year&gt;&lt;/dates&gt;&lt;urls&gt;&lt;/urls&gt;&lt;/record&gt;&lt;/Cite&gt;&lt;/EndNote&gt;</w:instrText>
      </w:r>
      <w:r w:rsidR="00AA2A48" w:rsidRPr="00DA6BE4">
        <w:rPr>
          <w:rFonts w:ascii="Times New Roman" w:hAnsi="Times New Roman" w:cs="Times New Roman"/>
          <w:iCs/>
          <w:color w:val="2C221F"/>
        </w:rPr>
        <w:fldChar w:fldCharType="separate"/>
      </w:r>
      <w:r w:rsidRPr="00DA6BE4">
        <w:rPr>
          <w:rFonts w:ascii="Times New Roman" w:hAnsi="Times New Roman" w:cs="Times New Roman"/>
          <w:iCs/>
          <w:noProof/>
          <w:color w:val="2C221F"/>
        </w:rPr>
        <w:t xml:space="preserve">Marian Kuna, "Macintyre's Search for a Defensible Aristotelian Ethics and the Role of Metaphysics," </w:t>
      </w:r>
      <w:r w:rsidRPr="00DA6BE4">
        <w:rPr>
          <w:rFonts w:ascii="Times New Roman" w:hAnsi="Times New Roman" w:cs="Times New Roman"/>
          <w:i/>
          <w:iCs/>
          <w:noProof/>
          <w:color w:val="2C221F"/>
        </w:rPr>
        <w:t>Res Publica</w:t>
      </w:r>
      <w:r w:rsidRPr="00DA6BE4">
        <w:rPr>
          <w:rFonts w:ascii="Times New Roman" w:hAnsi="Times New Roman" w:cs="Times New Roman"/>
          <w:iCs/>
          <w:noProof/>
          <w:color w:val="2C221F"/>
        </w:rPr>
        <w:t>, 11, no. 3 (2005): 251-273.</w:t>
      </w:r>
      <w:r w:rsidR="00AA2A48" w:rsidRPr="00DA6BE4">
        <w:rPr>
          <w:rFonts w:ascii="Times New Roman" w:hAnsi="Times New Roman" w:cs="Times New Roman"/>
          <w:iCs/>
          <w:color w:val="2C221F"/>
        </w:rPr>
        <w:fldChar w:fldCharType="end"/>
      </w:r>
      <w:r w:rsidRPr="00DA6BE4">
        <w:rPr>
          <w:rFonts w:ascii="Times New Roman" w:hAnsi="Times New Roman" w:cs="Times New Roman"/>
          <w:iCs/>
          <w:color w:val="2C221F"/>
        </w:rPr>
        <w:t xml:space="preserve"> Still, others have argued that MacIntyre’s metaphysical turn and adoption of Thomism were more or less simultaneous; see </w:t>
      </w:r>
      <w:r w:rsidR="00AA2A48" w:rsidRPr="00DA6BE4">
        <w:rPr>
          <w:rFonts w:ascii="Times New Roman" w:hAnsi="Times New Roman" w:cs="Times New Roman"/>
          <w:iCs/>
          <w:color w:val="2C221F"/>
        </w:rPr>
        <w:fldChar w:fldCharType="begin"/>
      </w:r>
      <w:r w:rsidRPr="00DA6BE4">
        <w:rPr>
          <w:rFonts w:ascii="Times New Roman" w:hAnsi="Times New Roman" w:cs="Times New Roman"/>
          <w:iCs/>
          <w:color w:val="2C221F"/>
        </w:rPr>
        <w:instrText xml:space="preserve"> ADDIN EN.CITE &lt;EndNote&gt;&lt;Cite AuthorYear="1"&gt;&lt;Author&gt;Bavister-Gould&lt;/Author&gt;&lt;Year&gt;2008&lt;/Year&gt;&lt;RecNum&gt;21&lt;/RecNum&gt;&lt;DisplayText&gt;Bavister-Gould, &amp;quot;The Uniqueness of after Virtue (or &amp;apos;against Hindsight&amp;apos;).&amp;quot;&lt;/DisplayText&gt;&lt;record&gt;&lt;rec-number&gt;21&lt;/rec-number&gt;&lt;foreign-keys&gt;&lt;key app="EN" db-id="vxze0a2pwrt959ep2afxdw5cat595wt9sv95" timestamp="1443692446"&gt;21&lt;/key&gt;&lt;/foreign-keys&gt;&lt;ref-type name="Journal Article"&gt;17&lt;/ref-type&gt;&lt;contributors&gt;&lt;authors&gt;&lt;author&gt;Bavister-Gould, Alex&lt;/author&gt;&lt;/authors&gt;&lt;/contributors&gt;&lt;titles&gt;&lt;title&gt;The Uniqueness of After Virtue (or &amp;apos;Against Hindsight&amp;apos;)&lt;/title&gt;&lt;secondary-title&gt;Analyse &amp;amp; Kritik&lt;/secondary-title&gt;&lt;/titles&gt;&lt;periodical&gt;&lt;full-title&gt;Analyse &amp;amp; Kritik&lt;/full-title&gt;&lt;/periodical&gt;&lt;pages&gt;55-74&lt;/pages&gt;&lt;volume&gt;30&lt;/volume&gt;&lt;number&gt;1&lt;/number&gt;&lt;dates&gt;&lt;year&gt;2008&lt;/year&gt;&lt;/dates&gt;&lt;urls&gt;&lt;/urls&gt;&lt;/record&gt;&lt;/Cite&gt;&lt;/EndNote&gt;</w:instrText>
      </w:r>
      <w:r w:rsidR="00AA2A48" w:rsidRPr="00DA6BE4">
        <w:rPr>
          <w:rFonts w:ascii="Times New Roman" w:hAnsi="Times New Roman" w:cs="Times New Roman"/>
          <w:iCs/>
          <w:color w:val="2C221F"/>
        </w:rPr>
        <w:fldChar w:fldCharType="separate"/>
      </w:r>
      <w:r w:rsidRPr="00DA6BE4">
        <w:rPr>
          <w:rFonts w:ascii="Times New Roman" w:hAnsi="Times New Roman" w:cs="Times New Roman"/>
          <w:iCs/>
          <w:noProof/>
          <w:color w:val="2C221F"/>
        </w:rPr>
        <w:t>Bavister-Gould, "The Uniqueness of after Virtue (or 'against Hindsight')."</w:t>
      </w:r>
      <w:r w:rsidR="00AA2A48" w:rsidRPr="00DA6BE4">
        <w:rPr>
          <w:rFonts w:ascii="Times New Roman" w:hAnsi="Times New Roman" w:cs="Times New Roman"/>
          <w:iCs/>
          <w:color w:val="2C221F"/>
        </w:rPr>
        <w:fldChar w:fldCharType="end"/>
      </w:r>
    </w:p>
  </w:footnote>
  <w:footnote w:id="262">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say that MacIntyre in </w:t>
      </w:r>
      <w:r w:rsidRPr="00DA6BE4">
        <w:rPr>
          <w:rFonts w:ascii="Times New Roman" w:hAnsi="Times New Roman" w:cs="Times New Roman"/>
          <w:i/>
        </w:rPr>
        <w:t>Dependent Rational Animals</w:t>
      </w:r>
      <w:r w:rsidRPr="00DA6BE4">
        <w:rPr>
          <w:rFonts w:ascii="Times New Roman" w:hAnsi="Times New Roman" w:cs="Times New Roman"/>
        </w:rPr>
        <w:t xml:space="preserve"> seems to offer a non-metaphysical biology, or at least a </w:t>
      </w:r>
      <w:r w:rsidRPr="00DA6BE4">
        <w:rPr>
          <w:rFonts w:ascii="Times New Roman" w:hAnsi="Times New Roman" w:cs="Times New Roman"/>
          <w:i/>
        </w:rPr>
        <w:t>descriptive</w:t>
      </w:r>
      <w:r w:rsidRPr="00DA6BE4">
        <w:rPr>
          <w:rFonts w:ascii="Times New Roman" w:hAnsi="Times New Roman" w:cs="Times New Roman"/>
        </w:rPr>
        <w:t xml:space="preserve"> sort of metaphysical biology, which highlights the extent to which we are dependent on others for our care. However, the sort of biology that MacIntyre argues for in that work is very much the kind of biology that would be welcomed by the Deweyan Pragmatist; in fact, the Deweyan claims that I have mentioned – i.e., the fact that human beings are social animals, and they are problem-solvers – essentially fits comfortably within the </w:t>
      </w:r>
      <w:r w:rsidRPr="00DA6BE4">
        <w:rPr>
          <w:rFonts w:ascii="Times New Roman" w:hAnsi="Times New Roman" w:cs="Times New Roman"/>
          <w:i/>
        </w:rPr>
        <w:t>descriptive</w:t>
      </w:r>
      <w:r w:rsidRPr="00DA6BE4">
        <w:rPr>
          <w:rFonts w:ascii="Times New Roman" w:hAnsi="Times New Roman" w:cs="Times New Roman"/>
        </w:rPr>
        <w:t xml:space="preserve"> framework that MacIntyre articulates in </w:t>
      </w:r>
      <w:r w:rsidRPr="00DA6BE4">
        <w:rPr>
          <w:rFonts w:ascii="Times New Roman" w:hAnsi="Times New Roman" w:cs="Times New Roman"/>
          <w:i/>
        </w:rPr>
        <w:t>Dependent Rational Animals</w:t>
      </w:r>
      <w:r w:rsidRPr="00DA6BE4">
        <w:rPr>
          <w:rFonts w:ascii="Times New Roman" w:hAnsi="Times New Roman" w:cs="Times New Roman"/>
        </w:rPr>
        <w:t>.</w:t>
      </w:r>
    </w:p>
  </w:footnote>
  <w:footnote w:id="26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Both Bernstein and </w:t>
      </w:r>
      <w:proofErr w:type="spellStart"/>
      <w:r w:rsidRPr="00DA6BE4">
        <w:rPr>
          <w:rFonts w:ascii="Times New Roman" w:hAnsi="Times New Roman" w:cs="Times New Roman"/>
          <w:lang w:val="en-CA"/>
        </w:rPr>
        <w:t>Schneewind</w:t>
      </w:r>
      <w:proofErr w:type="spellEnd"/>
      <w:r w:rsidRPr="00DA6BE4">
        <w:rPr>
          <w:rFonts w:ascii="Times New Roman" w:hAnsi="Times New Roman" w:cs="Times New Roman"/>
          <w:lang w:val="en-CA"/>
        </w:rPr>
        <w:t xml:space="preserve"> argue that MacIntyre’s account in </w:t>
      </w:r>
      <w:r w:rsidRPr="00DA6BE4">
        <w:rPr>
          <w:rFonts w:ascii="Times New Roman" w:hAnsi="Times New Roman" w:cs="Times New Roman"/>
          <w:i/>
          <w:lang w:val="en-CA"/>
        </w:rPr>
        <w:t>After Virtue</w:t>
      </w:r>
      <w:r w:rsidRPr="00DA6BE4">
        <w:rPr>
          <w:rFonts w:ascii="Times New Roman" w:hAnsi="Times New Roman" w:cs="Times New Roman"/>
          <w:lang w:val="en-CA"/>
        </w:rPr>
        <w:t xml:space="preserve"> strengthens, as opposed to weakens, the case for emotivism.</w:t>
      </w:r>
    </w:p>
  </w:footnote>
  <w:footnote w:id="26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&lt;EndNote&gt;&lt;Cite&gt;&lt;RecNum&gt;0&lt;/RecNum&gt;&lt;Note&gt;The synthetic-analytic distinction was first formulated by Kant; nevertheless, the synthetic-analytic was anticipated in Hume’s distinction between matters of fact vs. relations of ideas, and Leibniz&amp;apos;s distinction between truths of fact vs. truths of reason. Both of these earlier prototypes more or less map onto the synthetic-analytic distinction.&lt;/Note&gt;&lt;DisplayText&gt;The synthetic-analytic distinction was first formulated by Kant; nevertheless, the synthetic-analytic was anticipated in Hume’s distinction between matters of fact vs. relations of ideas, and Leibniz&amp;apos;s distinction between truths of fact vs. truths of reason. Both of these earlier prototypes more or less map onto the synthetic-analytic distinction.&lt;/DisplayText&gt;&lt;/Cite&gt;&lt;/EndNote&gt;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The synthetic-analytic distinction was first formulated by Kant; nevertheless, the synthetic-analytic was anticipated in Hume’s distinction between matters of fact vs. relations of ideas, and Leibniz's distinction between truths of fact vs. truths of reason. Both of these earlier prototypes more or less map onto the synthetic-analytic distinction.</w:t>
      </w:r>
      <w:r w:rsidR="00AA2A48" w:rsidRPr="00DA6BE4">
        <w:rPr>
          <w:rFonts w:ascii="Times New Roman" w:hAnsi="Times New Roman" w:cs="Times New Roman"/>
        </w:rPr>
        <w:fldChar w:fldCharType="end"/>
      </w:r>
    </w:p>
  </w:footnote>
  <w:footnote w:id="265">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&lt;EndNote&gt;&lt;Cite&gt;&lt;Author&gt;Quine&lt;/Author&gt;&lt;Year&gt;1951&lt;/Year&gt;&lt;RecNum&gt;65&lt;/RecNum&gt;&lt;Pages&gt;20-43&lt;/Pages&gt;&lt;DisplayText&gt;Willard V. O. Quine, &amp;quot;Two Dogmas of Empiricism,&amp;quot; &lt;style face="italic"&gt;Philosophical Review&lt;/style&gt;, 60, no. 1 (1951): 20-43.&lt;/DisplayText&gt;&lt;record&gt;&lt;rec-number&gt;65&lt;/rec-number&gt;&lt;foreign-keys&gt;&lt;key app="EN" db-id="vxze0a2pwrt959ep2afxdw5cat595wt9sv95" timestamp="1443702612"&gt;65&lt;/key&gt;&lt;/foreign-keys&gt;&lt;ref-type name="Journal Article"&gt;17&lt;/ref-type&gt;&lt;contributors&gt;&lt;authors&gt;&lt;author&gt;Quine, Willard V. O.&lt;/author&gt;&lt;/authors&gt;&lt;/contributors&gt;&lt;titles&gt;&lt;title&gt;Two Dogmas of Empiricism&lt;/title&gt;&lt;secondary-title&gt;Philosophical Review&lt;/secondary-title&gt;&lt;/titles&gt;&lt;periodical&gt;&lt;full-title&gt;Philosophical Review&lt;/full-title&gt;&lt;/periodical&gt;&lt;pages&gt;20–43&lt;/pages&gt;&lt;volume&gt;, 60&lt;/volume&gt;&lt;number&gt;1&lt;/number&gt;&lt;dates&gt;&lt;year&gt;1951&lt;/year&gt;&lt;/dates&gt;&lt;urls&gt;&lt;/urls&gt;&lt;/record&gt;&lt;/Cite&gt;&lt;/EndNote&gt;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Willard V. O. Quine, "Two Dogmas of Empiricism," </w:t>
      </w:r>
      <w:r w:rsidRPr="00DA6BE4">
        <w:rPr>
          <w:rFonts w:ascii="Times New Roman" w:hAnsi="Times New Roman" w:cs="Times New Roman"/>
          <w:i/>
          <w:noProof/>
        </w:rPr>
        <w:t>Philosophical Review</w:t>
      </w:r>
      <w:r w:rsidRPr="00DA6BE4">
        <w:rPr>
          <w:rFonts w:ascii="Times New Roman" w:hAnsi="Times New Roman" w:cs="Times New Roman"/>
          <w:noProof/>
        </w:rPr>
        <w:t>, 60, no. 1 (1951): 20-43.</w:t>
      </w:r>
      <w:r w:rsidR="00AA2A48" w:rsidRPr="00DA6BE4">
        <w:rPr>
          <w:rFonts w:ascii="Times New Roman" w:hAnsi="Times New Roman" w:cs="Times New Roman"/>
        </w:rPr>
        <w:fldChar w:fldCharType="end"/>
      </w:r>
    </w:p>
  </w:footnote>
  <w:footnote w:id="266">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&lt;EndNote&gt;&lt;Cite&gt;&lt;Author&gt;Quine&lt;/Author&gt;&lt;Year&gt;1951&lt;/Year&gt;&lt;RecNum&gt;65&lt;/RecNum&gt;&lt;Pages&gt;20-43&lt;/Pages&gt;&lt;DisplayText&gt;Ibid.&lt;/DisplayText&gt;&lt;record&gt;&lt;rec-number&gt;65&lt;/rec-number&gt;&lt;foreign-keys&gt;&lt;key app="EN" db-id="vxze0a2pwrt959ep2afxdw5cat595wt9sv95" timestamp="1443702612"&gt;65&lt;/key&gt;&lt;/foreign-keys&gt;&lt;ref-type name="Journal Article"&gt;17&lt;/ref-type&gt;&lt;contributors&gt;&lt;authors&gt;&lt;author&gt;Quine, Willard V. O.&lt;/author&gt;&lt;/authors&gt;&lt;/contributors&gt;&lt;titles&gt;&lt;title&gt;Two Dogmas of Empiricism&lt;/title&gt;&lt;secondary-title&gt;Philosophical Review&lt;/secondary-title&gt;&lt;/titles&gt;&lt;periodical&gt;&lt;full-title&gt;Philosophical Review&lt;/full-title&gt;&lt;/periodical&gt;&lt;pages&gt;20–43&lt;/pages&gt;&lt;volume&gt;, 60&lt;/volume&gt;&lt;number&gt;1&lt;/number&gt;&lt;dates&gt;&lt;year&gt;1951&lt;/year&gt;&lt;/dates&gt;&lt;urls&gt;&lt;/urls&gt;&lt;/record&gt;&lt;/Cite&gt;&lt;/EndNote&gt;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26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&lt;EndNote&gt;&lt;Cite&gt;&lt;Author&gt;Putnam&lt;/Author&gt;&lt;Year&gt;2002&lt;/Year&gt;&lt;RecNum&gt;51&lt;/RecNum&gt;&lt;Pages&gt;15&lt;/Pages&gt;&lt;DisplayText&gt;Hilary Putnam, &lt;style face="italic"&gt;The Collapse of the Fact/Value Dichotomy and Other Essays&lt;/style&gt; (Cambridge, MA: Harvard University Press, 2002), 15.&lt;/DisplayText&gt;&lt;record&gt;&lt;rec-number&gt;51&lt;/rec-number&gt;&lt;foreign-keys&gt;&lt;key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Hilary Putnam, </w:t>
      </w:r>
      <w:r w:rsidRPr="00DA6BE4">
        <w:rPr>
          <w:rFonts w:ascii="Times New Roman" w:hAnsi="Times New Roman" w:cs="Times New Roman"/>
          <w:i/>
          <w:noProof/>
        </w:rPr>
        <w:t>The Collapse of the Fact/Value Dichotomy and Other Essays</w:t>
      </w:r>
      <w:r w:rsidRPr="00DA6BE4">
        <w:rPr>
          <w:rFonts w:ascii="Times New Roman" w:hAnsi="Times New Roman" w:cs="Times New Roman"/>
          <w:noProof/>
        </w:rPr>
        <w:t xml:space="preserve"> (Cambridge, MA: Harvard University Press, 2002), 15.</w:t>
      </w:r>
      <w:r w:rsidR="00AA2A48" w:rsidRPr="00DA6BE4">
        <w:rPr>
          <w:rFonts w:ascii="Times New Roman" w:hAnsi="Times New Roman" w:cs="Times New Roman"/>
        </w:rPr>
        <w:fldChar w:fldCharType="end"/>
      </w:r>
    </w:p>
  </w:footnote>
  <w:footnote w:id="26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&lt;EndNote&gt;&lt;Cite&gt;&lt;Author&gt;Millgram&lt;/Author&gt;&lt;Year&gt;1997&lt;/Year&gt;&lt;RecNum&gt;130&lt;/RecNum&gt;&lt;Pages&gt;235-265&lt;/Pages&gt;&lt;DisplayText&gt;Elijah Millgram, &amp;quot;Hume on Practical Reasoning (Treatise 463—469).&amp;quot; &lt;style face="italic"&gt;Iyyun: The Jerusalem Philosophical Quarterly&lt;/style&gt;, 46 (1997): 235-265.&lt;/DisplayText&gt;&lt;record&gt;&lt;rec-number&gt;130&lt;/rec-number&gt;&lt;foreign-keys&gt;&lt;key app="EN" db-id="vxze0a2pwrt959ep2afxdw5cat595wt9sv95" timestamp="1520822327"&gt;130&lt;/key&gt;&lt;/foreign-keys&gt;&lt;ref-type name="Journal Article"&gt;17&lt;/ref-type&gt;&lt;contributors&gt;&lt;authors&gt;&lt;author&gt;Millgram, Elijah&lt;/author&gt;&lt;/authors&gt;&lt;/contributors&gt;&lt;titles&gt;&lt;title&gt;Hume on Practical Reasoning (Treatise 463—469).&lt;/title&gt;&lt;secondary-title&gt;Iyyun: The Jerusalem Philosophical Quarterly&lt;/secondary-title&gt;&lt;/titles&gt;&lt;periodical&gt;&lt;full-title&gt;Iyyun: The Jerusalem Philosophical Quarterly&lt;/full-title&gt;&lt;/periodical&gt;&lt;pages&gt;235-265&lt;/pages&gt;&lt;volume&gt;, 46&lt;/volume&gt;&lt;dates&gt;&lt;year&gt;1997&lt;/year&gt;&lt;/dates&gt;&lt;urls&gt;&lt;/urls&gt;&lt;/record&gt;&lt;/Cite&gt;&lt;/EndNote&gt;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Elijah Millgram, "Hume on Practical Reasoning (Treatise 463—469)." </w:t>
      </w:r>
      <w:r w:rsidRPr="00DA6BE4">
        <w:rPr>
          <w:rFonts w:ascii="Times New Roman" w:hAnsi="Times New Roman" w:cs="Times New Roman"/>
          <w:i/>
          <w:noProof/>
        </w:rPr>
        <w:t>Iyyun: The Jerusalem Philosophical Quarterly</w:t>
      </w:r>
      <w:r w:rsidRPr="00DA6BE4">
        <w:rPr>
          <w:rFonts w:ascii="Times New Roman" w:hAnsi="Times New Roman" w:cs="Times New Roman"/>
          <w:noProof/>
        </w:rPr>
        <w:t>, 46 (1997): 235-265.</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proofErr w:type="spellStart"/>
      <w:r w:rsidRPr="00DA6BE4">
        <w:rPr>
          <w:rFonts w:ascii="Times New Roman" w:hAnsi="Times New Roman" w:cs="Times New Roman"/>
        </w:rPr>
        <w:t>Millgram’s</w:t>
      </w:r>
      <w:proofErr w:type="spellEnd"/>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ExcludeAuth="1"&gt;&lt;Author&gt;Millgram&lt;/Author&gt;&lt;Year&gt;1995&lt;/Year&gt;&lt;RecNum&gt;131&lt;/RecNum&gt;&lt;Pages&gt;73-95&lt;/Pages&gt;&lt;DisplayText&gt;&amp;quot;Was Hume a Humean?,&amp;quot; &lt;style face="italic"&gt;Hume Studies&lt;/style&gt;, 21, no. 1 (1995): 73-95.&lt;/DisplayText&gt;&lt;record&gt;&lt;rec-number&gt;131&lt;/rec-number&gt;&lt;foreign-keys&gt;&lt;key app="EN" db-id="vxze0a2pwrt959ep2afxdw5cat595wt9sv95" timestamp="1520822487"&gt;131&lt;/key&gt;&lt;/foreign-keys&gt;&lt;ref-type name="Journal Article"&gt;17&lt;/ref-type&gt;&lt;contributors&gt;&lt;authors&gt;&lt;author&gt;Millgram, Elijah&lt;/author&gt;&lt;/authors&gt;&lt;/contributors&gt;&lt;titles&gt;&lt;title&gt;Was Hume a Humean?&lt;/title&gt;&lt;secondary-title&gt;Hume Studies&lt;/secondary-title&gt;&lt;/titles&gt;&lt;periodical&gt;&lt;full-title&gt;Hume Studies&lt;/full-title&gt;&lt;/periodical&gt;&lt;pages&gt;75-93&lt;/pages&gt;&lt;volume&gt;, 21&lt;/volume&gt;&lt;number&gt;1&lt;/number&gt;&lt;dates&gt;&lt;year&gt;1995&lt;/year&gt;&lt;/dates&gt;&lt;urls&gt;&lt;/urls&gt;&lt;/record&gt;&lt;/Cite&gt;&lt;Cite ExcludeAuth="1" ExcludeYear="1" Hidden="1"&gt;&lt;Author&gt;Millgram&lt;/Author&gt;&lt;Year&gt;1995&lt;/Year&gt;&lt;RecNum&gt;131&lt;/RecNum&gt;&lt;record&gt;&lt;rec-number&gt;131&lt;/rec-number&gt;&lt;foreign-keys&gt;&lt;key app="EN" db-id="vxze0a2pwrt959ep2afxdw5cat595wt9sv95" timestamp="1520822487"&gt;131&lt;/key&gt;&lt;/foreign-keys&gt;&lt;ref-type name="Journal Article"&gt;17&lt;/ref-type&gt;&lt;contributors&gt;&lt;authors&gt;&lt;author&gt;Millgram, Elijah&lt;/author&gt;&lt;/authors&gt;&lt;/contributors&gt;&lt;titles&gt;&lt;title&gt;Was Hume a Humean?&lt;/title&gt;&lt;secondary-title&gt;Hume Studies&lt;/secondary-title&gt;&lt;/titles&gt;&lt;periodical&gt;&lt;full-title&gt;Hume Studies&lt;/full-title&gt;&lt;/periodical&gt;&lt;pages&gt;75-93&lt;/pages&gt;&lt;volume&gt;, 21&lt;/volume&gt;&lt;number&gt;1&lt;/number&gt;&lt;dates&gt;&lt;year&gt;1995&lt;/year&gt;&lt;/dates&gt;&lt;urls&gt;&lt;/urls&gt;&lt;/record&gt;&lt;/Cite&gt;&lt;/EndNote&gt;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"Was Hume a Humean?," </w:t>
      </w:r>
      <w:r w:rsidRPr="00DA6BE4">
        <w:rPr>
          <w:rFonts w:ascii="Times New Roman" w:hAnsi="Times New Roman" w:cs="Times New Roman"/>
          <w:i/>
          <w:noProof/>
        </w:rPr>
        <w:t>Hume Studies</w:t>
      </w:r>
      <w:r w:rsidRPr="00DA6BE4">
        <w:rPr>
          <w:rFonts w:ascii="Times New Roman" w:hAnsi="Times New Roman" w:cs="Times New Roman"/>
          <w:noProof/>
        </w:rPr>
        <w:t>, 21, no. 1 (1995): 73-95.</w:t>
      </w:r>
      <w:r w:rsidR="00AA2A48" w:rsidRPr="00DA6BE4">
        <w:rPr>
          <w:rFonts w:ascii="Times New Roman" w:hAnsi="Times New Roman" w:cs="Times New Roman"/>
        </w:rPr>
        <w:fldChar w:fldCharType="end"/>
      </w:r>
    </w:p>
  </w:footnote>
  <w:footnote w:id="26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&lt;EndNote&gt;&lt;Cite&gt;&lt;Author&gt;Carnap&lt;/Author&gt;&lt;Year&gt;1936&lt;/Year&gt;&lt;RecNum&gt;133&lt;/RecNum&gt;&lt;Pages&gt;419-471`, cited in Putnam`, (2002)`, The Collapse of the Fact/Value Dichotomy and Other Essays`, 22&lt;/Pages&gt;&lt;DisplayText&gt;Rudolph Carnap, &amp;quot;Testability and Meaning,&amp;quot; &lt;style face="italic"&gt;Philosophy of Science&lt;/style&gt; 3, no. 4 (1936): 419-471, cited in Putnam, (2002), The Collapse of the Fact/Value Dichotomy and Other Essays, 2022.&lt;/DisplayText&gt;&lt;record&gt;&lt;rec-number&gt;133&lt;/rec-number&gt;&lt;foreign-keys&gt;&lt;key app="EN" db-id="vxze0a2pwrt959ep2afxdw5cat595wt9sv95" timestamp="1520824746"&gt;133&lt;/key&gt;&lt;/foreign-keys&gt;&lt;ref-type name="Journal Article"&gt;17&lt;/ref-type&gt;&lt;contributors&gt;&lt;authors&gt;&lt;author&gt;Carnap, Rudolph&lt;/author&gt;&lt;/authors&gt;&lt;/contributors&gt;&lt;titles&gt;&lt;title&gt;Testability and Meaning&lt;/title&gt;&lt;secondary-title&gt;Philosophy of Science&lt;/secondary-title&gt;&lt;/titles&gt;&lt;periodical&gt;&lt;full-title&gt;Philosophy of Science&lt;/full-title&gt;&lt;/periodical&gt;&lt;pages&gt;419-471&lt;/pages&gt;&lt;volume&gt;3&lt;/volume&gt;&lt;number&gt;4&lt;/number&gt;&lt;dates&gt;&lt;year&gt;1936&lt;/year&gt;&lt;/dates&gt;&lt;urls&gt;&lt;/urls&gt;&lt;/record&gt;&lt;/Cite&gt;&lt;/EndNote&gt;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Rudolph Carnap, "Testability and Meaning," </w:t>
      </w:r>
      <w:r w:rsidRPr="00DA6BE4">
        <w:rPr>
          <w:rFonts w:ascii="Times New Roman" w:hAnsi="Times New Roman" w:cs="Times New Roman"/>
          <w:i/>
          <w:noProof/>
        </w:rPr>
        <w:t>Philosophy of Science</w:t>
      </w:r>
      <w:r w:rsidRPr="00DA6BE4">
        <w:rPr>
          <w:rFonts w:ascii="Times New Roman" w:hAnsi="Times New Roman" w:cs="Times New Roman"/>
          <w:noProof/>
        </w:rPr>
        <w:t xml:space="preserve"> 3, no. 4 (1936): 419-471, cited in Putnam, (2002), The Collapse of the Fact/Value Dichotomy and Other Essays, 2022.</w:t>
      </w:r>
      <w:r w:rsidR="00AA2A48" w:rsidRPr="00DA6BE4">
        <w:rPr>
          <w:rFonts w:ascii="Times New Roman" w:hAnsi="Times New Roman" w:cs="Times New Roman"/>
        </w:rPr>
        <w:fldChar w:fldCharType="end"/>
      </w:r>
    </w:p>
  </w:footnote>
  <w:footnote w:id="27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&lt;EndNote&gt;&lt;Cite&gt;&lt;Author&gt;Carnap&lt;/Author&gt;&lt;Year&gt;1937&lt;/Year&gt;&lt;RecNum&gt;132&lt;/RecNum&gt;&lt;Pages&gt;1-40`, cited in Putnam`, (2002)`, The Collapse of the Fact/Value Dichotomy and Other Essays`, 23&lt;/Pages&gt;&lt;DisplayText&gt;Rudolph Carnap, &amp;quot;Testability and Meaning--Continued,&amp;quot; &lt;style face="italic"&gt;Philosophy of Science&lt;/style&gt; 4, no. 1 (1937): 1-40, cited in Putnam, (2002), The Collapse of the Fact/Value Dichotomy and Other Essays, 2023.&lt;/DisplayText&gt;&lt;record&gt;&lt;rec-number&gt;132&lt;/rec-number&gt;&lt;foreign-keys&gt;&lt;key app="EN" db-id="vxze0a2pwrt959ep2afxdw5cat595wt9sv95" timestamp="1520824624"&gt;132&lt;/key&gt;&lt;/foreign-keys&gt;&lt;ref-type name="Journal Article"&gt;17&lt;/ref-type&gt;&lt;contributors&gt;&lt;authors&gt;&lt;author&gt;Carnap, Rudolph&lt;/author&gt;&lt;/authors&gt;&lt;/contributors&gt;&lt;titles&gt;&lt;title&gt;Testability and Meaning--Continued&lt;/title&gt;&lt;secondary-title&gt;Philosophy of Science&lt;/secondary-title&gt;&lt;/titles&gt;&lt;periodical&gt;&lt;full-title&gt;Philosophy of Science&lt;/full-title&gt;&lt;/periodical&gt;&lt;pages&gt;1-40&lt;/pages&gt;&lt;volume&gt;4&lt;/volume&gt;&lt;number&gt;1&lt;/number&gt;&lt;dates&gt;&lt;year&gt;1937&lt;/year&gt;&lt;/dates&gt;&lt;urls&gt;&lt;/urls&gt;&lt;/record&gt;&lt;/Cite&gt;&lt;/EndNote&gt;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Rudolph Carnap, "Testability and Meaning--Continued," </w:t>
      </w:r>
      <w:r w:rsidRPr="00DA6BE4">
        <w:rPr>
          <w:rFonts w:ascii="Times New Roman" w:hAnsi="Times New Roman" w:cs="Times New Roman"/>
          <w:i/>
          <w:noProof/>
        </w:rPr>
        <w:t>Philosophy of Science</w:t>
      </w:r>
      <w:r w:rsidRPr="00DA6BE4">
        <w:rPr>
          <w:rFonts w:ascii="Times New Roman" w:hAnsi="Times New Roman" w:cs="Times New Roman"/>
          <w:noProof/>
        </w:rPr>
        <w:t xml:space="preserve"> 4, no. 1 (1937): 1-40, cited in Putnam, (2002), The Collapse of the Fact/Value Dichotomy and Other Essays, 2023.</w:t>
      </w:r>
      <w:r w:rsidR="00AA2A48" w:rsidRPr="00DA6BE4">
        <w:rPr>
          <w:rFonts w:ascii="Times New Roman" w:hAnsi="Times New Roman" w:cs="Times New Roman"/>
        </w:rPr>
        <w:fldChar w:fldCharType="end"/>
      </w:r>
    </w:p>
  </w:footnote>
  <w:footnote w:id="27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&lt;EndNote&gt;&lt;Cite&gt;&lt;Author&gt;Carnap&lt;/Author&gt;&lt;Year&gt;1938&lt;/Year&gt;&lt;RecNum&gt;134&lt;/RecNum&gt;&lt;Pages&gt;§24`, 207`, cited in Putnam`, (2002)`, The Collapse of the Fact/Value Dichotomy and Other Essays`, 23.&lt;/Pages&gt;&lt;DisplayText&gt;Rudolph Carnap, &amp;quot;The Foundations of Logic and Mathematics,&amp;quot; in &lt;style face="italic"&gt;International Encylopedia of Unified Science&lt;/style&gt; (Chicago: Chicago University Press, 1938), §24, 207, cited in Putnam, (2002), The Collapse of the Fact/Value Dichotomy and Other Essays, 2023.&lt;/DisplayText&gt;&lt;record&gt;&lt;rec-number&gt;134&lt;/rec-number&gt;&lt;foreign-keys&gt;&lt;key app="EN" db-id="vxze0a2pwrt959ep2afxdw5cat595wt9sv95" timestamp="1520825867"&gt;134&lt;/key&gt;&lt;/foreign-keys&gt;&lt;ref-type name="Encyclopedia"&gt;53&lt;/ref-type&gt;&lt;contributors&gt;&lt;authors&gt;&lt;author&gt;Carnap, Rudolph&lt;/author&gt;&lt;/authors&gt;&lt;/contributors&gt;&lt;titles&gt;&lt;title&gt;The Foundations of Logic and Mathematics&lt;/title&gt;&lt;secondary-title&gt;International Encylopedia of Unified Science&lt;/secondary-title&gt;&lt;/titles&gt;&lt;pages&gt;139-214&lt;/pages&gt;&lt;volume&gt;1, Part 1&lt;/volume&gt;&lt;dates&gt;&lt;year&gt;1938&lt;/year&gt;&lt;/dates&gt;&lt;pub-location&gt;Chicago&lt;/pub-location&gt;&lt;publisher&gt;Chicago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Rudolph Carnap, "The Foundations of Logic and Mathematics," in </w:t>
      </w:r>
      <w:r w:rsidRPr="00DA6BE4">
        <w:rPr>
          <w:rFonts w:ascii="Times New Roman" w:hAnsi="Times New Roman" w:cs="Times New Roman"/>
          <w:i/>
          <w:noProof/>
        </w:rPr>
        <w:t>International Encylopedia of Unified Science</w:t>
      </w:r>
      <w:r w:rsidRPr="00DA6BE4">
        <w:rPr>
          <w:rFonts w:ascii="Times New Roman" w:hAnsi="Times New Roman" w:cs="Times New Roman"/>
          <w:noProof/>
        </w:rPr>
        <w:t xml:space="preserve"> (Chicago: Chicago University Press, 1938), §24, 207, cited in Putnam, (2002), The Collapse of the Fact/Value Dichotomy and Other Essays, 2023.</w:t>
      </w:r>
      <w:r w:rsidR="00AA2A48" w:rsidRPr="00DA6BE4">
        <w:rPr>
          <w:rFonts w:ascii="Times New Roman" w:hAnsi="Times New Roman" w:cs="Times New Roman"/>
        </w:rPr>
        <w:fldChar w:fldCharType="end"/>
      </w:r>
    </w:p>
  </w:footnote>
  <w:footnote w:id="27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spellStart"/>
      <w:r w:rsidRPr="00DA6BE4">
        <w:rPr>
          <w:rFonts w:ascii="Times New Roman" w:hAnsi="Times New Roman" w:cs="Times New Roman"/>
        </w:rPr>
        <w:t>Duhem</w:t>
      </w:r>
      <w:proofErr w:type="spellEnd"/>
      <w:r w:rsidRPr="00DA6BE4">
        <w:rPr>
          <w:rFonts w:ascii="Times New Roman" w:hAnsi="Times New Roman" w:cs="Times New Roman"/>
        </w:rPr>
        <w:t xml:space="preserve"> first articulated this idea;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&lt;EndNote&gt;&lt;Cite&gt;&lt;Author&gt;Duhem&lt;/Author&gt;&lt;Year&gt;1954&lt;/Year&gt;&lt;RecNum&gt;136&lt;/RecNum&gt;&lt;Pages&gt;185`, 199-200`, 216-218&lt;/Pages&gt;&lt;DisplayText&gt;Pierre Duhem, &lt;style face="italic"&gt;The Aim and Structure of Physical Theory&lt;/style&gt;, 2nd ed. (Princeton: Princeton University Press, 1954), 185, 199-200, 216-218.&lt;/DisplayText&gt;&lt;record&gt;&lt;rec-number&gt;136&lt;/rec-number&gt;&lt;foreign-keys&gt;&lt;key app="EN" db-id="vxze0a2pwrt959ep2afxdw5cat595wt9sv95" timestamp="1520827133"&gt;136&lt;/key&gt;&lt;/foreign-keys&gt;&lt;ref-type name="Book"&gt;6&lt;/ref-type&gt;&lt;contributors&gt;&lt;authors&gt;&lt;author&gt;Duhem, Pierre&lt;/author&gt;&lt;/authors&gt;&lt;/contributors&gt;&lt;titles&gt;&lt;title&gt;The Aim and Structure of Physical Theory&lt;/title&gt;&lt;/titles&gt;&lt;edition&gt;2nd&lt;/edition&gt;&lt;dates&gt;&lt;year&gt;1954&lt;/year&gt;&lt;/dates&gt;&lt;pub-location&gt;Princeton&lt;/pub-location&gt;&lt;publisher&gt;Princeton University Press&lt;/publisher&gt;&lt;orig-pub&gt;1914&lt;/orig-pub&gt;&lt;urls&gt;&lt;/urls&gt;&lt;/record&gt;&lt;/Cite&gt;&lt;/EndNote&gt;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Pierre Duhem, </w:t>
      </w:r>
      <w:r w:rsidRPr="00DA6BE4">
        <w:rPr>
          <w:rFonts w:ascii="Times New Roman" w:hAnsi="Times New Roman" w:cs="Times New Roman"/>
          <w:i/>
          <w:noProof/>
        </w:rPr>
        <w:t>The Aim and Structure of Physical Theory</w:t>
      </w:r>
      <w:r w:rsidRPr="00DA6BE4">
        <w:rPr>
          <w:rFonts w:ascii="Times New Roman" w:hAnsi="Times New Roman" w:cs="Times New Roman"/>
          <w:noProof/>
        </w:rPr>
        <w:t>, 2nd ed. (Princeton: Princeton University Press, 1954), 185, 199-200, 216-218.</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&lt;EndNote&gt;&lt;Cite&gt;&lt;Author&gt;Duhem&lt;/Author&gt;&lt;Year&gt;1969&lt;/Year&gt;&lt;RecNum&gt;137&lt;/RecNum&gt;&lt;DisplayText&gt;Pierre Duhem, &lt;style face="italic"&gt;To Save the Phenomena, an Essay on the Idea of Physical Theory from Plato to Galileo&lt;/style&gt; (Chicago: University of Chicago Press., 1969).&lt;/DisplayText&gt;&lt;record&gt;&lt;rec-number&gt;137&lt;/rec-number&gt;&lt;foreign-keys&gt;&lt;key app="EN" db-id="vxze0a2pwrt959ep2afxdw5cat595wt9sv95" timestamp="1520827182"&gt;137&lt;/key&gt;&lt;/foreign-keys&gt;&lt;ref-type name="Book"&gt;6&lt;/ref-type&gt;&lt;contributors&gt;&lt;authors&gt;&lt;author&gt;Duhem, Pierre&lt;/author&gt;&lt;/authors&gt;&lt;/contributors&gt;&lt;titles&gt;&lt;title&gt;To Save the Phenomena, an Essay on the Idea of Physical Theory from Plato to Galileo&lt;/title&gt;&lt;/titles&gt;&lt;dates&gt;&lt;year&gt;1969&lt;/year&gt;&lt;/dates&gt;&lt;pub-location&gt;Chicago&lt;/pub-location&gt;&lt;publisher&gt;University of Chicago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Pierre Duhem, </w:t>
      </w:r>
      <w:r w:rsidRPr="00DA6BE4">
        <w:rPr>
          <w:rFonts w:ascii="Times New Roman" w:hAnsi="Times New Roman" w:cs="Times New Roman"/>
          <w:i/>
          <w:noProof/>
        </w:rPr>
        <w:t>To Save the Phenomena, an Essay on the Idea of Physical Theory from Plato to Galileo</w:t>
      </w:r>
      <w:r w:rsidRPr="00DA6BE4">
        <w:rPr>
          <w:rFonts w:ascii="Times New Roman" w:hAnsi="Times New Roman" w:cs="Times New Roman"/>
          <w:noProof/>
        </w:rPr>
        <w:t xml:space="preserve"> (Chicago: University of Chicago Press., 1969).</w:t>
      </w:r>
      <w:r w:rsidR="00AA2A48" w:rsidRPr="00DA6BE4">
        <w:rPr>
          <w:rFonts w:ascii="Times New Roman" w:hAnsi="Times New Roman" w:cs="Times New Roman"/>
        </w:rPr>
        <w:fldChar w:fldCharType="end"/>
      </w:r>
    </w:p>
  </w:footnote>
  <w:footnote w:id="27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&lt;EndNote&gt;&lt;Cite&gt;&lt;Author&gt;Kuhn&lt;/Author&gt;&lt;Year&gt;1996&lt;/Year&gt;&lt;RecNum&gt;135&lt;/RecNum&gt;&lt;DisplayText&gt;Thomas Kuhn, &lt;style face="italic"&gt;The Structure of Scientific Revolutions&lt;/style&gt;, 3rd ed. ed. (Chicago: Chicago University Press, 1996).&lt;/DisplayText&gt;&lt;record&gt;&lt;rec-number&gt;135&lt;/rec-number&gt;&lt;foreign-keys&gt;&lt;key app="EN" db-id="vxze0a2pwrt959ep2afxdw5cat595wt9sv95" timestamp="1520826504"&gt;135&lt;/key&gt;&lt;/foreign-keys&gt;&lt;ref-type name="Book"&gt;6&lt;/ref-type&gt;&lt;contributors&gt;&lt;authors&gt;&lt;author&gt;Kuhn, Thomas&lt;/author&gt;&lt;/authors&gt;&lt;/contributors&gt;&lt;titles&gt;&lt;title&gt;The Structure of Scientific Revolutions&lt;/title&gt;&lt;/titles&gt;&lt;edition&gt;3rd ed.&lt;/edition&gt;&lt;dates&gt;&lt;year&gt;1996&lt;/year&gt;&lt;/dates&gt;&lt;pub-location&gt;Chicago&lt;/pub-location&gt;&lt;publisher&gt;Chicago University Press&lt;/publisher&gt;&lt;orig-pub&gt;1962&lt;/orig-pub&gt;&lt;urls&gt;&lt;/urls&gt;&lt;/record&gt;&lt;/Cite&gt;&lt;/EndNote&gt;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Thomas Kuhn, </w:t>
      </w:r>
      <w:r w:rsidRPr="00DA6BE4">
        <w:rPr>
          <w:rFonts w:ascii="Times New Roman" w:hAnsi="Times New Roman" w:cs="Times New Roman"/>
          <w:i/>
          <w:noProof/>
        </w:rPr>
        <w:t>The Structure of Scientific Revolutions</w:t>
      </w:r>
      <w:r w:rsidRPr="00DA6BE4">
        <w:rPr>
          <w:rFonts w:ascii="Times New Roman" w:hAnsi="Times New Roman" w:cs="Times New Roman"/>
          <w:noProof/>
        </w:rPr>
        <w:t>, 3rd ed. ed. (Chicago: Chicago University Press, 1996).</w:t>
      </w:r>
      <w:r w:rsidR="00AA2A48" w:rsidRPr="00DA6BE4">
        <w:rPr>
          <w:rFonts w:ascii="Times New Roman" w:hAnsi="Times New Roman" w:cs="Times New Roman"/>
        </w:rPr>
        <w:fldChar w:fldCharType="end"/>
      </w:r>
    </w:p>
  </w:footnote>
  <w:footnote w:id="274">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&lt;EndNote&gt;&lt;Cite&gt;&lt;RecNum&gt;0&lt;/RecNum&gt;&lt;Note&gt;Here, I am specifically referring to semantic theory-ladenness where an observation term is partially determined by theoretical presuppositions.&lt;/Note&gt;&lt;DisplayText&gt;Here, I am specifically referring to semantic theory-ladenness where an observation term is partially determined by theoretical presuppositions.&lt;/DisplayText&gt;&lt;/Cite&gt;&lt;/EndNote&gt;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Here, I am specifically referring to semantic theory-ladenness where an observation term is partially determined by theoretical presuppositions.</w:t>
      </w:r>
      <w:r w:rsidR="00AA2A48" w:rsidRPr="00DA6BE4">
        <w:rPr>
          <w:rFonts w:ascii="Times New Roman" w:hAnsi="Times New Roman" w:cs="Times New Roman"/>
        </w:rPr>
        <w:fldChar w:fldCharType="end"/>
      </w:r>
    </w:p>
  </w:footnote>
  <w:footnote w:id="27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AuthorYear="1"&gt;&lt;Author&gt;Putnam&lt;/Author&gt;&lt;Year&gt;2002&lt;/Year&gt;&lt;RecNum&gt;51&lt;/RecNum&gt;&lt;Pages&gt;29&lt;/Pages&gt;&lt;DisplayText&gt;Putnam, &lt;style face="italic"&gt;The Collapse of the Fact/Value Dichotomy and Other Essays&lt;/style&gt;, 29.&lt;/DisplayText&gt;&lt;record&gt;&lt;rec-number&gt;51&lt;/rec-number&gt;&lt;foreign-keys&gt;&lt;key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Putnam, </w:t>
      </w:r>
      <w:r w:rsidRPr="00DA6BE4">
        <w:rPr>
          <w:rFonts w:ascii="Times New Roman" w:hAnsi="Times New Roman" w:cs="Times New Roman"/>
          <w:i/>
          <w:noProof/>
        </w:rPr>
        <w:t>The Collapse of the Fact/Value Dichotomy and Other Essays</w:t>
      </w:r>
      <w:r w:rsidRPr="00DA6BE4">
        <w:rPr>
          <w:rFonts w:ascii="Times New Roman" w:hAnsi="Times New Roman" w:cs="Times New Roman"/>
          <w:noProof/>
        </w:rPr>
        <w:t>, 29.</w:t>
      </w:r>
      <w:r w:rsidR="00AA2A48" w:rsidRPr="00DA6BE4">
        <w:rPr>
          <w:rFonts w:ascii="Times New Roman" w:hAnsi="Times New Roman" w:cs="Times New Roman"/>
        </w:rPr>
        <w:fldChar w:fldCharType="end"/>
      </w:r>
    </w:p>
  </w:footnote>
  <w:footnote w:id="27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AuthorYear="1"&gt;&lt;Author&gt;Putnam&lt;/Author&gt;&lt;Year&gt;2002&lt;/Year&gt;&lt;RecNum&gt;51&lt;/RecNum&gt;&lt;Pages&gt;135&lt;/Pages&gt;&lt;DisplayText&gt;Ibid., 135.&lt;/DisplayText&gt;&lt;record&gt;&lt;rec-number&gt;51&lt;/rec-number&gt;&lt;foreign-keys&gt;&lt;key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135.</w:t>
      </w:r>
      <w:r w:rsidR="00AA2A48" w:rsidRPr="00DA6BE4">
        <w:rPr>
          <w:rFonts w:ascii="Times New Roman" w:hAnsi="Times New Roman" w:cs="Times New Roman"/>
        </w:rPr>
        <w:fldChar w:fldCharType="end"/>
      </w:r>
    </w:p>
  </w:footnote>
  <w:footnote w:id="27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AuthorYear="1"&gt;&lt;Author&gt;Putnam&lt;/Author&gt;&lt;Year&gt;2002&lt;/Year&gt;&lt;RecNum&gt;51&lt;/RecNum&gt;&lt;Pages&gt;136-137&lt;/Pages&gt;&lt;DisplayText&gt;Ibid., 136-137.&lt;/DisplayText&gt;&lt;record&gt;&lt;rec-number&gt;51&lt;/rec-number&gt;&lt;foreign-keys&gt;&lt;key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136-137.</w:t>
      </w:r>
      <w:r w:rsidR="00AA2A48" w:rsidRPr="00DA6BE4">
        <w:rPr>
          <w:rFonts w:ascii="Times New Roman" w:hAnsi="Times New Roman" w:cs="Times New Roman"/>
        </w:rPr>
        <w:fldChar w:fldCharType="end"/>
      </w:r>
    </w:p>
  </w:footnote>
  <w:footnote w:id="27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[emphasis in the original]</w:t>
      </w:r>
    </w:p>
  </w:footnote>
  <w:footnote w:id="27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&lt;EndNote&gt;&lt;Cite&gt;&lt;Author&gt;Walsh&lt;/Author&gt;&lt;Year&gt;1987&lt;/Year&gt;&lt;RecNum&gt;138&lt;/RecNum&gt;&lt;Pages&gt;cited in Putnam`, 2002`, 30.&lt;/Pages&gt;&lt;DisplayText&gt;Vivian Walsh, &amp;quot;Philosophy and Economics,&amp;quot; in &lt;style face="italic"&gt;The New Palgrave: A Dictionary of Economics&lt;/style&gt;, ed. J. Eatwell, Milgate, M., and Newman, P. (London: Macmillan, 1987), cited in Putnam, 2002, 2030.&lt;/DisplayText&gt;&lt;record&gt;&lt;rec-number&gt;138&lt;/rec-number&gt;&lt;foreign-keys&gt;&lt;key app="EN" db-id="vxze0a2pwrt959ep2afxdw5cat595wt9sv95" timestamp="1520828114"&gt;138&lt;/key&gt;&lt;/foreign-keys&gt;&lt;ref-type name="Dictionary"&gt;52&lt;/ref-type&gt;&lt;contributors&gt;&lt;authors&gt;&lt;author&gt;Walsh, Vivian&lt;/author&gt;&lt;/authors&gt;&lt;secondary-authors&gt;&lt;author&gt;Eatwell, J., Milgate, M., and Newman, P.&lt;/author&gt;&lt;/secondary-authors&gt;&lt;/contributors&gt;&lt;titles&gt;&lt;title&gt;Philosophy and Economics&lt;/title&gt;&lt;secondary-title&gt;The New Palgrave: A Dictionary of Economics&lt;/secondary-title&gt;&lt;/titles&gt;&lt;pages&gt;861-869&lt;/pages&gt;&lt;volume&gt;3&lt;/volume&gt;&lt;dates&gt;&lt;year&gt;1987&lt;/year&gt;&lt;/dates&gt;&lt;pub-location&gt;London&lt;/pub-location&gt;&lt;publisher&gt;Macmillan&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Vivian Walsh, "Philosophy and Economics," in </w:t>
      </w:r>
      <w:r w:rsidRPr="00DA6BE4">
        <w:rPr>
          <w:rFonts w:ascii="Times New Roman" w:hAnsi="Times New Roman" w:cs="Times New Roman"/>
          <w:i/>
          <w:noProof/>
        </w:rPr>
        <w:t>The New Palgrave: A Dictionary of Economics</w:t>
      </w:r>
      <w:r w:rsidRPr="00DA6BE4">
        <w:rPr>
          <w:rFonts w:ascii="Times New Roman" w:hAnsi="Times New Roman" w:cs="Times New Roman"/>
          <w:noProof/>
        </w:rPr>
        <w:t>, ed. J. Eatwell, Milgate, M., and Newman, P. (London: Macmillan, 1987), cited in Putnam, 2002, 2030.</w:t>
      </w:r>
      <w:r w:rsidR="00AA2A48" w:rsidRPr="00DA6BE4">
        <w:rPr>
          <w:rFonts w:ascii="Times New Roman" w:hAnsi="Times New Roman" w:cs="Times New Roman"/>
        </w:rPr>
        <w:fldChar w:fldCharType="end"/>
      </w:r>
    </w:p>
  </w:footnote>
  <w:footnote w:id="28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AuthorYear="1"&gt;&lt;Author&gt;Putnam&lt;/Author&gt;&lt;Year&gt;2002&lt;/Year&gt;&lt;RecNum&gt;51&lt;/RecNum&gt;&lt;Pages&gt;30-31&lt;/Pages&gt;&lt;DisplayText&gt;Putnam, &lt;style face="italic"&gt;The Collapse of the Fact/Value Dichotomy and Other Essays&lt;/style&gt;, 30-31.&lt;/DisplayText&gt;&lt;record&gt;&lt;rec-number&gt;51&lt;/rec-number&gt;&lt;foreign-keys&gt;&lt;key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Putnam, </w:t>
      </w:r>
      <w:r w:rsidRPr="00DA6BE4">
        <w:rPr>
          <w:rFonts w:ascii="Times New Roman" w:hAnsi="Times New Roman" w:cs="Times New Roman"/>
          <w:i/>
          <w:noProof/>
        </w:rPr>
        <w:t>The Collapse of the Fact/Value Dichotomy and Other Essays</w:t>
      </w:r>
      <w:r w:rsidRPr="00DA6BE4">
        <w:rPr>
          <w:rFonts w:ascii="Times New Roman" w:hAnsi="Times New Roman" w:cs="Times New Roman"/>
          <w:noProof/>
        </w:rPr>
        <w:t>, 30-31.</w:t>
      </w:r>
      <w:r w:rsidR="00AA2A48" w:rsidRPr="00DA6BE4">
        <w:rPr>
          <w:rFonts w:ascii="Times New Roman" w:hAnsi="Times New Roman" w:cs="Times New Roman"/>
        </w:rPr>
        <w:fldChar w:fldCharType="end"/>
      </w:r>
    </w:p>
  </w:footnote>
  <w:footnote w:id="281">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John </w:t>
      </w:r>
      <w:r w:rsidRPr="00DA6BE4">
        <w:rPr>
          <w:rFonts w:ascii="Times New Roman" w:hAnsi="Times New Roman" w:cs="Times New Roman"/>
          <w:lang w:val="en-CA"/>
        </w:rPr>
        <w:t xml:space="preserve">McDowell makes the same point; see </w:t>
      </w:r>
      <w:r w:rsidR="00AA2A48" w:rsidRPr="00DA6BE4">
        <w:rPr>
          <w:rFonts w:ascii="Times New Roman" w:hAnsi="Times New Roman" w:cs="Times New Roman"/>
          <w:lang w:val="en-CA"/>
        </w:rPr>
        <w:fldChar w:fldCharType="begin"/>
      </w:r>
      <w:r>
        <w:rPr>
          <w:rFonts w:ascii="Times New Roman" w:hAnsi="Times New Roman" w:cs="Times New Roman"/>
          <w:lang w:val="en-CA"/>
        </w:rPr>
        <w:instrText xml:space="preserve"> ADDIN EN.CITE &lt;EndNote&gt;&lt;Cite AuthorYear="1"&gt;&lt;Author&gt;McDowell&lt;/Author&gt;&lt;Year&gt;1998&lt;/Year&gt;&lt;RecNum&gt;139&lt;/RecNum&gt;&lt;Pages&gt;Chapter 7&lt;/Pages&gt;&lt;DisplayText&gt;John McDowell, &amp;quot;Reason, Value and Reality,&amp;quot; in &lt;style face="italic"&gt;Mind, Value, and Reality&lt;/style&gt; (Cambridge, MA: Harvard University Press, 1998), Chapter 7.&lt;/DisplayText&gt;&lt;record&gt;&lt;rec-number&gt;139&lt;/rec-number&gt;&lt;foreign-keys&gt;&lt;key app="EN" db-id="vxze0a2pwrt959ep2afxdw5cat595wt9sv95" timestamp="1520828387"&gt;139&lt;/key&gt;&lt;/foreign-keys&gt;&lt;ref-type name="Book Section"&gt;5&lt;/ref-type&gt;&lt;contributors&gt;&lt;authors&gt;&lt;author&gt;McDowell, John&lt;/author&gt;&lt;/authors&gt;&lt;/contributors&gt;&lt;titles&gt;&lt;title&gt;Reason, Value and Reality&lt;/title&gt;&lt;secondary-title&gt;Mind, Value, and Reality&lt;/secondary-title&gt;&lt;/titles&gt;&lt;section&gt;7&lt;/section&gt;&lt;dates&gt;&lt;year&gt;1998&lt;/year&gt;&lt;/dates&gt;&lt;pub-location&gt;Cambridge, MA&lt;/pub-location&gt;&lt;publisher&gt;Harvard University Press&lt;/publisher&gt;&lt;urls&gt;&lt;/urls&gt;&lt;/record&gt;&lt;/Cite&gt;&lt;/EndNote&gt;</w:instrText>
      </w:r>
      <w:r w:rsidR="00AA2A48" w:rsidRPr="00DA6BE4">
        <w:rPr>
          <w:rFonts w:ascii="Times New Roman" w:hAnsi="Times New Roman" w:cs="Times New Roman"/>
          <w:lang w:val="en-CA"/>
        </w:rPr>
        <w:fldChar w:fldCharType="separate"/>
      </w:r>
      <w:r>
        <w:rPr>
          <w:rFonts w:ascii="Times New Roman" w:hAnsi="Times New Roman" w:cs="Times New Roman"/>
          <w:noProof/>
          <w:lang w:val="en-CA"/>
        </w:rPr>
        <w:t xml:space="preserve">John McDowell, "Reason, Value and Reality," in </w:t>
      </w:r>
      <w:r w:rsidRPr="004B665F">
        <w:rPr>
          <w:rFonts w:ascii="Times New Roman" w:hAnsi="Times New Roman" w:cs="Times New Roman"/>
          <w:i/>
          <w:noProof/>
          <w:lang w:val="en-CA"/>
        </w:rPr>
        <w:t>Mind, Value, and Reality</w:t>
      </w:r>
      <w:r>
        <w:rPr>
          <w:rFonts w:ascii="Times New Roman" w:hAnsi="Times New Roman" w:cs="Times New Roman"/>
          <w:noProof/>
          <w:lang w:val="en-CA"/>
        </w:rPr>
        <w:t xml:space="preserve"> (Cambridge, MA: Harvard University Press, 1998), Chapter 7.</w:t>
      </w:r>
      <w:r w:rsidR="00AA2A48" w:rsidRPr="00DA6BE4">
        <w:rPr>
          <w:rFonts w:ascii="Times New Roman" w:hAnsi="Times New Roman" w:cs="Times New Roman"/>
          <w:lang w:val="en-CA"/>
        </w:rPr>
        <w:fldChar w:fldCharType="end"/>
      </w:r>
      <w:r w:rsidRPr="00DA6BE4">
        <w:rPr>
          <w:rFonts w:ascii="Times New Roman" w:hAnsi="Times New Roman" w:cs="Times New Roman"/>
          <w:lang w:val="en-CA"/>
        </w:rPr>
        <w:t xml:space="preserve"> Also 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&lt;EndNote&gt;&lt;Cite&gt;&lt;Author&gt;Murdoch&lt;/Author&gt;&lt;Year&gt;1970&lt;/Year&gt;&lt;RecNum&gt;173&lt;/RecNum&gt;&lt;DisplayText&gt;Iris Murdoch, &lt;style face="italic"&gt;The Sovereignty of the Good&lt;/style&gt; (London: Routledge &amp;amp; Kegan Paul, 1970).&lt;/DisplayText&gt;&lt;record&gt;&lt;rec-number&gt;173&lt;/rec-number&gt;&lt;foreign-keys&gt;&lt;key app="EN" db-id="vxze0a2pwrt959ep2afxdw5cat595wt9sv95" timestamp="1528220828"&gt;173&lt;/key&gt;&lt;/foreign-keys&gt;&lt;ref-type name="Book"&gt;6&lt;/ref-type&gt;&lt;contributors&gt;&lt;authors&gt;&lt;author&gt;Murdoch, Iris&lt;/author&gt;&lt;/authors&gt;&lt;/contributors&gt;&lt;titles&gt;&lt;title&gt;The Sovereignty of The Good&lt;/title&gt;&lt;/titles&gt;&lt;dates&gt;&lt;year&gt;1970&lt;/year&gt;&lt;/dates&gt;&lt;pub-location&gt;London&lt;/pub-location&gt;&lt;publisher&gt;Routledge &amp;amp; Kegan Paul&lt;/publisher&gt;&lt;urls&gt;&lt;/urls&gt;&lt;/record&gt;&lt;/Cite&gt;&lt;/EndNote&gt;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 xml:space="preserve">Iris Murdoch, </w:t>
      </w:r>
      <w:r w:rsidRPr="00DA6BE4">
        <w:rPr>
          <w:rFonts w:ascii="Times New Roman" w:hAnsi="Times New Roman" w:cs="Times New Roman"/>
          <w:i/>
          <w:noProof/>
          <w:lang w:val="en-CA"/>
        </w:rPr>
        <w:t>The Sovereignty of the Good</w:t>
      </w:r>
      <w:r w:rsidRPr="00DA6BE4">
        <w:rPr>
          <w:rFonts w:ascii="Times New Roman" w:hAnsi="Times New Roman" w:cs="Times New Roman"/>
          <w:noProof/>
          <w:lang w:val="en-CA"/>
        </w:rPr>
        <w:t xml:space="preserve"> (London: Routledge &amp; Kegan Paul, 1970).</w:t>
      </w:r>
      <w:r w:rsidR="00AA2A48" w:rsidRPr="00DA6BE4">
        <w:rPr>
          <w:rFonts w:ascii="Times New Roman" w:hAnsi="Times New Roman" w:cs="Times New Roman"/>
          <w:lang w:val="en-CA"/>
        </w:rPr>
        <w:fldChar w:fldCharType="end"/>
      </w:r>
    </w:p>
  </w:footnote>
  <w:footnote w:id="282">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&lt;EndNote&gt;&lt;Cite&gt;&lt;RecNum&gt;0&lt;/RecNum&gt;&lt;Note&gt;Putnam is here referring to arguments advanced by Iris Murdoch, John McDowell, and Phillipa Foot, against a strong fact-value distinction since thick concepts are often entangled in ways that undermine the argument that thick terms are always factorable.&lt;/Note&gt;&lt;DisplayText&gt;Putnam is here referring to arguments advanced by Iris Murdoch, John McDowell, and Phillipa Foot, against a strong fact-value distinction since thick concepts are often entangled in ways that undermine the argument that thick terms are always factorable.&lt;/DisplayText&gt;&lt;/Cite&gt;&lt;/EndNote&gt;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Putnam is here referring to arguments advanced by Iris Murdoch, John McDowell, and Phillipa Foot, against a strong fact-value distinction since thick concepts are often entangled in ways that undermine the argument that thick terms are always factorable.</w:t>
      </w:r>
      <w:r w:rsidR="00AA2A48" w:rsidRPr="00DA6BE4">
        <w:rPr>
          <w:rFonts w:ascii="Times New Roman" w:hAnsi="Times New Roman" w:cs="Times New Roman"/>
        </w:rPr>
        <w:fldChar w:fldCharType="end"/>
      </w:r>
    </w:p>
  </w:footnote>
  <w:footnote w:id="28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&lt;EndNote&gt;&lt;Cite&gt;&lt;Author&gt;Putnam&lt;/Author&gt;&lt;Year&gt;1993&lt;/Year&gt;&lt;RecNum&gt;140&lt;/RecNum&gt;&lt;Pages&gt;146&lt;/Pages&gt;&lt;DisplayText&gt;Hilary Putnam, &amp;quot;Objectivity and the Science-Ethics Distinction,&amp;quot; in &lt;style face="italic"&gt;The Quality of Life&lt;/style&gt;, ed. Martha Nussbaum and Amartya Sen (Oxford: Oxford University Press, 1993), 146.&lt;/DisplayText&gt;&lt;record&gt;&lt;rec-number&gt;140&lt;/rec-number&gt;&lt;foreign-keys&gt;&lt;key app="EN" db-id="vxze0a2pwrt959ep2afxdw5cat595wt9sv95" timestamp="1520830526"&gt;140&lt;/key&gt;&lt;/foreign-keys&gt;&lt;ref-type name="Book Section"&gt;5&lt;/ref-type&gt;&lt;contributors&gt;&lt;authors&gt;&lt;author&gt;Putnam, Hilary&lt;/author&gt;&lt;/authors&gt;&lt;secondary-authors&gt;&lt;author&gt;Martha Nussbaum and Amartya Sen&lt;/author&gt;&lt;/secondary-authors&gt;&lt;/contributors&gt;&lt;titles&gt;&lt;title&gt;Objectivity and the Science-Ethics Distinction&lt;/title&gt;&lt;secondary-title&gt;The Quality of Life&lt;/secondary-title&gt;&lt;/titles&gt;&lt;pages&gt;143-157&lt;/pages&gt;&lt;dates&gt;&lt;year&gt;1993&lt;/year&gt;&lt;/dates&gt;&lt;pub-location&gt;Oxford&lt;/pub-location&gt;&lt;publisher&gt;Oxford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Hilary Putnam, "Objectivity and the Science-Ethics Distinction," in </w:t>
      </w:r>
      <w:r w:rsidRPr="00DA6BE4">
        <w:rPr>
          <w:rFonts w:ascii="Times New Roman" w:hAnsi="Times New Roman" w:cs="Times New Roman"/>
          <w:i/>
          <w:noProof/>
        </w:rPr>
        <w:t>The Quality of Life</w:t>
      </w:r>
      <w:r w:rsidRPr="00DA6BE4">
        <w:rPr>
          <w:rFonts w:ascii="Times New Roman" w:hAnsi="Times New Roman" w:cs="Times New Roman"/>
          <w:noProof/>
        </w:rPr>
        <w:t>, ed. Martha Nussbaum and Amartya Sen (Oxford: Oxford University Press, 1993), 146.</w:t>
      </w:r>
      <w:r w:rsidR="00AA2A48" w:rsidRPr="00DA6BE4">
        <w:rPr>
          <w:rFonts w:ascii="Times New Roman" w:hAnsi="Times New Roman" w:cs="Times New Roman"/>
        </w:rPr>
        <w:fldChar w:fldCharType="end"/>
      </w:r>
    </w:p>
  </w:footnote>
  <w:footnote w:id="28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AuthorYear="1"&gt;&lt;Author&gt;Putnam&lt;/Author&gt;&lt;Year&gt;2002&lt;/Year&gt;&lt;RecNum&gt;51&lt;/RecNum&gt;&lt;Pages&gt;40-41&lt;/Pages&gt;&lt;DisplayText&gt;Putnam, &lt;style face="italic"&gt;The Collapse of the Fact/Value Dichotomy and Other Essays&lt;/style&gt;, 40-41.&lt;/DisplayText&gt;&lt;record&gt;&lt;rec-number&gt;51&lt;/rec-number&gt;&lt;foreign-keys&gt;&lt;key app="EN" db-id="vxze0a2pwrt959ep2afxdw5cat595wt9sv95" timestamp="1443697864"&gt;51&lt;/key&gt;&lt;/foreign-keys&gt;&lt;ref-type name="Book"&gt;6&lt;/ref-type&gt;&lt;contributors&gt;&lt;authors&gt;&lt;author&gt;Putnam, Hilary&lt;/author&gt;&lt;/authors&gt;&lt;/contributors&gt;&lt;titles&gt;&lt;title&gt;The Collapse of the Fact/Value Dichotomy and Other Essays&lt;/title&gt;&lt;/titles&gt;&lt;pages&gt;ix, 190 p.&lt;/pages&gt;&lt;keywords&gt;&lt;keyword&gt;Values.&lt;/keyword&gt;&lt;keyword&gt;Facts (Philosophy)&lt;/keyword&gt;&lt;keyword&gt;Welfare economics.&lt;/keyword&gt;&lt;keyword&gt;Sen, Amartya, 1933-&lt;/keyword&gt;&lt;/keywords&gt;&lt;dates&gt;&lt;year&gt;2002&lt;/year&gt;&lt;/dates&gt;&lt;pub-location&gt;Cambridge, MA&lt;/pub-location&gt;&lt;publisher&gt;Harvard University Press&lt;/publisher&gt;&lt;isbn&gt;0674009053&lt;/isbn&gt;&lt;accession-num&gt;12755197&lt;/accession-num&gt;&lt;call-num&gt;Jefferson or Adams Building Reading Rooms (FLS2) B945.P873 C65 2002&amp;#xD;Jefferson or Adams Building Reading Rooms B945.P873 C65 2002&lt;/call-num&gt;&lt;urls&gt;&lt;/urls&gt;&lt;/record&gt;&lt;/Cite&gt;&lt;/EndNote&gt;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Putnam, </w:t>
      </w:r>
      <w:r w:rsidRPr="00DA6BE4">
        <w:rPr>
          <w:rFonts w:ascii="Times New Roman" w:hAnsi="Times New Roman" w:cs="Times New Roman"/>
          <w:i/>
          <w:noProof/>
        </w:rPr>
        <w:t>The Collapse of the Fact/Value Dichotomy and Other Essays</w:t>
      </w:r>
      <w:r w:rsidRPr="00DA6BE4">
        <w:rPr>
          <w:rFonts w:ascii="Times New Roman" w:hAnsi="Times New Roman" w:cs="Times New Roman"/>
          <w:noProof/>
        </w:rPr>
        <w:t>, 40-41.</w:t>
      </w:r>
      <w:r w:rsidR="00AA2A48" w:rsidRPr="00DA6BE4">
        <w:rPr>
          <w:rFonts w:ascii="Times New Roman" w:hAnsi="Times New Roman" w:cs="Times New Roman"/>
        </w:rPr>
        <w:fldChar w:fldCharType="end"/>
      </w:r>
    </w:p>
  </w:footnote>
  <w:footnote w:id="285">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Putnam further expands on this position in his book </w:t>
      </w:r>
      <w:r w:rsidRPr="00DA6BE4">
        <w:rPr>
          <w:rFonts w:ascii="Times New Roman" w:hAnsi="Times New Roman" w:cs="Times New Roman"/>
          <w:i/>
        </w:rPr>
        <w:t>Ethics Without Ontology</w:t>
      </w:r>
      <w:r w:rsidRPr="00DA6BE4">
        <w:rPr>
          <w:rFonts w:ascii="Times New Roman" w:hAnsi="Times New Roman" w:cs="Times New Roman"/>
        </w:rPr>
        <w:t xml:space="preserve"> and defines it as conceptual pluralism;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&lt;EndNote&gt;&lt;Cite&gt;&lt;Author&gt;Putnam&lt;/Author&gt;&lt;Year&gt;2004&lt;/Year&gt;&lt;RecNum&gt;52&lt;/RecNum&gt;&lt;Pages&gt;48-51&lt;/Pages&gt;&lt;DisplayText&gt;Hilary Putnam, &lt;style face="italic"&gt;Ethics without Ontology&lt;/style&gt; (Cambridge, Mass.: Harvard University Press, 2004), 48-51.&lt;/DisplayText&gt;&lt;record&gt;&lt;rec-number&gt;52&lt;/rec-number&gt;&lt;foreign-keys&gt;&lt;key app="EN" db-id="vxze0a2pwrt959ep2afxdw5cat595wt9sv95" timestamp="1443697906"&gt;52&lt;/key&gt;&lt;/foreign-keys&gt;&lt;ref-type name="Book"&gt;6&lt;/ref-type&gt;&lt;contributors&gt;&lt;authors&gt;&lt;author&gt;Putnam, Hilary&lt;/author&gt;&lt;/authors&gt;&lt;/contributors&gt;&lt;titles&gt;&lt;title&gt;Ethics Without Ontology&lt;/title&gt;&lt;/titles&gt;&lt;pages&gt;ix, 160 p.&lt;/pages&gt;&lt;keywords&gt;&lt;keyword&gt;Ethics.&lt;/keyword&gt;&lt;keyword&gt;Ontology.&lt;/keyword&gt;&lt;/keywords&gt;&lt;dates&gt;&lt;year&gt;2004&lt;/year&gt;&lt;/dates&gt;&lt;pub-location&gt;Cambridge, Mass.&lt;/pub-location&gt;&lt;publisher&gt;Harvard University Press&lt;/publisher&gt;&lt;isbn&gt;0674013107 (alk. paper)&lt;/isbn&gt;&lt;accession-num&gt;13344316&lt;/accession-num&gt;&lt;call-num&gt;Jefferson or Adams Building Reading Rooms (FLS2) B945.P873 E84 2004&amp;#xD;Jefferson or Adams Building Reading Rooms B945.P873 E84 2004&lt;/call-num&gt;&lt;urls&gt;&lt;/urls&gt;&lt;/record&gt;&lt;/Cite&gt;&lt;/EndNote&gt;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Hilary Putnam, </w:t>
      </w:r>
      <w:r w:rsidRPr="00DA6BE4">
        <w:rPr>
          <w:rFonts w:ascii="Times New Roman" w:hAnsi="Times New Roman" w:cs="Times New Roman"/>
          <w:i/>
          <w:noProof/>
        </w:rPr>
        <w:t>Ethics without Ontology</w:t>
      </w:r>
      <w:r w:rsidRPr="00DA6BE4">
        <w:rPr>
          <w:rFonts w:ascii="Times New Roman" w:hAnsi="Times New Roman" w:cs="Times New Roman"/>
          <w:noProof/>
        </w:rPr>
        <w:t xml:space="preserve"> (Cambridge, Mass.: Harvard University Press, 2004), 48-51.</w:t>
      </w:r>
      <w:r w:rsidR="00AA2A48" w:rsidRPr="00DA6BE4">
        <w:rPr>
          <w:rFonts w:ascii="Times New Roman" w:hAnsi="Times New Roman" w:cs="Times New Roman"/>
        </w:rPr>
        <w:fldChar w:fldCharType="end"/>
      </w:r>
    </w:p>
  </w:footnote>
  <w:footnote w:id="28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AuthorYear="1"&gt;&lt;Author&gt;Putnam&lt;/Author&gt;&lt;Year&gt;1993&lt;/Year&gt;&lt;RecNum&gt;140&lt;/RecNum&gt;&lt;Pages&gt;149-150&lt;/Pages&gt;&lt;DisplayText&gt;Putnam, &amp;quot;Objectivity and the Science-Ethics Distinction,&amp;quot; 149-150.&lt;/DisplayText&gt;&lt;record&gt;&lt;rec-number&gt;140&lt;/rec-number&gt;&lt;foreign-keys&gt;&lt;key app="EN" db-id="vxze0a2pwrt959ep2afxdw5cat595wt9sv95" timestamp="1520830526"&gt;140&lt;/key&gt;&lt;/foreign-keys&gt;&lt;ref-type name="Book Section"&gt;5&lt;/ref-type&gt;&lt;contributors&gt;&lt;authors&gt;&lt;author&gt;Putnam, Hilary&lt;/author&gt;&lt;/authors&gt;&lt;secondary-authors&gt;&lt;author&gt;Martha Nussbaum and Amartya Sen&lt;/author&gt;&lt;/secondary-authors&gt;&lt;/contributors&gt;&lt;titles&gt;&lt;title&gt;Objectivity and the Science-Ethics Distinction&lt;/title&gt;&lt;secondary-title&gt;The Quality of Life&lt;/secondary-title&gt;&lt;/titles&gt;&lt;pages&gt;143-157&lt;/pages&gt;&lt;dates&gt;&lt;year&gt;1993&lt;/year&gt;&lt;/dates&gt;&lt;pub-location&gt;Oxford&lt;/pub-location&gt;&lt;publisher&gt;Oxford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Putnam, "Objectivity and the Science-Ethics Distinction," 149-150.</w:t>
      </w:r>
      <w:r w:rsidR="00AA2A48" w:rsidRPr="00DA6BE4">
        <w:rPr>
          <w:rFonts w:ascii="Times New Roman" w:hAnsi="Times New Roman" w:cs="Times New Roman"/>
        </w:rPr>
        <w:fldChar w:fldCharType="end"/>
      </w:r>
    </w:p>
  </w:footnote>
  <w:footnote w:id="28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We have already seen, in Chapter One, the historicist-contextualist character of MacIntyre’s first four hypotheses: H1 to H4. </w:t>
      </w:r>
    </w:p>
  </w:footnote>
  <w:footnote w:id="288">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Earlier in our discussion of Talisse and Dewey in Chapter Three, we discussed the idea of the continuity between ethics and politics. Here, I will expand on this idea and show why it is central to MacIntyre’s philosophy.</w:t>
      </w:r>
    </w:p>
  </w:footnote>
  <w:footnote w:id="28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Appendix H1 to H4.</w:t>
      </w:r>
    </w:p>
  </w:footnote>
  <w:footnote w:id="29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MacIntyre’s </w:t>
      </w:r>
      <w:r w:rsidRPr="00DA6BE4">
        <w:rPr>
          <w:rFonts w:ascii="Times New Roman" w:hAnsi="Times New Roman" w:cs="Times New Roman"/>
          <w:i/>
        </w:rPr>
        <w:t>After Virtue</w:t>
      </w:r>
      <w:r w:rsidRPr="00DA6BE4">
        <w:rPr>
          <w:rFonts w:ascii="Times New Roman" w:hAnsi="Times New Roman" w:cs="Times New Roman"/>
        </w:rPr>
        <w:t xml:space="preserve">; Bernard Williams makes a similar argument which while distinct from MacIntyre’s particular claim here, it can be viewed as sort of parallel claim. Williams argues that modern moral debates relevant to contemporary conditions are in fact political problems; and the kind of ethics that remains relevant to us in the present-day, is an ethics that deals with political problems: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&lt;EndNote&gt;&lt;Cite&gt;&lt;Author&gt;Geuss&lt;/Author&gt;&lt;Year&gt;2014&lt;/Year&gt;&lt;RecNum&gt;141&lt;/RecNum&gt;&lt;Pages&gt;175-194&lt;/Pages&gt;&lt;DisplayText&gt;Raymond Geuss, &amp;quot;Did Williams Do Ethics?,&amp;quot; in &lt;style face="italic"&gt;A World without Why&lt;/style&gt; (Princeton: Princeton University Press, 2014), 175-194.&lt;/DisplayText&gt;&lt;record&gt;&lt;rec-number&gt;141&lt;/rec-number&gt;&lt;foreign-keys&gt;&lt;key app="EN" db-id="vxze0a2pwrt959ep2afxdw5cat595wt9sv95" timestamp="1520833658"&gt;141&lt;/key&gt;&lt;/foreign-keys&gt;&lt;ref-type name="Book Section"&gt;5&lt;/ref-type&gt;&lt;contributors&gt;&lt;authors&gt;&lt;author&gt;Geuss, Raymond&lt;/author&gt;&lt;/authors&gt;&lt;/contributors&gt;&lt;titles&gt;&lt;title&gt;Did Williams Do Ethics?&lt;/title&gt;&lt;secondary-title&gt;A World without Why&lt;/secondary-title&gt;&lt;/titles&gt;&lt;pages&gt;175-194&lt;/pages&gt;&lt;dates&gt;&lt;year&gt;2014&lt;/year&gt;&lt;/dates&gt;&lt;pub-location&gt;Princeton&lt;/pub-location&gt;&lt;publisher&gt;Princeton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Raymond Geuss, "Did Williams Do Ethics?," in </w:t>
      </w:r>
      <w:r w:rsidRPr="00DA6BE4">
        <w:rPr>
          <w:rFonts w:ascii="Times New Roman" w:hAnsi="Times New Roman" w:cs="Times New Roman"/>
          <w:i/>
          <w:noProof/>
        </w:rPr>
        <w:t>A World without Why</w:t>
      </w:r>
      <w:r w:rsidRPr="00DA6BE4">
        <w:rPr>
          <w:rFonts w:ascii="Times New Roman" w:hAnsi="Times New Roman" w:cs="Times New Roman"/>
          <w:noProof/>
        </w:rPr>
        <w:t xml:space="preserve"> (Princeton: Princeton University Press, 2014), 175-194.</w:t>
      </w:r>
      <w:r w:rsidR="00AA2A48" w:rsidRPr="00DA6BE4">
        <w:rPr>
          <w:rFonts w:ascii="Times New Roman" w:hAnsi="Times New Roman" w:cs="Times New Roman"/>
        </w:rPr>
        <w:fldChar w:fldCharType="end"/>
      </w:r>
    </w:p>
  </w:footnote>
  <w:footnote w:id="291">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section 3 I will discuss these points in greater detail.</w:t>
      </w:r>
    </w:p>
  </w:footnote>
  <w:footnote w:id="292">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Chapter One of </w:t>
      </w:r>
      <w:r w:rsidRPr="00DA6BE4">
        <w:rPr>
          <w:rFonts w:ascii="Times New Roman" w:hAnsi="Times New Roman" w:cs="Times New Roman"/>
          <w:i/>
        </w:rPr>
        <w:t>Ethics in the Conflicts of Modernity</w:t>
      </w:r>
      <w:r w:rsidRPr="00DA6BE4">
        <w:rPr>
          <w:rFonts w:ascii="Times New Roman" w:hAnsi="Times New Roman" w:cs="Times New Roman"/>
        </w:rPr>
        <w:t>, MacIntyre extends his original criticism of emotivism to expressivism. MacIntyre’s roughly argues in Chapter One of this book that while expressivism does hold</w:t>
      </w:r>
      <w:r>
        <w:rPr>
          <w:rFonts w:ascii="Times New Roman" w:hAnsi="Times New Roman" w:cs="Times New Roman"/>
        </w:rPr>
        <w:t xml:space="preserve"> a</w:t>
      </w:r>
      <w:r w:rsidRPr="00DA6BE4">
        <w:rPr>
          <w:rFonts w:ascii="Times New Roman" w:hAnsi="Times New Roman" w:cs="Times New Roman"/>
        </w:rPr>
        <w:t xml:space="preserve"> certain appeal, it retains an important flaw. Namely, that it ends up ignoring the purposeful intentional (or teleological) character of our practical, social and normative activities; and that, we miss something crucial about social and normative phenomena if we understand our preferences and desires simply as expressions of a particular range or class of these concepts, rather than as a historical and narrative outcome of purposive activities in which we arrange our short-term intentions and activities in terms of medium and long-term goals and purposes.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&lt;EndNote&gt;&lt;Cite&gt;&lt;Author&gt;MacIntyre&lt;/Author&gt;&lt;Year&gt;2016&lt;/Year&gt;&lt;RecNum&gt;176&lt;/RecNum&gt;&lt;DisplayText&gt;Alasdair MacIntyre, &lt;style face="italic"&gt;Ethics in the Conflicts of Modernity&lt;/style&gt; (Cambridge: Cambridge University Press, 2016).&lt;/DisplayText&gt;&lt;record&gt;&lt;rec-number&gt;176&lt;/rec-number&gt;&lt;foreign-keys&gt;&lt;key app="EN" db-id="vxze0a2pwrt959ep2afxdw5cat595wt9sv95" timestamp="1528405648"&gt;176&lt;/key&gt;&lt;/foreign-keys&gt;&lt;ref-type name="Book"&gt;6&lt;/ref-type&gt;&lt;contributors&gt;&lt;authors&gt;&lt;author&gt;MacIntyre, Alasdair&lt;/author&gt;&lt;/authors&gt;&lt;/contributors&gt;&lt;titles&gt;&lt;title&gt;Ethics in the Conflicts of Modernity&lt;/title&gt;&lt;/titles&gt;&lt;dates&gt;&lt;year&gt;2016&lt;/year&gt;&lt;/dates&gt;&lt;pub-location&gt;Cambridge&lt;/pub-location&gt;&lt;publisher&gt;Cambridge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Ethics in the Conflicts of Modernity</w:t>
      </w:r>
      <w:r w:rsidRPr="00DA6BE4">
        <w:rPr>
          <w:rFonts w:ascii="Times New Roman" w:hAnsi="Times New Roman" w:cs="Times New Roman"/>
          <w:noProof/>
        </w:rPr>
        <w:t xml:space="preserve"> (Cambridge: Cambridge University Press, 2016).</w:t>
      </w:r>
      <w:r w:rsidR="00AA2A48" w:rsidRPr="00DA6BE4">
        <w:rPr>
          <w:rFonts w:ascii="Times New Roman" w:hAnsi="Times New Roman" w:cs="Times New Roman"/>
        </w:rPr>
        <w:fldChar w:fldCharType="end"/>
      </w:r>
    </w:p>
  </w:footnote>
  <w:footnote w:id="29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Of course earlier in the thesis I argued that MacIntyre’s three-fold account is inadequate; nevertheless, this inadequacy aside, it doesn’t take away from the fact that MacIntyre’s ethical account in </w:t>
      </w:r>
      <w:r w:rsidRPr="00DA6BE4">
        <w:rPr>
          <w:rFonts w:ascii="Times New Roman" w:hAnsi="Times New Roman" w:cs="Times New Roman"/>
          <w:i/>
          <w:lang w:val="en-CA"/>
        </w:rPr>
        <w:t>After Virtue</w:t>
      </w:r>
      <w:r w:rsidRPr="00DA6BE4">
        <w:rPr>
          <w:rFonts w:ascii="Times New Roman" w:hAnsi="Times New Roman" w:cs="Times New Roman"/>
          <w:lang w:val="en-CA"/>
        </w:rPr>
        <w:t xml:space="preserve"> makes a genuine attempt at a positive account, alongside his negative critique of contemporary ethical positions, chief among them emotivism.</w:t>
      </w:r>
    </w:p>
  </w:footnote>
  <w:footnote w:id="294">
    <w:p w:rsidR="00D810CC" w:rsidRPr="00DA6BE4" w:rsidRDefault="00D810CC" w:rsidP="00287EAD">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concerns are here with respect to the second tension (or difficulty) for MacIntyre’s project.</w:t>
      </w:r>
    </w:p>
  </w:footnote>
  <w:footnote w:id="29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AuthorYear="1"&gt;&lt;Author&gt;Knight&lt;/Author&gt;&lt;Year&gt;2013&lt;/Year&gt;&lt;RecNum&gt;75&lt;/RecNum&gt;&lt;Pages&gt;113&lt;/Pages&gt;&lt;DisplayText&gt;Kelvin Knight, &amp;quot;Alasdair Macintyre&amp;apos;s Revisionary Aristotelianism: Pragmatism Opposed, Marxism Outmoded, Thomism Transformed,&amp;quot; in &lt;style face="italic"&gt;What Happened in and to Moral Philosophy in the Twentieth Century: Philosophical Essays in Honor of Alasdair Macintyre&lt;/style&gt;, ed. Fran O&amp;apos;Rourke (Notre Dame, Indiana: University of Notre Dame Press, 2013), 113.&lt;/DisplayText&gt;&lt;record&gt;&lt;rec-number&gt;75&lt;/rec-number&gt;&lt;foreign-keys&gt;&lt;key app="EN" db-id="vxze0a2pwrt959ep2afxdw5cat595wt9sv95" timestamp="1444051024"&gt;75&lt;/key&gt;&lt;/foreign-keys&gt;&lt;ref-type name="Book Section"&gt;5&lt;/ref-type&gt;&lt;contributors&gt;&lt;authors&gt;&lt;author&gt;Knight, Kelvin&lt;/author&gt;&lt;/authors&gt;&lt;secondary-authors&gt;&lt;author&gt;O&amp;apos;Rourke, Fran&lt;/author&gt;&lt;/secondary-authors&gt;&lt;/contributors&gt;&lt;titles&gt;&lt;title&gt;Alasdair MacIntyre&amp;apos;s Revisionary Aristotelianism: Pragmatism Opposed, Marxism Outmoded, Thomism Transformed&lt;/title&gt;&lt;secondary-title&gt;What Happened in and to Moral Philosophy in the Twentieth Century: Philosophical Essays in Honor of Alasdair MacIntyre&lt;/secondary-title&gt;&lt;/titles&gt;&lt;pages&gt;83-121&lt;/pages&gt;&lt;section&gt;4&lt;/section&gt;&lt;dates&gt;&lt;year&gt;2013&lt;/year&gt;&lt;/dates&gt;&lt;pub-location&gt;Notre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Kelvin Knight, "Alasdair Macintyre's Revisionary Aristotelianism: Pragmatism Opposed, Marxism Outmoded, Thomism Transformed," in </w:t>
      </w:r>
      <w:r w:rsidRPr="00DA6BE4">
        <w:rPr>
          <w:rFonts w:ascii="Times New Roman" w:hAnsi="Times New Roman" w:cs="Times New Roman"/>
          <w:i/>
          <w:noProof/>
        </w:rPr>
        <w:t>What Happened in and to Moral Philosophy in the Twentieth Century: Philosophical Essays in Honor of Alasdair Macintyre</w:t>
      </w:r>
      <w:r w:rsidRPr="00DA6BE4">
        <w:rPr>
          <w:rFonts w:ascii="Times New Roman" w:hAnsi="Times New Roman" w:cs="Times New Roman"/>
          <w:noProof/>
        </w:rPr>
        <w:t>, ed. Fran O'Rourke (Notre Dame, Indiana: University of Notre Dame Press, 2013), 113.</w:t>
      </w:r>
      <w:r w:rsidR="00AA2A48" w:rsidRPr="00DA6BE4">
        <w:rPr>
          <w:rFonts w:ascii="Times New Roman" w:hAnsi="Times New Roman" w:cs="Times New Roman"/>
        </w:rPr>
        <w:fldChar w:fldCharType="end"/>
      </w:r>
    </w:p>
  </w:footnote>
  <w:footnote w:id="29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AuthorYear="1"&gt;&lt;Author&gt;Knight&lt;/Author&gt;&lt;Year&gt;2013&lt;/Year&gt;&lt;RecNum&gt;75&lt;/RecNum&gt;&lt;Pages&gt;114&lt;/Pages&gt;&lt;DisplayText&gt;Ibid., 114.&lt;/DisplayText&gt;&lt;record&gt;&lt;rec-number&gt;75&lt;/rec-number&gt;&lt;foreign-keys&gt;&lt;key app="EN" db-id="vxze0a2pwrt959ep2afxdw5cat595wt9sv95" timestamp="1444051024"&gt;75&lt;/key&gt;&lt;/foreign-keys&gt;&lt;ref-type name="Book Section"&gt;5&lt;/ref-type&gt;&lt;contributors&gt;&lt;authors&gt;&lt;author&gt;Knight, Kelvin&lt;/author&gt;&lt;/authors&gt;&lt;secondary-authors&gt;&lt;author&gt;O&amp;apos;Rourke, Fran&lt;/author&gt;&lt;/secondary-authors&gt;&lt;/contributors&gt;&lt;titles&gt;&lt;title&gt;Alasdair MacIntyre&amp;apos;s Revisionary Aristotelianism: Pragmatism Opposed, Marxism Outmoded, Thomism Transformed&lt;/title&gt;&lt;secondary-title&gt;What Happened in and to Moral Philosophy in the Twentieth Century: Philosophical Essays in Honor of Alasdair MacIntyre&lt;/secondary-title&gt;&lt;/titles&gt;&lt;pages&gt;83-121&lt;/pages&gt;&lt;section&gt;4&lt;/section&gt;&lt;dates&gt;&lt;year&gt;2013&lt;/year&gt;&lt;/dates&gt;&lt;pub-location&gt;Notre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114.</w:t>
      </w:r>
      <w:r w:rsidR="00AA2A48" w:rsidRPr="00DA6BE4">
        <w:rPr>
          <w:rFonts w:ascii="Times New Roman" w:hAnsi="Times New Roman" w:cs="Times New Roman"/>
        </w:rPr>
        <w:fldChar w:fldCharType="end"/>
      </w:r>
    </w:p>
  </w:footnote>
  <w:footnote w:id="29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Pr="00DA6BE4">
        <w:rPr>
          <w:rFonts w:ascii="Times New Roman" w:hAnsi="Times New Roman" w:cs="Times New Roman"/>
          <w:i/>
        </w:rPr>
        <w:t>After Virtue</w:t>
      </w:r>
      <w:r w:rsidRPr="00DA6BE4">
        <w:rPr>
          <w:rFonts w:ascii="Times New Roman" w:hAnsi="Times New Roman" w:cs="Times New Roman"/>
        </w:rPr>
        <w:t>, especially chapter 1-3.</w:t>
      </w:r>
    </w:p>
  </w:footnote>
  <w:footnote w:id="298">
    <w:p w:rsidR="00D810CC" w:rsidRPr="00DA6BE4" w:rsidRDefault="00D810CC" w:rsidP="000A1ADB">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the earlier discussion in Chapter One of hypotheses H1 to H4.</w:t>
      </w:r>
    </w:p>
  </w:footnote>
  <w:footnote w:id="29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AuthorYear="1"&gt;&lt;Author&gt;MacIntyre&lt;/Author&gt;&lt;Year&gt;1998&lt;/Year&gt;&lt;RecNum&gt;94&lt;/RecNum&gt;&lt;DisplayText&gt;MacIntyre, &amp;quot;Politics, Philosophy and the Common Good.&amp;quot;&lt;/DisplayText&gt;&lt;record&gt;&lt;rec-number&gt;94&lt;/rec-number&gt;&lt;foreign-keys&gt;&lt;key app="EN" db-id="vxze0a2pwrt959ep2afxdw5cat595wt9sv95" timestamp="1444068414"&gt;94&lt;/key&gt;&lt;/foreign-keys&gt;&lt;ref-type name="Book Section"&gt;5&lt;/ref-type&gt;&lt;contributors&gt;&lt;authors&gt;&lt;author&gt;MacIntyre, Alasdair&lt;/author&gt;&lt;/authors&gt;&lt;secondary-authors&gt;&lt;author&gt;Kelvin Knight&lt;/author&gt;&lt;/secondary-authors&gt;&lt;/contributors&gt;&lt;titles&gt;&lt;title&gt;Politics, Philosophy and the Common Good&lt;/title&gt;&lt;secondary-title&gt;The MacIntyre Reader&lt;/secondary-title&gt;&lt;/titles&gt;&lt;pages&gt;235-252&lt;/pages&gt;&lt;dates&gt;&lt;year&gt;1998&lt;/year&gt;&lt;/dates&gt;&lt;pub-location&gt;Notre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"Politics, Philosophy and the Common Good."</w:t>
      </w:r>
      <w:r w:rsidR="00AA2A48" w:rsidRPr="00DA6BE4">
        <w:rPr>
          <w:rFonts w:ascii="Times New Roman" w:hAnsi="Times New Roman" w:cs="Times New Roman"/>
        </w:rPr>
        <w:fldChar w:fldCharType="end"/>
      </w:r>
    </w:p>
  </w:footnote>
  <w:footnote w:id="30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AuthorYear="1"&gt;&lt;Author&gt;Knight&lt;/Author&gt;&lt;Year&gt;2013&lt;/Year&gt;&lt;RecNum&gt;75&lt;/RecNum&gt;&lt;Pages&gt;116&lt;/Pages&gt;&lt;DisplayText&gt;Knight, &amp;quot;Alasdair Macintyre&amp;apos;s Revisionary Aristotelianism: Pragmatism Opposed, Marxism Outmoded, Thomism Transformed,&amp;quot; 116.&lt;/DisplayText&gt;&lt;record&gt;&lt;rec-number&gt;75&lt;/rec-number&gt;&lt;foreign-keys&gt;&lt;key app="EN" db-id="vxze0a2pwrt959ep2afxdw5cat595wt9sv95" timestamp="1444051024"&gt;75&lt;/key&gt;&lt;/foreign-keys&gt;&lt;ref-type name="Book Section"&gt;5&lt;/ref-type&gt;&lt;contributors&gt;&lt;authors&gt;&lt;author&gt;Knight, Kelvin&lt;/author&gt;&lt;/authors&gt;&lt;secondary-authors&gt;&lt;author&gt;O&amp;apos;Rourke, Fran&lt;/author&gt;&lt;/secondary-authors&gt;&lt;/contributors&gt;&lt;titles&gt;&lt;title&gt;Alasdair MacIntyre&amp;apos;s Revisionary Aristotelianism: Pragmatism Opposed, Marxism Outmoded, Thomism Transformed&lt;/title&gt;&lt;secondary-title&gt;What Happened in and to Moral Philosophy in the Twentieth Century: Philosophical Essays in Honor of Alasdair MacIntyre&lt;/secondary-title&gt;&lt;/titles&gt;&lt;pages&gt;83-121&lt;/pages&gt;&lt;section&gt;4&lt;/section&gt;&lt;dates&gt;&lt;year&gt;2013&lt;/year&gt;&lt;/dates&gt;&lt;pub-location&gt;Notre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Knight, "Alasdair Macintyre's Revisionary Aristotelianism: Pragmatism Opposed, Marxism Outmoded, Thomism Transformed," 116.</w:t>
      </w:r>
      <w:r w:rsidR="00AA2A48" w:rsidRPr="00DA6BE4">
        <w:rPr>
          <w:rFonts w:ascii="Times New Roman" w:hAnsi="Times New Roman" w:cs="Times New Roman"/>
        </w:rPr>
        <w:fldChar w:fldCharType="end"/>
      </w:r>
    </w:p>
  </w:footnote>
  <w:footnote w:id="30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US"/>
        </w:rPr>
        <w:t>State-market’ is a term used by MacIntyre to refer to both the apparatus of the liberal nation-state and the capitalist institutions of the market.</w:t>
      </w:r>
    </w:p>
  </w:footnote>
  <w:footnote w:id="30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AuthorYear="1"&gt;&lt;Author&gt;Knight&lt;/Author&gt;&lt;Year&gt;2013&lt;/Year&gt;&lt;RecNum&gt;75&lt;/RecNum&gt;&lt;Pages&gt;116&lt;/Pages&gt;&lt;DisplayText&gt;Knight, &amp;quot;Alasdair Macintyre&amp;apos;s Revisionary Aristotelianism: Pragmatism Opposed, Marxism Outmoded, Thomism Transformed,&amp;quot; 116.&lt;/DisplayText&gt;&lt;record&gt;&lt;rec-number&gt;75&lt;/rec-number&gt;&lt;foreign-keys&gt;&lt;key app="EN" db-id="vxze0a2pwrt959ep2afxdw5cat595wt9sv95" timestamp="1444051024"&gt;75&lt;/key&gt;&lt;/foreign-keys&gt;&lt;ref-type name="Book Section"&gt;5&lt;/ref-type&gt;&lt;contributors&gt;&lt;authors&gt;&lt;author&gt;Knight, Kelvin&lt;/author&gt;&lt;/authors&gt;&lt;secondary-authors&gt;&lt;author&gt;O&amp;apos;Rourke, Fran&lt;/author&gt;&lt;/secondary-authors&gt;&lt;/contributors&gt;&lt;titles&gt;&lt;title&gt;Alasdair MacIntyre&amp;apos;s Revisionary Aristotelianism: Pragmatism Opposed, Marxism Outmoded, Thomism Transformed&lt;/title&gt;&lt;secondary-title&gt;What Happened in and to Moral Philosophy in the Twentieth Century: Philosophical Essays in Honor of Alasdair MacIntyre&lt;/secondary-title&gt;&lt;/titles&gt;&lt;pages&gt;83-121&lt;/pages&gt;&lt;section&gt;4&lt;/section&gt;&lt;dates&gt;&lt;year&gt;2013&lt;/year&gt;&lt;/dates&gt;&lt;pub-location&gt;Notre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Knight, "Alasdair Macintyre's Revisionary Aristotelianism: Pragmatism Opposed, Marxism Outmoded, Thomism Transformed," 116.</w:t>
      </w:r>
      <w:r w:rsidR="00AA2A48" w:rsidRPr="00DA6BE4">
        <w:rPr>
          <w:rFonts w:ascii="Times New Roman" w:hAnsi="Times New Roman" w:cs="Times New Roman"/>
        </w:rPr>
        <w:fldChar w:fldCharType="end"/>
      </w:r>
    </w:p>
  </w:footnote>
  <w:footnote w:id="30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Most of MacIntyre’s examples are either remote historical communities in our past, or more recent local communities that have recently succumbed to the forces of the state, or communities that otherwise are under severe pressure from those same forces.</w:t>
      </w:r>
    </w:p>
  </w:footnote>
  <w:footnote w:id="304">
    <w:p w:rsidR="00D810CC" w:rsidRPr="00AC4196" w:rsidRDefault="00D810CC">
      <w:pPr>
        <w:pStyle w:val="FootnoteText"/>
        <w:rPr>
          <w:rFonts w:ascii="Times New Roman" w:hAnsi="Times New Roman" w:cs="Times New Roman"/>
        </w:rPr>
      </w:pPr>
      <w:r w:rsidRPr="00AC4196">
        <w:rPr>
          <w:rStyle w:val="FootnoteReference"/>
          <w:rFonts w:ascii="Times New Roman" w:hAnsi="Times New Roman" w:cs="Times New Roman"/>
        </w:rPr>
        <w:footnoteRef/>
      </w:r>
      <w:r w:rsidRPr="00AC4196">
        <w:rPr>
          <w:rFonts w:ascii="Times New Roman" w:hAnsi="Times New Roman" w:cs="Times New Roman"/>
        </w:rPr>
        <w:t xml:space="preserve"> </w:t>
      </w:r>
      <w:r w:rsidR="00AA2A48" w:rsidRPr="00AC4196">
        <w:rPr>
          <w:rFonts w:ascii="Times New Roman" w:hAnsi="Times New Roman" w:cs="Times New Roman"/>
        </w:rPr>
        <w:fldChar w:fldCharType="begin"/>
      </w:r>
      <w:r w:rsidRPr="00AC4196">
        <w:rPr>
          <w:rFonts w:ascii="Times New Roman" w:hAnsi="Times New Roman" w:cs="Times New Roman"/>
        </w:rPr>
        <w:instrText xml:space="preserve"> ADDIN EN.CITE &lt;EndNote&gt;&lt;Cite&gt;&lt;Author&gt;MacIntyre&lt;/Author&gt;&lt;Year&gt;1998&lt;/Year&gt;&lt;RecNum&gt;94&lt;/RecNum&gt;&lt;Pages&gt;240&lt;/Pages&gt;&lt;DisplayText&gt;MacIntyre, &amp;quot;Politics, Philosophy and the Common Good,&amp;quot; 240.&lt;/DisplayText&gt;&lt;record&gt;&lt;rec-number&gt;94&lt;/rec-number&gt;&lt;foreign-keys&gt;&lt;key app="EN" db-id="vxze0a2pwrt959ep2afxdw5cat595wt9sv95" timestamp="1444068414"&gt;94&lt;/key&gt;&lt;/foreign-keys&gt;&lt;ref-type name="Book Section"&gt;5&lt;/ref-type&gt;&lt;contributors&gt;&lt;authors&gt;&lt;author&gt;MacIntyre, Alasdair&lt;/author&gt;&lt;/authors&gt;&lt;secondary-authors&gt;&lt;author&gt;Kelvin Knight&lt;/author&gt;&lt;/secondary-authors&gt;&lt;/contributors&gt;&lt;titles&gt;&lt;title&gt;Politics, Philosophy and the Common Good&lt;/title&gt;&lt;secondary-title&gt;The MacIntyre Reader&lt;/secondary-title&gt;&lt;/titles&gt;&lt;pages&gt;235-252&lt;/pages&gt;&lt;dates&gt;&lt;year&gt;1998&lt;/year&gt;&lt;/dates&gt;&lt;pub-location&gt;Notre Dame, Indiana&lt;/pub-location&gt;&lt;publisher&gt;University of Notre Dame Press&lt;/publisher&gt;&lt;urls&gt;&lt;/urls&gt;&lt;/record&gt;&lt;/Cite&gt;&lt;/EndNote&gt;</w:instrText>
      </w:r>
      <w:r w:rsidR="00AA2A48" w:rsidRPr="00AC4196">
        <w:rPr>
          <w:rFonts w:ascii="Times New Roman" w:hAnsi="Times New Roman" w:cs="Times New Roman"/>
        </w:rPr>
        <w:fldChar w:fldCharType="separate"/>
      </w:r>
      <w:r w:rsidRPr="00AC4196">
        <w:rPr>
          <w:rFonts w:ascii="Times New Roman" w:hAnsi="Times New Roman" w:cs="Times New Roman"/>
          <w:noProof/>
        </w:rPr>
        <w:t>MacIntyre, "Politics, Philosophy and the Common Good," 240.</w:t>
      </w:r>
      <w:r w:rsidR="00AA2A48" w:rsidRPr="00AC4196">
        <w:rPr>
          <w:rFonts w:ascii="Times New Roman" w:hAnsi="Times New Roman" w:cs="Times New Roman"/>
        </w:rPr>
        <w:fldChar w:fldCharType="end"/>
      </w:r>
    </w:p>
  </w:footnote>
  <w:footnote w:id="305">
    <w:p w:rsidR="00D810CC" w:rsidRPr="0075656E" w:rsidRDefault="00D810CC">
      <w:pPr>
        <w:pStyle w:val="FootnoteText"/>
      </w:pPr>
      <w:r w:rsidRPr="00AC4196">
        <w:rPr>
          <w:rStyle w:val="FootnoteReference"/>
          <w:rFonts w:ascii="Times New Roman" w:hAnsi="Times New Roman" w:cs="Times New Roman"/>
        </w:rPr>
        <w:footnoteRef/>
      </w:r>
      <w:r w:rsidRPr="00AC4196">
        <w:rPr>
          <w:rFonts w:ascii="Times New Roman" w:hAnsi="Times New Roman" w:cs="Times New Roman"/>
        </w:rPr>
        <w:t xml:space="preserve"> </w:t>
      </w:r>
      <w:r w:rsidR="00AA2A48" w:rsidRPr="00AC4196">
        <w:rPr>
          <w:rFonts w:ascii="Times New Roman" w:hAnsi="Times New Roman" w:cs="Times New Roman"/>
        </w:rPr>
        <w:fldChar w:fldCharType="begin"/>
      </w:r>
      <w:r w:rsidRPr="00AC4196">
        <w:rPr>
          <w:rFonts w:ascii="Times New Roman" w:hAnsi="Times New Roman" w:cs="Times New Roman"/>
        </w:rPr>
        <w:instrText xml:space="preserve"> ADDIN EN.CITE &lt;EndNote&gt;&lt;Cite&gt;&lt;Author&gt;MacIntyre&lt;/Author&gt;&lt;Year&gt;1994&lt;/Year&gt;&lt;RecNum&gt;142&lt;/RecNum&gt;&lt;Pages&gt;27&lt;/Pages&gt;&lt;DisplayText&gt;Alasdair MacIntyre, &amp;quot;Natural Law against the Nation-State: Or the Possibility of the Common Good against the Actuality of the Public Interest,&amp;quot; in &lt;style face="italic"&gt;Laws, Goods, and Virtues: Medieval Resources for Modern Conflicts&lt;/style&gt; (Unpublished lectures part of the Agnes Cuming Lectures in Philosophy: University College, Dublin, 1994), 27.&lt;/DisplayText&gt;&lt;record&gt;&lt;rec-number&gt;142&lt;/rec-number&gt;&lt;foreign-keys&gt;&lt;key app="EN" db-id="vxze0a2pwrt959ep2afxdw5cat595wt9sv95" timestamp="1520835133"&gt;142&lt;/key&gt;&lt;/foreign-keys&gt;&lt;ref-type name="Unpublished Work"&gt;34&lt;/ref-type&gt;&lt;contributors&gt;&lt;authors&gt;&lt;author&gt;MacIntyre, Alasdair&lt;/author&gt;&lt;/authors&gt;&lt;/contributors&gt;&lt;titles&gt;&lt;title&gt;Natural Law against the Nation-State: or the Possibility of the Common Good against the Actuality of the Public Interest&lt;/title&gt;&lt;secondary-title&gt;Laws, Goods, and Virtues: Medieval Resources for Modern Conflicts&lt;/secondary-title&gt;&lt;/titles&gt;&lt;pages&gt;26-52&lt;/pages&gt;&lt;dates&gt;&lt;year&gt;1994&lt;/year&gt;&lt;pub-dates&gt;&lt;date&gt;March 1-3&lt;/date&gt;&lt;/pub-dates&gt;&lt;/dates&gt;&lt;pub-location&gt;Unpublished lectures part of the Agnes Cuming Lectures in Philosophy&lt;/pub-location&gt;&lt;publisher&gt;University College, Dublin&lt;/publisher&gt;&lt;work-type&gt;unpublished lecture&lt;/work-type&gt;&lt;urls&gt;&lt;/urls&gt;&lt;/record&gt;&lt;/Cite&gt;&lt;/EndNote&gt;</w:instrText>
      </w:r>
      <w:r w:rsidR="00AA2A48" w:rsidRPr="00AC4196">
        <w:rPr>
          <w:rFonts w:ascii="Times New Roman" w:hAnsi="Times New Roman" w:cs="Times New Roman"/>
        </w:rPr>
        <w:fldChar w:fldCharType="separate"/>
      </w:r>
      <w:r w:rsidRPr="00AC4196">
        <w:rPr>
          <w:rFonts w:ascii="Times New Roman" w:hAnsi="Times New Roman" w:cs="Times New Roman"/>
          <w:noProof/>
        </w:rPr>
        <w:t xml:space="preserve">Alasdair MacIntyre, "Natural Law against the Nation-State: Or the Possibility of the Common Good against the Actuality of the Public Interest," in </w:t>
      </w:r>
      <w:r w:rsidRPr="00AC4196">
        <w:rPr>
          <w:rFonts w:ascii="Times New Roman" w:hAnsi="Times New Roman" w:cs="Times New Roman"/>
          <w:i/>
          <w:noProof/>
        </w:rPr>
        <w:t>Laws, Goods, and Virtues: Medieval Resources for Modern Conflicts</w:t>
      </w:r>
      <w:r w:rsidRPr="00AC4196">
        <w:rPr>
          <w:rFonts w:ascii="Times New Roman" w:hAnsi="Times New Roman" w:cs="Times New Roman"/>
          <w:noProof/>
        </w:rPr>
        <w:t xml:space="preserve"> (Unpublished lectures part of the Agnes Cuming Lectures in Philosophy: University College, Dublin, 1994), 27.</w:t>
      </w:r>
      <w:r w:rsidR="00AA2A48" w:rsidRPr="00AC4196">
        <w:rPr>
          <w:rFonts w:ascii="Times New Roman" w:hAnsi="Times New Roman" w:cs="Times New Roman"/>
        </w:rPr>
        <w:fldChar w:fldCharType="end"/>
      </w:r>
    </w:p>
  </w:footnote>
  <w:footnote w:id="30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MacIntyre </w:t>
      </w:r>
      <w:r>
        <w:rPr>
          <w:rFonts w:ascii="Times New Roman" w:hAnsi="Times New Roman" w:cs="Times New Roman"/>
        </w:rPr>
        <w:t>tells us that a fishing crew</w:t>
      </w:r>
      <w:r w:rsidRPr="00DA6BE4">
        <w:rPr>
          <w:rFonts w:ascii="Times New Roman" w:hAnsi="Times New Roman" w:cs="Times New Roman"/>
        </w:rPr>
        <w:t xml:space="preserve"> </w:t>
      </w:r>
      <w:r>
        <w:rPr>
          <w:rFonts w:ascii="Times New Roman" w:hAnsi="Times New Roman" w:cs="Times New Roman"/>
        </w:rPr>
        <w:t xml:space="preserve">is a good </w:t>
      </w:r>
      <w:r w:rsidRPr="00DA6BE4">
        <w:rPr>
          <w:rFonts w:ascii="Times New Roman" w:hAnsi="Times New Roman" w:cs="Times New Roman"/>
        </w:rPr>
        <w:t xml:space="preserve">example of </w:t>
      </w:r>
      <w:r>
        <w:rPr>
          <w:rFonts w:ascii="Times New Roman" w:hAnsi="Times New Roman" w:cs="Times New Roman"/>
        </w:rPr>
        <w:t xml:space="preserve">a </w:t>
      </w:r>
      <w:r w:rsidRPr="00DA6BE4">
        <w:rPr>
          <w:rFonts w:ascii="Times New Roman" w:hAnsi="Times New Roman" w:cs="Times New Roman"/>
        </w:rPr>
        <w:t>practice (or craft). When we engage in this practice we learn to work with each other, to be honest with each other, and show courage in helping each other in different circumstances. Hence in this way we achieve the internal goods (internal goods or goods of virtue such as honesty, courage, etc. and are distinct to external goods such as monetary reward, honour, fame, etc.) of virtue in this particular practice. MacIntyre notes that the internal goods of various practices can often overlap.</w:t>
      </w:r>
    </w:p>
  </w:footnote>
  <w:footnote w:id="30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&lt;EndNote&gt;&lt;Cite&gt;&lt;Author&gt;Murphy&lt;/Author&gt;&lt;Year&gt;2003&lt;/Year&gt;&lt;RecNum&gt;37&lt;/RecNum&gt;&lt;DisplayText&gt;Mark C. Murphy, &amp;quot;Macintyre&amp;apos;s Political Philosophy,&amp;quot; in &lt;style face="italic"&gt;Alasdair Macintyre&lt;/style&gt;, ed. Mark C. Murphy, &lt;style face="italic"&gt;Contemporary Philosophy in Focus&lt;/style&gt; (Cambridge, UK ; New York: Cambridge University Press, 2003).&lt;/DisplayText&gt;&lt;record&gt;&lt;rec-number&gt;37&lt;/rec-number&gt;&lt;foreign-keys&gt;&lt;key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Mark C. Murphy, "Macintyre's Political Philosophy," in </w:t>
      </w:r>
      <w:r w:rsidRPr="00DA6BE4">
        <w:rPr>
          <w:rFonts w:ascii="Times New Roman" w:hAnsi="Times New Roman" w:cs="Times New Roman"/>
          <w:i/>
          <w:noProof/>
        </w:rPr>
        <w:t>Alasdair Macintyre</w:t>
      </w:r>
      <w:r w:rsidRPr="00DA6BE4">
        <w:rPr>
          <w:rFonts w:ascii="Times New Roman" w:hAnsi="Times New Roman" w:cs="Times New Roman"/>
          <w:noProof/>
        </w:rPr>
        <w:t xml:space="preserve">, ed. Mark C. Murphy, </w:t>
      </w:r>
      <w:r w:rsidRPr="00DA6BE4">
        <w:rPr>
          <w:rFonts w:ascii="Times New Roman" w:hAnsi="Times New Roman" w:cs="Times New Roman"/>
          <w:i/>
          <w:noProof/>
        </w:rPr>
        <w:t>Contemporary Philosophy in Focus</w:t>
      </w:r>
      <w:r w:rsidRPr="00DA6BE4">
        <w:rPr>
          <w:rFonts w:ascii="Times New Roman" w:hAnsi="Times New Roman" w:cs="Times New Roman"/>
          <w:noProof/>
        </w:rPr>
        <w:t xml:space="preserve"> (Cambridge, UK ; New York: Cambridge University Press, 2003).</w:t>
      </w:r>
      <w:r w:rsidR="00AA2A48" w:rsidRPr="00DA6BE4">
        <w:rPr>
          <w:rFonts w:ascii="Times New Roman" w:hAnsi="Times New Roman" w:cs="Times New Roman"/>
        </w:rPr>
        <w:fldChar w:fldCharType="end"/>
      </w:r>
    </w:p>
  </w:footnote>
  <w:footnote w:id="30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0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With respect to the relationship between common good and individual good, Charles Taylor holds similar views to those of MacIntyre; see</w:t>
      </w:r>
      <w:r>
        <w:rPr>
          <w:rFonts w:ascii="Times New Roman" w:hAnsi="Times New Roman" w:cs="Times New Roman"/>
        </w:rPr>
        <w:t xml:space="preserv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&lt;EndNote&gt;&lt;Cite&gt;&lt;Author&gt;Taylor&lt;/Author&gt;&lt;Year&gt;1995&lt;/Year&gt;&lt;RecNum&gt;178&lt;/RecNum&gt;&lt;Pages&gt;100-126&lt;/Pages&gt;&lt;DisplayText&gt;Charles Taylor, &amp;quot;Irreducibly Social Goods,&amp;quot; in &lt;style face="italic"&gt;Philosophical Arguments&lt;/style&gt; (Cambridge: Harvard University Press, 1995), 100-126.&lt;/DisplayText&gt;&lt;record&gt;&lt;rec-number&gt;178&lt;/rec-number&gt;&lt;foreign-keys&gt;&lt;key app="EN" db-id="vxze0a2pwrt959ep2afxdw5cat595wt9sv95" timestamp="1529920973"&gt;178&lt;/key&gt;&lt;/foreign-keys&gt;&lt;ref-type name="Book Section"&gt;5&lt;/ref-type&gt;&lt;contributors&gt;&lt;authors&gt;&lt;author&gt;Taylor, Charles&lt;/author&gt;&lt;/authors&gt;&lt;/contributors&gt;&lt;titles&gt;&lt;title&gt;Irreducibly Social Goods&lt;/title&gt;&lt;secondary-title&gt;Philosophical Arguments&lt;/secondary-title&gt;&lt;/titles&gt;&lt;section&gt;100-126&lt;/section&gt;&lt;dates&gt;&lt;year&gt;1995&lt;/year&gt;&lt;/dates&gt;&lt;pub-location&gt;Cambridge&lt;/pub-location&gt;&lt;publisher&gt;Harvard University Press&lt;/publisher&gt;&lt;urls&gt;&lt;/urls&gt;&lt;/record&gt;&lt;/Cite&gt;&lt;/EndNote&gt;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Charles Taylor, "Irreducibly Social Goods," in </w:t>
      </w:r>
      <w:r w:rsidRPr="00A66C4E">
        <w:rPr>
          <w:rFonts w:ascii="Times New Roman" w:hAnsi="Times New Roman" w:cs="Times New Roman"/>
          <w:i/>
          <w:noProof/>
        </w:rPr>
        <w:t>Philosophical Arguments</w:t>
      </w:r>
      <w:r>
        <w:rPr>
          <w:rFonts w:ascii="Times New Roman" w:hAnsi="Times New Roman" w:cs="Times New Roman"/>
          <w:noProof/>
        </w:rPr>
        <w:t xml:space="preserve"> (Cambridge: Harvard University Press, 1995), 100-126.</w:t>
      </w:r>
      <w:r w:rsidR="00AA2A48">
        <w:rPr>
          <w:rFonts w:ascii="Times New Roman" w:hAnsi="Times New Roman" w:cs="Times New Roman"/>
        </w:rPr>
        <w:fldChar w:fldCharType="end"/>
      </w:r>
    </w:p>
  </w:footnote>
  <w:footnote w:id="310">
    <w:p w:rsidR="00D810CC" w:rsidRPr="00DA6BE4" w:rsidRDefault="00D810CC" w:rsidP="00C05DC7">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notion of ‘public interest’ in the liberal state is supposed to be analogous to the notion of common good.</w:t>
      </w:r>
    </w:p>
  </w:footnote>
  <w:footnote w:id="31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&lt;EndNote&gt;&lt;Cite&gt;&lt;Author&gt;Murphy&lt;/Author&gt;&lt;Year&gt;2003&lt;/Year&gt;&lt;RecNum&gt;37&lt;/RecNum&gt;&lt;Pages&gt;160-161&lt;/Pages&gt;&lt;DisplayText&gt;Murphy, &amp;quot;Macintyre&amp;apos;s Political Philosophy,&amp;quot; 160-161.&lt;/DisplayText&gt;&lt;record&gt;&lt;rec-number&gt;37&lt;/rec-number&gt;&lt;foreign-keys&gt;&lt;key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160-161.</w:t>
      </w:r>
      <w:r w:rsidR="00AA2A48" w:rsidRPr="00DA6BE4">
        <w:rPr>
          <w:rFonts w:ascii="Times New Roman" w:hAnsi="Times New Roman" w:cs="Times New Roman"/>
        </w:rPr>
        <w:fldChar w:fldCharType="end"/>
      </w:r>
    </w:p>
  </w:footnote>
  <w:footnote w:id="31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gramStart"/>
      <w:r w:rsidRPr="00DA6BE4">
        <w:rPr>
          <w:rFonts w:ascii="Times New Roman" w:hAnsi="Times New Roman" w:cs="Times New Roman"/>
        </w:rPr>
        <w:t xml:space="preserve">By ‘various goods’ I refer to both internal and external goods, as defined by MacIntyre’ account in </w:t>
      </w:r>
      <w:r w:rsidRPr="00DA6BE4">
        <w:rPr>
          <w:rFonts w:ascii="Times New Roman" w:hAnsi="Times New Roman" w:cs="Times New Roman"/>
          <w:i/>
        </w:rPr>
        <w:t>After Virtue</w:t>
      </w:r>
      <w:r w:rsidRPr="00DA6BE4">
        <w:rPr>
          <w:rFonts w:ascii="Times New Roman" w:hAnsi="Times New Roman" w:cs="Times New Roman"/>
        </w:rPr>
        <w:t>.</w:t>
      </w:r>
      <w:proofErr w:type="gramEnd"/>
    </w:p>
  </w:footnote>
  <w:footnote w:id="31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note here that there are other potential conceptual problems with the standard liberal definition of public interest (for example that it doesn’t adequately account for the way individual goods are in many ways shared goods, or that it fails to appreciate that individual goods are the outcome of irreducibly social processes embedded in shared meaning). Nevertheless, I will consider MacIntyre’s own line of attack against the concept of public interest in the liberal state.</w:t>
      </w:r>
    </w:p>
  </w:footnote>
  <w:footnote w:id="31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Examples here are the type of tasks performed by military personnel, police, fire fighters, and emergency medical personnel. See MacInt</w:t>
      </w:r>
      <w:r>
        <w:rPr>
          <w:rFonts w:ascii="Times New Roman" w:hAnsi="Times New Roman" w:cs="Times New Roman"/>
        </w:rPr>
        <w:t>yre’s “Is Patriotism a Virtue?”</w:t>
      </w:r>
    </w:p>
  </w:footnote>
  <w:footnote w:id="31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AuthorYear="1"&gt;&lt;Author&gt;Murphy&lt;/Author&gt;&lt;Year&gt;2003&lt;/Year&gt;&lt;RecNum&gt;37&lt;/RecNum&gt;&lt;Pages&gt;158&lt;/Pages&gt;&lt;DisplayText&gt;Murphy, &amp;quot;Macintyre&amp;apos;s Political Philosophy,&amp;quot; 158.&lt;/DisplayText&gt;&lt;record&gt;&lt;rec-number&gt;37&lt;/rec-number&gt;&lt;foreign-keys&gt;&lt;key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158.</w:t>
      </w:r>
      <w:r w:rsidR="00AA2A48" w:rsidRPr="00DA6BE4">
        <w:rPr>
          <w:rFonts w:ascii="Times New Roman" w:hAnsi="Times New Roman" w:cs="Times New Roman"/>
        </w:rPr>
        <w:fldChar w:fldCharType="end"/>
      </w:r>
    </w:p>
  </w:footnote>
  <w:footnote w:id="31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&lt;EndNote&gt;&lt;Cite&gt;&lt;Author&gt;Murphy&lt;/Author&gt;&lt;Year&gt;2003&lt;/Year&gt;&lt;RecNum&gt;37&lt;/RecNum&gt;&lt;Pages&gt;161&lt;/Pages&gt;&lt;DisplayText&gt;Ibid., 161.&lt;/DisplayText&gt;&lt;record&gt;&lt;rec-number&gt;37&lt;/rec-number&gt;&lt;foreign-keys&gt;&lt;key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161.</w:t>
      </w:r>
      <w:r w:rsidR="00AA2A48" w:rsidRPr="00DA6BE4">
        <w:rPr>
          <w:rFonts w:ascii="Times New Roman" w:hAnsi="Times New Roman" w:cs="Times New Roman"/>
        </w:rPr>
        <w:fldChar w:fldCharType="end"/>
      </w:r>
    </w:p>
  </w:footnote>
  <w:footnote w:id="31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1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&lt;EndNote&gt;&lt;Cite&gt;&lt;Author&gt;Murphy&lt;/Author&gt;&lt;Year&gt;2003&lt;/Year&gt;&lt;RecNum&gt;37&lt;/RecNum&gt;&lt;Pages&gt;162&lt;/Pages&gt;&lt;DisplayText&gt;Ibid., 162.&lt;/DisplayText&gt;&lt;record&gt;&lt;rec-number&gt;37&lt;/rec-number&gt;&lt;foreign-keys&gt;&lt;key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162.</w:t>
      </w:r>
      <w:r w:rsidR="00AA2A48" w:rsidRPr="00DA6BE4">
        <w:rPr>
          <w:rFonts w:ascii="Times New Roman" w:hAnsi="Times New Roman" w:cs="Times New Roman"/>
        </w:rPr>
        <w:fldChar w:fldCharType="end"/>
      </w:r>
    </w:p>
  </w:footnote>
  <w:footnote w:id="31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AuthorYear="1"&gt;&lt;Author&gt;MacIntyre&lt;/Author&gt;&lt;Year&gt;2006&lt;/Year&gt;&lt;RecNum&gt;99&lt;/RecNum&gt;&lt;DisplayText&gt;MacIntyre, &amp;quot;Toleration and the Goods of Conflict.&amp;quot;&lt;/DisplayText&gt;&lt;record&gt;&lt;rec-number&gt;99&lt;/rec-number&gt;&lt;foreign-keys&gt;&lt;key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"Toleration and the Goods of Conflict."</w:t>
      </w:r>
      <w:r w:rsidR="00AA2A48" w:rsidRPr="00DA6BE4">
        <w:rPr>
          <w:rFonts w:ascii="Times New Roman" w:hAnsi="Times New Roman" w:cs="Times New Roman"/>
        </w:rPr>
        <w:fldChar w:fldCharType="end"/>
      </w:r>
      <w:r w:rsidRPr="00DA6BE4">
        <w:rPr>
          <w:rFonts w:ascii="Times New Roman" w:hAnsi="Times New Roman" w:cs="Times New Roman"/>
        </w:rPr>
        <w:t xml:space="preserve"> Also see</w:t>
      </w:r>
      <w:r w:rsidRPr="00DA6BE4">
        <w:rPr>
          <w:rFonts w:ascii="Times New Roman" w:hAnsi="Times New Roman" w:cs="Times New Roman"/>
          <w:lang w:val="en-US"/>
        </w:rPr>
        <w:t xml:space="preserve"> </w:t>
      </w:r>
      <w:r w:rsidR="00AA2A48" w:rsidRPr="00DA6BE4">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&lt;EndNote&gt;&lt;Cite&gt;&lt;Author&gt;MacIntyre&lt;/Author&gt;&lt;Year&gt;1990&lt;/Year&gt;&lt;RecNum&gt;61&lt;/RecNum&gt;&lt;Pages&gt;344-361&lt;/Pages&gt;&lt;DisplayText&gt;Alasdair MacIntyre, &amp;quot;The Privatization of Good: An Inaugural Lecture,&amp;quot; &lt;style face="italic"&gt;The Review of Politics&lt;/style&gt; 52, no. 03 (1990): 344-361.&lt;/DisplayText&gt;&lt;record&gt;&lt;rec-number&gt;61&lt;/rec-number&gt;&lt;foreign-keys&gt;&lt;key app="EN" db-id="vxze0a2pwrt959ep2afxdw5cat595wt9sv95" timestamp="1443701450"&gt;61&lt;/key&gt;&lt;/foreign-keys&gt;&lt;ref-type name="Journal Article"&gt;17&lt;/ref-type&gt;&lt;contributors&gt;&lt;authors&gt;&lt;author&gt;MacIntyre, Alasdair&lt;/author&gt;&lt;/authors&gt;&lt;/contributors&gt;&lt;titles&gt;&lt;title&gt;The Privatization of Good: An Inaugural Lecture&lt;/title&gt;&lt;secondary-title&gt;The Review of Politics&lt;/secondary-title&gt;&lt;/titles&gt;&lt;periodical&gt;&lt;full-title&gt;The Review of Politics&lt;/full-title&gt;&lt;/periodical&gt;&lt;pages&gt;344-361&lt;/pages&gt;&lt;volume&gt;52&lt;/volume&gt;&lt;number&gt;03&lt;/number&gt;&lt;dates&gt;&lt;year&gt;1990&lt;/year&gt;&lt;/dates&gt;&lt;isbn&gt;1748-6858&lt;/isbn&gt;&lt;urls&gt;&lt;related-urls&gt;&lt;url&gt;http://dx.doi.org/10.1017/S0034670500016922&lt;/url&gt;&lt;/related-urls&gt;&lt;/urls&gt;&lt;electronic-resource-num&gt;doi:10.1017/S0034670500016922&lt;/electronic-resource-num&gt;&lt;access-date&gt;1990&lt;/access-date&gt;&lt;/record&gt;&lt;/Cite&gt;&lt;/EndNote&gt;</w:instrText>
      </w:r>
      <w:r w:rsidR="00AA2A48" w:rsidRPr="00DA6BE4">
        <w:rPr>
          <w:rFonts w:ascii="Times New Roman" w:hAnsi="Times New Roman" w:cs="Times New Roman"/>
          <w:lang w:val="en-US"/>
        </w:rPr>
        <w:fldChar w:fldCharType="separate"/>
      </w:r>
      <w:r>
        <w:rPr>
          <w:rFonts w:ascii="Times New Roman" w:hAnsi="Times New Roman" w:cs="Times New Roman"/>
          <w:noProof/>
          <w:lang w:val="en-US"/>
        </w:rPr>
        <w:t xml:space="preserve">Alasdair MacIntyre, "The Privatization of Good: An Inaugural Lecture," </w:t>
      </w:r>
      <w:r w:rsidRPr="00CA652B">
        <w:rPr>
          <w:rFonts w:ascii="Times New Roman" w:hAnsi="Times New Roman" w:cs="Times New Roman"/>
          <w:i/>
          <w:noProof/>
          <w:lang w:val="en-US"/>
        </w:rPr>
        <w:t>The Review of Politics</w:t>
      </w:r>
      <w:r>
        <w:rPr>
          <w:rFonts w:ascii="Times New Roman" w:hAnsi="Times New Roman" w:cs="Times New Roman"/>
          <w:noProof/>
          <w:lang w:val="en-US"/>
        </w:rPr>
        <w:t xml:space="preserve"> 52, no. 03 (1990): 344-361.</w:t>
      </w:r>
      <w:r w:rsidR="00AA2A48" w:rsidRPr="00DA6BE4">
        <w:rPr>
          <w:rFonts w:ascii="Times New Roman" w:hAnsi="Times New Roman" w:cs="Times New Roman"/>
          <w:lang w:val="en-US"/>
        </w:rPr>
        <w:fldChar w:fldCharType="end"/>
      </w:r>
    </w:p>
  </w:footnote>
  <w:footnote w:id="32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We discussed the neutrality principle in our discussion of Talisse in Chapter Three.</w:t>
      </w:r>
    </w:p>
  </w:footnote>
  <w:footnote w:id="321">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US"/>
        </w:rPr>
        <w:t xml:space="preserve">MacIntyre has an Aristotelian conception of justice based on desert; see Chapter 17 of </w:t>
      </w:r>
      <w:r w:rsidRPr="00DA6BE4">
        <w:rPr>
          <w:rFonts w:ascii="Times New Roman" w:hAnsi="Times New Roman" w:cs="Times New Roman"/>
          <w:i/>
          <w:lang w:val="en-US"/>
        </w:rPr>
        <w:t>After Virtue</w:t>
      </w:r>
      <w:r w:rsidRPr="00DA6BE4">
        <w:rPr>
          <w:rFonts w:ascii="Times New Roman" w:hAnsi="Times New Roman" w:cs="Times New Roman"/>
          <w:lang w:val="en-US"/>
        </w:rPr>
        <w:t>.</w:t>
      </w:r>
    </w:p>
  </w:footnote>
  <w:footnote w:id="32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&lt;EndNote&gt;&lt;Cite&gt;&lt;Author&gt;MacIntyre&lt;/Author&gt;&lt;Year&gt;1998&lt;/Year&gt;&lt;RecNum&gt;94&lt;/RecNum&gt;&lt;Pages&gt;248-249&lt;/Pages&gt;&lt;DisplayText&gt;MacIntyre, &amp;quot;Politics, Philosophy and the Common Good,&amp;quot; 248-249.&lt;/DisplayText&gt;&lt;record&gt;&lt;rec-number&gt;94&lt;/rec-number&gt;&lt;foreign-keys&gt;&lt;key app="EN" db-id="vxze0a2pwrt959ep2afxdw5cat595wt9sv95" timestamp="1444068414"&gt;94&lt;/key&gt;&lt;/foreign-keys&gt;&lt;ref-type name="Book Section"&gt;5&lt;/ref-type&gt;&lt;contributors&gt;&lt;authors&gt;&lt;author&gt;MacIntyre, Alasdair&lt;/author&gt;&lt;/authors&gt;&lt;secondary-authors&gt;&lt;author&gt;Kelvin Knight&lt;/author&gt;&lt;/secondary-authors&gt;&lt;/contributors&gt;&lt;titles&gt;&lt;title&gt;Politics, Philosophy and the Common Good&lt;/title&gt;&lt;secondary-title&gt;The MacIntyre Reader&lt;/secondary-title&gt;&lt;/titles&gt;&lt;pages&gt;235-252&lt;/pages&gt;&lt;dates&gt;&lt;year&gt;1998&lt;/year&gt;&lt;/dates&gt;&lt;pub-location&gt;Notre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"Politics, Philosophy and the Common Good," 248-249.</w:t>
      </w:r>
      <w:r w:rsidR="00AA2A48" w:rsidRPr="00DA6BE4">
        <w:rPr>
          <w:rFonts w:ascii="Times New Roman" w:hAnsi="Times New Roman" w:cs="Times New Roman"/>
        </w:rPr>
        <w:fldChar w:fldCharType="end"/>
      </w:r>
    </w:p>
  </w:footnote>
  <w:footnote w:id="32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&lt;EndNote&gt;&lt;Cite&gt;&lt;Author&gt;Murphy&lt;/Author&gt;&lt;Year&gt;2003&lt;/Year&gt;&lt;RecNum&gt;37&lt;/RecNum&gt;&lt;Pages&gt;168&lt;/Pages&gt;&lt;DisplayText&gt;Murphy, &amp;quot;Macintyre&amp;apos;s Political Philosophy,&amp;quot; 168.&lt;/DisplayText&gt;&lt;record&gt;&lt;rec-number&gt;37&lt;/rec-number&gt;&lt;foreign-keys&gt;&lt;key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168.</w:t>
      </w:r>
      <w:r w:rsidR="00AA2A48" w:rsidRPr="00DA6BE4">
        <w:rPr>
          <w:rFonts w:ascii="Times New Roman" w:hAnsi="Times New Roman" w:cs="Times New Roman"/>
        </w:rPr>
        <w:fldChar w:fldCharType="end"/>
      </w:r>
    </w:p>
  </w:footnote>
  <w:footnote w:id="324">
    <w:p w:rsidR="00D810CC" w:rsidRPr="00DA6BE4" w:rsidRDefault="00D810CC" w:rsidP="002A4AA9">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&lt;EndNote&gt;&lt;Cite&gt;&lt;Author&gt;Sandel&lt;/Author&gt;&lt;Year&gt;1998&lt;/Year&gt;&lt;RecNum&gt;143&lt;/RecNum&gt;&lt;DisplayText&gt;Michael Sandel, &lt;style face="italic"&gt;Liberalism and the Limits of Justice&lt;/style&gt;, 2nd ed. (Cambridge and New York: Cambridge University Press, 1998).&lt;/DisplayText&gt;&lt;record&gt;&lt;rec-number&gt;143&lt;/rec-number&gt;&lt;foreign-keys&gt;&lt;key app="EN" db-id="vxze0a2pwrt959ep2afxdw5cat595wt9sv95" timestamp="1520837713"&gt;143&lt;/key&gt;&lt;/foreign-keys&gt;&lt;ref-type name="Book"&gt;6&lt;/ref-type&gt;&lt;contributors&gt;&lt;authors&gt;&lt;author&gt;Sandel, Michael&lt;/author&gt;&lt;/authors&gt;&lt;/contributors&gt;&lt;titles&gt;&lt;title&gt;Liberalism and the Limits of Justice&lt;/title&gt;&lt;/titles&gt;&lt;edition&gt;2nd&lt;/edition&gt;&lt;dates&gt;&lt;year&gt;1998&lt;/year&gt;&lt;/dates&gt;&lt;pub-location&gt;Cambridge and New York&lt;/pub-location&gt;&lt;publisher&gt;Cambridge University Press&lt;/publisher&gt;&lt;urls&gt;&lt;/urls&gt;&lt;/record&gt;&lt;/Cite&gt;&lt;/EndNote&gt;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 xml:space="preserve">Michael Sandel, </w:t>
      </w:r>
      <w:r w:rsidRPr="00DA6BE4">
        <w:rPr>
          <w:rFonts w:ascii="Times New Roman" w:hAnsi="Times New Roman" w:cs="Times New Roman"/>
          <w:i/>
          <w:noProof/>
          <w:lang w:val="en-CA"/>
        </w:rPr>
        <w:t>Liberalism and the Limits of Justice</w:t>
      </w:r>
      <w:r w:rsidRPr="00DA6BE4">
        <w:rPr>
          <w:rFonts w:ascii="Times New Roman" w:hAnsi="Times New Roman" w:cs="Times New Roman"/>
          <w:noProof/>
          <w:lang w:val="en-CA"/>
        </w:rPr>
        <w:t>, 2nd ed. (Cambridge and New York: Cambridge University Press, 1998).</w:t>
      </w:r>
      <w:r w:rsidR="00AA2A48" w:rsidRPr="00DA6BE4">
        <w:rPr>
          <w:rFonts w:ascii="Times New Roman" w:hAnsi="Times New Roman" w:cs="Times New Roman"/>
          <w:lang w:val="en-CA"/>
        </w:rPr>
        <w:fldChar w:fldCharType="end"/>
      </w:r>
    </w:p>
  </w:footnote>
  <w:footnote w:id="32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&lt;EndNote&gt;&lt;Cite&gt;&lt;Author&gt;Murphy&lt;/Author&gt;&lt;Year&gt;2003&lt;/Year&gt;&lt;RecNum&gt;37&lt;/RecNum&gt;&lt;Pages&gt;160&lt;/Pages&gt;&lt;DisplayText&gt;Murphy, &amp;quot;Macintyre&amp;apos;s Political Philosophy,&amp;quot; 160.&lt;/DisplayText&gt;&lt;record&gt;&lt;rec-number&gt;37&lt;/rec-number&gt;&lt;foreign-keys&gt;&lt;key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160.</w:t>
      </w:r>
      <w:r w:rsidR="00AA2A48" w:rsidRPr="00DA6BE4">
        <w:rPr>
          <w:rFonts w:ascii="Times New Roman" w:hAnsi="Times New Roman" w:cs="Times New Roman"/>
        </w:rPr>
        <w:fldChar w:fldCharType="end"/>
      </w:r>
    </w:p>
  </w:footnote>
  <w:footnote w:id="32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&lt;EndNote&gt;&lt;Cite&gt;&lt;Author&gt;Murphy&lt;/Author&gt;&lt;Year&gt;2003&lt;/Year&gt;&lt;RecNum&gt;37&lt;/RecNum&gt;&lt;Pages&gt;166&lt;/Pages&gt;&lt;DisplayText&gt;Ibid., 166.&lt;/DisplayText&gt;&lt;record&gt;&lt;rec-number&gt;37&lt;/rec-number&gt;&lt;foreign-keys&gt;&lt;key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166.</w:t>
      </w:r>
      <w:r w:rsidR="00AA2A48" w:rsidRPr="00DA6BE4">
        <w:rPr>
          <w:rFonts w:ascii="Times New Roman" w:hAnsi="Times New Roman" w:cs="Times New Roman"/>
        </w:rPr>
        <w:fldChar w:fldCharType="end"/>
      </w:r>
    </w:p>
  </w:footnote>
  <w:footnote w:id="32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28">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US"/>
        </w:rPr>
        <w:t>In MacIntyre’s account, goods of effectiveness are the external goods of practices, and are the goods which institutions aim at. On the other hand, goods of excellence are goods internal to a practice, from which virtues derive.</w:t>
      </w:r>
    </w:p>
  </w:footnote>
  <w:footnote w:id="32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&lt;EndNote&gt;&lt;Cite&gt;&lt;Author&gt;MacIntyre&lt;/Author&gt;&lt;Year&gt;2006&lt;/Year&gt;&lt;RecNum&gt;99&lt;/RecNum&gt;&lt;Pages&gt;213&lt;/Pages&gt;&lt;DisplayText&gt;MacIntyre, &amp;quot;Toleration and the Goods of Conflict,&amp;quot; 213.&lt;/DisplayText&gt;&lt;record&gt;&lt;rec-number&gt;99&lt;/rec-number&gt;&lt;foreign-keys&gt;&lt;key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"Toleration and the Goods of Conflict," 213.</w:t>
      </w:r>
      <w:r w:rsidR="00AA2A48" w:rsidRPr="00DA6BE4">
        <w:rPr>
          <w:rFonts w:ascii="Times New Roman" w:hAnsi="Times New Roman" w:cs="Times New Roman"/>
        </w:rPr>
        <w:fldChar w:fldCharType="end"/>
      </w:r>
    </w:p>
  </w:footnote>
  <w:footnote w:id="330">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&lt;EndNote&gt;&lt;Cite&gt;&lt;Author&gt;Knight&lt;/Author&gt;&lt;Year&gt;1998&lt;/Year&gt;&lt;RecNum&gt;117&lt;/RecNum&gt;&lt;Pages&gt;235-265&lt;/Pages&gt;&lt;DisplayText&gt;Knight, &lt;style face="italic"&gt;The Macintyre Reader&lt;/style&gt;, 235-265.&lt;/DisplayText&gt;&lt;record&gt;&lt;rec-number&gt;117&lt;/rec-number&gt;&lt;foreign-keys&gt;&lt;key app="EN" db-id="vxze0a2pwrt959ep2afxdw5cat595wt9sv95" timestamp="1520738790"&gt;117&lt;/key&gt;&lt;/foreign-keys&gt;&lt;ref-type name="Book"&gt;6&lt;/ref-type&gt;&lt;contributors&gt;&lt;authors&gt;&lt;author&gt;Knight, Kelvin&lt;/author&gt;&lt;/authors&gt;&lt;/contributors&gt;&lt;titles&gt;&lt;title&gt;The MacIntyre Reader&lt;/title&gt;&lt;/titles&gt;&lt;dates&gt;&lt;year&gt;1998&lt;/year&gt;&lt;/dates&gt;&lt;pub-location&gt;Cambridge, Oxford&lt;/pub-location&gt;&lt;publisher&gt;Polity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Knight, </w:t>
      </w:r>
      <w:r w:rsidRPr="00DA6BE4">
        <w:rPr>
          <w:rFonts w:ascii="Times New Roman" w:hAnsi="Times New Roman" w:cs="Times New Roman"/>
          <w:i/>
          <w:noProof/>
        </w:rPr>
        <w:t>The Macintyre Reader</w:t>
      </w:r>
      <w:r w:rsidRPr="00DA6BE4">
        <w:rPr>
          <w:rFonts w:ascii="Times New Roman" w:hAnsi="Times New Roman" w:cs="Times New Roman"/>
          <w:noProof/>
        </w:rPr>
        <w:t>, 235-265.</w:t>
      </w:r>
      <w:r w:rsidR="00AA2A48" w:rsidRPr="00DA6BE4">
        <w:rPr>
          <w:rFonts w:ascii="Times New Roman" w:hAnsi="Times New Roman" w:cs="Times New Roman"/>
        </w:rPr>
        <w:fldChar w:fldCharType="end"/>
      </w:r>
    </w:p>
  </w:footnote>
  <w:footnote w:id="33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&lt;EndNote&gt;&lt;Cite&gt;&lt;Author&gt;MacIntyre&lt;/Author&gt;&lt;Year&gt;1991&lt;/Year&gt;&lt;RecNum&gt;174&lt;/RecNum&gt;&lt;Pages&gt;91-92&lt;/Pages&gt;&lt;DisplayText&gt;Alasdair MacIntyre, &amp;quot;I&amp;apos;m Not a Communitarian, But...&amp;quot; &lt;style face="italic"&gt;The Responsive Community&lt;/style&gt; 1, no. 3 (1991): 91-92.&lt;/DisplayText&gt;&lt;record&gt;&lt;rec-number&gt;174&lt;/rec-number&gt;&lt;foreign-keys&gt;&lt;key app="EN" db-id="vxze0a2pwrt959ep2afxdw5cat595wt9sv95" timestamp="1528221263"&gt;174&lt;/key&gt;&lt;/foreign-keys&gt;&lt;ref-type name="Journal Article"&gt;17&lt;/ref-type&gt;&lt;contributors&gt;&lt;authors&gt;&lt;author&gt;MacIntyre, Alasdair&lt;/author&gt;&lt;/authors&gt;&lt;/contributors&gt;&lt;titles&gt;&lt;title&gt;I&amp;apos;m not a Communitarian, But...&lt;/title&gt;&lt;secondary-title&gt;The Responsive Community&lt;/secondary-title&gt;&lt;/titles&gt;&lt;periodical&gt;&lt;full-title&gt;The Responsive Community&lt;/full-title&gt;&lt;/periodical&gt;&lt;pages&gt;91-92&lt;/pages&gt;&lt;volume&gt;1&lt;/volume&gt;&lt;number&gt;3&lt;/number&gt;&lt;dates&gt;&lt;year&gt;1991&lt;/year&gt;&lt;/dates&gt;&lt;urls&gt;&lt;/urls&gt;&lt;/record&gt;&lt;/Cite&gt;&lt;/EndNote&gt;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"I'm Not a Communitarian, But..." </w:t>
      </w:r>
      <w:r w:rsidRPr="00DA6BE4">
        <w:rPr>
          <w:rFonts w:ascii="Times New Roman" w:hAnsi="Times New Roman" w:cs="Times New Roman"/>
          <w:i/>
          <w:noProof/>
        </w:rPr>
        <w:t>The Responsive Community</w:t>
      </w:r>
      <w:r w:rsidRPr="00DA6BE4">
        <w:rPr>
          <w:rFonts w:ascii="Times New Roman" w:hAnsi="Times New Roman" w:cs="Times New Roman"/>
          <w:noProof/>
        </w:rPr>
        <w:t xml:space="preserve"> 1, no. 3 (1991): 91-92.</w:t>
      </w:r>
      <w:r w:rsidR="00AA2A48" w:rsidRPr="00DA6BE4">
        <w:rPr>
          <w:rFonts w:ascii="Times New Roman" w:hAnsi="Times New Roman" w:cs="Times New Roman"/>
        </w:rPr>
        <w:fldChar w:fldCharType="end"/>
      </w:r>
      <w:r w:rsidRPr="00DA6BE4">
        <w:rPr>
          <w:rFonts w:ascii="Times New Roman" w:hAnsi="Times New Roman" w:cs="Times New Roman"/>
        </w:rPr>
        <w:t xml:space="preserve"> </w:t>
      </w:r>
      <w:r w:rsidRPr="00DA6BE4">
        <w:rPr>
          <w:rFonts w:ascii="Times New Roman" w:hAnsi="Times New Roman" w:cs="Times New Roman"/>
          <w:iCs/>
        </w:rPr>
        <w:t xml:space="preserve">Also see </w:t>
      </w:r>
      <w:r w:rsidR="00AA2A48" w:rsidRPr="00DA6BE4">
        <w:rPr>
          <w:rFonts w:ascii="Times New Roman" w:hAnsi="Times New Roman" w:cs="Times New Roman"/>
          <w:iCs/>
        </w:rPr>
        <w:fldChar w:fldCharType="begin"/>
      </w:r>
      <w:r>
        <w:rPr>
          <w:rFonts w:ascii="Times New Roman" w:hAnsi="Times New Roman" w:cs="Times New Roman"/>
          <w:iCs/>
        </w:rPr>
        <w:instrText xml:space="preserve"> ADDIN EN.CITE &lt;EndNote&gt;&lt;Cite&gt;&lt;Author&gt;MacIntyre&lt;/Author&gt;&lt;Year&gt;1994&lt;/Year&gt;&lt;RecNum&gt;175&lt;/RecNum&gt;&lt;Pages&gt;Chapter 15&lt;/Pages&gt;&lt;DisplayText&gt;Alasdair MacIntyre, &amp;quot;A Partial Response to My Critics,&amp;quot; in &lt;style face="italic"&gt;After Macintyre: Critical Perspectives on the Work of Alasdair Macintyre&lt;/style&gt;, ed. Horton and Mendus (Notre Dame, Indiana: University of Notre Dame Press, 1994), Chapter 15.&lt;/DisplayText&gt;&lt;record&gt;&lt;rec-number&gt;175&lt;/rec-number&gt;&lt;foreign-keys&gt;&lt;key app="EN" db-id="vxze0a2pwrt959ep2afxdw5cat595wt9sv95" timestamp="1528221470"&gt;175&lt;/key&gt;&lt;/foreign-keys&gt;&lt;ref-type name="Book Section"&gt;5&lt;/ref-type&gt;&lt;contributors&gt;&lt;authors&gt;&lt;author&gt;MacIntyre, Alasdair&lt;/author&gt;&lt;/authors&gt;&lt;secondary-authors&gt;&lt;author&gt;Horton and Mendus&lt;/author&gt;&lt;/secondary-authors&gt;&lt;/contributors&gt;&lt;titles&gt;&lt;title&gt;A Partial Response to My Critics&lt;/title&gt;&lt;secondary-title&gt;After MacIntyre: Critical Perspectives on the Work of Alasdair MacIntyre&lt;/secondary-title&gt;&lt;/titles&gt;&lt;pages&gt;303&lt;/pages&gt;&lt;dates&gt;&lt;year&gt;1994&lt;/year&gt;&lt;/dates&gt;&lt;pub-location&gt;Notre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iCs/>
        </w:rPr>
        <w:fldChar w:fldCharType="separate"/>
      </w:r>
      <w:r>
        <w:rPr>
          <w:rFonts w:ascii="Times New Roman" w:hAnsi="Times New Roman" w:cs="Times New Roman"/>
          <w:iCs/>
          <w:noProof/>
        </w:rPr>
        <w:t xml:space="preserve">Alasdair MacIntyre, "A Partial Response to My Critics," in </w:t>
      </w:r>
      <w:r w:rsidRPr="000F67B0">
        <w:rPr>
          <w:rFonts w:ascii="Times New Roman" w:hAnsi="Times New Roman" w:cs="Times New Roman"/>
          <w:i/>
          <w:iCs/>
          <w:noProof/>
        </w:rPr>
        <w:t>After Macintyre: Critical Perspectives on the Work of Alasdair Macintyre</w:t>
      </w:r>
      <w:r>
        <w:rPr>
          <w:rFonts w:ascii="Times New Roman" w:hAnsi="Times New Roman" w:cs="Times New Roman"/>
          <w:iCs/>
          <w:noProof/>
        </w:rPr>
        <w:t>, ed. Horton and Mendus (Notre Dame, Indiana: University of Notre Dame Press, 1994), Chapter 15.</w:t>
      </w:r>
      <w:r w:rsidR="00AA2A48" w:rsidRPr="00DA6BE4">
        <w:rPr>
          <w:rFonts w:ascii="Times New Roman" w:hAnsi="Times New Roman" w:cs="Times New Roman"/>
          <w:iCs/>
        </w:rPr>
        <w:fldChar w:fldCharType="end"/>
      </w:r>
    </w:p>
  </w:footnote>
  <w:footnote w:id="33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&lt;EndNote&gt;&lt;Cite&gt;&lt;Author&gt;MacIntyre&lt;/Author&gt;&lt;Year&gt;1999&lt;/Year&gt;&lt;RecNum&gt;45&lt;/RecNum&gt;&lt;Pages&gt;133&lt;/Pages&gt;&lt;DisplayText&gt;MacIntyre, &lt;style face="italic"&gt;Dependent Rational Animals : Why Human Beings Need the Virtues&lt;/style&gt;, 133.&lt;/DisplayText&gt;&lt;record&gt;&lt;rec-number&gt;45&lt;/rec-number&gt;&lt;foreign-keys&gt;&lt;key app="EN" db-id="vxze0a2pwrt959ep2afxdw5cat595wt9sv95" timestamp="1443697041"&gt;45&lt;/key&gt;&lt;/foreign-keys&gt;&lt;ref-type name="Book"&gt;6&lt;/ref-type&gt;&lt;contributors&gt;&lt;authors&gt;&lt;author&gt;MacIntyre, Alasdair&lt;/author&gt;&lt;/authors&gt;&lt;/contributors&gt;&lt;titles&gt;&lt;title&gt;Dependent Rational Animals : Why Human Beings Need the Virtues&lt;/title&gt;&lt;secondary-title&gt;The Paul Carus lecture series&lt;/secondary-title&gt;&lt;/titles&gt;&lt;pages&gt;xiii, 172 p.&lt;/pages&gt;&lt;number&gt;20&lt;/number&gt;&lt;keywords&gt;&lt;keyword&gt;Ethics.&lt;/keyword&gt;&lt;keyword&gt;Virtues.&lt;/keyword&gt;&lt;/keywords&gt;&lt;dates&gt;&lt;year&gt;1999&lt;/year&gt;&lt;/dates&gt;&lt;pub-location&gt;Chicago, Illinois&lt;/pub-location&gt;&lt;publisher&gt;Open Court&lt;/publisher&gt;&lt;isbn&gt;0812693973 (alk. paper)&lt;/isbn&gt;&lt;accession-num&gt;3101914&lt;/accession-num&gt;&lt;call-num&gt;Jefferson or Adams Building Reading Rooms BJ1012 .M326 1999&amp;#xD;Jefferson or Adams Building Reading Rooms - STORED OFFSITE BJ1012 .M326 1999&lt;/call-num&gt;&lt;urls&gt;&lt;/urls&gt;&lt;/record&gt;&lt;/Cite&gt;&lt;/EndNote&gt;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Dependent Rational Animals : Why Human Beings Need the Virtues</w:t>
      </w:r>
      <w:r w:rsidRPr="00DA6BE4">
        <w:rPr>
          <w:rFonts w:ascii="Times New Roman" w:hAnsi="Times New Roman" w:cs="Times New Roman"/>
          <w:noProof/>
        </w:rPr>
        <w:t>, 133.</w:t>
      </w:r>
      <w:r w:rsidR="00AA2A48" w:rsidRPr="00DA6BE4">
        <w:rPr>
          <w:rFonts w:ascii="Times New Roman" w:hAnsi="Times New Roman" w:cs="Times New Roman"/>
        </w:rPr>
        <w:fldChar w:fldCharType="end"/>
      </w:r>
    </w:p>
  </w:footnote>
  <w:footnote w:id="33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&lt;EndNote&gt;&lt;Cite&gt;&lt;Author&gt;Murphy&lt;/Author&gt;&lt;Year&gt;2003&lt;/Year&gt;&lt;RecNum&gt;37&lt;/RecNum&gt;&lt;Pages&gt;170&lt;/Pages&gt;&lt;DisplayText&gt;Murphy, &amp;quot;Macintyre&amp;apos;s Political Philosophy,&amp;quot; 170.&lt;/DisplayText&gt;&lt;record&gt;&lt;rec-number&gt;37&lt;/rec-number&gt;&lt;foreign-keys&gt;&lt;key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170.</w:t>
      </w:r>
      <w:r w:rsidR="00AA2A48" w:rsidRPr="00DA6BE4">
        <w:rPr>
          <w:rFonts w:ascii="Times New Roman" w:hAnsi="Times New Roman" w:cs="Times New Roman"/>
        </w:rPr>
        <w:fldChar w:fldCharType="end"/>
      </w:r>
    </w:p>
  </w:footnote>
  <w:footnote w:id="334">
    <w:p w:rsidR="00D810CC" w:rsidRPr="00DA6BE4" w:rsidRDefault="00D810CC" w:rsidP="00DA1D5F">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&lt;EndNote&gt;&lt;Cite&gt;&lt;Author&gt;Murphy&lt;/Author&gt;&lt;Year&gt;2003&lt;/Year&gt;&lt;RecNum&gt;37&lt;/RecNum&gt;&lt;Pages&gt;171&lt;/Pages&gt;&lt;DisplayText&gt;Ibid., 171.&lt;/DisplayText&gt;&lt;record&gt;&lt;rec-number&gt;37&lt;/rec-number&gt;&lt;foreign-keys&gt;&lt;key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171.</w:t>
      </w:r>
      <w:r w:rsidR="00AA2A48" w:rsidRPr="00DA6BE4">
        <w:rPr>
          <w:rFonts w:ascii="Times New Roman" w:hAnsi="Times New Roman" w:cs="Times New Roman"/>
        </w:rPr>
        <w:fldChar w:fldCharType="end"/>
      </w:r>
    </w:p>
  </w:footnote>
  <w:footnote w:id="33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3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37">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lang w:val="en-CA"/>
        </w:rPr>
        <w:t xml:space="preserve"> See </w:t>
      </w:r>
      <w:r w:rsidR="00AA2A48" w:rsidRPr="00DA6BE4">
        <w:rPr>
          <w:rFonts w:ascii="Times New Roman" w:hAnsi="Times New Roman" w:cs="Times New Roman"/>
          <w:lang w:val="en-CA"/>
        </w:rPr>
        <w:fldChar w:fldCharType="begin"/>
      </w:r>
      <w:r>
        <w:rPr>
          <w:rFonts w:ascii="Times New Roman" w:hAnsi="Times New Roman" w:cs="Times New Roman"/>
          <w:lang w:val="en-CA"/>
        </w:rPr>
        <w:instrText xml:space="preserve"> ADDIN EN.CITE &lt;EndNote&gt;&lt;Cite&gt;&lt;Author&gt;Breen&lt;/Author&gt;&lt;Year&gt;2005&lt;/Year&gt;&lt;RecNum&gt;144&lt;/RecNum&gt;&lt;Pages&gt;485-501&lt;/Pages&gt;&lt;DisplayText&gt;Keith Breen, &amp;quot;The State, Compartmentalization and the Turn to Local Community: A Critique of the Political Thought of Alasdair Macintyre,&amp;quot; &lt;style face="italic"&gt;The European Legacy&lt;/style&gt; 10, no. 5 (2005): 485-501.&lt;/DisplayText&gt;&lt;record&gt;&lt;rec-number&gt;144&lt;/rec-number&gt;&lt;foreign-keys&gt;&lt;key app="EN" db-id="vxze0a2pwrt959ep2afxdw5cat595wt9sv95" timestamp="1520838959"&gt;144&lt;/key&gt;&lt;/foreign-keys&gt;&lt;ref-type name="Journal Article"&gt;17&lt;/ref-type&gt;&lt;contributors&gt;&lt;authors&gt;&lt;author&gt;Breen, Keith&lt;/author&gt;&lt;/authors&gt;&lt;/contributors&gt;&lt;titles&gt;&lt;title&gt;The State, Compartmentalization and the Turn to Local Community: A Critique of the Political Thought of Alasdair MacIntyre&lt;/title&gt;&lt;secondary-title&gt;The European Legacy&lt;/secondary-title&gt;&lt;/titles&gt;&lt;periodical&gt;&lt;full-title&gt;The European Legacy&lt;/full-title&gt;&lt;/periodical&gt;&lt;pages&gt;485–501&lt;/pages&gt;&lt;volume&gt;10&lt;/volume&gt;&lt;number&gt;5&lt;/number&gt;&lt;dates&gt;&lt;year&gt;2005&lt;/year&gt;&lt;/dates&gt;&lt;urls&gt;&lt;/urls&gt;&lt;/record&gt;&lt;/Cite&gt;&lt;/EndNote&gt;</w:instrText>
      </w:r>
      <w:r w:rsidR="00AA2A48" w:rsidRPr="00DA6BE4">
        <w:rPr>
          <w:rFonts w:ascii="Times New Roman" w:hAnsi="Times New Roman" w:cs="Times New Roman"/>
          <w:lang w:val="en-CA"/>
        </w:rPr>
        <w:fldChar w:fldCharType="separate"/>
      </w:r>
      <w:r>
        <w:rPr>
          <w:rFonts w:ascii="Times New Roman" w:hAnsi="Times New Roman" w:cs="Times New Roman"/>
          <w:noProof/>
          <w:lang w:val="en-CA"/>
        </w:rPr>
        <w:t xml:space="preserve">Keith Breen, "The State, Compartmentalization and the Turn to Local Community: A Critique of the Political Thought of Alasdair Macintyre," </w:t>
      </w:r>
      <w:r w:rsidRPr="000F67B0">
        <w:rPr>
          <w:rFonts w:ascii="Times New Roman" w:hAnsi="Times New Roman" w:cs="Times New Roman"/>
          <w:i/>
          <w:noProof/>
          <w:lang w:val="en-CA"/>
        </w:rPr>
        <w:t>The European Legacy</w:t>
      </w:r>
      <w:r>
        <w:rPr>
          <w:rFonts w:ascii="Times New Roman" w:hAnsi="Times New Roman" w:cs="Times New Roman"/>
          <w:noProof/>
          <w:lang w:val="en-CA"/>
        </w:rPr>
        <w:t xml:space="preserve"> 10, no. 5 (2005): 485-501.</w:t>
      </w:r>
      <w:r w:rsidR="00AA2A48" w:rsidRPr="00DA6BE4">
        <w:rPr>
          <w:rFonts w:ascii="Times New Roman" w:hAnsi="Times New Roman" w:cs="Times New Roman"/>
          <w:lang w:val="en-CA"/>
        </w:rPr>
        <w:fldChar w:fldCharType="end"/>
      </w:r>
      <w:r w:rsidRPr="00DA6BE4">
        <w:rPr>
          <w:rFonts w:ascii="Times New Roman" w:hAnsi="Times New Roman" w:cs="Times New Roman"/>
          <w:lang w:val="en-CA"/>
        </w:rPr>
        <w:t xml:space="preserve"> And </w:t>
      </w:r>
      <w:r w:rsidR="00AA2A48" w:rsidRPr="00DA6BE4">
        <w:rPr>
          <w:rFonts w:ascii="Times New Roman" w:hAnsi="Times New Roman" w:cs="Times New Roman"/>
          <w:lang w:val="en-CA"/>
        </w:rPr>
        <w:fldChar w:fldCharType="begin"/>
      </w:r>
      <w:r>
        <w:rPr>
          <w:rFonts w:ascii="Times New Roman" w:hAnsi="Times New Roman" w:cs="Times New Roman"/>
          <w:lang w:val="en-CA"/>
        </w:rPr>
        <w:instrText xml:space="preserve"> ADDIN EN.CITE &lt;EndNote&gt;&lt;Cite&gt;&lt;Author&gt;Breen&lt;/Author&gt;&lt;Year&gt;2002&lt;/Year&gt;&lt;RecNum&gt;160&lt;/RecNum&gt;&lt;Pages&gt;181-201&lt;/Pages&gt;&lt;DisplayText&gt;Keith Breen, &amp;quot;Alasdair Macintyre and the Hope for a Politics of Virtuous Acknowledged Dependence,&amp;quot; &lt;style face="italic"&gt;Contemporary Political Theory&lt;/style&gt; 1, no. 2 (2002): 181-201.&lt;/DisplayText&gt;&lt;record&gt;&lt;rec-number&gt;160&lt;/rec-number&gt;&lt;foreign-keys&gt;&lt;key app="EN" db-id="vxze0a2pwrt959ep2afxdw5cat595wt9sv95" timestamp="1520921802"&gt;160&lt;/key&gt;&lt;/foreign-keys&gt;&lt;ref-type name="Journal Article"&gt;17&lt;/ref-type&gt;&lt;contributors&gt;&lt;authors&gt;&lt;author&gt;Breen, Keith&lt;/author&gt;&lt;/authors&gt;&lt;/contributors&gt;&lt;titles&gt;&lt;title&gt;Alasdair MacIntyre and the Hope for a Politics of Virtuous Acknowledged Dependence&lt;/title&gt;&lt;secondary-title&gt;Contemporary Political Theory&lt;/secondary-title&gt;&lt;/titles&gt;&lt;periodical&gt;&lt;full-title&gt;Contemporary Political Theory&lt;/full-title&gt;&lt;/periodical&gt;&lt;pages&gt;181–201&lt;/pages&gt;&lt;volume&gt;1&lt;/volume&gt;&lt;number&gt;2&lt;/number&gt;&lt;dates&gt;&lt;year&gt;2002&lt;/year&gt;&lt;/dates&gt;&lt;urls&gt;&lt;/urls&gt;&lt;electronic-resource-num&gt;10.1057/palgrave.cpt.9300015&lt;/electronic-resource-num&gt;&lt;/record&gt;&lt;/Cite&gt;&lt;/EndNote&gt;</w:instrText>
      </w:r>
      <w:r w:rsidR="00AA2A48" w:rsidRPr="00DA6BE4">
        <w:rPr>
          <w:rFonts w:ascii="Times New Roman" w:hAnsi="Times New Roman" w:cs="Times New Roman"/>
          <w:lang w:val="en-CA"/>
        </w:rPr>
        <w:fldChar w:fldCharType="separate"/>
      </w:r>
      <w:r>
        <w:rPr>
          <w:rFonts w:ascii="Times New Roman" w:hAnsi="Times New Roman" w:cs="Times New Roman"/>
          <w:noProof/>
          <w:lang w:val="en-CA"/>
        </w:rPr>
        <w:t xml:space="preserve">Keith Breen, "Alasdair Macintyre and the Hope for a Politics of Virtuous Acknowledged Dependence," </w:t>
      </w:r>
      <w:r w:rsidRPr="000F67B0">
        <w:rPr>
          <w:rFonts w:ascii="Times New Roman" w:hAnsi="Times New Roman" w:cs="Times New Roman"/>
          <w:i/>
          <w:noProof/>
          <w:lang w:val="en-CA"/>
        </w:rPr>
        <w:t>Contemporary Political Theory</w:t>
      </w:r>
      <w:r>
        <w:rPr>
          <w:rFonts w:ascii="Times New Roman" w:hAnsi="Times New Roman" w:cs="Times New Roman"/>
          <w:noProof/>
          <w:lang w:val="en-CA"/>
        </w:rPr>
        <w:t xml:space="preserve"> 1, no. 2 (2002): 181-201.</w:t>
      </w:r>
      <w:r w:rsidR="00AA2A48" w:rsidRPr="00DA6BE4">
        <w:rPr>
          <w:rFonts w:ascii="Times New Roman" w:hAnsi="Times New Roman" w:cs="Times New Roman"/>
          <w:lang w:val="en-CA"/>
        </w:rPr>
        <w:fldChar w:fldCharType="end"/>
      </w:r>
      <w:r w:rsidRPr="00DA6BE4">
        <w:rPr>
          <w:rFonts w:ascii="Times New Roman" w:hAnsi="Times New Roman" w:cs="Times New Roman"/>
          <w:lang w:val="en-CA"/>
        </w:rPr>
        <w:t xml:space="preserve"> Also see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&lt;EndNote&gt;&lt;Cite&gt;&lt;Author&gt;MacIntyre&lt;/Author&gt;&lt;Year&gt;2006&lt;/Year&gt;&lt;RecNum&gt;99&lt;/RecNum&gt;&lt;Pages&gt;147-148&lt;/Pages&gt;&lt;DisplayText&gt;MacIntyre, &amp;quot;Toleration and the Goods of Conflict,&amp;quot; 147-148.&lt;/DisplayText&gt;&lt;record&gt;&lt;rec-number&gt;99&lt;/rec-number&gt;&lt;foreign-keys&gt;&lt;key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MacIntyre, "Toleration and the Goods of Conflict," 147-148.</w:t>
      </w:r>
      <w:r w:rsidR="00AA2A48" w:rsidRPr="00DA6BE4">
        <w:rPr>
          <w:rFonts w:ascii="Times New Roman" w:hAnsi="Times New Roman" w:cs="Times New Roman"/>
          <w:lang w:val="en-CA"/>
        </w:rPr>
        <w:fldChar w:fldCharType="end"/>
      </w:r>
    </w:p>
  </w:footnote>
  <w:footnote w:id="338">
    <w:p w:rsidR="00D810CC" w:rsidRPr="00DA6BE4" w:rsidRDefault="00D810CC">
      <w:pPr>
        <w:pStyle w:val="FootnoteText"/>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&lt;EndNote&gt;&lt;Cite&gt;&lt;Author&gt;MacIntyre&lt;/Author&gt;&lt;Year&gt;1999&lt;/Year&gt;&lt;RecNum&gt;45&lt;/RecNum&gt;&lt;Pages&gt;132-133&lt;/Pages&gt;&lt;DisplayText&gt;MacIntyre, &lt;style face="italic"&gt;Dependent Rational Animals : Why Human Beings Need the Virtues&lt;/style&gt;, 132-133.&lt;/DisplayText&gt;&lt;record&gt;&lt;rec-number&gt;45&lt;/rec-number&gt;&lt;foreign-keys&gt;&lt;key app="EN" db-id="vxze0a2pwrt959ep2afxdw5cat595wt9sv95" timestamp="1443697041"&gt;45&lt;/key&gt;&lt;/foreign-keys&gt;&lt;ref-type name="Book"&gt;6&lt;/ref-type&gt;&lt;contributors&gt;&lt;authors&gt;&lt;author&gt;MacIntyre, Alasdair&lt;/author&gt;&lt;/authors&gt;&lt;/contributors&gt;&lt;titles&gt;&lt;title&gt;Dependent Rational Animals : Why Human Beings Need the Virtues&lt;/title&gt;&lt;secondary-title&gt;The Paul Carus lecture series&lt;/secondary-title&gt;&lt;/titles&gt;&lt;pages&gt;xiii, 172 p.&lt;/pages&gt;&lt;number&gt;20&lt;/number&gt;&lt;keywords&gt;&lt;keyword&gt;Ethics.&lt;/keyword&gt;&lt;keyword&gt;Virtues.&lt;/keyword&gt;&lt;/keywords&gt;&lt;dates&gt;&lt;year&gt;1999&lt;/year&gt;&lt;/dates&gt;&lt;pub-location&gt;Chicago, Illinois&lt;/pub-location&gt;&lt;publisher&gt;Open Court&lt;/publisher&gt;&lt;isbn&gt;0812693973 (alk. paper)&lt;/isbn&gt;&lt;accession-num&gt;3101914&lt;/accession-num&gt;&lt;call-num&gt;Jefferson or Adams Building Reading Rooms BJ1012 .M326 1999&amp;#xD;Jefferson or Adams Building Reading Rooms - STORED OFFSITE BJ1012 .M326 1999&lt;/call-num&gt;&lt;urls&gt;&lt;/urls&gt;&lt;/record&gt;&lt;/Cite&gt;&lt;/EndNote&gt;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MacIntyre, </w:t>
      </w:r>
      <w:r w:rsidRPr="00555181">
        <w:rPr>
          <w:rFonts w:ascii="Times New Roman" w:hAnsi="Times New Roman" w:cs="Times New Roman"/>
          <w:i/>
          <w:noProof/>
        </w:rPr>
        <w:t>Dependent Rational Animals : Why Human Beings Need the Virtues</w:t>
      </w:r>
      <w:r>
        <w:rPr>
          <w:rFonts w:ascii="Times New Roman" w:hAnsi="Times New Roman" w:cs="Times New Roman"/>
          <w:noProof/>
        </w:rPr>
        <w:t>, 132-133.</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&lt;EndNote&gt;&lt;Cite&gt;&lt;Author&gt;MacIntyre&lt;/Author&gt;&lt;Year&gt;1994&lt;/Year&gt;&lt;RecNum&gt;175&lt;/RecNum&gt;&lt;Pages&gt;303&lt;/Pages&gt;&lt;DisplayText&gt;MacIntyre, &amp;quot;A Partial Response to My Critics,&amp;quot; 303.&lt;/DisplayText&gt;&lt;record&gt;&lt;rec-number&gt;175&lt;/rec-number&gt;&lt;foreign-keys&gt;&lt;key app="EN" db-id="vxze0a2pwrt959ep2afxdw5cat595wt9sv95" timestamp="1528221470"&gt;175&lt;/key&gt;&lt;/foreign-keys&gt;&lt;ref-type name="Book Section"&gt;5&lt;/ref-type&gt;&lt;contributors&gt;&lt;authors&gt;&lt;author&gt;MacIntyre, Alasdair&lt;/author&gt;&lt;/authors&gt;&lt;secondary-authors&gt;&lt;author&gt;Horton and Mendus&lt;/author&gt;&lt;/secondary-authors&gt;&lt;/contributors&gt;&lt;titles&gt;&lt;title&gt;A Partial Response to My Critics&lt;/title&gt;&lt;secondary-title&gt;After MacIntyre: Critical Perspectives on the Work of Alasdair MacIntyre&lt;/secondary-title&gt;&lt;/titles&gt;&lt;pages&gt;303&lt;/pages&gt;&lt;dates&gt;&lt;year&gt;1994&lt;/year&gt;&lt;/dates&gt;&lt;pub-location&gt;Notre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"A Partial Response to My Critics," 303.</w:t>
      </w:r>
      <w:r w:rsidR="00AA2A48" w:rsidRPr="00DA6BE4">
        <w:rPr>
          <w:rFonts w:ascii="Times New Roman" w:hAnsi="Times New Roman" w:cs="Times New Roman"/>
        </w:rPr>
        <w:fldChar w:fldCharType="end"/>
      </w:r>
    </w:p>
  </w:footnote>
  <w:footnote w:id="33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&lt;EndNote&gt;&lt;Cite&gt;&lt;Author&gt;Breen&lt;/Author&gt;&lt;Year&gt;2005&lt;/Year&gt;&lt;RecNum&gt;144&lt;/RecNum&gt;&lt;Pages&gt;495&lt;/Pages&gt;&lt;DisplayText&gt;Breen, &amp;quot;The State, Compartmentalization and the Turn to Local Community: A Critique of the Political Thought of Alasdair Macintyre,&amp;quot; 495.&lt;/DisplayText&gt;&lt;record&gt;&lt;rec-number&gt;144&lt;/rec-number&gt;&lt;foreign-keys&gt;&lt;key app="EN" db-id="vxze0a2pwrt959ep2afxdw5cat595wt9sv95" timestamp="1520838959"&gt;144&lt;/key&gt;&lt;/foreign-keys&gt;&lt;ref-type name="Journal Article"&gt;17&lt;/ref-type&gt;&lt;contributors&gt;&lt;authors&gt;&lt;author&gt;Breen, Keith&lt;/author&gt;&lt;/authors&gt;&lt;/contributors&gt;&lt;titles&gt;&lt;title&gt;The State, Compartmentalization and the Turn to Local Community: A Critique of the Political Thought of Alasdair MacIntyre&lt;/title&gt;&lt;secondary-title&gt;The European Legacy&lt;/secondary-title&gt;&lt;/titles&gt;&lt;periodical&gt;&lt;full-title&gt;The European Legacy&lt;/full-title&gt;&lt;/periodical&gt;&lt;pages&gt;485–501&lt;/pages&gt;&lt;volume&gt;10&lt;/volume&gt;&lt;number&gt;5&lt;/number&gt;&lt;dates&gt;&lt;year&gt;2005&lt;/year&gt;&lt;/dates&gt;&lt;urls&gt;&lt;/urls&gt;&lt;/record&gt;&lt;/Cite&gt;&lt;/EndNote&gt;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Breen, "The State, Compartmentalization and the Turn to Local Community: A Critique of the Political Thought of Alasdair Macintyre," 495.</w:t>
      </w:r>
      <w:r w:rsidR="00AA2A48" w:rsidRPr="00DA6BE4">
        <w:rPr>
          <w:rFonts w:ascii="Times New Roman" w:hAnsi="Times New Roman" w:cs="Times New Roman"/>
        </w:rPr>
        <w:fldChar w:fldCharType="end"/>
      </w:r>
    </w:p>
  </w:footnote>
  <w:footnote w:id="34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AuthorYear="1"&gt;&lt;Author&gt;Breen&lt;/Author&gt;&lt;Year&gt;2005&lt;/Year&gt;&lt;RecNum&gt;144&lt;/RecNum&gt;&lt;Pages&gt;497&lt;/Pages&gt;&lt;DisplayText&gt;Ibid., 497.&lt;/DisplayText&gt;&lt;record&gt;&lt;rec-number&gt;144&lt;/rec-number&gt;&lt;foreign-keys&gt;&lt;key app="EN" db-id="vxze0a2pwrt959ep2afxdw5cat595wt9sv95" timestamp="1520838959"&gt;144&lt;/key&gt;&lt;/foreign-keys&gt;&lt;ref-type name="Journal Article"&gt;17&lt;/ref-type&gt;&lt;contributors&gt;&lt;authors&gt;&lt;author&gt;Breen, Keith&lt;/author&gt;&lt;/authors&gt;&lt;/contributors&gt;&lt;titles&gt;&lt;title&gt;The State, Compartmentalization and the Turn to Local Community: A Critique of the Political Thought of Alasdair MacIntyre&lt;/title&gt;&lt;secondary-title&gt;The European Legacy&lt;/secondary-title&gt;&lt;/titles&gt;&lt;periodical&gt;&lt;full-title&gt;The European Legacy&lt;/full-title&gt;&lt;/periodical&gt;&lt;pages&gt;485–501&lt;/pages&gt;&lt;volume&gt;10&lt;/volume&gt;&lt;number&gt;5&lt;/number&gt;&lt;dates&gt;&lt;year&gt;2005&lt;/year&gt;&lt;/dates&gt;&lt;urls&gt;&lt;/urls&gt;&lt;/record&gt;&lt;/Cite&gt;&lt;/EndNote&gt;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497.</w:t>
      </w:r>
      <w:r w:rsidR="00AA2A48" w:rsidRPr="00DA6BE4">
        <w:rPr>
          <w:rFonts w:ascii="Times New Roman" w:hAnsi="Times New Roman" w:cs="Times New Roman"/>
        </w:rPr>
        <w:fldChar w:fldCharType="end"/>
      </w:r>
    </w:p>
  </w:footnote>
  <w:footnote w:id="34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&lt;EndNote&gt;&lt;Cite&gt;&lt;Author&gt;Murphy&lt;/Author&gt;&lt;Year&gt;2003&lt;/Year&gt;&lt;RecNum&gt;37&lt;/RecNum&gt;&lt;Pages&gt;157&lt;/Pages&gt;&lt;DisplayText&gt;Murphy, &amp;quot;Macintyre&amp;apos;s Political Philosophy,&amp;quot; 157.&lt;/DisplayText&gt;&lt;record&gt;&lt;rec-number&gt;37&lt;/rec-number&gt;&lt;foreign-keys&gt;&lt;key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157.</w:t>
      </w:r>
      <w:r w:rsidR="00AA2A48" w:rsidRPr="00DA6BE4">
        <w:rPr>
          <w:rFonts w:ascii="Times New Roman" w:hAnsi="Times New Roman" w:cs="Times New Roman"/>
        </w:rPr>
        <w:fldChar w:fldCharType="end"/>
      </w:r>
    </w:p>
  </w:footnote>
  <w:footnote w:id="342">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CA"/>
        </w:rPr>
        <w:t xml:space="preserve">See MacIntyre’s </w:t>
      </w:r>
      <w:r w:rsidRPr="00DA6BE4">
        <w:rPr>
          <w:rFonts w:ascii="Times New Roman" w:hAnsi="Times New Roman" w:cs="Times New Roman"/>
          <w:i/>
          <w:lang w:val="en-CA"/>
        </w:rPr>
        <w:t>After Virtue</w:t>
      </w:r>
      <w:r w:rsidRPr="00DA6BE4">
        <w:rPr>
          <w:rFonts w:ascii="Times New Roman" w:hAnsi="Times New Roman" w:cs="Times New Roman"/>
          <w:lang w:val="en-CA"/>
        </w:rPr>
        <w:t>.</w:t>
      </w:r>
    </w:p>
  </w:footnote>
  <w:footnote w:id="343">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lang w:val="en-CA"/>
        </w:rPr>
        <w:fldChar w:fldCharType="begin"/>
      </w:r>
      <w:r w:rsidRPr="00DA6BE4">
        <w:rPr>
          <w:rFonts w:ascii="Times New Roman" w:hAnsi="Times New Roman" w:cs="Times New Roman"/>
          <w:lang w:val="en-CA"/>
        </w:rPr>
        <w:instrText xml:space="preserve"> ADDIN EN.CITE &lt;EndNote&gt;&lt;Cite&gt;&lt;Author&gt;Murphy&lt;/Author&gt;&lt;Year&gt;2003&lt;/Year&gt;&lt;RecNum&gt;37&lt;/RecNum&gt;&lt;DisplayText&gt;Murphy, &amp;quot;Macintyre&amp;apos;s Political Philosophy.&amp;quot;&lt;/DisplayText&gt;&lt;record&gt;&lt;rec-number&gt;37&lt;/rec-number&gt;&lt;foreign-keys&gt;&lt;key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lang w:val="en-CA"/>
        </w:rPr>
        <w:fldChar w:fldCharType="separate"/>
      </w:r>
      <w:r w:rsidRPr="00DA6BE4">
        <w:rPr>
          <w:rFonts w:ascii="Times New Roman" w:hAnsi="Times New Roman" w:cs="Times New Roman"/>
          <w:noProof/>
          <w:lang w:val="en-CA"/>
        </w:rPr>
        <w:t>Murphy, "Macintyre's Political Philosophy."</w:t>
      </w:r>
      <w:r w:rsidR="00AA2A48" w:rsidRPr="00DA6BE4">
        <w:rPr>
          <w:rFonts w:ascii="Times New Roman" w:hAnsi="Times New Roman" w:cs="Times New Roman"/>
          <w:lang w:val="en-CA"/>
        </w:rPr>
        <w:fldChar w:fldCharType="end"/>
      </w:r>
    </w:p>
  </w:footnote>
  <w:footnote w:id="34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&lt;EndNote&gt;&lt;Cite&gt;&lt;Author&gt;Murphy&lt;/Author&gt;&lt;Year&gt;2003&lt;/Year&gt;&lt;RecNum&gt;37&lt;/RecNum&gt;&lt;Pages&gt;173-174&lt;/Pages&gt;&lt;DisplayText&gt;Ibid., 173-174.&lt;/DisplayText&gt;&lt;record&gt;&lt;rec-number&gt;37&lt;/rec-number&gt;&lt;foreign-keys&gt;&lt;key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173-174.</w:t>
      </w:r>
      <w:r w:rsidR="00AA2A48" w:rsidRPr="00DA6BE4">
        <w:rPr>
          <w:rFonts w:ascii="Times New Roman" w:hAnsi="Times New Roman" w:cs="Times New Roman"/>
        </w:rPr>
        <w:fldChar w:fldCharType="end"/>
      </w:r>
    </w:p>
  </w:footnote>
  <w:footnote w:id="34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&lt;EndNote&gt;&lt;Cite&gt;&lt;Author&gt;Murphy&lt;/Author&gt;&lt;Year&gt;2003&lt;/Year&gt;&lt;RecNum&gt;37&lt;/RecNum&gt;&lt;DisplayText&gt;Ibid.&lt;/DisplayText&gt;&lt;record&gt;&lt;rec-number&gt;37&lt;/rec-number&gt;&lt;foreign-keys&gt;&lt;key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r w:rsidRPr="00DA6BE4">
        <w:rPr>
          <w:rFonts w:ascii="Times New Roman" w:hAnsi="Times New Roman" w:cs="Times New Roman"/>
        </w:rPr>
        <w:t xml:space="preserve"> </w:t>
      </w:r>
    </w:p>
  </w:footnote>
  <w:footnote w:id="346">
    <w:p w:rsidR="00D810CC" w:rsidRPr="00DA6BE4" w:rsidRDefault="00D810CC" w:rsidP="000F3EE0">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&lt;EndNote&gt;&lt;Cite&gt;&lt;Author&gt;MacIntyre&lt;/Author&gt;&lt;Year&gt;1999&lt;/Year&gt;&lt;RecNum&gt;63&lt;/RecNum&gt;&lt;Pages&gt;311-329&lt;/Pages&gt;&lt;DisplayText&gt;Alasdair MacIntyre, &amp;quot;Social Structures and Their Threats to Moral Agency,&amp;quot; &lt;style face="italic"&gt;Philosophy&lt;/style&gt; 74, no. 03 (1999): 311-329.&lt;/DisplayText&gt;&lt;record&gt;&lt;rec-number&gt;63&lt;/rec-number&gt;&lt;foreign-keys&gt;&lt;key app="EN" db-id="vxze0a2pwrt959ep2afxdw5cat595wt9sv95" timestamp="1443701843"&gt;63&lt;/key&gt;&lt;/foreign-keys&gt;&lt;ref-type name="Journal Article"&gt;17&lt;/ref-type&gt;&lt;contributors&gt;&lt;authors&gt;&lt;author&gt;MacIntyre,Alasdair&lt;/author&gt;&lt;/authors&gt;&lt;/contributors&gt;&lt;titles&gt;&lt;title&gt;Social Structures and their Threats to Moral Agency&lt;/title&gt;&lt;secondary-title&gt;Philosophy&lt;/secondary-title&gt;&lt;/titles&gt;&lt;periodical&gt;&lt;full-title&gt;Philosophy&lt;/full-title&gt;&lt;/periodical&gt;&lt;pages&gt;311-329&lt;/pages&gt;&lt;volume&gt;74&lt;/volume&gt;&lt;number&gt;03&lt;/number&gt;&lt;dates&gt;&lt;year&gt;1999&lt;/year&gt;&lt;/dates&gt;&lt;isbn&gt;1469-817X&lt;/isbn&gt;&lt;urls&gt;&lt;related-urls&gt;&lt;url&gt;http://dx.doi.org/10.1017/S0031819199000431&lt;/url&gt;&lt;/related-urls&gt;&lt;/urls&gt;&lt;electronic-resource-num&gt;doi:null&lt;/electronic-resource-num&gt;&lt;access-date&gt;1999&lt;/access-date&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"Social Structures and Their Threats to Moral Agency," </w:t>
      </w:r>
      <w:r w:rsidRPr="00A81B67">
        <w:rPr>
          <w:rFonts w:ascii="Times New Roman" w:hAnsi="Times New Roman" w:cs="Times New Roman"/>
          <w:i/>
          <w:noProof/>
        </w:rPr>
        <w:t>Philosophy</w:t>
      </w:r>
      <w:r>
        <w:rPr>
          <w:rFonts w:ascii="Times New Roman" w:hAnsi="Times New Roman" w:cs="Times New Roman"/>
          <w:noProof/>
        </w:rPr>
        <w:t xml:space="preserve"> 74, no. 03 (1999): 311-329.</w:t>
      </w:r>
      <w:r w:rsidR="00AA2A48" w:rsidRPr="00DA6BE4">
        <w:rPr>
          <w:rFonts w:ascii="Times New Roman" w:hAnsi="Times New Roman" w:cs="Times New Roman"/>
        </w:rPr>
        <w:fldChar w:fldCharType="end"/>
      </w:r>
      <w:r>
        <w:rPr>
          <w:rFonts w:ascii="Times New Roman" w:hAnsi="Times New Roman" w:cs="Times New Roman"/>
        </w:rPr>
        <w:t xml:space="preserve"> Also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&lt;EndNote&gt;&lt;Cite&gt;&lt;Author&gt;MacIntyre&lt;/Author&gt;&lt;Year&gt;1984&lt;/Year&gt;&lt;RecNum&gt;48&lt;/RecNum&gt;&lt;DisplayText&gt;MacIntyre, &lt;style face="italic"&gt;After Virtue&lt;/style&gt;.&lt;/DisplayText&gt;&lt;record&gt;&lt;rec-number&gt;48&lt;/rec-number&gt;&lt;foreign-keys&gt;&lt;key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MacIntyre, </w:t>
      </w:r>
      <w:r w:rsidRPr="00A81B67">
        <w:rPr>
          <w:rFonts w:ascii="Times New Roman" w:hAnsi="Times New Roman" w:cs="Times New Roman"/>
          <w:i/>
          <w:noProof/>
        </w:rPr>
        <w:t>After Virtue</w:t>
      </w:r>
      <w:r>
        <w:rPr>
          <w:rFonts w:ascii="Times New Roman" w:hAnsi="Times New Roman" w:cs="Times New Roman"/>
          <w:noProof/>
        </w:rPr>
        <w:t>.</w:t>
      </w:r>
      <w:r w:rsidR="00AA2A48">
        <w:rPr>
          <w:rFonts w:ascii="Times New Roman" w:hAnsi="Times New Roman" w:cs="Times New Roman"/>
        </w:rPr>
        <w:fldChar w:fldCharType="end"/>
      </w:r>
    </w:p>
  </w:footnote>
  <w:footnote w:id="347">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&lt;EndNote&gt;&lt;Cite&gt;&lt;Author&gt;MacIntyre&lt;/Author&gt;&lt;Year&gt;1979&lt;/Year&gt;&lt;RecNum&gt;85&lt;/RecNum&gt;&lt;Pages&gt;42-58&lt;/Pages&gt;&lt;DisplayText&gt;Alasdair MacIntyre, &amp;quot;Social Science Methodology as the Ideology of Bureaucratic Authority,&amp;quot; in &lt;style face="italic"&gt;Through the Looking Glass: Epistemology and the Conduct of Enquiry&lt;/style&gt;, ed. M.J. Falco (University Press of America, 1979), 42-58.&lt;/DisplayText&gt;&lt;record&gt;&lt;rec-number&gt;85&lt;/rec-number&gt;&lt;foreign-keys&gt;&lt;key app="EN" db-id="vxze0a2pwrt959ep2afxdw5cat595wt9sv95" timestamp="1444053375"&gt;85&lt;/key&gt;&lt;/foreign-keys&gt;&lt;ref-type name="Book Section"&gt;5&lt;/ref-type&gt;&lt;contributors&gt;&lt;authors&gt;&lt;author&gt;MacIntyre, Alasdair&lt;/author&gt;&lt;/authors&gt;&lt;secondary-authors&gt;&lt;author&gt;Falco, M.J.&lt;/author&gt;&lt;/secondary-authors&gt;&lt;/contributors&gt;&lt;titles&gt;&lt;title&gt;Social Science Methodology as the Ideology of Bureaucratic Authority&lt;/title&gt;&lt;secondary-title&gt;Through the Looking Glass: Epistemology and the Conduct of Enquiry&lt;/secondary-title&gt;&lt;/titles&gt;&lt;pages&gt;42-58&lt;/pages&gt;&lt;dates&gt;&lt;year&gt;1979&lt;/year&gt;&lt;/dates&gt;&lt;publisher&gt;University Press of America&lt;/publisher&gt;&lt;urls&gt;&lt;/urls&gt;&lt;/record&gt;&lt;/Cite&gt;&lt;/EndNote&gt;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"Social Science Methodology as the Ideology of Bureaucratic Authority," in </w:t>
      </w:r>
      <w:r w:rsidRPr="00A81B67">
        <w:rPr>
          <w:rFonts w:ascii="Times New Roman" w:hAnsi="Times New Roman" w:cs="Times New Roman"/>
          <w:i/>
          <w:noProof/>
        </w:rPr>
        <w:t>Through the Looking Glass: Epistemology and the Conduct of Enquiry</w:t>
      </w:r>
      <w:r>
        <w:rPr>
          <w:rFonts w:ascii="Times New Roman" w:hAnsi="Times New Roman" w:cs="Times New Roman"/>
          <w:noProof/>
        </w:rPr>
        <w:t>, ed. M.J. Falco (University Press of America, 1979), 42-58.</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&lt;EndNote&gt;&lt;Cite&gt;&lt;Author&gt;MacIntyre&lt;/Author&gt;&lt;Year&gt;1984&lt;/Year&gt;&lt;RecNum&gt;48&lt;/RecNum&gt;&lt;Pages&gt;Chapters 3`, 6`, 7&lt;/Pages&gt;&lt;DisplayText&gt;MacIntyre, &lt;style face="italic"&gt;After Virtue&lt;/style&gt;, Chapters 3, 6, 7.&lt;/DisplayText&gt;&lt;record&gt;&lt;rec-number&gt;48&lt;/rec-number&gt;&lt;foreign-keys&gt;&lt;key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Chapters 3, 6, 7.</w:t>
      </w:r>
      <w:r w:rsidR="00AA2A48" w:rsidRPr="00DA6BE4">
        <w:rPr>
          <w:rFonts w:ascii="Times New Roman" w:hAnsi="Times New Roman" w:cs="Times New Roman"/>
        </w:rPr>
        <w:fldChar w:fldCharType="end"/>
      </w:r>
    </w:p>
  </w:footnote>
  <w:footnote w:id="348">
    <w:p w:rsidR="00D810CC" w:rsidRPr="009327B5" w:rsidRDefault="00D810CC">
      <w:pPr>
        <w:pStyle w:val="FootnoteText"/>
        <w:rPr>
          <w:rFonts w:ascii="Times New Roman" w:hAnsi="Times New Roman" w:cs="Times New Roman"/>
        </w:rPr>
      </w:pPr>
      <w:r w:rsidRPr="009327B5">
        <w:rPr>
          <w:rStyle w:val="FootnoteReference"/>
          <w:rFonts w:ascii="Times New Roman" w:hAnsi="Times New Roman" w:cs="Times New Roman"/>
        </w:rPr>
        <w:footnoteRef/>
      </w:r>
      <w:r w:rsidRPr="009327B5">
        <w:rPr>
          <w:rFonts w:ascii="Times New Roman" w:hAnsi="Times New Roman" w:cs="Times New Roman"/>
        </w:rPr>
        <w:t xml:space="preserve"> </w:t>
      </w:r>
      <w:r>
        <w:rPr>
          <w:rFonts w:ascii="Times New Roman" w:hAnsi="Times New Roman" w:cs="Times New Roman"/>
        </w:rPr>
        <w:t xml:space="preserve">I should emphasize </w:t>
      </w:r>
      <w:r w:rsidRPr="009327B5">
        <w:rPr>
          <w:rFonts w:ascii="Times New Roman" w:hAnsi="Times New Roman" w:cs="Times New Roman"/>
        </w:rPr>
        <w:t>that MacIntyre’s latest book</w:t>
      </w:r>
      <w:r>
        <w:rPr>
          <w:rFonts w:ascii="Times New Roman" w:hAnsi="Times New Roman" w:cs="Times New Roman"/>
        </w:rPr>
        <w:t xml:space="preserve"> – </w:t>
      </w:r>
      <w:r w:rsidRPr="009327B5">
        <w:rPr>
          <w:rFonts w:ascii="Times New Roman" w:hAnsi="Times New Roman" w:cs="Times New Roman"/>
          <w:i/>
        </w:rPr>
        <w:t>Ethics in the Conflicts of Modernity</w:t>
      </w:r>
      <w:r>
        <w:rPr>
          <w:rFonts w:ascii="Times New Roman" w:hAnsi="Times New Roman" w:cs="Times New Roman"/>
        </w:rPr>
        <w:t xml:space="preserve"> – </w:t>
      </w:r>
      <w:r w:rsidRPr="009327B5">
        <w:rPr>
          <w:rFonts w:ascii="Times New Roman" w:hAnsi="Times New Roman" w:cs="Times New Roman"/>
        </w:rPr>
        <w:t>doesn’t really affect my line of arguments</w:t>
      </w:r>
      <w:r>
        <w:rPr>
          <w:rFonts w:ascii="Times New Roman" w:hAnsi="Times New Roman" w:cs="Times New Roman"/>
        </w:rPr>
        <w:t xml:space="preserve">, namely, </w:t>
      </w:r>
      <w:r w:rsidRPr="009327B5">
        <w:rPr>
          <w:rFonts w:ascii="Times New Roman" w:hAnsi="Times New Roman" w:cs="Times New Roman"/>
        </w:rPr>
        <w:t>that MacIntyre’s lack of a coherent politics</w:t>
      </w:r>
      <w:r>
        <w:rPr>
          <w:rFonts w:ascii="Times New Roman" w:hAnsi="Times New Roman" w:cs="Times New Roman"/>
        </w:rPr>
        <w:t xml:space="preserve"> that critically, yet constructively, engages with liberal politics and its associated structures</w:t>
      </w:r>
      <w:r w:rsidRPr="009327B5">
        <w:rPr>
          <w:rFonts w:ascii="Times New Roman" w:hAnsi="Times New Roman" w:cs="Times New Roman"/>
        </w:rPr>
        <w:t>.</w:t>
      </w:r>
      <w:r>
        <w:rPr>
          <w:rFonts w:ascii="Times New Roman" w:hAnsi="Times New Roman" w:cs="Times New Roman"/>
        </w:rPr>
        <w:t xml:space="preserve">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&lt;EndNote&gt;&lt;Cite&gt;&lt;Author&gt;MacIntyre&lt;/Author&gt;&lt;Year&gt;2016&lt;/Year&gt;&lt;RecNum&gt;176&lt;/RecNum&gt;&lt;Pages&gt;Chapter 3&lt;/Pages&gt;&lt;DisplayText&gt;MacIntyre, &lt;style face="italic"&gt;Ethics in the Conflicts of Modernity&lt;/style&gt;, Chapter 3.&lt;/DisplayText&gt;&lt;record&gt;&lt;rec-number&gt;176&lt;/rec-number&gt;&lt;foreign-keys&gt;&lt;key app="EN" db-id="vxze0a2pwrt959ep2afxdw5cat595wt9sv95" timestamp="1528405648"&gt;176&lt;/key&gt;&lt;/foreign-keys&gt;&lt;ref-type name="Book"&gt;6&lt;/ref-type&gt;&lt;contributors&gt;&lt;authors&gt;&lt;author&gt;MacIntyre, Alasdair&lt;/author&gt;&lt;/authors&gt;&lt;/contributors&gt;&lt;titles&gt;&lt;title&gt;Ethics in the Conflicts of Modernity&lt;/title&gt;&lt;/titles&gt;&lt;dates&gt;&lt;year&gt;2016&lt;/year&gt;&lt;/dates&gt;&lt;pub-location&gt;Cambridge&lt;/pub-location&gt;&lt;publisher&gt;Cambridge University Press&lt;/publisher&gt;&lt;urls&gt;&lt;/urls&gt;&lt;/record&gt;&lt;/Cite&gt;&lt;/EndNote&gt;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MacIntyre, </w:t>
      </w:r>
      <w:r w:rsidRPr="009327B5">
        <w:rPr>
          <w:rFonts w:ascii="Times New Roman" w:hAnsi="Times New Roman" w:cs="Times New Roman"/>
          <w:i/>
          <w:noProof/>
        </w:rPr>
        <w:t>Ethics in the Conflicts of Modernity</w:t>
      </w:r>
      <w:r>
        <w:rPr>
          <w:rFonts w:ascii="Times New Roman" w:hAnsi="Times New Roman" w:cs="Times New Roman"/>
          <w:noProof/>
        </w:rPr>
        <w:t>, Chapter 3.</w:t>
      </w:r>
      <w:r w:rsidR="00AA2A48">
        <w:rPr>
          <w:rFonts w:ascii="Times New Roman" w:hAnsi="Times New Roman" w:cs="Times New Roman"/>
        </w:rPr>
        <w:fldChar w:fldCharType="end"/>
      </w:r>
    </w:p>
  </w:footnote>
  <w:footnote w:id="349">
    <w:p w:rsidR="00D810CC" w:rsidRPr="00DA6BE4" w:rsidRDefault="00D810CC">
      <w:pPr>
        <w:pStyle w:val="FootnoteText"/>
        <w:jc w:val="both"/>
        <w:rPr>
          <w:rFonts w:ascii="Times New Roman" w:hAnsi="Times New Roman" w:cs="Times New Roman"/>
          <w:lang w:val="en-US"/>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Pr="00DA6BE4">
        <w:rPr>
          <w:rFonts w:ascii="Times New Roman" w:hAnsi="Times New Roman" w:cs="Times New Roman"/>
          <w:lang w:val="en-US"/>
        </w:rPr>
        <w:t>Practice is here meant as a term of art in the way that is utilized by MacIntyre.</w:t>
      </w:r>
    </w:p>
  </w:footnote>
  <w:footnote w:id="35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AuthorYear="1"&gt;&lt;Author&gt;MacIntyre&lt;/Author&gt;&lt;Year&gt;1984&lt;/Year&gt;&lt;RecNum&gt;48&lt;/RecNum&gt;&lt;Pages&gt;263&lt;/Pages&gt;&lt;DisplayText&gt;MacIntyre, &lt;style face="italic"&gt;After Virtue&lt;/style&gt;, 263.&lt;/DisplayText&gt;&lt;record&gt;&lt;rec-number&gt;48&lt;/rec-number&gt;&lt;foreign-keys&gt;&lt;key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263.</w:t>
      </w:r>
      <w:r w:rsidR="00AA2A48" w:rsidRPr="00DA6BE4">
        <w:rPr>
          <w:rFonts w:ascii="Times New Roman" w:hAnsi="Times New Roman" w:cs="Times New Roman"/>
        </w:rPr>
        <w:fldChar w:fldCharType="end"/>
      </w:r>
    </w:p>
  </w:footnote>
  <w:footnote w:id="351">
    <w:p w:rsidR="00D810CC" w:rsidRPr="00DA6BE4" w:rsidRDefault="00D810CC" w:rsidP="00786089">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For my purposes I will use ideal, normative, and moralists interchangeably, even though there are differences.</w:t>
      </w:r>
    </w:p>
  </w:footnote>
  <w:footnote w:id="35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&lt;EndNote&gt;&lt;Cite&gt;&lt;Author&gt;Kelly&lt;/Author&gt;&lt;Year&gt;2011&lt;/Year&gt;&lt;RecNum&gt;7&lt;/RecNum&gt;&lt;Pages&gt;13-37&lt;/Pages&gt;&lt;DisplayText&gt;Paul Kelly, &amp;quot;Rescuing Political Theory from the Tyranny of History,&amp;quot; in &lt;style face="italic"&gt;Political Philosophy Versus History? Contextualism and Real Politics in Contemporary Political Thought&lt;/style&gt;, ed. Jonathan Floyd and Marc Stears (Cambridge: Cambridge Univesity Press, 2011), 13-37.&lt;/DisplayText&gt;&lt;record&gt;&lt;rec-number&gt;7&lt;/rec-number&gt;&lt;foreign-keys&gt;&lt;key app="EN" db-id="vxze0a2pwrt959ep2afxdw5cat595wt9sv95" timestamp="1443690653"&gt;7&lt;/key&gt;&lt;/foreign-keys&gt;&lt;ref-type name="Book Section"&gt;5&lt;/ref-type&gt;&lt;contributors&gt;&lt;authors&gt;&lt;author&gt;Kelly, Paul&lt;/author&gt;&lt;/authors&gt;&lt;secondary-authors&gt;&lt;author&gt;Floyd, Jonathan&lt;/author&gt;&lt;author&gt;Stears, Marc&lt;/author&gt;&lt;/secondary-authors&gt;&lt;/contributors&gt;&lt;titles&gt;&lt;title&gt;Rescuing Political Theory From the Tyranny of History&lt;/title&gt;&lt;secondary-title&gt;Political Philosophy versus History? Contextualism and Real Politics in Contemporary Political Thought&lt;/secondary-title&gt;&lt;/titles&gt;&lt;pages&gt;13-37&lt;/pages&gt;&lt;section&gt;1&lt;/section&gt;&lt;dates&gt;&lt;year&gt;2011&lt;/year&gt;&lt;/dates&gt;&lt;pub-location&gt;Cambridge&lt;/pub-location&gt;&lt;publisher&gt;Cambridge Univesity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Paul Kelly, "Rescuing Political Theory from the Tyranny of History," in </w:t>
      </w:r>
      <w:r w:rsidRPr="00BC3B46">
        <w:rPr>
          <w:rFonts w:ascii="Times New Roman" w:hAnsi="Times New Roman" w:cs="Times New Roman"/>
          <w:i/>
          <w:noProof/>
        </w:rPr>
        <w:t>Political Philosophy Versus History? Contextualism and Real Politics in Contemporary Political Thought</w:t>
      </w:r>
      <w:r>
        <w:rPr>
          <w:rFonts w:ascii="Times New Roman" w:hAnsi="Times New Roman" w:cs="Times New Roman"/>
          <w:noProof/>
        </w:rPr>
        <w:t>, ed. Jonathan Floyd and Marc Stears (Cambridge: Cambridge Univesity Press, 2011), 13-37.</w:t>
      </w:r>
      <w:r w:rsidR="00AA2A48" w:rsidRPr="00DA6BE4">
        <w:rPr>
          <w:rFonts w:ascii="Times New Roman" w:hAnsi="Times New Roman" w:cs="Times New Roman"/>
        </w:rPr>
        <w:fldChar w:fldCharType="end"/>
      </w:r>
    </w:p>
  </w:footnote>
  <w:footnote w:id="353">
    <w:p w:rsidR="00D810CC" w:rsidRPr="00DA6BE4" w:rsidRDefault="00D810CC" w:rsidP="00F83E97">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&lt;EndNote&gt;&lt;Cite&gt;&lt;Author&gt;Galston&lt;/Author&gt;&lt;Year&gt;2010&lt;/Year&gt;&lt;RecNum&gt;3&lt;/RecNum&gt;&lt;Pages&gt;385-411&lt;/Pages&gt;&lt;DisplayText&gt;William A. Galston, &amp;quot;Realism in Political Theory,&amp;quot; &lt;style face="italic"&gt;European Journal of Political Theory&lt;/style&gt; 9, no. 4 (2010): 385-411.&lt;/DisplayText&gt;&lt;record&gt;&lt;rec-number&gt;3&lt;/rec-number&gt;&lt;foreign-keys&gt;&lt;key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William A. Galston, "Realism in Political Theory," </w:t>
      </w:r>
      <w:r w:rsidRPr="00BC3B46">
        <w:rPr>
          <w:rFonts w:ascii="Times New Roman" w:hAnsi="Times New Roman" w:cs="Times New Roman"/>
          <w:i/>
          <w:noProof/>
        </w:rPr>
        <w:t>European Journal of Political Theory</w:t>
      </w:r>
      <w:r>
        <w:rPr>
          <w:rFonts w:ascii="Times New Roman" w:hAnsi="Times New Roman" w:cs="Times New Roman"/>
          <w:noProof/>
        </w:rPr>
        <w:t xml:space="preserve"> 9, no. 4 (2010): 385-411.</w:t>
      </w:r>
      <w:r w:rsidR="00AA2A48" w:rsidRPr="00DA6BE4">
        <w:rPr>
          <w:rFonts w:ascii="Times New Roman" w:hAnsi="Times New Roman" w:cs="Times New Roman"/>
        </w:rPr>
        <w:fldChar w:fldCharType="end"/>
      </w:r>
    </w:p>
  </w:footnote>
  <w:footnote w:id="35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&lt;EndNote&gt;&lt;Cite&gt;&lt;Author&gt;Galston&lt;/Author&gt;&lt;Year&gt;2010&lt;/Year&gt;&lt;RecNum&gt;3&lt;/RecNum&gt;&lt;DisplayText&gt;Ibid.&lt;/DisplayText&gt;&lt;record&gt;&lt;rec-number&gt;3&lt;/rec-number&gt;&lt;foreign-keys&gt;&lt;key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5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&lt;EndNote&gt;&lt;Cite&gt;&lt;Author&gt;Galston&lt;/Author&gt;&lt;Year&gt;2010&lt;/Year&gt;&lt;RecNum&gt;3&lt;/RecNum&gt;&lt;Pages&gt;392&lt;/Pages&gt;&lt;DisplayText&gt;Ibid., 392.&lt;/DisplayText&gt;&lt;record&gt;&lt;rec-number&gt;3&lt;/rec-number&gt;&lt;foreign-keys&gt;&lt;key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392.</w:t>
      </w:r>
      <w:r w:rsidR="00AA2A48" w:rsidRPr="00DA6BE4">
        <w:rPr>
          <w:rFonts w:ascii="Times New Roman" w:hAnsi="Times New Roman" w:cs="Times New Roman"/>
        </w:rPr>
        <w:fldChar w:fldCharType="end"/>
      </w:r>
    </w:p>
  </w:footnote>
  <w:footnote w:id="35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&lt;EndNote&gt;&lt;Cite&gt;&lt;Author&gt;Galston&lt;/Author&gt;&lt;Year&gt;2010&lt;/Year&gt;&lt;RecNum&gt;3&lt;/RecNum&gt;&lt;Pages&gt;396&lt;/Pages&gt;&lt;DisplayText&gt;Ibid., 396.&lt;/DisplayText&gt;&lt;record&gt;&lt;rec-number&gt;3&lt;/rec-number&gt;&lt;foreign-keys&gt;&lt;key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396.</w:t>
      </w:r>
      <w:r w:rsidR="00AA2A48" w:rsidRPr="00DA6BE4">
        <w:rPr>
          <w:rFonts w:ascii="Times New Roman" w:hAnsi="Times New Roman" w:cs="Times New Roman"/>
        </w:rPr>
        <w:fldChar w:fldCharType="end"/>
      </w:r>
    </w:p>
  </w:footnote>
  <w:footnote w:id="35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While this is widely understood to be a feature of political realism, it should be noted that Raymond </w:t>
      </w:r>
      <w:proofErr w:type="spellStart"/>
      <w:r w:rsidRPr="00DA6BE4">
        <w:rPr>
          <w:rFonts w:ascii="Times New Roman" w:hAnsi="Times New Roman" w:cs="Times New Roman"/>
        </w:rPr>
        <w:t>Geuss</w:t>
      </w:r>
      <w:proofErr w:type="spellEnd"/>
      <w:r w:rsidRPr="00DA6BE4">
        <w:rPr>
          <w:rFonts w:ascii="Times New Roman" w:hAnsi="Times New Roman" w:cs="Times New Roman"/>
        </w:rPr>
        <w:t xml:space="preserve"> reads Bernard Williams, a political realist, in a different way. On </w:t>
      </w:r>
      <w:proofErr w:type="spellStart"/>
      <w:r w:rsidRPr="00DA6BE4">
        <w:rPr>
          <w:rFonts w:ascii="Times New Roman" w:hAnsi="Times New Roman" w:cs="Times New Roman"/>
        </w:rPr>
        <w:t>Geuss</w:t>
      </w:r>
      <w:proofErr w:type="spellEnd"/>
      <w:r w:rsidRPr="00DA6BE4">
        <w:rPr>
          <w:rFonts w:ascii="Times New Roman" w:hAnsi="Times New Roman" w:cs="Times New Roman"/>
        </w:rPr>
        <w:t>’ view, Williams thought that a properly formulated politics would displace ethics altogether. On this view, politics and political philosophy could be the sort of activity where the heavy lifting in ethics is</w:t>
      </w:r>
      <w:r>
        <w:rPr>
          <w:rFonts w:ascii="Times New Roman" w:hAnsi="Times New Roman" w:cs="Times New Roman"/>
        </w:rPr>
        <w:t xml:space="preserve"> actually performed.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&lt;EndNote&gt;&lt;Cite&gt;&lt;Author&gt;Geuss&lt;/Author&gt;&lt;Year&gt;2014&lt;/Year&gt;&lt;RecNum&gt;141&lt;/RecNum&gt;&lt;DisplayText&gt;Geuss, &amp;quot;Did Williams Do Ethics?.&amp;quot;&lt;/DisplayText&gt;&lt;record&gt;&lt;rec-number&gt;141&lt;/rec-number&gt;&lt;foreign-keys&gt;&lt;key app="EN" db-id="vxze0a2pwrt959ep2afxdw5cat595wt9sv95" timestamp="1520833658"&gt;141&lt;/key&gt;&lt;/foreign-keys&gt;&lt;ref-type name="Book Section"&gt;5&lt;/ref-type&gt;&lt;contributors&gt;&lt;authors&gt;&lt;author&gt;Geuss, Raymond&lt;/author&gt;&lt;/authors&gt;&lt;/contributors&gt;&lt;titles&gt;&lt;title&gt;Did Williams Do Ethics?&lt;/title&gt;&lt;secondary-title&gt;A World without Why&lt;/secondary-title&gt;&lt;/titles&gt;&lt;pages&gt;175-194&lt;/pages&gt;&lt;dates&gt;&lt;year&gt;2014&lt;/year&gt;&lt;/dates&gt;&lt;pub-location&gt;Princeton&lt;/pub-location&gt;&lt;publisher&gt;Princeton University Press&lt;/publisher&gt;&lt;urls&gt;&lt;/urls&gt;&lt;/record&gt;&lt;/Cite&gt;&lt;/EndNote&gt;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Geuss, "Did Williams Do Ethics?."</w:t>
      </w:r>
      <w:r w:rsidR="00AA2A48">
        <w:rPr>
          <w:rFonts w:ascii="Times New Roman" w:hAnsi="Times New Roman" w:cs="Times New Roman"/>
        </w:rPr>
        <w:fldChar w:fldCharType="end"/>
      </w:r>
    </w:p>
  </w:footnote>
  <w:footnote w:id="35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boundaries between at least some of them do sometimes overlap.</w:t>
      </w:r>
    </w:p>
  </w:footnote>
  <w:footnote w:id="35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note that many of the scholars who are broadly considered moralist are also engaged in a number of conflicts with each other, e.g., </w:t>
      </w:r>
      <w:proofErr w:type="spellStart"/>
      <w:r w:rsidRPr="00DA6BE4">
        <w:rPr>
          <w:rFonts w:ascii="Times New Roman" w:hAnsi="Times New Roman" w:cs="Times New Roman"/>
        </w:rPr>
        <w:t>Rawlsian</w:t>
      </w:r>
      <w:proofErr w:type="spellEnd"/>
      <w:r w:rsidRPr="00DA6BE4">
        <w:rPr>
          <w:rFonts w:ascii="Times New Roman" w:hAnsi="Times New Roman" w:cs="Times New Roman"/>
        </w:rPr>
        <w:t xml:space="preserve"> ideal theorist are often in conflict with communitarians.</w:t>
      </w:r>
    </w:p>
  </w:footnote>
  <w:footnote w:id="36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Communitarians who are moralists do not subscribe to this view.</w:t>
      </w:r>
    </w:p>
  </w:footnote>
  <w:footnote w:id="36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&lt;EndNote&gt;&lt;Cite&gt;&lt;Author&gt;Kelly&lt;/Author&gt;&lt;Year&gt;2011&lt;/Year&gt;&lt;RecNum&gt;7&lt;/RecNum&gt;&lt;DisplayText&gt;Kelly, &amp;quot;Rescuing Political Theory from the Tyranny of History.&amp;quot;&lt;/DisplayText&gt;&lt;record&gt;&lt;rec-number&gt;7&lt;/rec-number&gt;&lt;foreign-keys&gt;&lt;key app="EN" db-id="vxze0a2pwrt959ep2afxdw5cat595wt9sv95" timestamp="1443690653"&gt;7&lt;/key&gt;&lt;/foreign-keys&gt;&lt;ref-type name="Book Section"&gt;5&lt;/ref-type&gt;&lt;contributors&gt;&lt;authors&gt;&lt;author&gt;Kelly, Paul&lt;/author&gt;&lt;/authors&gt;&lt;secondary-authors&gt;&lt;author&gt;Floyd, Jonathan&lt;/author&gt;&lt;author&gt;Stears, Marc&lt;/author&gt;&lt;/secondary-authors&gt;&lt;/contributors&gt;&lt;titles&gt;&lt;title&gt;Rescuing Political Theory From the Tyranny of History&lt;/title&gt;&lt;secondary-title&gt;Political Philosophy versus History? Contextualism and Real Politics in Contemporary Political Thought&lt;/secondary-title&gt;&lt;/titles&gt;&lt;pages&gt;13-37&lt;/pages&gt;&lt;section&gt;1&lt;/section&gt;&lt;dates&gt;&lt;year&gt;2011&lt;/year&gt;&lt;/dates&gt;&lt;pub-location&gt;Cambridge&lt;/pub-location&gt;&lt;publisher&gt;Cambridge Univesity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Kelly, "Rescuing Political Theory from the Tyranny of History."</w:t>
      </w:r>
      <w:r w:rsidR="00AA2A48" w:rsidRPr="00DA6BE4">
        <w:rPr>
          <w:rFonts w:ascii="Times New Roman" w:hAnsi="Times New Roman" w:cs="Times New Roman"/>
        </w:rPr>
        <w:fldChar w:fldCharType="end"/>
      </w:r>
    </w:p>
  </w:footnote>
  <w:footnote w:id="36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&lt;EndNote&gt;&lt;Cite&gt;&lt;Author&gt;Galston&lt;/Author&gt;&lt;Year&gt;2010&lt;/Year&gt;&lt;RecNum&gt;3&lt;/RecNum&gt;&lt;Pages&gt;386-387&lt;/Pages&gt;&lt;DisplayText&gt;Galston, &amp;quot;Realism in Political Theory,&amp;quot; 386-387.&lt;/DisplayText&gt;&lt;record&gt;&lt;rec-number&gt;3&lt;/rec-number&gt;&lt;foreign-keys&gt;&lt;key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Galston, "Realism in Political Theory," 386-387.</w:t>
      </w:r>
      <w:r w:rsidR="00AA2A48" w:rsidRPr="00DA6BE4">
        <w:rPr>
          <w:rFonts w:ascii="Times New Roman" w:hAnsi="Times New Roman" w:cs="Times New Roman"/>
        </w:rPr>
        <w:fldChar w:fldCharType="end"/>
      </w:r>
    </w:p>
  </w:footnote>
  <w:footnote w:id="36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common good in Athens insofar as it was realised was constituted in the democratic deliberation of Athenian male citizens (which excluded women and slaves).</w:t>
      </w:r>
    </w:p>
  </w:footnote>
  <w:footnote w:id="364">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&lt;EndNote&gt;&lt;Cite&gt;&lt;Author&gt;MacIntyre&lt;/Author&gt;&lt;Year&gt;1971&lt;/Year&gt;&lt;RecNum&gt;113&lt;/RecNum&gt;&lt;Pages&gt;260-279&lt;/Pages&gt;&lt;DisplayText&gt;Alasdair MacIntyre, &amp;quot;Is a Science of Comparative Politics Possible?,&amp;quot; in &lt;style face="italic"&gt;Against the Self-Images of the Age &lt;/style&gt;ed. Alasdair MacIntyre (New York: Schocken Books, 1971), 260-279.&lt;/DisplayText&gt;&lt;record&gt;&lt;rec-number&gt;113&lt;/rec-number&gt;&lt;foreign-keys&gt;&lt;key app="EN" db-id="vxze0a2pwrt959ep2afxdw5cat595wt9sv95" timestamp="1460655517"&gt;113&lt;/key&gt;&lt;/foreign-keys&gt;&lt;ref-type name="Book Section"&gt;5&lt;/ref-type&gt;&lt;contributors&gt;&lt;authors&gt;&lt;author&gt;MacIntyre, Alasdair&lt;/author&gt;&lt;/authors&gt;&lt;secondary-authors&gt;&lt;author&gt;MacIntyre, Alasdair&lt;/author&gt;&lt;/secondary-authors&gt;&lt;/contributors&gt;&lt;titles&gt;&lt;title&gt;Is a science of comparative politics possible?&lt;/title&gt;&lt;secondary-title&gt;Against the Self-Images of the Age &lt;/secondary-title&gt;&lt;/titles&gt;&lt;pages&gt;260-279&lt;/pages&gt;&lt;dates&gt;&lt;year&gt;1971&lt;/year&gt;&lt;/dates&gt;&lt;pub-location&gt;New York&lt;/pub-location&gt;&lt;publisher&gt;Schocken Books&lt;/publisher&gt;&lt;urls&gt;&lt;/urls&gt;&lt;/record&gt;&lt;/Cite&gt;&lt;/EndNote&gt;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"Is a Science of Comparative Politics Possible?," in </w:t>
      </w:r>
      <w:r w:rsidRPr="005B26AC">
        <w:rPr>
          <w:rFonts w:ascii="Times New Roman" w:hAnsi="Times New Roman" w:cs="Times New Roman"/>
          <w:i/>
          <w:noProof/>
        </w:rPr>
        <w:t xml:space="preserve">Against the Self-Images of the Age </w:t>
      </w:r>
      <w:r>
        <w:rPr>
          <w:rFonts w:ascii="Times New Roman" w:hAnsi="Times New Roman" w:cs="Times New Roman"/>
          <w:noProof/>
        </w:rPr>
        <w:t>ed. Alasdair MacIntyre (New York: Schocken Books, 1971), 260-279.</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&lt;EndNote&gt;&lt;Cite&gt;&lt;Author&gt;MacIntyre&lt;/Author&gt;&lt;Year&gt;1972&lt;/Year&gt;&lt;RecNum&gt;70&lt;/RecNum&gt;&lt;Pages&gt;5-13&lt;/Pages&gt;&lt;DisplayText&gt;Alasdair MacIntyre, &amp;quot;Predictability and Explanation in the Social Sciences,&amp;quot; &lt;style face="italic"&gt;Philosophic Exchange&lt;/style&gt; 3, no. 1 (1972): 5-13.&lt;/DisplayText&gt;&lt;record&gt;&lt;rec-number&gt;70&lt;/rec-number&gt;&lt;foreign-keys&gt;&lt;key app="EN" db-id="vxze0a2pwrt959ep2afxdw5cat595wt9sv95" timestamp="1443959449"&gt;70&lt;/key&gt;&lt;/foreign-keys&gt;&lt;ref-type name="Journal Article"&gt;17&lt;/ref-type&gt;&lt;contributors&gt;&lt;authors&gt;&lt;author&gt;MacIntyre, Alasdair&lt;/author&gt;&lt;/authors&gt;&lt;/contributors&gt;&lt;titles&gt;&lt;title&gt;Predictability and Explanation in the Social Sciences&lt;/title&gt;&lt;secondary-title&gt;Philosophic Exchange&lt;/secondary-title&gt;&lt;/titles&gt;&lt;periodical&gt;&lt;full-title&gt;Philosophic Exchange&lt;/full-title&gt;&lt;/periodical&gt;&lt;pages&gt;5-13&lt;/pages&gt;&lt;volume&gt;3&lt;/volume&gt;&lt;number&gt;1&lt;/number&gt;&lt;dates&gt;&lt;year&gt;1972&lt;/year&gt;&lt;/dates&gt;&lt;urls&gt;&lt;/urls&gt;&lt;/record&gt;&lt;/Cite&gt;&lt;/EndNote&gt;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Alasdair MacIntyre, "Predictability and Explanation in the Social Sciences," </w:t>
      </w:r>
      <w:r w:rsidRPr="005B26AC">
        <w:rPr>
          <w:rFonts w:ascii="Times New Roman" w:hAnsi="Times New Roman" w:cs="Times New Roman"/>
          <w:i/>
          <w:noProof/>
        </w:rPr>
        <w:t>Philosophic Exchange</w:t>
      </w:r>
      <w:r>
        <w:rPr>
          <w:rFonts w:ascii="Times New Roman" w:hAnsi="Times New Roman" w:cs="Times New Roman"/>
          <w:noProof/>
        </w:rPr>
        <w:t xml:space="preserve"> 3, no. 1 (1972): 5-13.</w:t>
      </w:r>
      <w:r w:rsidR="00AA2A48" w:rsidRPr="00DA6BE4">
        <w:rPr>
          <w:rFonts w:ascii="Times New Roman" w:hAnsi="Times New Roman" w:cs="Times New Roman"/>
        </w:rPr>
        <w:fldChar w:fldCharType="end"/>
      </w:r>
    </w:p>
  </w:footnote>
  <w:footnote w:id="36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&lt;EndNote&gt;&lt;Cite&gt;&lt;Author&gt;MacIntyre&lt;/Author&gt;&lt;Year&gt;1971&lt;/Year&gt;&lt;RecNum&gt;113&lt;/RecNum&gt;&lt;Pages&gt;278&lt;/Pages&gt;&lt;DisplayText&gt;MacIntyre, &amp;quot;Is a Science of Comparative Politics Possible?,&amp;quot; 278.&lt;/DisplayText&gt;&lt;record&gt;&lt;rec-number&gt;113&lt;/rec-number&gt;&lt;foreign-keys&gt;&lt;key app="EN" db-id="vxze0a2pwrt959ep2afxdw5cat595wt9sv95" timestamp="1460655517"&gt;113&lt;/key&gt;&lt;/foreign-keys&gt;&lt;ref-type name="Book Section"&gt;5&lt;/ref-type&gt;&lt;contributors&gt;&lt;authors&gt;&lt;author&gt;MacIntyre, Alasdair&lt;/author&gt;&lt;/authors&gt;&lt;secondary-authors&gt;&lt;author&gt;MacIntyre, Alasdair&lt;/author&gt;&lt;/secondary-authors&gt;&lt;/contributors&gt;&lt;titles&gt;&lt;title&gt;Is a science of comparative politics possible?&lt;/title&gt;&lt;secondary-title&gt;Against the Self-Images of the Age &lt;/secondary-title&gt;&lt;/titles&gt;&lt;pages&gt;260-279&lt;/pages&gt;&lt;dates&gt;&lt;year&gt;1971&lt;/year&gt;&lt;/dates&gt;&lt;pub-location&gt;New York&lt;/pub-location&gt;&lt;publisher&gt;Schocken Books&lt;/publisher&gt;&lt;urls&gt;&lt;/urls&gt;&lt;/record&gt;&lt;/Cite&gt;&lt;/EndNote&gt;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"Is a Science of Comparative Politics Possible?," 278.</w:t>
      </w:r>
      <w:r w:rsidR="00AA2A48" w:rsidRPr="00DA6BE4">
        <w:rPr>
          <w:rFonts w:ascii="Times New Roman" w:hAnsi="Times New Roman" w:cs="Times New Roman"/>
        </w:rPr>
        <w:fldChar w:fldCharType="end"/>
      </w:r>
    </w:p>
  </w:footnote>
  <w:footnote w:id="36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AuthorYear="1"&gt;&lt;Author&gt;MacIntyre&lt;/Author&gt;&lt;Year&gt;2006&lt;/Year&gt;&lt;RecNum&gt;99&lt;/RecNum&gt;&lt;Pages&gt;213-214&lt;/Pages&gt;&lt;DisplayText&gt;MacIntyre, &amp;quot;Toleration and the Goods of Conflict,&amp;quot; 213-214.&lt;/DisplayText&gt;&lt;record&gt;&lt;rec-number&gt;99&lt;/rec-number&gt;&lt;foreign-keys&gt;&lt;key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"Toleration and the Goods of Conflict," 213-214.</w:t>
      </w:r>
      <w:r w:rsidR="00AA2A48" w:rsidRPr="00DA6BE4">
        <w:rPr>
          <w:rFonts w:ascii="Times New Roman" w:hAnsi="Times New Roman" w:cs="Times New Roman"/>
        </w:rPr>
        <w:fldChar w:fldCharType="end"/>
      </w:r>
    </w:p>
  </w:footnote>
  <w:footnote w:id="367">
    <w:p w:rsidR="00D810CC" w:rsidRPr="00DA6BE4" w:rsidRDefault="00D810CC" w:rsidP="00F600EB">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&lt;EndNote&gt;&lt;Cite&gt;&lt;Author&gt;West&lt;/Author&gt;&lt;Year&gt;2000&lt;/Year&gt;&lt;RecNum&gt;88&lt;/RecNum&gt;&lt;Pages&gt;29-45&lt;/Pages&gt;&lt;DisplayText&gt;J. L. A. West, &amp;quot;Impartiality and Conceptions of the Good: Brian Barry or Alasdair Macintyre?,&amp;quot; &lt;style face="italic"&gt;The Philosophical Forum&lt;/style&gt; 31, no. 1 (2000): 29-45.&lt;/DisplayText&gt;&lt;record&gt;&lt;rec-number&gt;88&lt;/rec-number&gt;&lt;foreign-keys&gt;&lt;key app="EN" db-id="vxze0a2pwrt959ep2afxdw5cat595wt9sv95" timestamp="1444053659"&gt;88&lt;/key&gt;&lt;/foreign-keys&gt;&lt;ref-type name="Journal Article"&gt;17&lt;/ref-type&gt;&lt;contributors&gt;&lt;authors&gt;&lt;author&gt;West, J. L. A.&lt;/author&gt;&lt;/authors&gt;&lt;/contributors&gt;&lt;titles&gt;&lt;title&gt;Impartiality and Conceptions of the Good: Brian Barry or Alasdair Macintyre?&lt;/title&gt;&lt;secondary-title&gt;The Philosophical Forum&lt;/secondary-title&gt;&lt;/titles&gt;&lt;periodical&gt;&lt;full-title&gt;The Philosophical Forum&lt;/full-title&gt;&lt;/periodical&gt;&lt;pages&gt;29-45&lt;/pages&gt;&lt;volume&gt;31&lt;/volume&gt;&lt;number&gt;1&lt;/number&gt;&lt;dates&gt;&lt;year&gt;2000&lt;/year&gt;&lt;/dates&gt;&lt;publisher&gt;Blackwell Publishers Ltd.&lt;/publisher&gt;&lt;isbn&gt;1467-9191&lt;/isbn&gt;&lt;urls&gt;&lt;related-urls&gt;&lt;url&gt;http://dx.doi.org/10.1111/0031-806X.00026&lt;/url&gt;&lt;/related-urls&gt;&lt;/urls&gt;&lt;electronic-resource-num&gt;10.1111/0031-806X.00026&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 L. A. West, "Impartiality and Conceptions of the Good: Brian Barry or Alasdair Macintyre?," </w:t>
      </w:r>
      <w:r w:rsidRPr="00DA6BE4">
        <w:rPr>
          <w:rFonts w:ascii="Times New Roman" w:hAnsi="Times New Roman" w:cs="Times New Roman"/>
          <w:i/>
          <w:noProof/>
        </w:rPr>
        <w:t>The Philosophical Forum</w:t>
      </w:r>
      <w:r w:rsidRPr="00DA6BE4">
        <w:rPr>
          <w:rFonts w:ascii="Times New Roman" w:hAnsi="Times New Roman" w:cs="Times New Roman"/>
          <w:noProof/>
        </w:rPr>
        <w:t xml:space="preserve"> 31, no. 1 (2000): 29-45.</w:t>
      </w:r>
      <w:r w:rsidR="00AA2A48" w:rsidRPr="00DA6BE4">
        <w:rPr>
          <w:rFonts w:ascii="Times New Roman" w:hAnsi="Times New Roman" w:cs="Times New Roman"/>
        </w:rPr>
        <w:fldChar w:fldCharType="end"/>
      </w:r>
    </w:p>
  </w:footnote>
  <w:footnote w:id="36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AuthorYear="1"&gt;&lt;Author&gt;MacIntyre&lt;/Author&gt;&lt;Year&gt;1984&lt;/Year&gt;&lt;RecNum&gt;48&lt;/RecNum&gt;&lt;Pages&gt;263&lt;/Pages&gt;&lt;DisplayText&gt;MacIntyre, &lt;style face="italic"&gt;After Virtue&lt;/style&gt;, 263.&lt;/DisplayText&gt;&lt;record&gt;&lt;rec-number&gt;48&lt;/rec-number&gt;&lt;foreign-keys&gt;&lt;key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After Virtue</w:t>
      </w:r>
      <w:r w:rsidRPr="00DA6BE4">
        <w:rPr>
          <w:rFonts w:ascii="Times New Roman" w:hAnsi="Times New Roman" w:cs="Times New Roman"/>
          <w:noProof/>
        </w:rPr>
        <w:t>, 263.</w:t>
      </w:r>
      <w:r w:rsidR="00AA2A48" w:rsidRPr="00DA6BE4">
        <w:rPr>
          <w:rFonts w:ascii="Times New Roman" w:hAnsi="Times New Roman" w:cs="Times New Roman"/>
        </w:rPr>
        <w:fldChar w:fldCharType="end"/>
      </w:r>
    </w:p>
  </w:footnote>
  <w:footnote w:id="36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Pr>
          <w:rFonts w:ascii="Times New Roman" w:hAnsi="Times New Roman" w:cs="Times New Roman"/>
        </w:rPr>
        <w:t xml:space="preserve">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&lt;EndNote&gt;&lt;Cite&gt;&lt;Author&gt;MacIntyre&lt;/Author&gt;&lt;Year&gt;1972&lt;/Year&gt;&lt;RecNum&gt;70&lt;/RecNum&gt;&lt;DisplayText&gt;MacIntyre, &amp;quot;Predictability and Explanation in the Social Sciences.&amp;quot;&lt;/DisplayText&gt;&lt;record&gt;&lt;rec-number&gt;70&lt;/rec-number&gt;&lt;foreign-keys&gt;&lt;key app="EN" db-id="vxze0a2pwrt959ep2afxdw5cat595wt9sv95" timestamp="1443959449"&gt;70&lt;/key&gt;&lt;/foreign-keys&gt;&lt;ref-type name="Journal Article"&gt;17&lt;/ref-type&gt;&lt;contributors&gt;&lt;authors&gt;&lt;author&gt;MacIntyre, Alasdair&lt;/author&gt;&lt;/authors&gt;&lt;/contributors&gt;&lt;titles&gt;&lt;title&gt;Predictability and Explanation in the Social Sciences&lt;/title&gt;&lt;secondary-title&gt;Philosophic Exchange&lt;/secondary-title&gt;&lt;/titles&gt;&lt;periodical&gt;&lt;full-title&gt;Philosophic Exchange&lt;/full-title&gt;&lt;/periodical&gt;&lt;pages&gt;5-13&lt;/pages&gt;&lt;volume&gt;3&lt;/volume&gt;&lt;number&gt;1&lt;/number&gt;&lt;dates&gt;&lt;year&gt;1972&lt;/year&gt;&lt;/dates&gt;&lt;urls&gt;&lt;/urls&gt;&lt;/record&gt;&lt;/Cite&gt;&lt;/EndNote&gt;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MacIntyre, "Predictability and Explanation in the Social Sciences."</w:t>
      </w:r>
      <w:r w:rsidR="00AA2A48">
        <w:rPr>
          <w:rFonts w:ascii="Times New Roman" w:hAnsi="Times New Roman" w:cs="Times New Roman"/>
        </w:rPr>
        <w:fldChar w:fldCharType="end"/>
      </w:r>
      <w:r>
        <w:rPr>
          <w:rFonts w:ascii="Times New Roman" w:hAnsi="Times New Roman" w:cs="Times New Roman"/>
        </w:rPr>
        <w:t xml:space="preserve"> Also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&lt;EndNote&gt;&lt;Cite&gt;&lt;Author&gt;MacIntyre&lt;/Author&gt;&lt;Year&gt;1971&lt;/Year&gt;&lt;RecNum&gt;113&lt;/RecNum&gt;&lt;DisplayText&gt;MacIntyre, &amp;quot;Is a Science of Comparative Politics Possible?.&amp;quot;&lt;/DisplayText&gt;&lt;record&gt;&lt;rec-number&gt;113&lt;/rec-number&gt;&lt;foreign-keys&gt;&lt;key app="EN" db-id="vxze0a2pwrt959ep2afxdw5cat595wt9sv95" timestamp="1460655517"&gt;113&lt;/key&gt;&lt;/foreign-keys&gt;&lt;ref-type name="Book Section"&gt;5&lt;/ref-type&gt;&lt;contributors&gt;&lt;authors&gt;&lt;author&gt;MacIntyre, Alasdair&lt;/author&gt;&lt;/authors&gt;&lt;secondary-authors&gt;&lt;author&gt;MacIntyre, Alasdair&lt;/author&gt;&lt;/secondary-authors&gt;&lt;/contributors&gt;&lt;titles&gt;&lt;title&gt;Is a science of comparative politics possible?&lt;/title&gt;&lt;secondary-title&gt;Against the Self-Images of the Age &lt;/secondary-title&gt;&lt;/titles&gt;&lt;pages&gt;260-279&lt;/pages&gt;&lt;dates&gt;&lt;year&gt;1971&lt;/year&gt;&lt;/dates&gt;&lt;pub-location&gt;New York&lt;/pub-location&gt;&lt;publisher&gt;Schocken Books&lt;/publisher&gt;&lt;urls&gt;&lt;/urls&gt;&lt;/record&gt;&lt;/Cite&gt;&lt;/EndNote&gt;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MacIntyre, "Is a Science of Comparative Politics Possible?."</w:t>
      </w:r>
      <w:r w:rsidR="00AA2A48">
        <w:rPr>
          <w:rFonts w:ascii="Times New Roman" w:hAnsi="Times New Roman" w:cs="Times New Roman"/>
        </w:rPr>
        <w:fldChar w:fldCharType="end"/>
      </w:r>
      <w:r>
        <w:rPr>
          <w:rFonts w:ascii="Times New Roman" w:hAnsi="Times New Roman" w:cs="Times New Roman"/>
        </w:rPr>
        <w:t xml:space="preserve"> Also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&lt;EndNote&gt;&lt;Cite&gt;&lt;Author&gt;Macintyre&lt;/Author&gt;&lt;Year&gt;1976&lt;/Year&gt;&lt;RecNum&gt;84&lt;/RecNum&gt;&lt;Pages&gt;137-158&lt;/Pages&gt;&lt;DisplayText&gt;Alasdair Macintyre, &amp;quot;Causality and History,&amp;quot; in &lt;style face="italic"&gt;Essays on Explanation and Understanding&lt;/style&gt;, ed. Juha Manninen and Raimo Tuomela, &lt;style face="italic"&gt;Synthese Library&lt;/style&gt; (Springer Netherlands, 1976), 137-158.&lt;/DisplayText&gt;&lt;record&gt;&lt;rec-number&gt;84&lt;/rec-number&gt;&lt;foreign-keys&gt;&lt;key app="EN" db-id="vxze0a2pwrt959ep2afxdw5cat595wt9sv95" timestamp="1444053127"&gt;84&lt;/key&gt;&lt;/foreign-keys&gt;&lt;ref-type name="Book Section"&gt;5&lt;/ref-type&gt;&lt;contributors&gt;&lt;authors&gt;&lt;author&gt;Macintyre, Alasdair&lt;/author&gt;&lt;/authors&gt;&lt;secondary-authors&gt;&lt;author&gt;Manninen, Juha&lt;/author&gt;&lt;author&gt;Tuomela, Raimo&lt;/author&gt;&lt;/secondary-authors&gt;&lt;/contributors&gt;&lt;titles&gt;&lt;title&gt;Causality and History&lt;/title&gt;&lt;secondary-title&gt;Essays on Explanation and Understanding&lt;/secondary-title&gt;&lt;tertiary-title&gt;Synthese Library&lt;/tertiary-title&gt;&lt;/titles&gt;&lt;pages&gt;137-158&lt;/pages&gt;&lt;volume&gt;72&lt;/volume&gt;&lt;section&gt;8&lt;/section&gt;&lt;dates&gt;&lt;year&gt;1976&lt;/year&gt;&lt;pub-dates&gt;&lt;date&gt;1976/01/01&lt;/date&gt;&lt;/pub-dates&gt;&lt;/dates&gt;&lt;publisher&gt;Springer Netherlands&lt;/publisher&gt;&lt;isbn&gt;978-94-010-1825-8&lt;/isbn&gt;&lt;urls&gt;&lt;related-urls&gt;&lt;url&gt;http://dx.doi.org/10.1007/978-94-010-1823-4_8&lt;/url&gt;&lt;/related-urls&gt;&lt;/urls&gt;&lt;electronic-resource-num&gt;10.1007/978-94-010-1823-4_8&lt;/electronic-resource-num&gt;&lt;language&gt;English&lt;/language&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Alasdair Macintyre, "Causality and History," in </w:t>
      </w:r>
      <w:r w:rsidRPr="00F24628">
        <w:rPr>
          <w:rFonts w:ascii="Times New Roman" w:hAnsi="Times New Roman" w:cs="Times New Roman"/>
          <w:i/>
          <w:noProof/>
        </w:rPr>
        <w:t>Essays on Explanation and Understanding</w:t>
      </w:r>
      <w:r>
        <w:rPr>
          <w:rFonts w:ascii="Times New Roman" w:hAnsi="Times New Roman" w:cs="Times New Roman"/>
          <w:noProof/>
        </w:rPr>
        <w:t xml:space="preserve">, ed. Juha Manninen and Raimo Tuomela, </w:t>
      </w:r>
      <w:r w:rsidRPr="00F24628">
        <w:rPr>
          <w:rFonts w:ascii="Times New Roman" w:hAnsi="Times New Roman" w:cs="Times New Roman"/>
          <w:i/>
          <w:noProof/>
        </w:rPr>
        <w:t>Synthese Library</w:t>
      </w:r>
      <w:r>
        <w:rPr>
          <w:rFonts w:ascii="Times New Roman" w:hAnsi="Times New Roman" w:cs="Times New Roman"/>
          <w:noProof/>
        </w:rPr>
        <w:t xml:space="preserve"> (Springer Netherlands, 1976), 137-158.</w:t>
      </w:r>
      <w:r w:rsidR="00AA2A48">
        <w:rPr>
          <w:rFonts w:ascii="Times New Roman" w:hAnsi="Times New Roman" w:cs="Times New Roman"/>
        </w:rPr>
        <w:fldChar w:fldCharType="end"/>
      </w:r>
    </w:p>
  </w:footnote>
  <w:footnote w:id="370">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the Introduction and Chapter One of this thesis, I considered in detail why MacIntyre’s Thomism appears to be inconsistent with his contextualist-historicist commitments.</w:t>
      </w:r>
    </w:p>
  </w:footnote>
  <w:footnote w:id="37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&lt;EndNote&gt;&lt;Cite&gt;&lt;Author&gt;Galston&lt;/Author&gt;&lt;Year&gt;2010&lt;/Year&gt;&lt;RecNum&gt;3&lt;/RecNum&gt;&lt;DisplayText&gt;Galston, &amp;quot;Realism in Political Theory.&amp;quot;&lt;/DisplayText&gt;&lt;record&gt;&lt;rec-number&gt;3&lt;/rec-number&gt;&lt;foreign-keys&gt;&lt;key app="EN" db-id="vxze0a2pwrt959ep2afxdw5cat595wt9sv95" timestamp="1443689750"&gt;3&lt;/key&gt;&lt;/foreign-keys&gt;&lt;ref-type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Theory&lt;/full-title&gt;&lt;/periodical&gt;&lt;pages&gt;385-411&lt;/pages&gt;&lt;volume&gt;9&lt;/volume&gt;&lt;number&gt;4&lt;/number&gt;&lt;dates&gt;&lt;year&gt;2010&lt;/year&gt;&lt;/dates&gt;&lt;urls&gt;&lt;/urls&gt;&lt;/record&gt;&lt;/Cite&gt;&lt;/EndNote&gt;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Galston, "Realism in Political Theory."</w:t>
      </w:r>
      <w:r w:rsidR="00AA2A48" w:rsidRPr="00DA6BE4">
        <w:rPr>
          <w:rFonts w:ascii="Times New Roman" w:hAnsi="Times New Roman" w:cs="Times New Roman"/>
        </w:rPr>
        <w:fldChar w:fldCharType="end"/>
      </w:r>
    </w:p>
  </w:footnote>
  <w:footnote w:id="37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&lt;EndNote&gt;&lt;Cite&gt;&lt;Author&gt;Aristotle&lt;/Author&gt;&lt;Year&gt;1984&lt;/Year&gt;&lt;RecNum&gt;146&lt;/RecNum&gt;&lt;Pages&gt;Politics`, 1279a17-1279b10&lt;/Pages&gt;&lt;DisplayText&gt;Aristotle, &lt;style face="italic"&gt;The Complete Works of Aristotle&lt;/style&gt;, 6th ed., 2 vols. (Princeton: Princeton University Press, 1984), Politics, 1279a1217-1279b1210.&lt;/DisplayText&gt;&lt;record&gt;&lt;rec-number&gt;146&lt;/rec-number&gt;&lt;foreign-keys&gt;&lt;key app="EN" db-id="vxze0a2pwrt959ep2afxdw5cat595wt9sv95" timestamp="1520877264"&gt;146&lt;/key&gt;&lt;/foreign-keys&gt;&lt;ref-type name="Book"&gt;6&lt;/ref-type&gt;&lt;contributors&gt;&lt;authors&gt;&lt;author&gt;Aristotle&lt;/author&gt;&lt;/authors&gt;&lt;tertiary-authors&gt;&lt;author&gt;Barnes, Jonathan&lt;/author&gt;&lt;/tertiary-authors&gt;&lt;/contributors&gt;&lt;titles&gt;&lt;title&gt;The Complete Works of Aristotle&lt;/title&gt;&lt;/titles&gt;&lt;pages&gt;2487&lt;/pages&gt;&lt;num-vols&gt;2&lt;/num-vols&gt;&lt;edition&gt;6th&lt;/edition&gt;&lt;dates&gt;&lt;year&gt;1984&lt;/year&gt;&lt;/dates&gt;&lt;pub-location&gt;Princeton&lt;/pub-location&gt;&lt;publisher&gt;Princeton University Press&lt;/publisher&gt;&lt;urls&gt;&lt;/urls&gt;&lt;/record&gt;&lt;/Cite&gt;&lt;/EndNote&gt;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Aristotle, </w:t>
      </w:r>
      <w:r w:rsidRPr="00D10082">
        <w:rPr>
          <w:rFonts w:ascii="Times New Roman" w:hAnsi="Times New Roman" w:cs="Times New Roman"/>
          <w:i/>
          <w:noProof/>
        </w:rPr>
        <w:t>The Complete Works of Aristotle</w:t>
      </w:r>
      <w:r>
        <w:rPr>
          <w:rFonts w:ascii="Times New Roman" w:hAnsi="Times New Roman" w:cs="Times New Roman"/>
          <w:noProof/>
        </w:rPr>
        <w:t>, 6th ed., 2 vols. (Princeton: Princeton University Press, 1984), Politics, 1279a1217-1279b1210.</w:t>
      </w:r>
      <w:r w:rsidR="00AA2A48" w:rsidRPr="00DA6BE4">
        <w:rPr>
          <w:rFonts w:ascii="Times New Roman" w:hAnsi="Times New Roman" w:cs="Times New Roman"/>
        </w:rPr>
        <w:fldChar w:fldCharType="end"/>
      </w:r>
    </w:p>
  </w:footnote>
  <w:footnote w:id="37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&lt;EndNote&gt;&lt;Cite&gt;&lt;Author&gt;Nichols&lt;/Author&gt;&lt;Year&gt;1992&lt;/Year&gt;&lt;RecNum&gt;145&lt;/RecNum&gt;&lt;DisplayText&gt;Mary Nichols, &lt;style face="italic"&gt;Citizens and Statesmen: A Study of Aristotle’s Politics&lt;/style&gt; (Savage, MD: Rowman and Littlefield Publishers, 1992).&lt;/DisplayText&gt;&lt;record&gt;&lt;rec-number&gt;145&lt;/rec-number&gt;&lt;foreign-keys&gt;&lt;key app="EN" db-id="vxze0a2pwrt959ep2afxdw5cat595wt9sv95" timestamp="1520876949"&gt;145&lt;/key&gt;&lt;/foreign-keys&gt;&lt;ref-type name="Book"&gt;6&lt;/ref-type&gt;&lt;contributors&gt;&lt;authors&gt;&lt;author&gt;Nichols, Mary&lt;/author&gt;&lt;/authors&gt;&lt;/contributors&gt;&lt;titles&gt;&lt;title&gt;Citizens and Statesmen: A Study of Aristotle’s Politics&lt;/title&gt;&lt;/titles&gt;&lt;dates&gt;&lt;year&gt;1992&lt;/year&gt;&lt;/dates&gt;&lt;pub-location&gt;Savage, MD&lt;/pub-location&gt;&lt;publisher&gt;Rowman and Littlefield Publishers&lt;/publisher&gt;&lt;urls&gt;&lt;/urls&gt;&lt;/record&gt;&lt;/Cite&gt;&lt;/EndNote&gt;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Mary Nichols, </w:t>
      </w:r>
      <w:r w:rsidRPr="00DA6BE4">
        <w:rPr>
          <w:rFonts w:ascii="Times New Roman" w:hAnsi="Times New Roman" w:cs="Times New Roman"/>
          <w:i/>
          <w:noProof/>
        </w:rPr>
        <w:t>Citizens and Statesmen: A Study of Aristotle’s Politics</w:t>
      </w:r>
      <w:r w:rsidRPr="00DA6BE4">
        <w:rPr>
          <w:rFonts w:ascii="Times New Roman" w:hAnsi="Times New Roman" w:cs="Times New Roman"/>
          <w:noProof/>
        </w:rPr>
        <w:t xml:space="preserve"> (Savage, MD: Rowman and Littlefield Publishers, 1992).</w:t>
      </w:r>
      <w:r w:rsidR="00AA2A48" w:rsidRPr="00DA6BE4">
        <w:rPr>
          <w:rFonts w:ascii="Times New Roman" w:hAnsi="Times New Roman" w:cs="Times New Roman"/>
        </w:rPr>
        <w:fldChar w:fldCharType="end"/>
      </w:r>
    </w:p>
  </w:footnote>
  <w:footnote w:id="374">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am using Thomas </w:t>
      </w:r>
      <w:proofErr w:type="spellStart"/>
      <w:r w:rsidRPr="00DA6BE4">
        <w:rPr>
          <w:rFonts w:ascii="Times New Roman" w:hAnsi="Times New Roman" w:cs="Times New Roman"/>
        </w:rPr>
        <w:t>Hibbs</w:t>
      </w:r>
      <w:proofErr w:type="spellEnd"/>
      <w:r w:rsidRPr="00DA6BE4">
        <w:rPr>
          <w:rFonts w:ascii="Times New Roman" w:hAnsi="Times New Roman" w:cs="Times New Roman"/>
        </w:rPr>
        <w:t>’ account of Aquinas’ politics.</w:t>
      </w:r>
    </w:p>
  </w:footnote>
  <w:footnote w:id="37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&lt;EndNote&gt;&lt;Cite&gt;&lt;Author&gt;Hibbs&lt;/Author&gt;&lt;Year&gt;2004&lt;/Year&gt;&lt;RecNum&gt;18&lt;/RecNum&gt;&lt;Pages&gt;366&lt;/Pages&gt;&lt;DisplayText&gt;Thomas S. Hibbs, &amp;quot;Macintyre, Aquinas, and Politics,&amp;quot; &lt;style face="italic"&gt;The Review of Politics&lt;/style&gt; 66, no. 3 (2004): 366.&lt;/DisplayText&gt;&lt;record&gt;&lt;rec-number&gt;18&lt;/rec-number&gt;&lt;foreign-keys&gt;&lt;key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Thomas S. Hibbs, "Macintyre, Aquinas, and Politics," </w:t>
      </w:r>
      <w:r w:rsidRPr="00DA6BE4">
        <w:rPr>
          <w:rFonts w:ascii="Times New Roman" w:hAnsi="Times New Roman" w:cs="Times New Roman"/>
          <w:i/>
          <w:noProof/>
        </w:rPr>
        <w:t>The Review of Politics</w:t>
      </w:r>
      <w:r w:rsidRPr="00DA6BE4">
        <w:rPr>
          <w:rFonts w:ascii="Times New Roman" w:hAnsi="Times New Roman" w:cs="Times New Roman"/>
          <w:noProof/>
        </w:rPr>
        <w:t xml:space="preserve"> 66, no. 3 (2004): 366.</w:t>
      </w:r>
      <w:r w:rsidR="00AA2A48" w:rsidRPr="00DA6BE4">
        <w:rPr>
          <w:rFonts w:ascii="Times New Roman" w:hAnsi="Times New Roman" w:cs="Times New Roman"/>
        </w:rPr>
        <w:fldChar w:fldCharType="end"/>
      </w:r>
    </w:p>
  </w:footnote>
  <w:footnote w:id="37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&lt;EndNote&gt;&lt;Cite&gt;&lt;Author&gt;Hibbs&lt;/Author&gt;&lt;Year&gt;2004&lt;/Year&gt;&lt;RecNum&gt;18&lt;/RecNum&gt;&lt;DisplayText&gt;Ibid.&lt;/DisplayText&gt;&lt;record&gt;&lt;rec-number&gt;18&lt;/rec-number&gt;&lt;foreign-keys&gt;&lt;key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7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&lt;EndNote&gt;&lt;Cite&gt;&lt;Author&gt;Hibbs&lt;/Author&gt;&lt;Year&gt;2004&lt;/Year&gt;&lt;RecNum&gt;18&lt;/RecNum&gt;&lt;Pages&gt;378&lt;/Pages&gt;&lt;DisplayText&gt;Ibid., 378.&lt;/DisplayText&gt;&lt;record&gt;&lt;rec-number&gt;18&lt;/rec-number&gt;&lt;foreign-keys&gt;&lt;key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378.</w:t>
      </w:r>
      <w:r w:rsidR="00AA2A48" w:rsidRPr="00DA6BE4">
        <w:rPr>
          <w:rFonts w:ascii="Times New Roman" w:hAnsi="Times New Roman" w:cs="Times New Roman"/>
        </w:rPr>
        <w:fldChar w:fldCharType="end"/>
      </w:r>
    </w:p>
  </w:footnote>
  <w:footnote w:id="37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&lt;EndNote&gt;&lt;Cite&gt;&lt;Author&gt;Hibbs&lt;/Author&gt;&lt;Year&gt;2004&lt;/Year&gt;&lt;RecNum&gt;18&lt;/RecNum&gt;&lt;Pages&gt;379&lt;/Pages&gt;&lt;DisplayText&gt;Ibid., 379.&lt;/DisplayText&gt;&lt;record&gt;&lt;rec-number&gt;18&lt;/rec-number&gt;&lt;foreign-keys&gt;&lt;key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379.</w:t>
      </w:r>
      <w:r w:rsidR="00AA2A48" w:rsidRPr="00DA6BE4">
        <w:rPr>
          <w:rFonts w:ascii="Times New Roman" w:hAnsi="Times New Roman" w:cs="Times New Roman"/>
        </w:rPr>
        <w:fldChar w:fldCharType="end"/>
      </w:r>
    </w:p>
  </w:footnote>
  <w:footnote w:id="37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&lt;EndNote&gt;&lt;Cite&gt;&lt;Author&gt;Hibbs&lt;/Author&gt;&lt;Year&gt;2004&lt;/Year&gt;&lt;RecNum&gt;18&lt;/RecNum&gt;&lt;DisplayText&gt;Ibid.&lt;/DisplayText&gt;&lt;record&gt;&lt;rec-number&gt;18&lt;/rec-number&gt;&lt;foreign-keys&gt;&lt;key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38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&lt;EndNote&gt;&lt;Cite&gt;&lt;Author&gt;Osborne Jr&lt;/Author&gt;&lt;Year&gt;2008&lt;/Year&gt;&lt;RecNum&gt;58&lt;/RecNum&gt;&lt;Pages&gt;382-397&lt;/Pages&gt;&lt;DisplayText&gt;Thomas M. Osborne Jr, &amp;quot;Macintyre, Thomism, and the Contemporary Common Good,&amp;quot; &lt;style face="italic"&gt;Analyse &amp;amp; Kritik&lt;/style&gt; 2008, no. 1 (2008): 382-397.&lt;/DisplayText&gt;&lt;record&gt;&lt;rec-number&gt;58&lt;/rec-number&gt;&lt;foreign-keys&gt;&lt;key app="EN" db-id="vxze0a2pwrt959ep2afxdw5cat595wt9sv95" timestamp="1443700030"&gt;58&lt;/key&gt;&lt;/foreign-keys&gt;&lt;ref-type name="Journal Article"&gt;17&lt;/ref-type&gt;&lt;contributors&gt;&lt;authors&gt;&lt;author&gt;Osborne Jr, Thomas M.&lt;/author&gt;&lt;/authors&gt;&lt;/contributors&gt;&lt;titles&gt;&lt;title&gt;MacIntyre, Thomism, and the Contemporary Common Good&lt;/title&gt;&lt;secondary-title&gt;Analyse &amp;amp; Kritik&lt;/secondary-title&gt;&lt;/titles&gt;&lt;periodical&gt;&lt;full-title&gt;Analyse &amp;amp; Kritik&lt;/full-title&gt;&lt;/periodical&gt;&lt;pages&gt;382-397&lt;/pages&gt;&lt;volume&gt;2008&lt;/volume&gt;&lt;number&gt;1&lt;/number&gt;&lt;dates&gt;&lt;year&gt;2008&lt;/year&gt;&lt;/dates&gt;&lt;urls&gt;&lt;/urls&gt;&lt;/record&gt;&lt;/Cite&gt;&lt;/EndNote&gt;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Thomas M. Osborne Jr, "Macintyre, Thomism, and the Contemporary Common Good," </w:t>
      </w:r>
      <w:r w:rsidRPr="00B908E1">
        <w:rPr>
          <w:rFonts w:ascii="Times New Roman" w:hAnsi="Times New Roman" w:cs="Times New Roman"/>
          <w:i/>
          <w:noProof/>
        </w:rPr>
        <w:t>Analyse &amp; Kritik</w:t>
      </w:r>
      <w:r>
        <w:rPr>
          <w:rFonts w:ascii="Times New Roman" w:hAnsi="Times New Roman" w:cs="Times New Roman"/>
          <w:noProof/>
        </w:rPr>
        <w:t xml:space="preserve"> 2008, no. 1 (2008): 382-397.</w:t>
      </w:r>
      <w:r w:rsidR="00AA2A48" w:rsidRPr="00DA6BE4">
        <w:rPr>
          <w:rFonts w:ascii="Times New Roman" w:hAnsi="Times New Roman" w:cs="Times New Roman"/>
        </w:rPr>
        <w:fldChar w:fldCharType="end"/>
      </w:r>
    </w:p>
  </w:footnote>
  <w:footnote w:id="38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&lt;EndNote&gt;&lt;Cite&gt;&lt;Author&gt;Locke&lt;/Author&gt;&lt;Year&gt;1988&lt;/Year&gt;&lt;RecNum&gt;179&lt;/RecNum&gt;&lt;DisplayText&gt;John Locke, &lt;style face="italic"&gt;Two Treatises of Government&lt;/style&gt;, ed. Peter Laslett (Cambridge: Cambridge University Press, 1988).&lt;/DisplayText&gt;&lt;record&gt;&lt;rec-number&gt;179&lt;/rec-number&gt;&lt;foreign-keys&gt;&lt;key app="EN" db-id="vxze0a2pwrt959ep2afxdw5cat595wt9sv95" timestamp="1529922504"&gt;179&lt;/key&gt;&lt;/foreign-keys&gt;&lt;ref-type name="Book"&gt;6&lt;/ref-type&gt;&lt;contributors&gt;&lt;authors&gt;&lt;author&gt;John Locke&lt;/author&gt;&lt;/authors&gt;&lt;secondary-authors&gt;&lt;author&gt;Peter Laslett&lt;/author&gt;&lt;/secondary-authors&gt;&lt;/contributors&gt;&lt;titles&gt;&lt;title&gt;Two Treatises of Government&lt;/title&gt;&lt;/titles&gt;&lt;dates&gt;&lt;year&gt;1988&lt;/year&gt;&lt;/dates&gt;&lt;pub-location&gt;Cambridge&lt;/pub-location&gt;&lt;publisher&gt;Cambridge University Press&lt;/publisher&gt;&lt;urls&gt;&lt;/urls&gt;&lt;/record&gt;&lt;/Cite&gt;&lt;/EndNote&gt;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John Locke, </w:t>
      </w:r>
      <w:r w:rsidRPr="00B908E1">
        <w:rPr>
          <w:rFonts w:ascii="Times New Roman" w:hAnsi="Times New Roman" w:cs="Times New Roman"/>
          <w:i/>
          <w:noProof/>
        </w:rPr>
        <w:t>Two Treatises of Government</w:t>
      </w:r>
      <w:r>
        <w:rPr>
          <w:rFonts w:ascii="Times New Roman" w:hAnsi="Times New Roman" w:cs="Times New Roman"/>
          <w:noProof/>
        </w:rPr>
        <w:t>, ed. Peter Laslett (Cambridge: Cambridge University Press, 1988).</w:t>
      </w:r>
      <w:r w:rsidR="00AA2A48">
        <w:rPr>
          <w:rFonts w:ascii="Times New Roman" w:hAnsi="Times New Roman" w:cs="Times New Roman"/>
        </w:rPr>
        <w:fldChar w:fldCharType="end"/>
      </w:r>
    </w:p>
  </w:footnote>
  <w:footnote w:id="38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Aquinas adopts Aristotle’s view on possessing private property and being able to practically make use of it.</w:t>
      </w:r>
    </w:p>
  </w:footnote>
  <w:footnote w:id="38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&lt;EndNote&gt;&lt;Cite&gt;&lt;Author&gt;Aquinas&lt;/Author&gt;&lt;Year&gt;2002&lt;/Year&gt;&lt;RecNum&gt;147&lt;/RecNum&gt;&lt;Pages&gt;xxx&lt;/Pages&gt;&lt;DisplayText&gt;Thomas Aquinas, &lt;style face="italic"&gt;Aquinas: Political Writings by Thomas Aquinas&lt;/style&gt;, trans. R. W. Dyson, &lt;style face="italic"&gt;Cambridge Texts in the History of Political Thought&lt;/style&gt; (Cambridge: Cambridge University Press, 2002), xxx.&lt;/DisplayText&gt;&lt;record&gt;&lt;rec-number&gt;147&lt;/rec-number&gt;&lt;foreign-keys&gt;&lt;key app="EN" db-id="vxze0a2pwrt959ep2afxdw5cat595wt9sv95" timestamp="1520877854"&gt;147&lt;/key&gt;&lt;/foreign-keys&gt;&lt;ref-type name="Book"&gt;6&lt;/ref-type&gt;&lt;contributors&gt;&lt;authors&gt;&lt;author&gt;Aquinas, Thomas&lt;/author&gt;&lt;/authors&gt;&lt;subsidiary-authors&gt;&lt;author&gt;Dyson, R. W.&lt;/author&gt;&lt;/subsidiary-authors&gt;&lt;/contributors&gt;&lt;titles&gt;&lt;title&gt;Aquinas: Political Writings by Thomas Aquinas&lt;/title&gt;&lt;secondary-title&gt;Cambridge Texts in the History of Political Thought&lt;/secondary-title&gt;&lt;/titles&gt;&lt;dates&gt;&lt;year&gt;2002&lt;/year&gt;&lt;/dates&gt;&lt;pub-location&gt;Cambridge&lt;/pub-location&gt;&lt;publisher&gt;Cambridge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Thomas Aquinas, </w:t>
      </w:r>
      <w:r w:rsidRPr="00DA6BE4">
        <w:rPr>
          <w:rFonts w:ascii="Times New Roman" w:hAnsi="Times New Roman" w:cs="Times New Roman"/>
          <w:i/>
          <w:noProof/>
        </w:rPr>
        <w:t>Aquinas: Political Writings by Thomas Aquinas</w:t>
      </w:r>
      <w:r w:rsidRPr="00DA6BE4">
        <w:rPr>
          <w:rFonts w:ascii="Times New Roman" w:hAnsi="Times New Roman" w:cs="Times New Roman"/>
          <w:noProof/>
        </w:rPr>
        <w:t xml:space="preserve">, trans. R. W. Dyson, </w:t>
      </w:r>
      <w:r w:rsidRPr="00DA6BE4">
        <w:rPr>
          <w:rFonts w:ascii="Times New Roman" w:hAnsi="Times New Roman" w:cs="Times New Roman"/>
          <w:i/>
          <w:noProof/>
        </w:rPr>
        <w:t>Cambridge Texts in the History of Political Thought</w:t>
      </w:r>
      <w:r w:rsidRPr="00DA6BE4">
        <w:rPr>
          <w:rFonts w:ascii="Times New Roman" w:hAnsi="Times New Roman" w:cs="Times New Roman"/>
          <w:noProof/>
        </w:rPr>
        <w:t xml:space="preserve"> (Cambridge: Cambridge University Press, 2002), xxx.</w:t>
      </w:r>
      <w:r w:rsidR="00AA2A48" w:rsidRPr="00DA6BE4">
        <w:rPr>
          <w:rFonts w:ascii="Times New Roman" w:hAnsi="Times New Roman" w:cs="Times New Roman"/>
        </w:rPr>
        <w:fldChar w:fldCharType="end"/>
      </w:r>
    </w:p>
  </w:footnote>
  <w:footnote w:id="38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AuthorYear="1"&gt;&lt;Author&gt;Hibbs&lt;/Author&gt;&lt;Year&gt;2004&lt;/Year&gt;&lt;RecNum&gt;18&lt;/RecNum&gt;&lt;Pages&gt;379&lt;/Pages&gt;&lt;DisplayText&gt;Hibbs, &amp;quot;Macintyre, Aquinas, and Politics,&amp;quot; 379.&lt;/DisplayText&gt;&lt;record&gt;&lt;rec-number&gt;18&lt;/rec-number&gt;&lt;foreign-keys&gt;&lt;key app="EN" db-id="vxze0a2pwrt959ep2afxdw5cat595wt9sv95" timestamp="1443692232"&gt;18&lt;/key&gt;&lt;/foreign-keys&gt;&lt;ref-type name="Journal Article"&gt;17&lt;/ref-type&gt;&lt;contributors&gt;&lt;authors&gt;&lt;author&gt;Hibbs, Thomas S.&lt;/author&gt;&lt;/authors&gt;&lt;/contributors&gt;&lt;titles&gt;&lt;title&gt;MacIntyre, Aquinas, and Politics&lt;/title&gt;&lt;secondary-title&gt;The Review of Politics&lt;/secondary-title&gt;&lt;/titles&gt;&lt;periodical&gt;&lt;full-title&gt;The Review of Politics&lt;/full-title&gt;&lt;/periodical&gt;&lt;pages&gt;357-383&lt;/pages&gt;&lt;volume&gt;66&lt;/volume&gt;&lt;number&gt;3&lt;/number&gt;&lt;dates&gt;&lt;year&gt;2004&lt;/year&gt;&lt;/dates&gt;&lt;publisher&gt;Cambridge University Press for the University of Notre Dame du lac on behalf of Review of Politics&lt;/publisher&gt;&lt;isbn&gt;00346705&lt;/isbn&gt;&lt;urls&gt;&lt;related-urls&gt;&lt;url&gt;http://www.jstor.org/stable/4149187&lt;/url&gt;&lt;/related-urls&gt;&lt;/urls&gt;&lt;electronic-resource-num&gt;10.2307/4149187&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Hibbs, "Macintyre, Aquinas, and Politics," 379.</w:t>
      </w:r>
      <w:r w:rsidR="00AA2A48" w:rsidRPr="00DA6BE4">
        <w:rPr>
          <w:rFonts w:ascii="Times New Roman" w:hAnsi="Times New Roman" w:cs="Times New Roman"/>
        </w:rPr>
        <w:fldChar w:fldCharType="end"/>
      </w:r>
    </w:p>
  </w:footnote>
  <w:footnote w:id="38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AuthorYear="1"&gt;&lt;Author&gt;Aquinas&lt;/Author&gt;&lt;Year&gt;2002&lt;/Year&gt;&lt;RecNum&gt;147&lt;/RecNum&gt;&lt;Pages&gt;xxxi&lt;/Pages&gt;&lt;DisplayText&gt;Aquinas, &lt;style face="italic"&gt;Aquinas: Political Writings by Thomas Aquinas&lt;/style&gt;, xxxi.&lt;/DisplayText&gt;&lt;record&gt;&lt;rec-number&gt;147&lt;/rec-number&gt;&lt;foreign-keys&gt;&lt;key app="EN" db-id="vxze0a2pwrt959ep2afxdw5cat595wt9sv95" timestamp="1520877854"&gt;147&lt;/key&gt;&lt;/foreign-keys&gt;&lt;ref-type name="Book"&gt;6&lt;/ref-type&gt;&lt;contributors&gt;&lt;authors&gt;&lt;author&gt;Aquinas, Thomas&lt;/author&gt;&lt;/authors&gt;&lt;subsidiary-authors&gt;&lt;author&gt;Dyson, R. W.&lt;/author&gt;&lt;/subsidiary-authors&gt;&lt;/contributors&gt;&lt;titles&gt;&lt;title&gt;Aquinas: Political Writings by Thomas Aquinas&lt;/title&gt;&lt;secondary-title&gt;Cambridge Texts in the History of Political Thought&lt;/secondary-title&gt;&lt;/titles&gt;&lt;dates&gt;&lt;year&gt;2002&lt;/year&gt;&lt;/dates&gt;&lt;pub-location&gt;Cambridge&lt;/pub-location&gt;&lt;publisher&gt;Cambridge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Aquinas, </w:t>
      </w:r>
      <w:r w:rsidRPr="00DA6BE4">
        <w:rPr>
          <w:rFonts w:ascii="Times New Roman" w:hAnsi="Times New Roman" w:cs="Times New Roman"/>
          <w:i/>
          <w:noProof/>
        </w:rPr>
        <w:t>Aquinas: Political Writings by Thomas Aquinas</w:t>
      </w:r>
      <w:r w:rsidRPr="00DA6BE4">
        <w:rPr>
          <w:rFonts w:ascii="Times New Roman" w:hAnsi="Times New Roman" w:cs="Times New Roman"/>
          <w:noProof/>
        </w:rPr>
        <w:t>, xxxi.</w:t>
      </w:r>
      <w:r w:rsidR="00AA2A48" w:rsidRPr="00DA6BE4">
        <w:rPr>
          <w:rFonts w:ascii="Times New Roman" w:hAnsi="Times New Roman" w:cs="Times New Roman"/>
        </w:rPr>
        <w:fldChar w:fldCharType="end"/>
      </w:r>
    </w:p>
  </w:footnote>
  <w:footnote w:id="38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&lt;EndNote&gt;&lt;Cite&gt;&lt;Author&gt;MacIntyre&lt;/Author&gt;&lt;Year&gt;1999&lt;/Year&gt;&lt;RecNum&gt;45&lt;/RecNum&gt;&lt;Pages&gt;133&lt;/Pages&gt;&lt;DisplayText&gt;MacIntyre, &lt;style face="italic"&gt;Dependent Rational Animals : Why Human Beings Need the Virtues&lt;/style&gt;, 133.&lt;/DisplayText&gt;&lt;record&gt;&lt;rec-number&gt;45&lt;/rec-number&gt;&lt;foreign-keys&gt;&lt;key app="EN" db-id="vxze0a2pwrt959ep2afxdw5cat595wt9sv95" timestamp="1443697041"&gt;45&lt;/key&gt;&lt;/foreign-keys&gt;&lt;ref-type name="Book"&gt;6&lt;/ref-type&gt;&lt;contributors&gt;&lt;authors&gt;&lt;author&gt;MacIntyre, Alasdair&lt;/author&gt;&lt;/authors&gt;&lt;/contributors&gt;&lt;titles&gt;&lt;title&gt;Dependent Rational Animals : Why Human Beings Need the Virtues&lt;/title&gt;&lt;secondary-title&gt;The Paul Carus lecture series&lt;/secondary-title&gt;&lt;/titles&gt;&lt;pages&gt;xiii, 172 p.&lt;/pages&gt;&lt;number&gt;20&lt;/number&gt;&lt;keywords&gt;&lt;keyword&gt;Ethics.&lt;/keyword&gt;&lt;keyword&gt;Virtues.&lt;/keyword&gt;&lt;/keywords&gt;&lt;dates&gt;&lt;year&gt;1999&lt;/year&gt;&lt;/dates&gt;&lt;pub-location&gt;Chicago, Illinois&lt;/pub-location&gt;&lt;publisher&gt;Open Court&lt;/publisher&gt;&lt;isbn&gt;0812693973 (alk. paper)&lt;/isbn&gt;&lt;accession-num&gt;3101914&lt;/accession-num&gt;&lt;call-num&gt;Jefferson or Adams Building Reading Rooms BJ1012 .M326 1999&amp;#xD;Jefferson or Adams Building Reading Rooms - STORED OFFSITE BJ1012 .M326 1999&lt;/call-num&gt;&lt;urls&gt;&lt;/urls&gt;&lt;/record&gt;&lt;/Cite&gt;&lt;/EndNote&gt;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MacIntyre, </w:t>
      </w:r>
      <w:r w:rsidRPr="00DA6BE4">
        <w:rPr>
          <w:rFonts w:ascii="Times New Roman" w:hAnsi="Times New Roman" w:cs="Times New Roman"/>
          <w:i/>
          <w:noProof/>
        </w:rPr>
        <w:t>Dependent Rational Animals : Why Human Beings Need the Virtues</w:t>
      </w:r>
      <w:r w:rsidRPr="00DA6BE4">
        <w:rPr>
          <w:rFonts w:ascii="Times New Roman" w:hAnsi="Times New Roman" w:cs="Times New Roman"/>
          <w:noProof/>
        </w:rPr>
        <w:t>, 133.</w:t>
      </w:r>
      <w:r w:rsidR="00AA2A48" w:rsidRPr="00DA6BE4">
        <w:rPr>
          <w:rFonts w:ascii="Times New Roman" w:hAnsi="Times New Roman" w:cs="Times New Roman"/>
        </w:rPr>
        <w:fldChar w:fldCharType="end"/>
      </w:r>
    </w:p>
  </w:footnote>
  <w:footnote w:id="38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proofErr w:type="gramStart"/>
      <w:r w:rsidRPr="00DA6BE4">
        <w:rPr>
          <w:rFonts w:ascii="Times New Roman" w:hAnsi="Times New Roman" w:cs="Times New Roman"/>
        </w:rPr>
        <w:t>pp. 255.</w:t>
      </w:r>
      <w:proofErr w:type="gramEnd"/>
    </w:p>
  </w:footnote>
  <w:footnote w:id="388">
    <w:p w:rsidR="00D810CC" w:rsidRPr="00DA6BE4" w:rsidRDefault="00D810CC" w:rsidP="00257DAB">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pp. 254-55.</w:t>
      </w:r>
    </w:p>
  </w:footnote>
  <w:footnote w:id="389">
    <w:p w:rsidR="00D810CC" w:rsidRPr="00DA6BE4" w:rsidRDefault="00D810CC">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MacIntyre seems to praise some of the action of the state (such as the ‘Americans with disabilities’ act). There are other clear </w:t>
      </w:r>
      <w:r w:rsidRPr="00DA6BE4">
        <w:rPr>
          <w:rFonts w:ascii="Times New Roman" w:hAnsi="Times New Roman" w:cs="Times New Roman"/>
          <w:lang w:val="en-CA"/>
        </w:rPr>
        <w:t xml:space="preserve">examples such as the provision of civil liberties, a universal health care system, and actions providing for equal treatment of LGBT community. All of these actions that a state seems to be capable of not only imply, but also embody, a substantive conception of the good. </w:t>
      </w:r>
    </w:p>
  </w:footnote>
  <w:footnote w:id="390">
    <w:p w:rsidR="00D810CC" w:rsidRPr="00DA6BE4" w:rsidRDefault="00D810CC" w:rsidP="00162C58">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AuthorYear="1"&gt;&lt;Author&gt;Breen&lt;/Author&gt;&lt;Year&gt;2005&lt;/Year&gt;&lt;RecNum&gt;144&lt;/RecNum&gt;&lt;DisplayText&gt;Breen, &amp;quot;The State, Compartmentalization and the Turn to Local Community: A Critique of the Political Thought of Alasdair Macintyre.&amp;quot;&lt;/DisplayText&gt;&lt;record&gt;&lt;rec-number&gt;144&lt;/rec-number&gt;&lt;foreign-keys&gt;&lt;key app="EN" db-id="vxze0a2pwrt959ep2afxdw5cat595wt9sv95" timestamp="1520838959"&gt;144&lt;/key&gt;&lt;/foreign-keys&gt;&lt;ref-type name="Journal Article"&gt;17&lt;/ref-type&gt;&lt;contributors&gt;&lt;authors&gt;&lt;author&gt;Breen, Keith&lt;/author&gt;&lt;/authors&gt;&lt;/contributors&gt;&lt;titles&gt;&lt;title&gt;The State, Compartmentalization and the Turn to Local Community: A Critique of the Political Thought of Alasdair MacIntyre&lt;/title&gt;&lt;secondary-title&gt;The European Legacy&lt;/secondary-title&gt;&lt;/titles&gt;&lt;periodical&gt;&lt;full-title&gt;The European Legacy&lt;/full-title&gt;&lt;/periodical&gt;&lt;pages&gt;485–501&lt;/pages&gt;&lt;volume&gt;10&lt;/volume&gt;&lt;number&gt;5&lt;/number&gt;&lt;dates&gt;&lt;year&gt;2005&lt;/year&gt;&lt;/dates&gt;&lt;urls&gt;&lt;/urls&gt;&lt;/record&gt;&lt;/Cite&gt;&lt;/EndNote&gt;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Breen, "The State, Compartmentalization and the Turn to Local Community: A Critique of the Political Thought of Alasdair Macintyre."</w:t>
      </w:r>
      <w:r w:rsidR="00AA2A48" w:rsidRPr="00DA6BE4">
        <w:rPr>
          <w:rFonts w:ascii="Times New Roman" w:hAnsi="Times New Roman" w:cs="Times New Roman"/>
        </w:rPr>
        <w:fldChar w:fldCharType="end"/>
      </w:r>
    </w:p>
  </w:footnote>
  <w:footnote w:id="391">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&lt;EndNote&gt;&lt;Cite&gt;&lt;Author&gt;Osborne Jr&lt;/Author&gt;&lt;Year&gt;2008&lt;/Year&gt;&lt;RecNum&gt;58&lt;/RecNum&gt;&lt;DisplayText&gt;Osborne Jr, &amp;quot;Macintyre, Thomism, and the Contemporary Common Good.&amp;quot;&lt;/DisplayText&gt;&lt;record&gt;&lt;rec-number&gt;58&lt;/rec-number&gt;&lt;foreign-keys&gt;&lt;key app="EN" db-id="vxze0a2pwrt959ep2afxdw5cat595wt9sv95" timestamp="1443700030"&gt;58&lt;/key&gt;&lt;/foreign-keys&gt;&lt;ref-type name="Journal Article"&gt;17&lt;/ref-type&gt;&lt;contributors&gt;&lt;authors&gt;&lt;author&gt;Osborne Jr, Thomas M.&lt;/author&gt;&lt;/authors&gt;&lt;/contributors&gt;&lt;titles&gt;&lt;title&gt;MacIntyre, Thomism, and the Contemporary Common Good&lt;/title&gt;&lt;secondary-title&gt;Analyse &amp;amp; Kritik&lt;/secondary-title&gt;&lt;/titles&gt;&lt;periodical&gt;&lt;full-title&gt;Analyse &amp;amp; Kritik&lt;/full-title&gt;&lt;/periodical&gt;&lt;pages&gt;382-397&lt;/pages&gt;&lt;volume&gt;2008&lt;/volume&gt;&lt;number&gt;1&lt;/number&gt;&lt;dates&gt;&lt;year&gt;2008&lt;/year&gt;&lt;/dates&gt;&lt;urls&gt;&lt;/urls&gt;&lt;/record&gt;&lt;/Cite&gt;&lt;/EndNote&gt;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Osborne Jr, "Macintyre, Thomism, and the Contemporary Common Good."</w:t>
      </w:r>
      <w:r w:rsidR="00AA2A48" w:rsidRPr="00DA6BE4">
        <w:rPr>
          <w:rFonts w:ascii="Times New Roman" w:hAnsi="Times New Roman" w:cs="Times New Roman"/>
        </w:rPr>
        <w:fldChar w:fldCharType="end"/>
      </w:r>
    </w:p>
  </w:footnote>
  <w:footnote w:id="39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Several scholars have argued that MacIntyre’s negative critique is broadly within the communitarian confines; nevertheless, MacIntyre has rejected this contrast. See “I’m not a communitarian, But…,” in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&lt;EndNote&gt;&lt;Cite&gt;&lt;Author&gt;Goodin&lt;/Author&gt;&lt;Year&gt;1998&lt;/Year&gt;&lt;RecNum&gt;150&lt;/RecNum&gt;&lt;Pages&gt;91-92&lt;/Pages&gt;&lt;DisplayText&gt;Robert E. Goodin, &amp;quot;Making Communities More Responsive &amp;quot; &lt;style face="italic"&gt;The Responsive Community&lt;/style&gt;, 9, no. 1 (1998): 91-92.&lt;/DisplayText&gt;&lt;record&gt;&lt;rec-number&gt;150&lt;/rec-number&gt;&lt;foreign-keys&gt;&lt;key app="EN" db-id="vxze0a2pwrt959ep2afxdw5cat595wt9sv95" timestamp="1520878767"&gt;150&lt;/key&gt;&lt;/foreign-keys&gt;&lt;ref-type name="Journal Article"&gt;17&lt;/ref-type&gt;&lt;contributors&gt;&lt;authors&gt;&lt;author&gt;Robert E. Goodin&lt;/author&gt;&lt;/authors&gt;&lt;/contributors&gt;&lt;titles&gt;&lt;title&gt;Making Communities More Responsive &lt;/title&gt;&lt;secondary-title&gt;The Responsive Community&lt;/secondary-title&gt;&lt;/titles&gt;&lt;periodical&gt;&lt;full-title&gt;The Responsive Community&lt;/full-title&gt;&lt;/periodical&gt;&lt;pages&gt;87-92&lt;/pages&gt;&lt;volume&gt;, 9&lt;/volume&gt;&lt;number&gt;1&lt;/number&gt;&lt;dates&gt;&lt;year&gt;1998&lt;/year&gt;&lt;/dates&gt;&lt;urls&gt;&lt;/urls&gt;&lt;/record&gt;&lt;/Cite&gt;&lt;/EndNote&gt;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Robert E. Goodin, "Making Communities More Responsive " </w:t>
      </w:r>
      <w:r w:rsidRPr="00DA6BE4">
        <w:rPr>
          <w:rFonts w:ascii="Times New Roman" w:hAnsi="Times New Roman" w:cs="Times New Roman"/>
          <w:i/>
          <w:noProof/>
        </w:rPr>
        <w:t>The Responsive Community</w:t>
      </w:r>
      <w:r w:rsidRPr="00DA6BE4">
        <w:rPr>
          <w:rFonts w:ascii="Times New Roman" w:hAnsi="Times New Roman" w:cs="Times New Roman"/>
          <w:noProof/>
        </w:rPr>
        <w:t>, 9, no. 1 (1998): 91-92.</w:t>
      </w:r>
      <w:r w:rsidR="00AA2A48" w:rsidRPr="00DA6BE4">
        <w:rPr>
          <w:rFonts w:ascii="Times New Roman" w:hAnsi="Times New Roman" w:cs="Times New Roman"/>
        </w:rPr>
        <w:fldChar w:fldCharType="end"/>
      </w:r>
    </w:p>
  </w:footnote>
  <w:footnote w:id="39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&lt;EndNote&gt;&lt;Cite&gt;&lt;Author&gt;Knight&lt;/Author&gt;&lt;Year&gt;1998&lt;/Year&gt;&lt;RecNum&gt;117&lt;/RecNum&gt;&lt;Pages&gt;150&lt;/Pages&gt;&lt;DisplayText&gt;Knight, &lt;style face="italic"&gt;The Macintyre Reader&lt;/style&gt;, 150.&lt;/DisplayText&gt;&lt;record&gt;&lt;rec-number&gt;117&lt;/rec-number&gt;&lt;foreign-keys&gt;&lt;key app="EN" db-id="vxze0a2pwrt959ep2afxdw5cat595wt9sv95" timestamp="1520738790"&gt;117&lt;/key&gt;&lt;/foreign-keys&gt;&lt;ref-type name="Book"&gt;6&lt;/ref-type&gt;&lt;contributors&gt;&lt;authors&gt;&lt;author&gt;Knight, Kelvin&lt;/author&gt;&lt;/authors&gt;&lt;/contributors&gt;&lt;titles&gt;&lt;title&gt;The MacIntyre Reader&lt;/title&gt;&lt;/titles&gt;&lt;dates&gt;&lt;year&gt;1998&lt;/year&gt;&lt;/dates&gt;&lt;pub-location&gt;Cambridge, Oxford&lt;/pub-location&gt;&lt;publisher&gt;Polity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Knight, </w:t>
      </w:r>
      <w:r w:rsidRPr="00DA6BE4">
        <w:rPr>
          <w:rFonts w:ascii="Times New Roman" w:hAnsi="Times New Roman" w:cs="Times New Roman"/>
          <w:i/>
          <w:noProof/>
        </w:rPr>
        <w:t>The Macintyre Reader</w:t>
      </w:r>
      <w:r w:rsidRPr="00DA6BE4">
        <w:rPr>
          <w:rFonts w:ascii="Times New Roman" w:hAnsi="Times New Roman" w:cs="Times New Roman"/>
          <w:noProof/>
        </w:rPr>
        <w:t>, 150.</w:t>
      </w:r>
      <w:r w:rsidR="00AA2A48" w:rsidRPr="00DA6BE4">
        <w:rPr>
          <w:rFonts w:ascii="Times New Roman" w:hAnsi="Times New Roman" w:cs="Times New Roman"/>
        </w:rPr>
        <w:fldChar w:fldCharType="end"/>
      </w:r>
      <w:r w:rsidRPr="00DA6BE4">
        <w:rPr>
          <w:rFonts w:ascii="Times New Roman" w:hAnsi="Times New Roman" w:cs="Times New Roman"/>
        </w:rPr>
        <w:tab/>
      </w:r>
    </w:p>
  </w:footnote>
  <w:footnote w:id="39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AuthorYear="1"&gt;&lt;Author&gt;MacIntyre&lt;/Author&gt;&lt;Year&gt;2006&lt;/Year&gt;&lt;RecNum&gt;99&lt;/RecNum&gt;&lt;Pages&gt;213-214&lt;/Pages&gt;&lt;DisplayText&gt;MacIntyre, &amp;quot;Toleration and the Goods of Conflict,&amp;quot; 213-214.&lt;/DisplayText&gt;&lt;record&gt;&lt;rec-number&gt;99&lt;/rec-number&gt;&lt;foreign-keys&gt;&lt;key app="EN" db-id="vxze0a2pwrt959ep2afxdw5cat595wt9sv95" timestamp="1445974724"&gt;99&lt;/key&gt;&lt;/foreign-keys&gt;&lt;ref-type name="Book Section"&gt;5&lt;/ref-type&gt;&lt;contributors&gt;&lt;authors&gt;&lt;author&gt;MacIntyre, Alasdair&lt;/author&gt;&lt;/authors&gt;&lt;secondary-authors&gt;&lt;author&gt;MacIntyre, Alasdair&lt;/author&gt;&lt;/secondary-authors&gt;&lt;/contributors&gt;&lt;titles&gt;&lt;title&gt;Toleration and the goods of conflict&lt;/title&gt;&lt;secondary-title&gt;Ethics and Politics: Selected Essays&lt;/secondary-title&gt;&lt;/titles&gt;&lt;pages&gt;205-223&lt;/pages&gt;&lt;volume&gt;2&lt;/volume&gt;&lt;num-vols&gt;2&lt;/num-vols&gt;&lt;section&gt;12&lt;/section&gt;&lt;dates&gt;&lt;year&gt;2006&lt;/year&gt;&lt;/dates&gt;&lt;pub-location&gt;Cambridge, UK&lt;/pub-location&gt;&lt;publisher&gt;Cambridge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MacIntyre, "Toleration and the Goods of Conflict," 213-214.</w:t>
      </w:r>
      <w:r w:rsidR="00AA2A48" w:rsidRPr="00DA6BE4">
        <w:rPr>
          <w:rFonts w:ascii="Times New Roman" w:hAnsi="Times New Roman" w:cs="Times New Roman"/>
        </w:rPr>
        <w:fldChar w:fldCharType="end"/>
      </w:r>
    </w:p>
  </w:footnote>
  <w:footnote w:id="39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AuthorYear="1"&gt;&lt;Author&gt;Knight&lt;/Author&gt;&lt;Year&gt;2013&lt;/Year&gt;&lt;RecNum&gt;75&lt;/RecNum&gt;&lt;DisplayText&gt;Knight, &amp;quot;Alasdair Macintyre&amp;apos;s Revisionary Aristotelianism: Pragmatism Opposed, Marxism Outmoded, Thomism Transformed.&amp;quot;&lt;/DisplayText&gt;&lt;record&gt;&lt;rec-number&gt;75&lt;/rec-number&gt;&lt;foreign-keys&gt;&lt;key app="EN" db-id="vxze0a2pwrt959ep2afxdw5cat595wt9sv95" timestamp="1444051024"&gt;75&lt;/key&gt;&lt;/foreign-keys&gt;&lt;ref-type name="Book Section"&gt;5&lt;/ref-type&gt;&lt;contributors&gt;&lt;authors&gt;&lt;author&gt;Knight, Kelvin&lt;/author&gt;&lt;/authors&gt;&lt;secondary-authors&gt;&lt;author&gt;O&amp;apos;Rourke, Fran&lt;/author&gt;&lt;/secondary-authors&gt;&lt;/contributors&gt;&lt;titles&gt;&lt;title&gt;Alasdair MacIntyre&amp;apos;s Revisionary Aristotelianism: Pragmatism Opposed, Marxism Outmoded, Thomism Transformed&lt;/title&gt;&lt;secondary-title&gt;What Happened in and to Moral Philosophy in the Twentieth Century: Philosophical Essays in Honor of Alasdair MacIntyre&lt;/secondary-title&gt;&lt;/titles&gt;&lt;pages&gt;83-121&lt;/pages&gt;&lt;section&gt;4&lt;/section&gt;&lt;dates&gt;&lt;year&gt;2013&lt;/year&gt;&lt;/dates&gt;&lt;pub-location&gt;Notre Dame, Indiana&lt;/pub-location&gt;&lt;publisher&gt;University of Notre Dame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Knight, "Alasdair Macintyre's Revisionary Aristotelianism: Pragmatism Opposed, Marxism Outmoded, Thomism Transformed."</w:t>
      </w:r>
      <w:r w:rsidR="00AA2A48" w:rsidRPr="00DA6BE4">
        <w:rPr>
          <w:rFonts w:ascii="Times New Roman" w:hAnsi="Times New Roman" w:cs="Times New Roman"/>
        </w:rPr>
        <w:fldChar w:fldCharType="end"/>
      </w:r>
    </w:p>
  </w:footnote>
  <w:footnote w:id="39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&lt;EndNote&gt;&lt;Cite&gt;&lt;Author&gt;Misak&lt;/Author&gt;&lt;Year&gt;2000&lt;/Year&gt;&lt;RecNum&gt;108&lt;/RecNum&gt;&lt;Pages&gt;25-26&lt;/Pages&gt;&lt;DisplayText&gt;C. J. Misak, &lt;style face="italic"&gt;Truth, Politics, Morality : Pragmatism and Deliberation&lt;/style&gt; (London ; New York: Routledge, 2000), 25-26.&lt;/DisplayText&gt;&lt;record&gt;&lt;rec-number&gt;108&lt;/rec-number&gt;&lt;foreign-keys&gt;&lt;key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C. J. Misak, </w:t>
      </w:r>
      <w:r w:rsidRPr="00DA6BE4">
        <w:rPr>
          <w:rFonts w:ascii="Times New Roman" w:hAnsi="Times New Roman" w:cs="Times New Roman"/>
          <w:i/>
          <w:noProof/>
        </w:rPr>
        <w:t>Truth, Politics, Morality : Pragmatism and Deliberation</w:t>
      </w:r>
      <w:r w:rsidRPr="00DA6BE4">
        <w:rPr>
          <w:rFonts w:ascii="Times New Roman" w:hAnsi="Times New Roman" w:cs="Times New Roman"/>
          <w:noProof/>
        </w:rPr>
        <w:t xml:space="preserve"> (London ; New York: Routledge, 2000), 25-26.</w:t>
      </w:r>
      <w:r w:rsidR="00AA2A48" w:rsidRPr="00DA6BE4">
        <w:rPr>
          <w:rFonts w:ascii="Times New Roman" w:hAnsi="Times New Roman" w:cs="Times New Roman"/>
        </w:rPr>
        <w:fldChar w:fldCharType="end"/>
      </w:r>
    </w:p>
  </w:footnote>
  <w:footnote w:id="39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AuthorYear="1"&gt;&lt;Author&gt;Misak&lt;/Author&gt;&lt;Year&gt;2000&lt;/Year&gt;&lt;RecNum&gt;108&lt;/RecNum&gt;&lt;Pages&gt;28&lt;/Pages&gt;&lt;DisplayText&gt;Ibid., 28.&lt;/DisplayText&gt;&lt;record&gt;&lt;rec-number&gt;108&lt;/rec-number&gt;&lt;foreign-keys&gt;&lt;key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28.</w:t>
      </w:r>
      <w:r w:rsidR="00AA2A48" w:rsidRPr="00DA6BE4">
        <w:rPr>
          <w:rFonts w:ascii="Times New Roman" w:hAnsi="Times New Roman" w:cs="Times New Roman"/>
        </w:rPr>
        <w:fldChar w:fldCharType="end"/>
      </w:r>
    </w:p>
  </w:footnote>
  <w:footnote w:id="39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&lt;EndNote&gt;&lt;Cite&gt;&lt;Author&gt;Misak&lt;/Author&gt;&lt;Year&gt;2000&lt;/Year&gt;&lt;RecNum&gt;108&lt;/RecNum&gt;&lt;Pages&gt;111&lt;/Pages&gt;&lt;DisplayText&gt;Ibid., 111.&lt;/DisplayText&gt;&lt;record&gt;&lt;rec-number&gt;108&lt;/rec-number&gt;&lt;foreign-keys&gt;&lt;key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111.</w:t>
      </w:r>
      <w:r w:rsidR="00AA2A48" w:rsidRPr="00DA6BE4">
        <w:rPr>
          <w:rFonts w:ascii="Times New Roman" w:hAnsi="Times New Roman" w:cs="Times New Roman"/>
        </w:rPr>
        <w:fldChar w:fldCharType="end"/>
      </w:r>
    </w:p>
  </w:footnote>
  <w:footnote w:id="39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&lt;EndNote&gt;&lt;Cite&gt;&lt;Author&gt;Misak&lt;/Author&gt;&lt;Year&gt;2000&lt;/Year&gt;&lt;RecNum&gt;108&lt;/RecNum&gt;&lt;Pages&gt;113&lt;/Pages&gt;&lt;DisplayText&gt;Ibid., 113.&lt;/DisplayText&gt;&lt;record&gt;&lt;rec-number&gt;108&lt;/rec-number&gt;&lt;foreign-keys&gt;&lt;key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113.</w:t>
      </w:r>
      <w:r w:rsidR="00AA2A48" w:rsidRPr="00DA6BE4">
        <w:rPr>
          <w:rFonts w:ascii="Times New Roman" w:hAnsi="Times New Roman" w:cs="Times New Roman"/>
        </w:rPr>
        <w:fldChar w:fldCharType="end"/>
      </w:r>
    </w:p>
  </w:footnote>
  <w:footnote w:id="40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&lt;EndNote&gt;&lt;Cite&gt;&lt;Author&gt;Misak&lt;/Author&gt;&lt;Year&gt;2000&lt;/Year&gt;&lt;RecNum&gt;108&lt;/RecNum&gt;&lt;Pages&gt;117&lt;/Pages&gt;&lt;DisplayText&gt;Ibid., 117.&lt;/DisplayText&gt;&lt;record&gt;&lt;rec-number&gt;108&lt;/rec-number&gt;&lt;foreign-keys&gt;&lt;key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117.</w:t>
      </w:r>
      <w:r w:rsidR="00AA2A48" w:rsidRPr="00DA6BE4">
        <w:rPr>
          <w:rFonts w:ascii="Times New Roman" w:hAnsi="Times New Roman" w:cs="Times New Roman"/>
        </w:rPr>
        <w:fldChar w:fldCharType="end"/>
      </w:r>
    </w:p>
  </w:footnote>
  <w:footnote w:id="401">
    <w:p w:rsidR="00D810CC" w:rsidRPr="00DA6BE4" w:rsidRDefault="00D810CC" w:rsidP="00274AB8">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AuthorYear="1"&gt;&lt;Author&gt;Misak&lt;/Author&gt;&lt;Year&gt;2000&lt;/Year&gt;&lt;RecNum&gt;108&lt;/RecNum&gt;&lt;Pages&gt;118&lt;/Pages&gt;&lt;DisplayText&gt;Ibid., 118.&lt;/DisplayText&gt;&lt;record&gt;&lt;rec-number&gt;108&lt;/rec-number&gt;&lt;foreign-keys&gt;&lt;key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118.</w:t>
      </w:r>
      <w:r w:rsidR="00AA2A48" w:rsidRPr="00DA6BE4">
        <w:rPr>
          <w:rFonts w:ascii="Times New Roman" w:hAnsi="Times New Roman" w:cs="Times New Roman"/>
        </w:rPr>
        <w:fldChar w:fldCharType="end"/>
      </w:r>
    </w:p>
  </w:footnote>
  <w:footnote w:id="40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&lt;EndNote&gt;&lt;Cite&gt;&lt;Author&gt;Misak&lt;/Author&gt;&lt;Year&gt;2000&lt;/Year&gt;&lt;RecNum&gt;108&lt;/RecNum&gt;&lt;Pages&gt;131&lt;/Pages&gt;&lt;DisplayText&gt;Ibid., 131.&lt;/DisplayText&gt;&lt;record&gt;&lt;rec-number&gt;108&lt;/rec-number&gt;&lt;foreign-keys&gt;&lt;key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131.</w:t>
      </w:r>
      <w:r w:rsidR="00AA2A48" w:rsidRPr="00DA6BE4">
        <w:rPr>
          <w:rFonts w:ascii="Times New Roman" w:hAnsi="Times New Roman" w:cs="Times New Roman"/>
        </w:rPr>
        <w:fldChar w:fldCharType="end"/>
      </w:r>
    </w:p>
  </w:footnote>
  <w:footnote w:id="40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&lt;EndNote&gt;&lt;Cite&gt;&lt;Author&gt;Misak&lt;/Author&gt;&lt;Year&gt;2000&lt;/Year&gt;&lt;RecNum&gt;108&lt;/RecNum&gt;&lt;Pages&gt;132&lt;/Pages&gt;&lt;DisplayText&gt;Ibid., 132.&lt;/DisplayText&gt;&lt;record&gt;&lt;rec-number&gt;108&lt;/rec-number&gt;&lt;foreign-keys&gt;&lt;key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132.</w:t>
      </w:r>
      <w:r w:rsidR="00AA2A48" w:rsidRPr="00DA6BE4">
        <w:rPr>
          <w:rFonts w:ascii="Times New Roman" w:hAnsi="Times New Roman" w:cs="Times New Roman"/>
        </w:rPr>
        <w:fldChar w:fldCharType="end"/>
      </w:r>
    </w:p>
  </w:footnote>
  <w:footnote w:id="40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&lt;EndNote&gt;&lt;Cite&gt;&lt;Author&gt;Misak&lt;/Author&gt;&lt;Year&gt;2000&lt;/Year&gt;&lt;RecNum&gt;108&lt;/RecNum&gt;&lt;Pages&gt;136&lt;/Pages&gt;&lt;DisplayText&gt;Ibid., 136.&lt;/DisplayText&gt;&lt;record&gt;&lt;rec-number&gt;108&lt;/rec-number&gt;&lt;foreign-keys&gt;&lt;key app="EN" db-id="vxze0a2pwrt959ep2afxdw5cat595wt9sv95" timestamp="1449598464"&gt;108&lt;/key&gt;&lt;/foreign-keys&gt;&lt;ref-type name="Book"&gt;6&lt;/ref-type&gt;&lt;contributors&gt;&lt;authors&gt;&lt;author&gt;Misak, C. J.&lt;/author&gt;&lt;/authors&gt;&lt;/contributors&gt;&lt;titles&gt;&lt;title&gt;Truth, politics, morality : pragmatism and deliberation&lt;/title&gt;&lt;/titles&gt;&lt;pages&gt;x, 182 p.&lt;/pages&gt;&lt;keywords&gt;&lt;keyword&gt;Truth.&lt;/keyword&gt;&lt;keyword&gt;Political science Philosophy.&lt;/keyword&gt;&lt;keyword&gt;Ethics.&lt;/keyword&gt;&lt;keyword&gt;Pragmatism.&lt;/keyword&gt;&lt;keyword&gt;Inquiry (Theory of knowledge)&lt;/keyword&gt;&lt;/keywords&gt;&lt;dates&gt;&lt;year&gt;2000&lt;/year&gt;&lt;/dates&gt;&lt;pub-location&gt;London ; New York&lt;/pub-location&gt;&lt;publisher&gt;Routledge&lt;/publisher&gt;&lt;isbn&gt;0415140358 (hbk)&amp;#xD;0415140366 (pbk.)&lt;/isbn&gt;&lt;accession-num&gt;740328&lt;/accession-num&gt;&lt;call-num&gt;Jefferson or Adams Building Reading Rooms BD171 .M515 2000&amp;#xD;Jefferson or Adams Building Reading Rooms - STORED OFFSITE BD171 .M515 2000&lt;/call-num&gt;&lt;urls&gt;&lt;related-urls&gt;&lt;url&gt;Publisher description http://www.loc.gov/catdir/enhancements/fy0649/99016328-d.html&lt;/url&gt;&lt;/related-urls&gt;&lt;/urls&gt;&lt;/record&gt;&lt;/Cite&gt;&lt;/EndNote&gt;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136.</w:t>
      </w:r>
      <w:r w:rsidR="00AA2A48" w:rsidRPr="00DA6BE4">
        <w:rPr>
          <w:rFonts w:ascii="Times New Roman" w:hAnsi="Times New Roman" w:cs="Times New Roman"/>
        </w:rPr>
        <w:fldChar w:fldCharType="end"/>
      </w:r>
    </w:p>
  </w:footnote>
  <w:footnote w:id="40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&lt;EndNote&gt;&lt;Cite&gt;&lt;Author&gt;Walzer&lt;/Author&gt;&lt;Year&gt;1990&lt;/Year&gt;&lt;RecNum&gt;107&lt;/RecNum&gt;&lt;Pages&gt;8&lt;/Pages&gt;&lt;DisplayText&gt;Michael Walzer, &amp;quot;The Communitarian Critique of Liberalism,&amp;quot; &lt;style face="italic"&gt;Political Theory&lt;/style&gt; 18, no. 1 (1990): 8.&lt;/DisplayText&gt;&lt;record&gt;&lt;rec-number&gt;107&lt;/rec-number&gt;&lt;foreign-keys&gt;&lt;key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Michael Walzer, "The Communitarian Critique of Liberalism," </w:t>
      </w:r>
      <w:r w:rsidRPr="00DA6BE4">
        <w:rPr>
          <w:rFonts w:ascii="Times New Roman" w:hAnsi="Times New Roman" w:cs="Times New Roman"/>
          <w:i/>
          <w:noProof/>
        </w:rPr>
        <w:t>Political Theory</w:t>
      </w:r>
      <w:r w:rsidRPr="00DA6BE4">
        <w:rPr>
          <w:rFonts w:ascii="Times New Roman" w:hAnsi="Times New Roman" w:cs="Times New Roman"/>
          <w:noProof/>
        </w:rPr>
        <w:t xml:space="preserve"> 18, no. 1 (1990): 8.</w:t>
      </w:r>
      <w:r w:rsidR="00AA2A48" w:rsidRPr="00DA6BE4">
        <w:rPr>
          <w:rFonts w:ascii="Times New Roman" w:hAnsi="Times New Roman" w:cs="Times New Roman"/>
        </w:rPr>
        <w:fldChar w:fldCharType="end"/>
      </w:r>
    </w:p>
  </w:footnote>
  <w:footnote w:id="40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AuthorYear="1"&gt;&lt;Author&gt;Walzer&lt;/Author&gt;&lt;Year&gt;1990&lt;/Year&gt;&lt;RecNum&gt;107&lt;/RecNum&gt;&lt;Pages&gt;9&lt;/Pages&gt;&lt;DisplayText&gt;Ibid., 9.&lt;/DisplayText&gt;&lt;record&gt;&lt;rec-number&gt;107&lt;/rec-number&gt;&lt;foreign-keys&gt;&lt;key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9.</w:t>
      </w:r>
      <w:r w:rsidR="00AA2A48" w:rsidRPr="00DA6BE4">
        <w:rPr>
          <w:rFonts w:ascii="Times New Roman" w:hAnsi="Times New Roman" w:cs="Times New Roman"/>
        </w:rPr>
        <w:fldChar w:fldCharType="end"/>
      </w:r>
    </w:p>
  </w:footnote>
  <w:footnote w:id="40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AuthorYear="1"&gt;&lt;Author&gt;Walzer&lt;/Author&gt;&lt;Year&gt;1990&lt;/Year&gt;&lt;RecNum&gt;107&lt;/RecNum&gt;&lt;Pages&gt;10-11&lt;/Pages&gt;&lt;DisplayText&gt;Ibid., 10-11.&lt;/DisplayText&gt;&lt;record&gt;&lt;rec-number&gt;107&lt;/rec-number&gt;&lt;foreign-keys&gt;&lt;key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10-11.</w:t>
      </w:r>
      <w:r w:rsidR="00AA2A48" w:rsidRPr="00DA6BE4">
        <w:rPr>
          <w:rFonts w:ascii="Times New Roman" w:hAnsi="Times New Roman" w:cs="Times New Roman"/>
        </w:rPr>
        <w:fldChar w:fldCharType="end"/>
      </w:r>
    </w:p>
  </w:footnote>
  <w:footnote w:id="40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AuthorYear="1"&gt;&lt;Author&gt;Walzer&lt;/Author&gt;&lt;Year&gt;1990&lt;/Year&gt;&lt;RecNum&gt;107&lt;/RecNum&gt;&lt;Pages&gt;12&lt;/Pages&gt;&lt;DisplayText&gt;Ibid., 12.&lt;/DisplayText&gt;&lt;record&gt;&lt;rec-number&gt;107&lt;/rec-number&gt;&lt;foreign-keys&gt;&lt;key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12.</w:t>
      </w:r>
      <w:r w:rsidR="00AA2A48" w:rsidRPr="00DA6BE4">
        <w:rPr>
          <w:rFonts w:ascii="Times New Roman" w:hAnsi="Times New Roman" w:cs="Times New Roman"/>
        </w:rPr>
        <w:fldChar w:fldCharType="end"/>
      </w:r>
    </w:p>
  </w:footnote>
  <w:footnote w:id="40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AuthorYear="1"&gt;&lt;Author&gt;Walzer&lt;/Author&gt;&lt;Year&gt;1990&lt;/Year&gt;&lt;RecNum&gt;107&lt;/RecNum&gt;&lt;Pages&gt;13&lt;/Pages&gt;&lt;DisplayText&gt;Ibid., 13.&lt;/DisplayText&gt;&lt;record&gt;&lt;rec-number&gt;107&lt;/rec-number&gt;&lt;foreign-keys&gt;&lt;key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13.</w:t>
      </w:r>
      <w:r w:rsidR="00AA2A48" w:rsidRPr="00DA6BE4">
        <w:rPr>
          <w:rFonts w:ascii="Times New Roman" w:hAnsi="Times New Roman" w:cs="Times New Roman"/>
        </w:rPr>
        <w:fldChar w:fldCharType="end"/>
      </w:r>
    </w:p>
  </w:footnote>
  <w:footnote w:id="41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&lt;EndNote&gt;&lt;Cite&gt;&lt;Author&gt;Walzer&lt;/Author&gt;&lt;Year&gt;1990&lt;/Year&gt;&lt;RecNum&gt;107&lt;/RecNum&gt;&lt;Pages&gt;15&lt;/Pages&gt;&lt;DisplayText&gt;Ibid., 15.&lt;/DisplayText&gt;&lt;record&gt;&lt;rec-number&gt;107&lt;/rec-number&gt;&lt;foreign-keys&gt;&lt;key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15.</w:t>
      </w:r>
      <w:r w:rsidR="00AA2A48" w:rsidRPr="00DA6BE4">
        <w:rPr>
          <w:rFonts w:ascii="Times New Roman" w:hAnsi="Times New Roman" w:cs="Times New Roman"/>
        </w:rPr>
        <w:fldChar w:fldCharType="end"/>
      </w:r>
    </w:p>
  </w:footnote>
  <w:footnote w:id="41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&lt;EndNote&gt;&lt;Cite&gt;&lt;Author&gt;Walzer&lt;/Author&gt;&lt;Year&gt;1990&lt;/Year&gt;&lt;RecNum&gt;107&lt;/RecNum&gt;&lt;Pages&gt;16&lt;/Pages&gt;&lt;DisplayText&gt;Ibid., 16.&lt;/DisplayText&gt;&lt;record&gt;&lt;rec-number&gt;107&lt;/rec-number&gt;&lt;foreign-keys&gt;&lt;key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16.</w:t>
      </w:r>
      <w:r w:rsidR="00AA2A48" w:rsidRPr="00DA6BE4">
        <w:rPr>
          <w:rFonts w:ascii="Times New Roman" w:hAnsi="Times New Roman" w:cs="Times New Roman"/>
        </w:rPr>
        <w:fldChar w:fldCharType="end"/>
      </w:r>
    </w:p>
  </w:footnote>
  <w:footnote w:id="41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&lt;EndNote&gt;&lt;Cite&gt;&lt;Author&gt;Walzer&lt;/Author&gt;&lt;Year&gt;1990&lt;/Year&gt;&lt;RecNum&gt;107&lt;/RecNum&gt;&lt;Pages&gt;21-22&lt;/Pages&gt;&lt;DisplayText&gt;Ibid., 21-22.&lt;/DisplayText&gt;&lt;record&gt;&lt;rec-number&gt;107&lt;/rec-number&gt;&lt;foreign-keys&gt;&lt;key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21-22.</w:t>
      </w:r>
      <w:r w:rsidR="00AA2A48" w:rsidRPr="00DA6BE4">
        <w:rPr>
          <w:rFonts w:ascii="Times New Roman" w:hAnsi="Times New Roman" w:cs="Times New Roman"/>
        </w:rPr>
        <w:fldChar w:fldCharType="end"/>
      </w:r>
    </w:p>
  </w:footnote>
  <w:footnote w:id="41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AuthorYear="1"&gt;&lt;Author&gt;Walzer&lt;/Author&gt;&lt;Year&gt;1990&lt;/Year&gt;&lt;RecNum&gt;107&lt;/RecNum&gt;&lt;Pages&gt;19&lt;/Pages&gt;&lt;DisplayText&gt;Ibid., 19.&lt;/DisplayText&gt;&lt;record&gt;&lt;rec-number&gt;107&lt;/rec-number&gt;&lt;foreign-keys&gt;&lt;key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19.</w:t>
      </w:r>
      <w:r w:rsidR="00AA2A48" w:rsidRPr="00DA6BE4">
        <w:rPr>
          <w:rFonts w:ascii="Times New Roman" w:hAnsi="Times New Roman" w:cs="Times New Roman"/>
        </w:rPr>
        <w:fldChar w:fldCharType="end"/>
      </w:r>
    </w:p>
  </w:footnote>
  <w:footnote w:id="41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&lt;EndNote&gt;&lt;Cite&gt;&lt;Author&gt;Dewey&lt;/Author&gt;&lt;Year&gt;1991&lt;/Year&gt;&lt;RecNum&gt;105&lt;/RecNum&gt;&lt;Pages&gt;71-72&lt;/Pages&gt;&lt;DisplayText&gt;John Dewey, &lt;style face="italic"&gt;The Public and Its Problems&lt;/style&gt; (Athens: Swallow Press, 1991), 71-72.&lt;/DisplayText&gt;&lt;record&gt;&lt;rec-number&gt;105&lt;/rec-number&gt;&lt;foreign-keys&gt;&lt;key app="EN" db-id="vxze0a2pwrt959ep2afxdw5cat595wt9sv95" timestamp="1449598269"&gt;105&lt;/key&gt;&lt;/foreign-keys&gt;&lt;ref-type name="Book"&gt;6&lt;/ref-type&gt;&lt;contributors&gt;&lt;authors&gt;&lt;author&gt;Dewey, John&lt;/author&gt;&lt;/authors&gt;&lt;/contributors&gt;&lt;titles&gt;&lt;title&gt;The public and its problems&lt;/title&gt;&lt;/titles&gt;&lt;pages&gt;vi, 236 p.&lt;/pages&gt;&lt;keywords&gt;&lt;keyword&gt;Democracy.&lt;/keyword&gt;&lt;keyword&gt;Political science.&lt;/keyword&gt;&lt;keyword&gt;State, The.&lt;/keyword&gt;&lt;/keywords&gt;&lt;dates&gt;&lt;year&gt;1991&lt;/year&gt;&lt;/dates&gt;&lt;pub-location&gt;Athens&lt;/pub-location&gt;&lt;publisher&gt;Swallow Press&lt;/publisher&gt;&lt;isbn&gt;0804002541 (pbk. acid-free paper)&lt;/isbn&gt;&lt;accession-num&gt;1069749&lt;/accession-num&gt;&lt;call-num&gt;Jefferson or Adams Building Reading Rooms JC251 .D47 1991&lt;/call-num&gt;&lt;urls&gt;&lt;related-urls&gt;&lt;url&gt;Publisher description http://www.loc.gov/catdir/enhancements/fy0666/91015365-d.html&lt;/url&gt;&lt;/related-urls&gt;&lt;/urls&gt;&lt;/record&gt;&lt;/Cite&gt;&lt;/EndNote&gt;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John Dewey, </w:t>
      </w:r>
      <w:r w:rsidRPr="00DA6BE4">
        <w:rPr>
          <w:rFonts w:ascii="Times New Roman" w:hAnsi="Times New Roman" w:cs="Times New Roman"/>
          <w:i/>
          <w:noProof/>
        </w:rPr>
        <w:t>The Public and Its Problems</w:t>
      </w:r>
      <w:r w:rsidRPr="00DA6BE4">
        <w:rPr>
          <w:rFonts w:ascii="Times New Roman" w:hAnsi="Times New Roman" w:cs="Times New Roman"/>
          <w:noProof/>
        </w:rPr>
        <w:t xml:space="preserve"> (Athens: Swallow Press, 1991), 71-72.</w:t>
      </w:r>
      <w:r w:rsidR="00AA2A48" w:rsidRPr="00DA6BE4">
        <w:rPr>
          <w:rFonts w:ascii="Times New Roman" w:hAnsi="Times New Roman" w:cs="Times New Roman"/>
        </w:rPr>
        <w:fldChar w:fldCharType="end"/>
      </w:r>
    </w:p>
  </w:footnote>
  <w:footnote w:id="41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&lt;EndNote&gt;&lt;Cite&gt;&lt;Author&gt;Honneth&lt;/Author&gt;&lt;Year&gt;1998&lt;/Year&gt;&lt;RecNum&gt;106&lt;/RecNum&gt;&lt;Pages&gt;765&lt;/Pages&gt;&lt;DisplayText&gt;Axel Honneth, &amp;quot;Democracy as Reflexive Cooperation: John Dewey and the Theory of Democracy Today,&amp;quot; &lt;style face="italic"&gt;Political Theory&lt;/style&gt; 26, no. 6 (1998): 765.&lt;/DisplayText&gt;&lt;record&gt;&lt;rec-number&gt;106&lt;/rec-number&gt;&lt;foreign-keys&gt;&lt;key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Axel Honneth, "Democracy as Reflexive Cooperation: John Dewey and the Theory of Democracy Today," </w:t>
      </w:r>
      <w:r w:rsidRPr="00DA6BE4">
        <w:rPr>
          <w:rFonts w:ascii="Times New Roman" w:hAnsi="Times New Roman" w:cs="Times New Roman"/>
          <w:i/>
          <w:noProof/>
        </w:rPr>
        <w:t>Political Theory</w:t>
      </w:r>
      <w:r w:rsidRPr="00DA6BE4">
        <w:rPr>
          <w:rFonts w:ascii="Times New Roman" w:hAnsi="Times New Roman" w:cs="Times New Roman"/>
          <w:noProof/>
        </w:rPr>
        <w:t xml:space="preserve"> 26, no. 6 (1998): 765.</w:t>
      </w:r>
      <w:r w:rsidR="00AA2A48" w:rsidRPr="00DA6BE4">
        <w:rPr>
          <w:rFonts w:ascii="Times New Roman" w:hAnsi="Times New Roman" w:cs="Times New Roman"/>
        </w:rPr>
        <w:fldChar w:fldCharType="end"/>
      </w:r>
    </w:p>
  </w:footnote>
  <w:footnote w:id="41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AuthorYear="1"&gt;&lt;Author&gt;Honneth&lt;/Author&gt;&lt;Year&gt;1998&lt;/Year&gt;&lt;RecNum&gt;106&lt;/RecNum&gt;&lt;Pages&gt;766&lt;/Pages&gt;&lt;DisplayText&gt;Ibid., 766.&lt;/DisplayText&gt;&lt;record&gt;&lt;rec-number&gt;106&lt;/rec-number&gt;&lt;foreign-keys&gt;&lt;key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766.</w:t>
      </w:r>
      <w:r w:rsidR="00AA2A48" w:rsidRPr="00DA6BE4">
        <w:rPr>
          <w:rFonts w:ascii="Times New Roman" w:hAnsi="Times New Roman" w:cs="Times New Roman"/>
        </w:rPr>
        <w:fldChar w:fldCharType="end"/>
      </w:r>
    </w:p>
  </w:footnote>
  <w:footnote w:id="41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AuthorYear="1"&gt;&lt;Author&gt;Honneth&lt;/Author&gt;&lt;Year&gt;1998&lt;/Year&gt;&lt;RecNum&gt;106&lt;/RecNum&gt;&lt;Pages&gt;767&lt;/Pages&gt;&lt;DisplayText&gt;Ibid., 767.&lt;/DisplayText&gt;&lt;record&gt;&lt;rec-number&gt;106&lt;/rec-number&gt;&lt;foreign-keys&gt;&lt;key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767.</w:t>
      </w:r>
      <w:r w:rsidR="00AA2A48" w:rsidRPr="00DA6BE4">
        <w:rPr>
          <w:rFonts w:ascii="Times New Roman" w:hAnsi="Times New Roman" w:cs="Times New Roman"/>
        </w:rPr>
        <w:fldChar w:fldCharType="end"/>
      </w:r>
    </w:p>
  </w:footnote>
  <w:footnote w:id="41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&lt;EndNote&gt;&lt;Cite&gt;&lt;Author&gt;Honneth&lt;/Author&gt;&lt;Year&gt;1998&lt;/Year&gt;&lt;RecNum&gt;106&lt;/RecNum&gt;&lt;Pages&gt;768&lt;/Pages&gt;&lt;DisplayText&gt;Ibid., 768.&lt;/DisplayText&gt;&lt;record&gt;&lt;rec-number&gt;106&lt;/rec-number&gt;&lt;foreign-keys&gt;&lt;key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768.</w:t>
      </w:r>
      <w:r w:rsidR="00AA2A48" w:rsidRPr="00DA6BE4">
        <w:rPr>
          <w:rFonts w:ascii="Times New Roman" w:hAnsi="Times New Roman" w:cs="Times New Roman"/>
        </w:rPr>
        <w:fldChar w:fldCharType="end"/>
      </w:r>
    </w:p>
  </w:footnote>
  <w:footnote w:id="41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&lt;EndNote&gt;&lt;Cite&gt;&lt;Author&gt;Honneth&lt;/Author&gt;&lt;Year&gt;1998&lt;/Year&gt;&lt;RecNum&gt;106&lt;/RecNum&gt;&lt;Pages&gt;769&lt;/Pages&gt;&lt;DisplayText&gt;Ibid., 769.&lt;/DisplayText&gt;&lt;record&gt;&lt;rec-number&gt;106&lt;/rec-number&gt;&lt;foreign-keys&gt;&lt;key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769.</w:t>
      </w:r>
      <w:r w:rsidR="00AA2A48" w:rsidRPr="00DA6BE4">
        <w:rPr>
          <w:rFonts w:ascii="Times New Roman" w:hAnsi="Times New Roman" w:cs="Times New Roman"/>
        </w:rPr>
        <w:fldChar w:fldCharType="end"/>
      </w:r>
    </w:p>
  </w:footnote>
  <w:footnote w:id="42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&lt;EndNote&gt;&lt;Cite&gt;&lt;Author&gt;Honneth&lt;/Author&gt;&lt;Year&gt;1998&lt;/Year&gt;&lt;RecNum&gt;106&lt;/RecNum&gt;&lt;Pages&gt;773&lt;/Pages&gt;&lt;DisplayText&gt;Ibid., 773.&lt;/DisplayText&gt;&lt;record&gt;&lt;rec-number&gt;106&lt;/rec-number&gt;&lt;foreign-keys&gt;&lt;key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773.</w:t>
      </w:r>
      <w:r w:rsidR="00AA2A48" w:rsidRPr="00DA6BE4">
        <w:rPr>
          <w:rFonts w:ascii="Times New Roman" w:hAnsi="Times New Roman" w:cs="Times New Roman"/>
        </w:rPr>
        <w:fldChar w:fldCharType="end"/>
      </w:r>
    </w:p>
  </w:footnote>
  <w:footnote w:id="42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&lt;EndNote&gt;&lt;Cite&gt;&lt;Author&gt;Honneth&lt;/Author&gt;&lt;Year&gt;1998&lt;/Year&gt;&lt;RecNum&gt;106&lt;/RecNum&gt;&lt;Pages&gt;773&lt;/Pages&gt;&lt;DisplayText&gt;Ibid.&lt;/DisplayText&gt;&lt;record&gt;&lt;rec-number&gt;106&lt;/rec-number&gt;&lt;foreign-keys&gt;&lt;key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42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&lt;EndNote&gt;&lt;Cite&gt;&lt;Author&gt;Honneth&lt;/Author&gt;&lt;Year&gt;1998&lt;/Year&gt;&lt;RecNum&gt;106&lt;/RecNum&gt;&lt;Pages&gt;774&lt;/Pages&gt;&lt;DisplayText&gt;Ibid., 774.&lt;/DisplayText&gt;&lt;record&gt;&lt;rec-number&gt;106&lt;/rec-number&gt;&lt;foreign-keys&gt;&lt;key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774.</w:t>
      </w:r>
      <w:r w:rsidR="00AA2A48" w:rsidRPr="00DA6BE4">
        <w:rPr>
          <w:rFonts w:ascii="Times New Roman" w:hAnsi="Times New Roman" w:cs="Times New Roman"/>
        </w:rPr>
        <w:fldChar w:fldCharType="end"/>
      </w:r>
    </w:p>
  </w:footnote>
  <w:footnote w:id="42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&lt;EndNote&gt;&lt;Cite&gt;&lt;Author&gt;Honneth&lt;/Author&gt;&lt;Year&gt;1998&lt;/Year&gt;&lt;RecNum&gt;106&lt;/RecNum&gt;&lt;Pages&gt;775&lt;/Pages&gt;&lt;DisplayText&gt;Ibid., 775.&lt;/DisplayText&gt;&lt;record&gt;&lt;rec-number&gt;106&lt;/rec-number&gt;&lt;foreign-keys&gt;&lt;key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775.</w:t>
      </w:r>
      <w:r w:rsidR="00AA2A48" w:rsidRPr="00DA6BE4">
        <w:rPr>
          <w:rFonts w:ascii="Times New Roman" w:hAnsi="Times New Roman" w:cs="Times New Roman"/>
        </w:rPr>
        <w:fldChar w:fldCharType="end"/>
      </w:r>
    </w:p>
  </w:footnote>
  <w:footnote w:id="42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&lt;EndNote&gt;&lt;Cite&gt;&lt;Author&gt;Honneth&lt;/Author&gt;&lt;Year&gt;1998&lt;/Year&gt;&lt;RecNum&gt;106&lt;/RecNum&gt;&lt;Pages&gt;776&lt;/Pages&gt;&lt;DisplayText&gt;Ibid., 776.&lt;/DisplayText&gt;&lt;record&gt;&lt;rec-number&gt;106&lt;/rec-number&gt;&lt;foreign-keys&gt;&lt;key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776.</w:t>
      </w:r>
      <w:r w:rsidR="00AA2A48" w:rsidRPr="00DA6BE4">
        <w:rPr>
          <w:rFonts w:ascii="Times New Roman" w:hAnsi="Times New Roman" w:cs="Times New Roman"/>
        </w:rPr>
        <w:fldChar w:fldCharType="end"/>
      </w:r>
    </w:p>
  </w:footnote>
  <w:footnote w:id="42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&lt;EndNote&gt;&lt;Cite&gt;&lt;Author&gt;Honneth&lt;/Author&gt;&lt;Year&gt;1998&lt;/Year&gt;&lt;RecNum&gt;106&lt;/RecNum&gt;&lt;Pages&gt;777&lt;/Pages&gt;&lt;DisplayText&gt;Ibid., 777.&lt;/DisplayText&gt;&lt;record&gt;&lt;rec-number&gt;106&lt;/rec-number&gt;&lt;foreign-keys&gt;&lt;key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777.</w:t>
      </w:r>
      <w:r w:rsidR="00AA2A48" w:rsidRPr="00DA6BE4">
        <w:rPr>
          <w:rFonts w:ascii="Times New Roman" w:hAnsi="Times New Roman" w:cs="Times New Roman"/>
        </w:rPr>
        <w:fldChar w:fldCharType="end"/>
      </w:r>
    </w:p>
  </w:footnote>
  <w:footnote w:id="42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&lt;EndNote&gt;&lt;Cite&gt;&lt;Author&gt;Honneth&lt;/Author&gt;&lt;Year&gt;1998&lt;/Year&gt;&lt;RecNum&gt;106&lt;/RecNum&gt;&lt;Pages&gt;778&lt;/Pages&gt;&lt;DisplayText&gt;Ibid., 778.&lt;/DisplayText&gt;&lt;record&gt;&lt;rec-number&gt;106&lt;/rec-number&gt;&lt;foreign-keys&gt;&lt;key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778.</w:t>
      </w:r>
      <w:r w:rsidR="00AA2A48" w:rsidRPr="00DA6BE4">
        <w:rPr>
          <w:rFonts w:ascii="Times New Roman" w:hAnsi="Times New Roman" w:cs="Times New Roman"/>
        </w:rPr>
        <w:fldChar w:fldCharType="end"/>
      </w:r>
    </w:p>
  </w:footnote>
  <w:footnote w:id="42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&lt;EndNote&gt;&lt;Cite&gt;&lt;Author&gt;Honneth&lt;/Author&gt;&lt;Year&gt;1998&lt;/Year&gt;&lt;RecNum&gt;106&lt;/RecNum&gt;&lt;Pages&gt;780&lt;/Pages&gt;&lt;DisplayText&gt;Ibid., 780.&lt;/DisplayText&gt;&lt;record&gt;&lt;rec-number&gt;106&lt;/rec-number&gt;&lt;foreign-keys&gt;&lt;key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 780.</w:t>
      </w:r>
      <w:r w:rsidR="00AA2A48" w:rsidRPr="00DA6BE4">
        <w:rPr>
          <w:rFonts w:ascii="Times New Roman" w:hAnsi="Times New Roman" w:cs="Times New Roman"/>
        </w:rPr>
        <w:fldChar w:fldCharType="end"/>
      </w:r>
    </w:p>
  </w:footnote>
  <w:footnote w:id="42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&lt;EndNote&gt;&lt;Cite&gt;&lt;Author&gt;Putnam&lt;/Author&gt;&lt;Year&gt;1992&lt;/Year&gt;&lt;RecNum&gt;41&lt;/RecNum&gt;&lt;Pages&gt;180-200&lt;/Pages&gt;&lt;DisplayText&gt;Hilary Putnam, &amp;quot;A Reconsideration of Deweyan Democracy,&amp;quot; in &lt;style face="italic"&gt;Renewing Philosophy&lt;/style&gt; (Cambridge, Mass.: Harvard University Press, 1992), 180-200.&lt;/DisplayText&gt;&lt;record&gt;&lt;rec-number&gt;41&lt;/rec-number&gt;&lt;foreign-keys&gt;&lt;key app="EN" db-id="vxze0a2pwrt959ep2afxdw5cat595wt9sv95" timestamp="1443695987"&gt;41&lt;/key&gt;&lt;/foreign-keys&gt;&lt;ref-type name="Book Section"&gt;5&lt;/ref-type&gt;&lt;contributors&gt;&lt;authors&gt;&lt;author&gt;Putnam, Hilary&lt;/author&gt;&lt;/authors&gt;&lt;/contributors&gt;&lt;titles&gt;&lt;title&gt;A Reconsideration of Deweyan Democracy&lt;/title&gt;&lt;secondary-title&gt;Renewing Philosophy&lt;/secondary-title&gt;&lt;/titles&gt;&lt;pages&gt;180-200&lt;/pages&gt;&lt;keywords&gt;&lt;keyword&gt;Philosophy.&lt;/keyword&gt;&lt;keyword&gt;Philosophy and science.&lt;/keyword&gt;&lt;/keywords&gt;&lt;dates&gt;&lt;year&gt;1992&lt;/year&gt;&lt;/dates&gt;&lt;pub-location&gt;Cambridge, Mass.&lt;/pub-location&gt;&lt;publisher&gt;Harvard University Press&lt;/publisher&gt;&lt;isbn&gt;067476093X (alk. paper)&lt;/isbn&gt;&lt;accession-num&gt;1559077&lt;/accession-num&gt;&lt;call-num&gt;Jefferson or Adams Building Reading Rooms B29 .P88 1992&amp;#xD;Jefferson or Adams Building Reading Rooms - STORED OFFSITE B29 .P88 1992&lt;/call-num&gt;&lt;urls&gt;&lt;/urls&gt;&lt;/record&gt;&lt;/Cite&gt;&lt;/EndNote&gt;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Hilary Putnam, "A Reconsideration of Deweyan Democracy," in </w:t>
      </w:r>
      <w:r w:rsidRPr="00AF34C8">
        <w:rPr>
          <w:rFonts w:ascii="Times New Roman" w:hAnsi="Times New Roman" w:cs="Times New Roman"/>
          <w:i/>
          <w:noProof/>
        </w:rPr>
        <w:t>Renewing Philosophy</w:t>
      </w:r>
      <w:r>
        <w:rPr>
          <w:rFonts w:ascii="Times New Roman" w:hAnsi="Times New Roman" w:cs="Times New Roman"/>
          <w:noProof/>
        </w:rPr>
        <w:t xml:space="preserve"> (Cambridge, Mass.: Harvard University Press, 1992), 180-200.</w:t>
      </w:r>
      <w:r w:rsidR="00AA2A48" w:rsidRPr="00DA6BE4">
        <w:rPr>
          <w:rFonts w:ascii="Times New Roman" w:hAnsi="Times New Roman" w:cs="Times New Roman"/>
        </w:rPr>
        <w:fldChar w:fldCharType="end"/>
      </w:r>
    </w:p>
  </w:footnote>
  <w:footnote w:id="42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This idea is most famously outlined by Hegel: “The Owl of Minerva </w:t>
      </w:r>
      <w:r>
        <w:rPr>
          <w:rFonts w:ascii="Times New Roman" w:hAnsi="Times New Roman" w:cs="Times New Roman"/>
        </w:rPr>
        <w:t xml:space="preserve">begins its flight only with the onset of </w:t>
      </w:r>
      <w:r w:rsidRPr="00DA6BE4">
        <w:rPr>
          <w:rFonts w:ascii="Times New Roman" w:hAnsi="Times New Roman" w:cs="Times New Roman"/>
        </w:rPr>
        <w:t>dusk</w:t>
      </w:r>
      <w:r>
        <w:rPr>
          <w:rFonts w:ascii="Times New Roman" w:hAnsi="Times New Roman" w:cs="Times New Roman"/>
        </w:rPr>
        <w:t xml:space="preserve">.” See </w:t>
      </w:r>
      <w:r w:rsidR="00AA2A48">
        <w:rPr>
          <w:rFonts w:ascii="Times New Roman" w:hAnsi="Times New Roman" w:cs="Times New Roman"/>
        </w:rPr>
        <w:fldChar w:fldCharType="begin"/>
      </w:r>
      <w:r>
        <w:rPr>
          <w:rFonts w:ascii="Times New Roman" w:hAnsi="Times New Roman" w:cs="Times New Roman"/>
        </w:rPr>
        <w:instrText xml:space="preserve"> ADDIN EN.CITE &lt;EndNote&gt;&lt;Cite&gt;&lt;Author&gt;Hegel&lt;/Author&gt;&lt;Year&gt;1991&lt;/Year&gt;&lt;RecNum&gt;177&lt;/RecNum&gt;&lt;Pages&gt;23&lt;/Pages&gt;&lt;DisplayText&gt;G. W. F. Hegel, &lt;style face="italic"&gt;Elements of the Philosophy of Right&lt;/style&gt;, trans. H B Nisbet (Cambridge: Cambridge University Press, 1991), 23.&lt;/DisplayText&gt;&lt;record&gt;&lt;rec-number&gt;177&lt;/rec-number&gt;&lt;foreign-keys&gt;&lt;key app="EN" db-id="vxze0a2pwrt959ep2afxdw5cat595wt9sv95" timestamp="1529850830"&gt;177&lt;/key&gt;&lt;/foreign-keys&gt;&lt;ref-type name="Book"&gt;6&lt;/ref-type&gt;&lt;contributors&gt;&lt;authors&gt;&lt;author&gt;Hegel, G. W. F.&lt;/author&gt;&lt;/authors&gt;&lt;subsidiary-authors&gt;&lt;author&gt;H B Nisbet&lt;/author&gt;&lt;/subsidiary-authors&gt;&lt;/contributors&gt;&lt;titles&gt;&lt;title&gt;Elements of the Philosophy of Right&lt;/title&gt;&lt;/titles&gt;&lt;dates&gt;&lt;year&gt;1991&lt;/year&gt;&lt;/dates&gt;&lt;pub-location&gt;Cambridge&lt;/pub-location&gt;&lt;publisher&gt;Cambridge University Press&lt;/publisher&gt;&lt;urls&gt;&lt;/urls&gt;&lt;/record&gt;&lt;/Cite&gt;&lt;/EndNote&gt;</w:instrText>
      </w:r>
      <w:r w:rsidR="00AA2A48">
        <w:rPr>
          <w:rFonts w:ascii="Times New Roman" w:hAnsi="Times New Roman" w:cs="Times New Roman"/>
        </w:rPr>
        <w:fldChar w:fldCharType="separate"/>
      </w:r>
      <w:r>
        <w:rPr>
          <w:rFonts w:ascii="Times New Roman" w:hAnsi="Times New Roman" w:cs="Times New Roman"/>
          <w:noProof/>
        </w:rPr>
        <w:t xml:space="preserve">G. W. F. Hegel, </w:t>
      </w:r>
      <w:r w:rsidRPr="006C4DBA">
        <w:rPr>
          <w:rFonts w:ascii="Times New Roman" w:hAnsi="Times New Roman" w:cs="Times New Roman"/>
          <w:i/>
          <w:noProof/>
        </w:rPr>
        <w:t>Elements of the Philosophy of Right</w:t>
      </w:r>
      <w:r>
        <w:rPr>
          <w:rFonts w:ascii="Times New Roman" w:hAnsi="Times New Roman" w:cs="Times New Roman"/>
          <w:noProof/>
        </w:rPr>
        <w:t>, trans. H B Nisbet (Cambridge: Cambridge University Press, 1991), 23.</w:t>
      </w:r>
      <w:r w:rsidR="00AA2A48">
        <w:rPr>
          <w:rFonts w:ascii="Times New Roman" w:hAnsi="Times New Roman" w:cs="Times New Roman"/>
        </w:rPr>
        <w:fldChar w:fldCharType="end"/>
      </w:r>
    </w:p>
  </w:footnote>
  <w:footnote w:id="43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AuthorYear="1"&gt;&lt;Author&gt;Walzer&lt;/Author&gt;&lt;Year&gt;1990&lt;/Year&gt;&lt;RecNum&gt;107&lt;/RecNum&gt;&lt;Pages&gt;6-23&lt;/Pages&gt;&lt;DisplayText&gt;Walzer, &amp;quot;The Communitarian Critique of Liberalism,&amp;quot; 6-23.&lt;/DisplayText&gt;&lt;record&gt;&lt;rec-number&gt;107&lt;/rec-number&gt;&lt;foreign-keys&gt;&lt;key app="EN" db-id="vxze0a2pwrt959ep2afxdw5cat595wt9sv95" timestamp="1449598408"&gt;107&lt;/key&gt;&lt;/foreign-keys&gt;&lt;ref-type name="Journal Article"&gt;17&lt;/ref-type&gt;&lt;contributors&gt;&lt;authors&gt;&lt;author&gt;Walzer, Michael&lt;/author&gt;&lt;/authors&gt;&lt;/contributors&gt;&lt;titles&gt;&lt;title&gt;The Communitarian Critique of Liberalism&lt;/title&gt;&lt;secondary-title&gt;Political Theory&lt;/secondary-title&gt;&lt;/titles&gt;&lt;periodical&gt;&lt;full-title&gt;Political Theory&lt;/full-title&gt;&lt;/periodical&gt;&lt;pages&gt;6-23&lt;/pages&gt;&lt;volume&gt;18&lt;/volume&gt;&lt;number&gt;1&lt;/number&gt;&lt;dates&gt;&lt;year&gt;1990&lt;/year&gt;&lt;/dates&gt;&lt;publisher&gt;Sage Publications, Inc.&lt;/publisher&gt;&lt;isbn&gt;00905917&lt;/isbn&gt;&lt;urls&gt;&lt;related-urls&gt;&lt;url&gt;http://www.jstor.org/stable/191477&lt;/url&gt;&lt;/related-urls&gt;&lt;/urls&gt;&lt;custom1&gt;Full publication date: Feb., 1990&lt;/custom1&gt;&lt;/record&gt;&lt;/Cite&gt;&lt;/EndNote&gt;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Walzer, "The Communitarian Critique of Liberalism," 6-23.</w:t>
      </w:r>
      <w:r w:rsidR="00AA2A48" w:rsidRPr="00DA6BE4">
        <w:rPr>
          <w:rFonts w:ascii="Times New Roman" w:hAnsi="Times New Roman" w:cs="Times New Roman"/>
        </w:rPr>
        <w:fldChar w:fldCharType="end"/>
      </w:r>
    </w:p>
  </w:footnote>
  <w:footnote w:id="43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note that on the liberal account, political allegiance is usually defended by appealing to the priority of right over the good – that is, by appealing to some account of justice.</w:t>
      </w:r>
    </w:p>
  </w:footnote>
  <w:footnote w:id="43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AuthorYear="1"&gt;&lt;Author&gt;Murphy&lt;/Author&gt;&lt;Year&gt;2003&lt;/Year&gt;&lt;RecNum&gt;37&lt;/RecNum&gt;&lt;Pages&gt;156&lt;/Pages&gt;&lt;DisplayText&gt;Murphy, &amp;quot;Macintyre&amp;apos;s Political Philosophy,&amp;quot; 156.&lt;/DisplayText&gt;&lt;record&gt;&lt;rec-number&gt;37&lt;/rec-number&gt;&lt;foreign-keys&gt;&lt;key app="EN" db-id="vxze0a2pwrt959ep2afxdw5cat595wt9sv95" timestamp="1443695389"&gt;37&lt;/key&gt;&lt;/foreign-keys&gt;&lt;ref-type name="Book Section"&gt;5&lt;/ref-type&gt;&lt;contributors&gt;&lt;authors&gt;&lt;author&gt;Murphy, Mark C.&lt;/author&gt;&lt;/authors&gt;&lt;secondary-authors&gt;&lt;author&gt;Murphy, Mark C.&lt;/author&gt;&lt;/secondary-authors&gt;&lt;/contributors&gt;&lt;titles&gt;&lt;title&gt;MacIntyre&amp;apos;s Political Philosophy&lt;/title&gt;&lt;secondary-title&gt;Alasdair MacIntyre&lt;/secondary-title&gt;&lt;tertiary-title&gt;Contemporary Philosophy in Focus&lt;/tertiary-title&gt;&lt;/titles&gt;&lt;pages&gt;152-175&lt;/pages&gt;&lt;section&gt;6&lt;/section&gt;&lt;dates&gt;&lt;year&gt;2003&lt;/year&gt;&lt;/dates&gt;&lt;pub-location&gt;Cambridge, UK ; New York&lt;/pub-location&gt;&lt;publisher&gt;Cambridge University Press&lt;/publisher&gt;&lt;urls&gt;&lt;/urls&gt;&lt;/record&gt;&lt;/Cite&gt;&lt;/EndNote&gt;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Murphy, "Macintyre's Political Philosophy," 156.</w:t>
      </w:r>
      <w:r w:rsidR="00AA2A48" w:rsidRPr="00DA6BE4">
        <w:rPr>
          <w:rFonts w:ascii="Times New Roman" w:hAnsi="Times New Roman" w:cs="Times New Roman"/>
        </w:rPr>
        <w:fldChar w:fldCharType="end"/>
      </w:r>
    </w:p>
  </w:footnote>
  <w:footnote w:id="43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 AuthorYear="1"&gt;&lt;Author&gt;MacIntyre&lt;/Author&gt;&lt;Year&gt;1984&lt;/Year&gt;&lt;RecNum&gt;48&lt;/RecNum&gt;&lt;Pages&gt;Chapter 4 &amp;amp; 5&lt;/Pages&gt;&lt;DisplayText&gt;MacIntyre, &lt;style face="italic"&gt;After Virtue&lt;/style&gt;, Chapter 4 &amp;amp; 5.&lt;/DisplayText&gt;&lt;record&gt;&lt;rec-number&gt;48&lt;/rec-number&gt;&lt;foreign-keys&gt;&lt;key app="EN" db-id="vxze0a2pwrt959ep2afxdw5cat595wt9sv95" timestamp="1443697343"&gt;48&lt;/key&gt;&lt;/foreign-keys&gt;&lt;ref-type name="Book"&gt;6&lt;/ref-type&gt;&lt;contributors&gt;&lt;authors&gt;&lt;author&gt;MacIntyre, Alasdair&lt;/author&gt;&lt;/authors&gt;&lt;/contributors&gt;&lt;titles&gt;&lt;title&gt;After Virtue : a Study in Moral Theory&lt;/title&gt;&lt;short-title&gt;After Virtue&lt;/short-title&gt;&lt;/titles&gt;&lt;pages&gt;xi, 286 p.&lt;/pages&gt;&lt;edition&gt;2nd&lt;/edition&gt;&lt;keywords&gt;&lt;keyword&gt;Ethics.&lt;/keyword&gt;&lt;keyword&gt;Virtues.&lt;/keyword&gt;&lt;keyword&gt;Virtue.&lt;/keyword&gt;&lt;/keywords&gt;&lt;dates&gt;&lt;year&gt;1984&lt;/year&gt;&lt;/dates&gt;&lt;pub-location&gt;Notre Dame, Indiana&lt;/pub-location&gt;&lt;publisher&gt;University of Notre Dame Press&lt;/publisher&gt;&lt;isbn&gt;0268006105&amp;#xD;0268006113 (pbk.)&lt;/isbn&gt;&lt;accession-num&gt;2351936&lt;/accession-num&gt;&lt;call-num&gt;Jefferson or Adams Building Reading Rooms BJ1012 .M325 1984&lt;/call-num&gt;&lt;urls&gt;&lt;/urls&gt;&lt;/record&gt;&lt;/Cite&gt;&lt;/EndNote&gt;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MacIntyre, </w:t>
      </w:r>
      <w:r w:rsidRPr="0062452B">
        <w:rPr>
          <w:rFonts w:ascii="Times New Roman" w:hAnsi="Times New Roman" w:cs="Times New Roman"/>
          <w:i/>
          <w:noProof/>
        </w:rPr>
        <w:t>After Virtue</w:t>
      </w:r>
      <w:r>
        <w:rPr>
          <w:rFonts w:ascii="Times New Roman" w:hAnsi="Times New Roman" w:cs="Times New Roman"/>
          <w:noProof/>
        </w:rPr>
        <w:t>, Chapter 4 &amp; 5.</w:t>
      </w:r>
      <w:r w:rsidR="00AA2A48" w:rsidRPr="00DA6BE4">
        <w:rPr>
          <w:rFonts w:ascii="Times New Roman" w:hAnsi="Times New Roman" w:cs="Times New Roman"/>
        </w:rPr>
        <w:fldChar w:fldCharType="end"/>
      </w:r>
    </w:p>
  </w:footnote>
  <w:footnote w:id="43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Overlapping consensus is a particular account of justice that grounds the institutions of a political community, i.e., autonomy, liberty, in a participatory democratic society. The consensus is itself grounded in a set of core commitments that are morally significant. </w:t>
      </w:r>
    </w:p>
  </w:footnote>
  <w:footnote w:id="43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MacIntyre’s point here is that abstract general principles that are not grounded in the participatory social life of a community do not generate the right type of motivation, while those ideas shaped through participating in social practices have a greater hold on us, according to the Aristotelian picture he presents.</w:t>
      </w:r>
    </w:p>
  </w:footnote>
  <w:footnote w:id="43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AuthorYear="1"&gt;&lt;Author&gt;Honneth&lt;/Author&gt;&lt;Year&gt;1998&lt;/Year&gt;&lt;RecNum&gt;106&lt;/RecNum&gt;&lt;Pages&gt;763-783&lt;/Pages&gt;&lt;DisplayText&gt;Honneth, &amp;quot;Democracy as Reflexive Cooperation: John Dewey and the Theory of Democracy Today,&amp;quot; 763-783.&lt;/DisplayText&gt;&lt;record&gt;&lt;rec-number&gt;106&lt;/rec-number&gt;&lt;foreign-keys&gt;&lt;key app="EN" db-id="vxze0a2pwrt959ep2afxdw5cat595wt9sv95" timestamp="1449598323"&gt;106&lt;/key&gt;&lt;/foreign-keys&gt;&lt;ref-type name="Journal Article"&gt;17&lt;/ref-type&gt;&lt;contributors&gt;&lt;authors&gt;&lt;author&gt;Honneth, Axel&lt;/author&gt;&lt;/authors&gt;&lt;/contributors&gt;&lt;titles&gt;&lt;title&gt;Democracy as Reflexive Cooperation: John Dewey and the Theory of Democracy Today&lt;/title&gt;&lt;secondary-title&gt;Political Theory&lt;/secondary-title&gt;&lt;/titles&gt;&lt;periodical&gt;&lt;full-title&gt;Political Theory&lt;/full-title&gt;&lt;/periodical&gt;&lt;pages&gt;763-783&lt;/pages&gt;&lt;volume&gt;26&lt;/volume&gt;&lt;number&gt;6&lt;/number&gt;&lt;dates&gt;&lt;year&gt;1998&lt;/year&gt;&lt;/dates&gt;&lt;publisher&gt;Sage Publications, Inc.&lt;/publisher&gt;&lt;isbn&gt;00905917&lt;/isbn&gt;&lt;urls&gt;&lt;related-urls&gt;&lt;url&gt;http://www.jstor.org/stable/191992&lt;/url&gt;&lt;/related-urls&gt;&lt;/urls&gt;&lt;custom1&gt;Full publication date: Dec., 1998&lt;/custom1&gt;&lt;/record&gt;&lt;/Cite&gt;&lt;/EndNote&gt;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Honneth, "Democracy as Reflexive Cooperation: John Dewey and the Theory of Democracy Today," 763-783.</w:t>
      </w:r>
      <w:r w:rsidR="00AA2A48" w:rsidRPr="00DA6BE4">
        <w:rPr>
          <w:rFonts w:ascii="Times New Roman" w:hAnsi="Times New Roman" w:cs="Times New Roman"/>
        </w:rPr>
        <w:fldChar w:fldCharType="end"/>
      </w:r>
    </w:p>
  </w:footnote>
  <w:footnote w:id="43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AuthorYear="1"&gt;&lt;Author&gt;Dewey&lt;/Author&gt;&lt;Year&gt;1991&lt;/Year&gt;&lt;RecNum&gt;105&lt;/RecNum&gt;&lt;DisplayText&gt;Dewey, &lt;style face="italic"&gt;The Public and Its Problems&lt;/style&gt;.&lt;/DisplayText&gt;&lt;record&gt;&lt;rec-number&gt;105&lt;/rec-number&gt;&lt;foreign-keys&gt;&lt;key app="EN" db-id="vxze0a2pwrt959ep2afxdw5cat595wt9sv95" timestamp="1449598269"&gt;105&lt;/key&gt;&lt;/foreign-keys&gt;&lt;ref-type name="Book"&gt;6&lt;/ref-type&gt;&lt;contributors&gt;&lt;authors&gt;&lt;author&gt;Dewey, John&lt;/author&gt;&lt;/authors&gt;&lt;/contributors&gt;&lt;titles&gt;&lt;title&gt;The public and its problems&lt;/title&gt;&lt;/titles&gt;&lt;pages&gt;vi, 236 p.&lt;/pages&gt;&lt;keywords&gt;&lt;keyword&gt;Democracy.&lt;/keyword&gt;&lt;keyword&gt;Political science.&lt;/keyword&gt;&lt;keyword&gt;State, The.&lt;/keyword&gt;&lt;/keywords&gt;&lt;dates&gt;&lt;year&gt;1991&lt;/year&gt;&lt;/dates&gt;&lt;pub-location&gt;Athens&lt;/pub-location&gt;&lt;publisher&gt;Swallow Press&lt;/publisher&gt;&lt;isbn&gt;0804002541 (pbk. acid-free paper)&lt;/isbn&gt;&lt;accession-num&gt;1069749&lt;/accession-num&gt;&lt;call-num&gt;Jefferson or Adams Building Reading Rooms JC251 .D47 1991&lt;/call-num&gt;&lt;urls&gt;&lt;related-urls&gt;&lt;url&gt;Publisher description http://www.loc.gov/catdir/enhancements/fy0666/91015365-d.html&lt;/url&gt;&lt;/related-urls&gt;&lt;/urls&gt;&lt;/record&gt;&lt;/Cite&gt;&lt;/EndNote&gt;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Dewey, </w:t>
      </w:r>
      <w:r w:rsidRPr="00DA6BE4">
        <w:rPr>
          <w:rFonts w:ascii="Times New Roman" w:hAnsi="Times New Roman" w:cs="Times New Roman"/>
          <w:i/>
          <w:noProof/>
        </w:rPr>
        <w:t>The Public and Its Problems</w:t>
      </w:r>
      <w:r w:rsidRPr="00DA6BE4">
        <w:rPr>
          <w:rFonts w:ascii="Times New Roman" w:hAnsi="Times New Roman" w:cs="Times New Roman"/>
          <w:noProof/>
        </w:rPr>
        <w:t>.</w:t>
      </w:r>
      <w:r w:rsidR="00AA2A48" w:rsidRPr="00DA6BE4">
        <w:rPr>
          <w:rFonts w:ascii="Times New Roman" w:hAnsi="Times New Roman" w:cs="Times New Roman"/>
        </w:rPr>
        <w:fldChar w:fldCharType="end"/>
      </w:r>
    </w:p>
  </w:footnote>
  <w:footnote w:id="43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AuthorYear="1"&gt;&lt;Author&gt;MacIntyre&lt;/Author&gt;&lt;Year&gt;1995&lt;/Year&gt;&lt;RecNum&gt;149&lt;/RecNum&gt;&lt;Pages&gt;xv&lt;/Pages&gt;&lt;DisplayText&gt;Alasdair MacIntyre, &lt;style face="italic"&gt;Marxism and Christianity&lt;/style&gt;, 2nd ed. (Notre Dame: University of Notre Dame Press, 1995), xv.&lt;/DisplayText&gt;&lt;record&gt;&lt;rec-number&gt;149&lt;/rec-number&gt;&lt;foreign-keys&gt;&lt;key app="EN" db-id="vxze0a2pwrt959ep2afxdw5cat595wt9sv95" timestamp="1520878493"&gt;149&lt;/key&gt;&lt;/foreign-keys&gt;&lt;ref-type name="Book"&gt;6&lt;/ref-type&gt;&lt;contributors&gt;&lt;authors&gt;&lt;author&gt;MacIntyre, Alasdair&lt;/author&gt;&lt;/authors&gt;&lt;/contributors&gt;&lt;titles&gt;&lt;title&gt;Marxism and Christianity&lt;/title&gt;&lt;/titles&gt;&lt;edition&gt;2nd&lt;/edition&gt;&lt;dates&gt;&lt;year&gt;1995&lt;/year&gt;&lt;/dates&gt;&lt;pub-location&gt;Notre Dame&lt;/pub-location&gt;&lt;publisher&gt;University of Notre Dame Press&lt;/publisher&gt;&lt;orig-pub&gt;1968&lt;/orig-pub&gt;&lt;urls&gt;&lt;/urls&gt;&lt;/record&gt;&lt;/Cite&gt;&lt;/EndNote&gt;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Alasdair MacIntyre, </w:t>
      </w:r>
      <w:r w:rsidRPr="00DA6BE4">
        <w:rPr>
          <w:rFonts w:ascii="Times New Roman" w:hAnsi="Times New Roman" w:cs="Times New Roman"/>
          <w:i/>
          <w:noProof/>
        </w:rPr>
        <w:t>Marxism and Christianity</w:t>
      </w:r>
      <w:r w:rsidRPr="00DA6BE4">
        <w:rPr>
          <w:rFonts w:ascii="Times New Roman" w:hAnsi="Times New Roman" w:cs="Times New Roman"/>
          <w:noProof/>
        </w:rPr>
        <w:t>, 2nd ed. (Notre Dame: University of Notre Dame Press, 1995), xv.</w:t>
      </w:r>
      <w:r w:rsidR="00AA2A48" w:rsidRPr="00DA6BE4">
        <w:rPr>
          <w:rFonts w:ascii="Times New Roman" w:hAnsi="Times New Roman" w:cs="Times New Roman"/>
        </w:rPr>
        <w:fldChar w:fldCharType="end"/>
      </w:r>
    </w:p>
  </w:footnote>
  <w:footnote w:id="43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Elizabeth Anderson is an example of the type of work in political philosophy that utilises such an approach;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&lt;EndNote&gt;&lt;Cite&gt;&lt;Author&gt;Anderson&lt;/Author&gt;&lt;Year&gt;2015&lt;/Year&gt;&lt;RecNum&gt;152&lt;/RecNum&gt;&lt;Pages&gt;48-69&lt;/Pages&gt;&lt;DisplayText&gt;Elizabeth Anderson, &amp;quot;Equality and Freedom in the Workplace: Recovering Republican Insights,&amp;quot; &lt;style face="italic"&gt;Social Philosophy and Policy&lt;/style&gt; 31, no. 2 (2015): 48-69.&lt;/DisplayText&gt;&lt;record&gt;&lt;rec-number&gt;152&lt;/rec-number&gt;&lt;foreign-keys&gt;&lt;key app="EN" db-id="vxze0a2pwrt959ep2afxdw5cat595wt9sv95" timestamp="1520881277"&gt;152&lt;/key&gt;&lt;/foreign-keys&gt;&lt;ref-type name="Journal Article"&gt;17&lt;/ref-type&gt;&lt;contributors&gt;&lt;authors&gt;&lt;author&gt;Anderson, Elizabeth&lt;/author&gt;&lt;/authors&gt;&lt;/contributors&gt;&lt;titles&gt;&lt;title&gt;Equality and Freedom in the Workplace: Recovering Republican Insights&lt;/title&gt;&lt;secondary-title&gt;Social Philosophy and Policy&lt;/secondary-title&gt;&lt;/titles&gt;&lt;periodical&gt;&lt;full-title&gt;Social Philosophy and Policy&lt;/full-title&gt;&lt;/periodical&gt;&lt;pages&gt;48-69&lt;/pages&gt;&lt;volume&gt;31&lt;/volume&gt;&lt;number&gt;2&lt;/number&gt;&lt;dates&gt;&lt;year&gt;2015&lt;/year&gt;&lt;/dates&gt;&lt;urls&gt;&lt;/urls&gt;&lt;/record&gt;&lt;/Cite&gt;&lt;/EndNote&gt;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Elizabeth Anderson, "Equality and Freedom in the Workplace: Recovering Republican Insights," </w:t>
      </w:r>
      <w:r w:rsidRPr="0062452B">
        <w:rPr>
          <w:rFonts w:ascii="Times New Roman" w:hAnsi="Times New Roman" w:cs="Times New Roman"/>
          <w:i/>
          <w:noProof/>
        </w:rPr>
        <w:t>Social Philosophy and Policy</w:t>
      </w:r>
      <w:r>
        <w:rPr>
          <w:rFonts w:ascii="Times New Roman" w:hAnsi="Times New Roman" w:cs="Times New Roman"/>
          <w:noProof/>
        </w:rPr>
        <w:t xml:space="preserve"> 31, no. 2 (2015): 48-69.</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&lt;EndNote&gt;&lt;Cite&gt;&lt;Author&gt;Anderson&lt;/Author&gt;&lt;Year&gt;2014&lt;/Year&gt;&lt;RecNum&gt;153&lt;/RecNum&gt;&lt;Pages&gt;258-267&lt;/Pages&gt;&lt;DisplayText&gt;Elizabeth Anderson, &amp;quot;A World Turned Upside Down: Social Hierarchies and a New History of Egalitarianism,&amp;quot; &lt;style face="italic"&gt;Juncture&lt;/style&gt; 20, no. 4 (2014): 258-267.&lt;/DisplayText&gt;&lt;record&gt;&lt;rec-number&gt;153&lt;/rec-number&gt;&lt;foreign-keys&gt;&lt;key app="EN" db-id="vxze0a2pwrt959ep2afxdw5cat595wt9sv95" timestamp="1520881401"&gt;153&lt;/key&gt;&lt;/foreign-keys&gt;&lt;ref-type name="Journal Article"&gt;17&lt;/ref-type&gt;&lt;contributors&gt;&lt;authors&gt;&lt;author&gt;Anderson, Elizabeth&lt;/author&gt;&lt;/authors&gt;&lt;/contributors&gt;&lt;titles&gt;&lt;title&gt;A World Turned Upside Down: Social Hierarchies and a New History of Egalitarianism&lt;/title&gt;&lt;secondary-title&gt;Juncture&lt;/secondary-title&gt;&lt;/titles&gt;&lt;periodical&gt;&lt;full-title&gt;Juncture&lt;/full-title&gt;&lt;/periodical&gt;&lt;pages&gt;258-267&lt;/pages&gt;&lt;volume&gt;20&lt;/volume&gt;&lt;number&gt;4&lt;/number&gt;&lt;dates&gt;&lt;year&gt;2014&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Elizabeth Anderson, "A World Turned Upside Down: Social Hierarchies and a New History of Egalitarianism," </w:t>
      </w:r>
      <w:r w:rsidRPr="0062452B">
        <w:rPr>
          <w:rFonts w:ascii="Times New Roman" w:hAnsi="Times New Roman" w:cs="Times New Roman"/>
          <w:i/>
          <w:noProof/>
        </w:rPr>
        <w:t>Juncture</w:t>
      </w:r>
      <w:r>
        <w:rPr>
          <w:rFonts w:ascii="Times New Roman" w:hAnsi="Times New Roman" w:cs="Times New Roman"/>
          <w:noProof/>
        </w:rPr>
        <w:t xml:space="preserve"> 20, no. 4 (2014): 258-267.</w:t>
      </w:r>
      <w:r w:rsidR="00AA2A48" w:rsidRPr="00DA6BE4">
        <w:rPr>
          <w:rFonts w:ascii="Times New Roman" w:hAnsi="Times New Roman" w:cs="Times New Roman"/>
        </w:rPr>
        <w:fldChar w:fldCharType="end"/>
      </w:r>
    </w:p>
  </w:footnote>
  <w:footnote w:id="440">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For example see the case of the water company in Oxford Massachusetts </w:t>
      </w:r>
      <w:proofErr w:type="spellStart"/>
      <w:r w:rsidRPr="00DA6BE4">
        <w:rPr>
          <w:rFonts w:ascii="Times New Roman" w:hAnsi="Times New Roman" w:cs="Times New Roman"/>
        </w:rPr>
        <w:t>Aquarion</w:t>
      </w:r>
      <w:proofErr w:type="spellEnd"/>
      <w:r w:rsidRPr="00DA6BE4">
        <w:rPr>
          <w:rFonts w:ascii="Times New Roman" w:hAnsi="Times New Roman" w:cs="Times New Roman"/>
        </w:rPr>
        <w:t xml:space="preserve">. Due to poor service and rising costs, the locals voted to raise the funds to purchase the company. </w:t>
      </w:r>
      <w:proofErr w:type="spellStart"/>
      <w:r w:rsidRPr="00DA6BE4">
        <w:rPr>
          <w:rFonts w:ascii="Times New Roman" w:hAnsi="Times New Roman" w:cs="Times New Roman"/>
        </w:rPr>
        <w:t>Aquarion</w:t>
      </w:r>
      <w:proofErr w:type="spellEnd"/>
      <w:r w:rsidRPr="00DA6BE4">
        <w:rPr>
          <w:rFonts w:ascii="Times New Roman" w:hAnsi="Times New Roman" w:cs="Times New Roman"/>
        </w:rPr>
        <w:t xml:space="preserve"> was able to use a number of delaying tactics and procedural mechanisms to undermine the democratic decision undertaken by the residents of Oxford.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&lt;EndNote&gt;&lt;Cite&gt;&lt;Author&gt;Mounk&lt;/Author&gt;&lt;Year&gt;March (2018) https://www.theatlantic.com/magazine/archive/2018/03/america-is-not-a-democracy/550931/, Mar-2018&lt;/Year&gt;&lt;RecNum&gt;154&lt;/RecNum&gt;&lt;DisplayText&gt;Yascha Mounk, &amp;quot;America Is Not a Democracy,&amp;quot; &lt;style face="italic"&gt;The Atlantic&lt;/style&gt; March (2018) https://www.theatlantic.com/magazine/archive/2018/03/america-is-not-a-democracy/550931/, Mar-2018.&lt;/DisplayText&gt;&lt;record&gt;&lt;rec-number&gt;154&lt;/rec-number&gt;&lt;foreign-keys&gt;&lt;key app="EN" db-id="vxze0a2pwrt959ep2afxdw5cat595wt9sv95" timestamp="1520881998"&gt;154&lt;/key&gt;&lt;/foreign-keys&gt;&lt;ref-type name="Magazine Article"&gt;19&lt;/ref-type&gt;&lt;contributors&gt;&lt;authors&gt;&lt;author&gt;Mounk, Yascha&lt;/author&gt;&lt;/authors&gt;&lt;/contributors&gt;&lt;titles&gt;&lt;title&gt;America Is Not a Democracy&lt;/title&gt;&lt;secondary-title&gt;The Atlantic&lt;/secondary-title&gt;&lt;/titles&gt;&lt;dates&gt;&lt;year&gt;March (2018) https://www.theatlantic.com/magazine/archive/2018/03/america-is-not-a-democracy/550931/, Mar-2018&lt;/year&gt;&lt;/dates&gt;&lt;pub-location&gt;Washington, D.C.&lt;/pub-location&gt;&lt;publisher&gt;Haley Romer&lt;/publisher&gt;&lt;work-type&gt;Politics&lt;/work-type&gt;&lt;urls&gt;&lt;related-urls&gt;&lt;url&gt;https://www.theatlantic.com/magazine/archive/2018/03/america-is-not-a-democracy/550931/&lt;/url&gt;&lt;/related-urls&gt;&lt;/urls&gt;&lt;electronic-resource-num&gt;https://www.theatlantic.com/magazine/archive/2018/03/america-is-not-a-democracy/550931/&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Yascha Mounk, "America Is Not a Democracy," </w:t>
      </w:r>
      <w:r w:rsidRPr="00DA6BE4">
        <w:rPr>
          <w:rFonts w:ascii="Times New Roman" w:hAnsi="Times New Roman" w:cs="Times New Roman"/>
          <w:i/>
          <w:noProof/>
        </w:rPr>
        <w:t>The Atlantic</w:t>
      </w:r>
      <w:r w:rsidRPr="00DA6BE4">
        <w:rPr>
          <w:rFonts w:ascii="Times New Roman" w:hAnsi="Times New Roman" w:cs="Times New Roman"/>
          <w:noProof/>
        </w:rPr>
        <w:t xml:space="preserve"> March (2018) https://www.theatlantic.com/magazine/archive/2018/03/america-is-not-a-democracy/550931/, Mar-2018.</w:t>
      </w:r>
      <w:r w:rsidR="00AA2A48" w:rsidRPr="00DA6BE4">
        <w:rPr>
          <w:rFonts w:ascii="Times New Roman" w:hAnsi="Times New Roman" w:cs="Times New Roman"/>
        </w:rPr>
        <w:fldChar w:fldCharType="end"/>
      </w:r>
    </w:p>
  </w:footnote>
  <w:footnote w:id="441">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example of industrial mining communities is the type of case I have in mind.</w:t>
      </w:r>
    </w:p>
  </w:footnote>
  <w:footnote w:id="442">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The particular example I have in mind involves various transactions between local communities and utility companies and other large companies.</w:t>
      </w:r>
    </w:p>
  </w:footnote>
  <w:footnote w:id="443">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Dillon’s rule: this was a rule first articulated by federal justice John Forrest Dillon. In an 1868 case Dillon stated that "Municipal corporations owe their origin to, and derive their powers and rights wholly from, the legislature. It breathes into them the breath of life, without which they cannot exist. As it creates, so may it </w:t>
      </w:r>
      <w:proofErr w:type="gramStart"/>
      <w:r w:rsidRPr="00DA6BE4">
        <w:rPr>
          <w:rFonts w:ascii="Times New Roman" w:hAnsi="Times New Roman" w:cs="Times New Roman"/>
        </w:rPr>
        <w:t>destroy.</w:t>
      </w:r>
      <w:proofErr w:type="gramEnd"/>
      <w:r w:rsidRPr="00DA6BE4">
        <w:rPr>
          <w:rFonts w:ascii="Times New Roman" w:hAnsi="Times New Roman" w:cs="Times New Roman"/>
        </w:rPr>
        <w:t xml:space="preserve"> If it may destroy, it may abridge and control."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&lt;EndNote&gt;&lt;Cite&gt;&lt;Year&gt;24 Iowa 455; 1868&lt;/Year&gt;&lt;RecNum&gt;155&lt;/RecNum&gt;&lt;DisplayText&gt;&lt;style face="italic"&gt;City of Clinton V. Cedar Rapids and the Missouri River Railroad&lt;/style&gt;, (24 Iowa 455; 1868).&lt;/DisplayText&gt;&lt;record&gt;&lt;rec-number&gt;155&lt;/rec-number&gt;&lt;foreign-keys&gt;&lt;key app="EN" db-id="vxze0a2pwrt959ep2afxdw5cat595wt9sv95" timestamp="1520890875"&gt;155&lt;/key&gt;&lt;/foreign-keys&gt;&lt;ref-type name="Case"&gt;7&lt;/ref-type&gt;&lt;contributors&gt;&lt;/contributors&gt;&lt;titles&gt;&lt;title&gt;City of Clinton v. Cedar Rapids and the Missouri River Railroad&lt;/title&gt;&lt;tertiary-title&gt;Striking down a city ordinance restricting railroad construction&lt;/tertiary-title&gt;&lt;/titles&gt;&lt;dates&gt;&lt;year&gt;24 Iowa 455; 1868&lt;/year&gt;&lt;/dates&gt;&lt;publisher&gt;Iowa&lt;/publisher&gt;&lt;urls&gt;&lt;/urls&gt;&lt;/record&gt;&lt;/Cite&gt;&lt;/EndNote&gt;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i/>
          <w:noProof/>
        </w:rPr>
        <w:t>City of Clinton V. Cedar Rapids and the Missouri River Railroad</w:t>
      </w:r>
      <w:r w:rsidRPr="00DA6BE4">
        <w:rPr>
          <w:rFonts w:ascii="Times New Roman" w:hAnsi="Times New Roman" w:cs="Times New Roman"/>
          <w:noProof/>
        </w:rPr>
        <w:t>, (24 Iowa 455; 1868).</w:t>
      </w:r>
      <w:r w:rsidR="00AA2A48" w:rsidRPr="00DA6BE4">
        <w:rPr>
          <w:rFonts w:ascii="Times New Roman" w:hAnsi="Times New Roman" w:cs="Times New Roman"/>
        </w:rPr>
        <w:fldChar w:fldCharType="end"/>
      </w:r>
    </w:p>
  </w:footnote>
  <w:footnote w:id="444">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&lt;EndNote&gt;&lt;Cite&gt;&lt;Author&gt;Davis-Cohen&lt;/Author&gt;&lt;Year&gt;2016&lt;/Year&gt;&lt;RecNum&gt;156&lt;/RecNum&gt;&lt;DisplayText&gt;Simon Davis-Cohen, &amp;quot;Democracy at Every Level,&amp;quot; &lt;style face="italic"&gt;The Jacobin&lt;/style&gt; 2016, Sept, https://www.jacobinmag.com/2016/09/local-democracy-dillons-rule-commerce-clause-minimum-wage/, Sept-2016.&lt;/DisplayText&gt;&lt;record&gt;&lt;rec-number&gt;156&lt;/rec-number&gt;&lt;foreign-keys&gt;&lt;key app="EN" db-id="vxze0a2pwrt959ep2afxdw5cat595wt9sv95" timestamp="1520891481"&gt;156&lt;/key&gt;&lt;/foreign-keys&gt;&lt;ref-type name="Magazine Article"&gt;19&lt;/ref-type&gt;&lt;contributors&gt;&lt;authors&gt;&lt;author&gt;Davis-Cohen, Simon&lt;/author&gt;&lt;/authors&gt;&lt;/contributors&gt;&lt;titles&gt;&lt;title&gt;Democracy at Every Level&lt;/title&gt;&lt;secondary-title&gt;The Jacobin&lt;/secondary-title&gt;&lt;/titles&gt;&lt;number&gt;September&lt;/number&gt;&lt;dates&gt;&lt;year&gt;2016, Sept, https://www.jacobinmag.com/2016/09/local-democracy-dillons-rule-commerce-clause-minimum-wage/, Sept-2016&lt;/year&gt;&lt;/dates&gt;&lt;pub-location&gt;New York&lt;/pub-location&gt;&lt;publisher&gt;Sunkara, Bhaskar &lt;/publisher&gt;&lt;isbn&gt;2158-2602&lt;/isbn&gt;&lt;urls&gt;&lt;/urls&gt;&lt;/record&gt;&lt;/Cite&gt;&lt;/EndNote&gt;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Simon Davis-Cohen, "Democracy at Every Level," </w:t>
      </w:r>
      <w:r w:rsidRPr="00DA6BE4">
        <w:rPr>
          <w:rFonts w:ascii="Times New Roman" w:hAnsi="Times New Roman" w:cs="Times New Roman"/>
          <w:i/>
          <w:noProof/>
        </w:rPr>
        <w:t>The Jacobin</w:t>
      </w:r>
      <w:r w:rsidRPr="00DA6BE4">
        <w:rPr>
          <w:rFonts w:ascii="Times New Roman" w:hAnsi="Times New Roman" w:cs="Times New Roman"/>
          <w:noProof/>
        </w:rPr>
        <w:t xml:space="preserve"> 2016, Sept, https://www.jacobinmag.com/2016/09/local-democracy-dillons-rule-commerce-clause-minimum-wage/, Sept-2016.</w:t>
      </w:r>
      <w:r w:rsidR="00AA2A48" w:rsidRPr="00DA6BE4">
        <w:rPr>
          <w:rFonts w:ascii="Times New Roman" w:hAnsi="Times New Roman" w:cs="Times New Roman"/>
        </w:rPr>
        <w:fldChar w:fldCharType="end"/>
      </w:r>
    </w:p>
  </w:footnote>
  <w:footnote w:id="445">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Cooley’s doctrine is named after the chief justice of the Michigan Supreme Court. The Cooley Doctrine proposed a legal theory of an inherent but constitutionally-permitted right to local self-determination. In a concurring opinion, Cooley, J., wrote “local government is [a] matter of absolute right; and the state cannot [as to the case referenced in the main opinion, People v. </w:t>
      </w:r>
      <w:proofErr w:type="spellStart"/>
      <w:r w:rsidRPr="00DA6BE4">
        <w:rPr>
          <w:rFonts w:ascii="Times New Roman" w:hAnsi="Times New Roman" w:cs="Times New Roman"/>
        </w:rPr>
        <w:t>Hurlbut</w:t>
      </w:r>
      <w:proofErr w:type="spellEnd"/>
      <w:r w:rsidRPr="00DA6BE4">
        <w:rPr>
          <w:rFonts w:ascii="Times New Roman" w:hAnsi="Times New Roman" w:cs="Times New Roman"/>
        </w:rPr>
        <w:t xml:space="preserve">] take it away.”,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&lt;EndNote&gt;&lt;Cite&gt;&lt;Year&gt;24 Mich. 44, 108 (1871)&lt;/Year&gt;&lt;RecNum&gt;157&lt;/RecNum&gt;&lt;DisplayText&gt;&lt;style face="italic"&gt;The People V. Hurlbut&lt;/style&gt;, (24 Mich. 44, 108 (1871)).&lt;/DisplayText&gt;&lt;record&gt;&lt;rec-number&gt;157&lt;/rec-number&gt;&lt;foreign-keys&gt;&lt;key app="EN" db-id="vxze0a2pwrt959ep2afxdw5cat595wt9sv95" timestamp="1520891615"&gt;157&lt;/key&gt;&lt;/foreign-keys&gt;&lt;ref-type name="Case"&gt;7&lt;/ref-type&gt;&lt;contributors&gt;&lt;/contributors&gt;&lt;titles&gt;&lt;title&gt;The People v. Hurlbut&lt;/title&gt;&lt;/titles&gt;&lt;dates&gt;&lt;year&gt;24 Mich. 44, 108 (1871)&lt;/year&gt;&lt;/dates&gt;&lt;urls&gt;&lt;/urls&gt;&lt;/record&gt;&lt;/Cite&gt;&lt;/EndNote&gt;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i/>
          <w:noProof/>
        </w:rPr>
        <w:t>The People V. Hurlbut</w:t>
      </w:r>
      <w:r w:rsidRPr="00DA6BE4">
        <w:rPr>
          <w:rFonts w:ascii="Times New Roman" w:hAnsi="Times New Roman" w:cs="Times New Roman"/>
          <w:noProof/>
        </w:rPr>
        <w:t>, (24 Mich. 44, 108 (1871)).</w:t>
      </w:r>
      <w:r w:rsidR="00AA2A48" w:rsidRPr="00DA6BE4">
        <w:rPr>
          <w:rFonts w:ascii="Times New Roman" w:hAnsi="Times New Roman" w:cs="Times New Roman"/>
        </w:rPr>
        <w:fldChar w:fldCharType="end"/>
      </w:r>
    </w:p>
  </w:footnote>
  <w:footnote w:id="446">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AuthorYear="1"&gt;&lt;Author&gt;Davis-Cohen&lt;/Author&gt;&lt;Year&gt;2016&lt;/Year&gt;&lt;RecNum&gt;156&lt;/RecNum&gt;&lt;DisplayText&gt;Davis-Cohen, &amp;quot;Democracy at Every Level.&amp;quot;&lt;/DisplayText&gt;&lt;record&gt;&lt;rec-number&gt;156&lt;/rec-number&gt;&lt;foreign-keys&gt;&lt;key app="EN" db-id="vxze0a2pwrt959ep2afxdw5cat595wt9sv95" timestamp="1520891481"&gt;156&lt;/key&gt;&lt;/foreign-keys&gt;&lt;ref-type name="Magazine Article"&gt;19&lt;/ref-type&gt;&lt;contributors&gt;&lt;authors&gt;&lt;author&gt;Davis-Cohen, Simon&lt;/author&gt;&lt;/authors&gt;&lt;/contributors&gt;&lt;titles&gt;&lt;title&gt;Democracy at Every Level&lt;/title&gt;&lt;secondary-title&gt;The Jacobin&lt;/secondary-title&gt;&lt;/titles&gt;&lt;number&gt;September&lt;/number&gt;&lt;dates&gt;&lt;year&gt;2016, Sept, https://www.jacobinmag.com/2016/09/local-democracy-dillons-rule-commerce-clause-minimum-wage/, Sept-2016&lt;/year&gt;&lt;/dates&gt;&lt;pub-location&gt;New York&lt;/pub-location&gt;&lt;publisher&gt;Sunkara, Bhaskar &lt;/publisher&gt;&lt;isbn&gt;2158-2602&lt;/isbn&gt;&lt;urls&gt;&lt;/urls&gt;&lt;/record&gt;&lt;/Cite&gt;&lt;/EndNote&gt;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Davis-Cohen, "Democracy at Every Level."</w:t>
      </w:r>
      <w:r w:rsidR="00AA2A48" w:rsidRPr="00DA6BE4">
        <w:rPr>
          <w:rFonts w:ascii="Times New Roman" w:hAnsi="Times New Roman" w:cs="Times New Roman"/>
        </w:rPr>
        <w:fldChar w:fldCharType="end"/>
      </w:r>
      <w:r w:rsidRPr="00DA6BE4">
        <w:rPr>
          <w:rFonts w:ascii="Times New Roman" w:hAnsi="Times New Roman" w:cs="Times New Roman"/>
        </w:rPr>
        <w:t xml:space="preserve"> Also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&lt;EndNote&gt;&lt;Cite&gt;&lt;Author&gt;Friedman&lt;/Author&gt;&lt;Year&gt;2001&lt;/Year&gt;&lt;RecNum&gt;158&lt;/RecNum&gt;&lt;DisplayText&gt;Gerald Friedman, &amp;quot;The Sanctity of Property Rights in American History,&amp;quot; in &lt;style face="italic"&gt;Working Paper Series&lt;/style&gt; (Amherst, MA: University of Massachusettes, 2001).&lt;/DisplayText&gt;&lt;record&gt;&lt;rec-number&gt;158&lt;/rec-number&gt;&lt;foreign-keys&gt;&lt;key app="EN" db-id="vxze0a2pwrt959ep2afxdw5cat595wt9sv95" timestamp="1520892164"&gt;158&lt;/key&gt;&lt;/foreign-keys&gt;&lt;ref-type name="Report"&gt;27&lt;/ref-type&gt;&lt;contributors&gt;&lt;authors&gt;&lt;author&gt;Friedman, Gerald&lt;/author&gt;&lt;/authors&gt;&lt;subsidiary-authors&gt;&lt;author&gt;Political Economy Research Institute&lt;/author&gt;&lt;/subsidiary-authors&gt;&lt;/contributors&gt;&lt;titles&gt;&lt;title&gt;The Sanctity of Property Rights in American History&lt;/title&gt;&lt;secondary-title&gt;Working Paper Series&lt;/secondary-title&gt;&lt;/titles&gt;&lt;pages&gt;1-32&lt;/pages&gt;&lt;number&gt;14&lt;/number&gt;&lt;dates&gt;&lt;year&gt;2001&lt;/year&gt;&lt;/dates&gt;&lt;pub-location&gt;Amherst, MA&lt;/pub-location&gt;&lt;publisher&gt;University of Massachusettes&lt;/publisher&gt;&lt;isbn&gt;14&lt;/isbn&gt;&lt;urls&gt;&lt;/urls&gt;&lt;/record&gt;&lt;/Cite&gt;&lt;/EndNote&gt;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Gerald Friedman, "The Sanctity of Property Rights in American History," in </w:t>
      </w:r>
      <w:r w:rsidRPr="00DA6BE4">
        <w:rPr>
          <w:rFonts w:ascii="Times New Roman" w:hAnsi="Times New Roman" w:cs="Times New Roman"/>
          <w:i/>
          <w:noProof/>
        </w:rPr>
        <w:t>Working Paper Series</w:t>
      </w:r>
      <w:r w:rsidRPr="00DA6BE4">
        <w:rPr>
          <w:rFonts w:ascii="Times New Roman" w:hAnsi="Times New Roman" w:cs="Times New Roman"/>
          <w:noProof/>
        </w:rPr>
        <w:t xml:space="preserve"> (Amherst, MA: University of Massachusettes, 2001).</w:t>
      </w:r>
      <w:r w:rsidR="00AA2A48" w:rsidRPr="00DA6BE4">
        <w:rPr>
          <w:rFonts w:ascii="Times New Roman" w:hAnsi="Times New Roman" w:cs="Times New Roman"/>
        </w:rPr>
        <w:fldChar w:fldCharType="end"/>
      </w:r>
    </w:p>
  </w:footnote>
  <w:footnote w:id="447">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ExcludeAuth="1" ExcludeYear="1" Hidden="1"&gt;&lt;Author&gt;Friedman&lt;/Author&gt;&lt;Year&gt;2001&lt;/Year&gt;&lt;RecNum&gt;158&lt;/RecNum&gt;&lt;DisplayText&gt;ibid.&lt;/DisplayText&gt;&lt;record&gt;&lt;rec-number&gt;158&lt;/rec-number&gt;&lt;foreign-keys&gt;&lt;key app="EN" db-id="vxze0a2pwrt959ep2afxdw5cat595wt9sv95" timestamp="1520892164"&gt;158&lt;/key&gt;&lt;/foreign-keys&gt;&lt;ref-type name="Report"&gt;27&lt;/ref-type&gt;&lt;contributors&gt;&lt;authors&gt;&lt;author&gt;Friedman, Gerald&lt;/author&gt;&lt;/authors&gt;&lt;subsidiary-authors&gt;&lt;author&gt;Political Economy Research Institute&lt;/author&gt;&lt;/subsidiary-authors&gt;&lt;/contributors&gt;&lt;titles&gt;&lt;title&gt;The Sanctity of Property Rights in American History&lt;/title&gt;&lt;secondary-title&gt;Working Paper Series&lt;/secondary-title&gt;&lt;/titles&gt;&lt;pages&gt;1-32&lt;/pages&gt;&lt;number&gt;14&lt;/number&gt;&lt;dates&gt;&lt;year&gt;2001&lt;/year&gt;&lt;/dates&gt;&lt;pub-location&gt;Amherst, MA&lt;/pub-location&gt;&lt;publisher&gt;University of Massachusettes&lt;/publisher&gt;&lt;isbn&gt;14&lt;/isbn&gt;&lt;urls&gt;&lt;/urls&gt;&lt;/record&gt;&lt;/Cite&gt;&lt;Cite AuthorYear="1"&gt;&lt;Author&gt;Friedman&lt;/Author&gt;&lt;Year&gt;2001&lt;/Year&gt;&lt;RecNum&gt;158&lt;/RecNum&gt;&lt;record&gt;&lt;rec-number&gt;158&lt;/rec-number&gt;&lt;foreign-keys&gt;&lt;key app="EN" db-id="vxze0a2pwrt959ep2afxdw5cat595wt9sv95" timestamp="1520892164"&gt;158&lt;/key&gt;&lt;/foreign-keys&gt;&lt;ref-type name="Report"&gt;27&lt;/ref-type&gt;&lt;contributors&gt;&lt;authors&gt;&lt;author&gt;Friedman, Gerald&lt;/author&gt;&lt;/authors&gt;&lt;subsidiary-authors&gt;&lt;author&gt;Political Economy Research Institute&lt;/author&gt;&lt;/subsidiary-authors&gt;&lt;/contributors&gt;&lt;titles&gt;&lt;title&gt;The Sanctity of Property Rights in American History&lt;/title&gt;&lt;secondary-title&gt;Working Paper Series&lt;/secondary-title&gt;&lt;/titles&gt;&lt;pages&gt;1-32&lt;/pages&gt;&lt;number&gt;14&lt;/number&gt;&lt;dates&gt;&lt;year&gt;2001&lt;/year&gt;&lt;/dates&gt;&lt;pub-location&gt;Amherst, MA&lt;/pub-location&gt;&lt;publisher&gt;University of Massachusettes&lt;/publisher&gt;&lt;isbn&gt;14&lt;/isbn&gt;&lt;urls&gt;&lt;/urls&gt;&lt;/record&gt;&lt;/Cite&gt;&lt;/EndNote&gt;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ibid.</w:t>
      </w:r>
      <w:r w:rsidR="00AA2A48" w:rsidRPr="00DA6BE4">
        <w:rPr>
          <w:rFonts w:ascii="Times New Roman" w:hAnsi="Times New Roman" w:cs="Times New Roman"/>
        </w:rPr>
        <w:fldChar w:fldCharType="end"/>
      </w:r>
    </w:p>
  </w:footnote>
  <w:footnote w:id="448">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&lt;EndNote&gt;&lt;Cite&gt;&lt;Author&gt;Jones&lt;/Author&gt;&lt;Year&gt;2015&lt;/Year&gt;&lt;RecNum&gt;159&lt;/RecNum&gt;&lt;Pages&gt;62-68&lt;/Pages&gt;&lt;DisplayText&gt;William P. Jones, &amp;quot;The Sanctity of Private Property: The Civil Rights Act and the Limitations of American Liberalism,&amp;quot; &lt;style face="italic"&gt;New Labor Forum&lt;/style&gt;, 24, no. 1 (2015): 62-68.&lt;/DisplayText&gt;&lt;record&gt;&lt;rec-number&gt;159&lt;/rec-number&gt;&lt;foreign-keys&gt;&lt;key app="EN" db-id="vxze0a2pwrt959ep2afxdw5cat595wt9sv95" timestamp="1520892846"&gt;159&lt;/key&gt;&lt;/foreign-keys&gt;&lt;ref-type name="Journal Article"&gt;17&lt;/ref-type&gt;&lt;contributors&gt;&lt;authors&gt;&lt;author&gt;Jones, William P.&lt;/author&gt;&lt;/authors&gt;&lt;/contributors&gt;&lt;titles&gt;&lt;title&gt;The Sanctity of Private Property: The Civil Rights Act and the Limitations of American Liberalism&lt;/title&gt;&lt;secondary-title&gt;New Labor Forum&lt;/secondary-title&gt;&lt;/titles&gt;&lt;periodical&gt;&lt;full-title&gt;New Labor Forum&lt;/full-title&gt;&lt;/periodical&gt;&lt;pages&gt;62-68&lt;/pages&gt;&lt;volume&gt;, 24&lt;/volume&gt;&lt;number&gt;1&lt;/number&gt;&lt;dates&gt;&lt;year&gt;2015&lt;/year&gt;&lt;/dates&gt;&lt;isbn&gt;1095-7960&lt;/isbn&gt;&lt;urls&gt;&lt;/urls&gt;&lt;electronic-resource-num&gt;10.1177/1095796014561641&lt;/electronic-resource-num&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 xml:space="preserve">William P. Jones, "The Sanctity of Private Property: The Civil Rights Act and the Limitations of American Liberalism," </w:t>
      </w:r>
      <w:r w:rsidRPr="00DA6BE4">
        <w:rPr>
          <w:rFonts w:ascii="Times New Roman" w:hAnsi="Times New Roman" w:cs="Times New Roman"/>
          <w:i/>
          <w:noProof/>
        </w:rPr>
        <w:t>New Labor Forum</w:t>
      </w:r>
      <w:r w:rsidRPr="00DA6BE4">
        <w:rPr>
          <w:rFonts w:ascii="Times New Roman" w:hAnsi="Times New Roman" w:cs="Times New Roman"/>
          <w:noProof/>
        </w:rPr>
        <w:t>, 24, no. 1 (2015): 62-68.</w:t>
      </w:r>
      <w:r w:rsidR="00AA2A48" w:rsidRPr="00DA6BE4">
        <w:rPr>
          <w:rFonts w:ascii="Times New Roman" w:hAnsi="Times New Roman" w:cs="Times New Roman"/>
        </w:rPr>
        <w:fldChar w:fldCharType="end"/>
      </w:r>
    </w:p>
  </w:footnote>
  <w:footnote w:id="449">
    <w:p w:rsidR="00D810CC" w:rsidRPr="00DA6BE4" w:rsidRDefault="00D810CC">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 AuthorYear="1"&gt;&lt;Author&gt;Friedman&lt;/Author&gt;&lt;Year&gt;2001&lt;/Year&gt;&lt;RecNum&gt;158&lt;/RecNum&gt;&lt;DisplayText&gt;Friedman, &amp;quot;The Sanctity of Property Rights in American History.&amp;quot;&lt;/DisplayText&gt;&lt;record&gt;&lt;rec-number&gt;158&lt;/rec-number&gt;&lt;foreign-keys&gt;&lt;key app="EN" db-id="vxze0a2pwrt959ep2afxdw5cat595wt9sv95" timestamp="1520892164"&gt;158&lt;/key&gt;&lt;/foreign-keys&gt;&lt;ref-type name="Report"&gt;27&lt;/ref-type&gt;&lt;contributors&gt;&lt;authors&gt;&lt;author&gt;Friedman, Gerald&lt;/author&gt;&lt;/authors&gt;&lt;subsidiary-authors&gt;&lt;author&gt;Political Economy Research Institute&lt;/author&gt;&lt;/subsidiary-authors&gt;&lt;/contributors&gt;&lt;titles&gt;&lt;title&gt;The Sanctity of Property Rights in American History&lt;/title&gt;&lt;secondary-title&gt;Working Paper Series&lt;/secondary-title&gt;&lt;/titles&gt;&lt;pages&gt;1-32&lt;/pages&gt;&lt;number&gt;14&lt;/number&gt;&lt;dates&gt;&lt;year&gt;2001&lt;/year&gt;&lt;/dates&gt;&lt;pub-location&gt;Amherst, MA&lt;/pub-location&gt;&lt;publisher&gt;University of Massachusettes&lt;/publisher&gt;&lt;isbn&gt;14&lt;/isbn&gt;&lt;urls&gt;&lt;/urls&gt;&lt;/record&gt;&lt;/Cite&gt;&lt;/EndNote&gt;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Friedman, "The Sanctity of Property Rights in American History."</w:t>
      </w:r>
      <w:r w:rsidR="00AA2A48" w:rsidRPr="00DA6BE4">
        <w:rPr>
          <w:rFonts w:ascii="Times New Roman" w:hAnsi="Times New Roman" w:cs="Times New Roman"/>
        </w:rPr>
        <w:fldChar w:fldCharType="end"/>
      </w:r>
    </w:p>
  </w:footnote>
  <w:footnote w:id="450">
    <w:p w:rsidR="00D810CC" w:rsidRPr="00DA6BE4" w:rsidRDefault="00D810CC" w:rsidP="000F6D82">
      <w:pPr>
        <w:pStyle w:val="FootnoteText"/>
        <w:jc w:val="both"/>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In her work Elizabeth Anderson has argued on behalf of the value of democratic case studies as part of a resolution of social and economic problems, in which Dewey’s reflexive epistemological democratic approach to inquiry are utilised with promising results; see </w:t>
      </w:r>
      <w:r w:rsidR="00AA2A48" w:rsidRPr="00DA6BE4">
        <w:rPr>
          <w:rFonts w:ascii="Times New Roman" w:hAnsi="Times New Roman" w:cs="Times New Roman"/>
        </w:rPr>
        <w:fldChar w:fldCharType="begin"/>
      </w:r>
      <w:r>
        <w:rPr>
          <w:rFonts w:ascii="Times New Roman" w:hAnsi="Times New Roman" w:cs="Times New Roman"/>
        </w:rPr>
        <w:instrText xml:space="preserve"> ADDIN EN.CITE &lt;EndNote&gt;&lt;Cite&gt;&lt;Author&gt;Anderson&lt;/Author&gt;&lt;Year&gt;2006&lt;/Year&gt;&lt;RecNum&gt;151&lt;/RecNum&gt;&lt;Pages&gt;8-22&lt;/Pages&gt;&lt;DisplayText&gt;Elizabeth Anderson, &amp;quot;The Epistemology of Democracy,&amp;quot; &lt;style face="italic"&gt;Episteme: A Journal of Social Epistemology&lt;/style&gt; 3, no. 1 (2006): 8-22.&lt;/DisplayText&gt;&lt;record&gt;&lt;rec-number&gt;151&lt;/rec-number&gt;&lt;foreign-keys&gt;&lt;key app="EN" db-id="vxze0a2pwrt959ep2afxdw5cat595wt9sv95" timestamp="1520880770"&gt;151&lt;/key&gt;&lt;/foreign-keys&gt;&lt;ref-type name="Journal Article"&gt;17&lt;/ref-type&gt;&lt;contributors&gt;&lt;authors&gt;&lt;author&gt;Anderson, Elizabeth&lt;/author&gt;&lt;/authors&gt;&lt;/contributors&gt;&lt;titles&gt;&lt;title&gt;The Epistemology of Democracy&lt;/title&gt;&lt;secondary-title&gt;Episteme: A Journal of Social Epistemology&lt;/secondary-title&gt;&lt;/titles&gt;&lt;periodical&gt;&lt;full-title&gt;Episteme: A Journal of Social Epistemology&lt;/full-title&gt;&lt;/periodical&gt;&lt;pages&gt;8-22&lt;/pages&gt;&lt;volume&gt;3&lt;/volume&gt;&lt;number&gt;1&lt;/number&gt;&lt;dates&gt;&lt;year&gt;2006&lt;/year&gt;&lt;/dates&gt;&lt;urls&gt;&lt;/urls&gt;&lt;/record&gt;&lt;/Cite&gt;&lt;/EndNote&gt;</w:instrText>
      </w:r>
      <w:r w:rsidR="00AA2A48" w:rsidRPr="00DA6BE4">
        <w:rPr>
          <w:rFonts w:ascii="Times New Roman" w:hAnsi="Times New Roman" w:cs="Times New Roman"/>
        </w:rPr>
        <w:fldChar w:fldCharType="separate"/>
      </w:r>
      <w:r>
        <w:rPr>
          <w:rFonts w:ascii="Times New Roman" w:hAnsi="Times New Roman" w:cs="Times New Roman"/>
          <w:noProof/>
        </w:rPr>
        <w:t xml:space="preserve">Elizabeth Anderson, "The Epistemology of Democracy," </w:t>
      </w:r>
      <w:r w:rsidRPr="000F2EFD">
        <w:rPr>
          <w:rFonts w:ascii="Times New Roman" w:hAnsi="Times New Roman" w:cs="Times New Roman"/>
          <w:i/>
          <w:noProof/>
        </w:rPr>
        <w:t>Episteme: A Journal of Social Epistemology</w:t>
      </w:r>
      <w:r>
        <w:rPr>
          <w:rFonts w:ascii="Times New Roman" w:hAnsi="Times New Roman" w:cs="Times New Roman"/>
          <w:noProof/>
        </w:rPr>
        <w:t xml:space="preserve"> 3, no. 1 (2006): 8-22.</w:t>
      </w:r>
      <w:r w:rsidR="00AA2A48" w:rsidRPr="00DA6BE4">
        <w:rPr>
          <w:rFonts w:ascii="Times New Roman" w:hAnsi="Times New Roman" w:cs="Times New Roman"/>
        </w:rPr>
        <w:fldChar w:fldCharType="end"/>
      </w:r>
    </w:p>
    <w:p w:rsidR="00D810CC" w:rsidRPr="00DA6BE4" w:rsidRDefault="00D810CC" w:rsidP="000F6D82">
      <w:pPr>
        <w:pStyle w:val="FootnoteText"/>
        <w:jc w:val="both"/>
        <w:rPr>
          <w:rFonts w:ascii="Times New Roman" w:hAnsi="Times New Roman" w:cs="Times New Roman"/>
        </w:rPr>
      </w:pPr>
      <w:r w:rsidRPr="00DA6BE4">
        <w:rPr>
          <w:rFonts w:ascii="Times New Roman" w:hAnsi="Times New Roman" w:cs="Times New Roman"/>
        </w:rPr>
        <w:t xml:space="preserve">In other places Anderson’s demonstrates the value of historical studies on social, economic, and political policy, utilised for articulating interesting practical egalitarian possibilities that correct power asymmetry in the social and economic spaces; see </w:t>
      </w:r>
      <w:r w:rsidR="00AA2A48" w:rsidRPr="00DA6BE4">
        <w:rPr>
          <w:rFonts w:ascii="Times New Roman" w:hAnsi="Times New Roman" w:cs="Times New Roman"/>
        </w:rPr>
        <w:fldChar w:fldCharType="begin"/>
      </w:r>
      <w:r w:rsidRPr="00DA6BE4">
        <w:rPr>
          <w:rFonts w:ascii="Times New Roman" w:hAnsi="Times New Roman" w:cs="Times New Roman"/>
        </w:rPr>
        <w:instrText xml:space="preserve"> ADDIN EN.CITE &lt;EndNote&gt;&lt;Cite&gt;&lt;Author&gt;Anderson&lt;/Author&gt;&lt;Year&gt;2015&lt;/Year&gt;&lt;RecNum&gt;152&lt;/RecNum&gt;&lt;Suffix&gt; and &amp;quot;A World Turned Upside Down: Social Hierarchies and a New History of Egalitarianism.&amp;quot;&lt;/Suffix&gt;&lt;DisplayText&gt;Anderson, &amp;quot;Equality and Freedom in the Workplace: Recovering Republican Insights.&amp;quot; and &amp;quot;A World Turned Upside Down: Social Hierarchies and a New History of Egalitarianism.&amp;quot;&lt;/DisplayText&gt;&lt;record&gt;&lt;rec-number&gt;152&lt;/rec-number&gt;&lt;foreign-keys&gt;&lt;key app="EN" db-id="vxze0a2pwrt959ep2afxdw5cat595wt9sv95" timestamp="1520881277"&gt;152&lt;/key&gt;&lt;/foreign-keys&gt;&lt;ref-type name="Journal Article"&gt;17&lt;/ref-type&gt;&lt;contributors&gt;&lt;authors&gt;&lt;author&gt;Anderson, Elizabeth&lt;/author&gt;&lt;/authors&gt;&lt;/contributors&gt;&lt;titles&gt;&lt;title&gt;Equality and Freedom in the Workplace: Recovering Republican Insights&lt;/title&gt;&lt;secondary-title&gt;Social Philosophy and Policy&lt;/secondary-title&gt;&lt;/titles&gt;&lt;periodical&gt;&lt;full-title&gt;Social Philosophy and Policy&lt;/full-title&gt;&lt;/periodical&gt;&lt;pages&gt;48-69&lt;/pages&gt;&lt;volume&gt;31&lt;/volume&gt;&lt;number&gt;2&lt;/number&gt;&lt;dates&gt;&lt;year&gt;2015&lt;/year&gt;&lt;/dates&gt;&lt;urls&gt;&lt;/urls&gt;&lt;/record&gt;&lt;/Cite&gt;&lt;/EndNote&gt;</w:instrText>
      </w:r>
      <w:r w:rsidR="00AA2A48" w:rsidRPr="00DA6BE4">
        <w:rPr>
          <w:rFonts w:ascii="Times New Roman" w:hAnsi="Times New Roman" w:cs="Times New Roman"/>
        </w:rPr>
        <w:fldChar w:fldCharType="separate"/>
      </w:r>
      <w:r w:rsidRPr="00DA6BE4">
        <w:rPr>
          <w:rFonts w:ascii="Times New Roman" w:hAnsi="Times New Roman" w:cs="Times New Roman"/>
          <w:noProof/>
        </w:rPr>
        <w:t>Anderson, "Equality and Freedom in the Workplace: Recovering Republican Insights." and "A World Turned Upside Down: Social Hierarchies and a New History of Egalitarianism."</w:t>
      </w:r>
      <w:r w:rsidR="00AA2A48" w:rsidRPr="00DA6BE4">
        <w:rPr>
          <w:rFonts w:ascii="Times New Roman" w:hAnsi="Times New Roman" w:cs="Times New Roman"/>
        </w:rPr>
        <w:fldChar w:fldCharType="end"/>
      </w:r>
    </w:p>
  </w:footnote>
  <w:footnote w:id="451">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say ‘somewhat’ because I think given recent social/political conflict, the shock is now more tenuous.</w:t>
      </w:r>
    </w:p>
  </w:footnote>
  <w:footnote w:id="452">
    <w:p w:rsidR="00D810CC" w:rsidRPr="00DA6BE4" w:rsidRDefault="00D810CC">
      <w:pPr>
        <w:pStyle w:val="FootnoteText"/>
        <w:rPr>
          <w:rFonts w:ascii="Times New Roman" w:hAnsi="Times New Roman" w:cs="Times New Roman"/>
        </w:rPr>
      </w:pPr>
      <w:r w:rsidRPr="00DA6BE4">
        <w:rPr>
          <w:rStyle w:val="FootnoteReference"/>
          <w:rFonts w:ascii="Times New Roman" w:hAnsi="Times New Roman" w:cs="Times New Roman"/>
        </w:rPr>
        <w:footnoteRef/>
      </w:r>
      <w:r w:rsidRPr="00DA6BE4">
        <w:rPr>
          <w:rFonts w:ascii="Times New Roman" w:hAnsi="Times New Roman" w:cs="Times New Roman"/>
        </w:rPr>
        <w:t xml:space="preserve"> I should qualify this somewhat and say that some of those depressing conclusions have been moderated by MacIntyre in his latest work </w:t>
      </w:r>
      <w:r w:rsidRPr="00DA6BE4">
        <w:rPr>
          <w:rFonts w:ascii="Times New Roman" w:hAnsi="Times New Roman" w:cs="Times New Roman"/>
          <w:i/>
        </w:rPr>
        <w:t>Ethics in the Conflicts of Modernity</w:t>
      </w:r>
      <w:r w:rsidRPr="00DA6BE4">
        <w:rPr>
          <w:rFonts w:ascii="Times New Roman" w:hAnsi="Times New Roman" w:cs="Times New Roman"/>
        </w:rPr>
        <w:t>.</w:t>
      </w:r>
    </w:p>
  </w:footnote>
  <w:footnote w:id="453">
    <w:p w:rsidR="00D810CC" w:rsidRPr="00DA6BE4" w:rsidRDefault="00D810CC" w:rsidP="001672A9">
      <w:pPr>
        <w:pStyle w:val="FootnoteText"/>
        <w:jc w:val="both"/>
        <w:rPr>
          <w:rFonts w:ascii="Times New Roman" w:hAnsi="Times New Roman" w:cs="Times New Roman"/>
          <w:lang w:val="en-CA"/>
        </w:rPr>
      </w:pPr>
      <w:r w:rsidRPr="00DA6BE4">
        <w:rPr>
          <w:rStyle w:val="FootnoteReference"/>
          <w:rFonts w:ascii="Times New Roman" w:hAnsi="Times New Roman" w:cs="Times New Roman"/>
        </w:rPr>
        <w:footnoteRef/>
      </w:r>
      <w:r w:rsidRPr="00DA6BE4">
        <w:rPr>
          <w:rFonts w:ascii="Times New Roman" w:hAnsi="Times New Roman" w:cs="Times New Roman"/>
        </w:rPr>
        <w:t xml:space="preserve"> Here, </w:t>
      </w:r>
      <w:r w:rsidRPr="00DA6BE4">
        <w:rPr>
          <w:rFonts w:ascii="Times New Roman" w:hAnsi="Times New Roman" w:cs="Times New Roman"/>
          <w:lang w:val="en-CA"/>
        </w:rPr>
        <w:t xml:space="preserve">I am referring to the kinds of criticisms advanced by </w:t>
      </w:r>
      <w:proofErr w:type="spellStart"/>
      <w:r w:rsidRPr="00DA6BE4">
        <w:rPr>
          <w:rFonts w:ascii="Times New Roman" w:hAnsi="Times New Roman" w:cs="Times New Roman"/>
          <w:lang w:val="en-CA"/>
        </w:rPr>
        <w:t>Schneewind</w:t>
      </w:r>
      <w:proofErr w:type="spellEnd"/>
      <w:r w:rsidRPr="00DA6BE4">
        <w:rPr>
          <w:rFonts w:ascii="Times New Roman" w:hAnsi="Times New Roman" w:cs="Times New Roman"/>
          <w:lang w:val="en-CA"/>
        </w:rPr>
        <w:t xml:space="preserve"> and Bernstein.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2F9"/>
    <w:multiLevelType w:val="multilevel"/>
    <w:tmpl w:val="FE78F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691A78"/>
    <w:multiLevelType w:val="hybridMultilevel"/>
    <w:tmpl w:val="D71CC950"/>
    <w:lvl w:ilvl="0" w:tplc="4E4645EC">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4B3B5C"/>
    <w:multiLevelType w:val="multilevel"/>
    <w:tmpl w:val="4A840B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39039D1"/>
    <w:multiLevelType w:val="hybridMultilevel"/>
    <w:tmpl w:val="686A0E2E"/>
    <w:lvl w:ilvl="0" w:tplc="DDBC3040">
      <w:start w:val="1"/>
      <w:numFmt w:val="decimal"/>
      <w:lvlText w:val="(%1)"/>
      <w:lvlJc w:val="left"/>
      <w:pPr>
        <w:ind w:left="432" w:hanging="372"/>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52085068"/>
    <w:multiLevelType w:val="multilevel"/>
    <w:tmpl w:val="FF5AA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AC15A86"/>
    <w:multiLevelType w:val="hybridMultilevel"/>
    <w:tmpl w:val="D7DA7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184423"/>
    <w:multiLevelType w:val="multilevel"/>
    <w:tmpl w:val="78BA1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283BC3"/>
    <w:multiLevelType w:val="hybridMultilevel"/>
    <w:tmpl w:val="324AD2B2"/>
    <w:lvl w:ilvl="0" w:tplc="8640BB2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7368AC"/>
    <w:multiLevelType w:val="multilevel"/>
    <w:tmpl w:val="C74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B121B1"/>
    <w:multiLevelType w:val="multilevel"/>
    <w:tmpl w:val="7EF064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DF2590"/>
    <w:multiLevelType w:val="multilevel"/>
    <w:tmpl w:val="A15482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6A4CB9"/>
    <w:multiLevelType w:val="hybridMultilevel"/>
    <w:tmpl w:val="96F0EC18"/>
    <w:lvl w:ilvl="0" w:tplc="056E8BFA">
      <w:start w:val="1"/>
      <w:numFmt w:val="decimal"/>
      <w:lvlText w:val="G%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11"/>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9"/>
  </w:num>
  <w:num w:numId="14">
    <w:abstractNumId w:val="10"/>
  </w:num>
  <w:num w:numId="15">
    <w:abstractNumId w:val="6"/>
  </w:num>
  <w:num w:numId="16">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tern">
    <w15:presenceInfo w15:providerId="Windows Live" w15:userId="5eaff38d-9ac8-4f26-bddd-0c8b218042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trackRevisions/>
  <w:defaultTabStop w:val="720"/>
  <w:drawingGridHorizontalSpacing w:val="110"/>
  <w:displayHorizontalDrawingGridEvery w:val="2"/>
  <w:characterSpacingControl w:val="doNotCompress"/>
  <w:hdrShapeDefaults>
    <o:shapedefaults v:ext="edit" spidmax="97282"/>
  </w:hdrShapeDefaults>
  <w:footnotePr>
    <w:numRestart w:val="eachSect"/>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Philosophy of the Social Scienc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ze0a2pwrt959ep2afxdw5cat595wt9sv95&quot;&gt;Ahmad Reference Library&lt;record-ids&gt;&lt;item&gt;3&lt;/item&gt;&lt;item&gt;7&lt;/item&gt;&lt;item&gt;14&lt;/item&gt;&lt;item&gt;16&lt;/item&gt;&lt;item&gt;18&lt;/item&gt;&lt;item&gt;20&lt;/item&gt;&lt;item&gt;21&lt;/item&gt;&lt;item&gt;23&lt;/item&gt;&lt;item&gt;37&lt;/item&gt;&lt;item&gt;41&lt;/item&gt;&lt;item&gt;45&lt;/item&gt;&lt;item&gt;47&lt;/item&gt;&lt;item&gt;48&lt;/item&gt;&lt;item&gt;49&lt;/item&gt;&lt;item&gt;51&lt;/item&gt;&lt;item&gt;52&lt;/item&gt;&lt;item&gt;54&lt;/item&gt;&lt;item&gt;58&lt;/item&gt;&lt;item&gt;59&lt;/item&gt;&lt;item&gt;61&lt;/item&gt;&lt;item&gt;63&lt;/item&gt;&lt;item&gt;65&lt;/item&gt;&lt;item&gt;66&lt;/item&gt;&lt;item&gt;67&lt;/item&gt;&lt;item&gt;70&lt;/item&gt;&lt;item&gt;75&lt;/item&gt;&lt;item&gt;83&lt;/item&gt;&lt;item&gt;84&lt;/item&gt;&lt;item&gt;85&lt;/item&gt;&lt;item&gt;88&lt;/item&gt;&lt;item&gt;94&lt;/item&gt;&lt;item&gt;95&lt;/item&gt;&lt;item&gt;99&lt;/item&gt;&lt;item&gt;105&lt;/item&gt;&lt;item&gt;106&lt;/item&gt;&lt;item&gt;107&lt;/item&gt;&lt;item&gt;108&lt;/item&gt;&lt;item&gt;113&lt;/item&gt;&lt;item&gt;114&lt;/item&gt;&lt;item&gt;115&lt;/item&gt;&lt;item&gt;116&lt;/item&gt;&lt;item&gt;117&lt;/item&gt;&lt;item&gt;118&lt;/item&gt;&lt;item&gt;119&lt;/item&gt;&lt;item&gt;120&lt;/item&gt;&lt;item&gt;122&lt;/item&gt;&lt;item&gt;123&lt;/item&gt;&lt;item&gt;124&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4&lt;/item&gt;&lt;item&gt;165&lt;/item&gt;&lt;item&gt;166&lt;/item&gt;&lt;item&gt;167&lt;/item&gt;&lt;item&gt;168&lt;/item&gt;&lt;item&gt;170&lt;/item&gt;&lt;item&gt;171&lt;/item&gt;&lt;item&gt;172&lt;/item&gt;&lt;item&gt;173&lt;/item&gt;&lt;item&gt;174&lt;/item&gt;&lt;item&gt;175&lt;/item&gt;&lt;item&gt;176&lt;/item&gt;&lt;item&gt;177&lt;/item&gt;&lt;item&gt;178&lt;/item&gt;&lt;item&gt;179&lt;/item&gt;&lt;/record-ids&gt;&lt;/item&gt;&lt;/Libraries&gt;"/>
  </w:docVars>
  <w:rsids>
    <w:rsidRoot w:val="00016049"/>
    <w:rsid w:val="00000355"/>
    <w:rsid w:val="00000E19"/>
    <w:rsid w:val="0000136A"/>
    <w:rsid w:val="000013C1"/>
    <w:rsid w:val="0000258E"/>
    <w:rsid w:val="000025F3"/>
    <w:rsid w:val="00002990"/>
    <w:rsid w:val="0000326D"/>
    <w:rsid w:val="00004083"/>
    <w:rsid w:val="00004CE8"/>
    <w:rsid w:val="00004D31"/>
    <w:rsid w:val="00005C20"/>
    <w:rsid w:val="00005C6A"/>
    <w:rsid w:val="00005D8E"/>
    <w:rsid w:val="00007EDB"/>
    <w:rsid w:val="0001123E"/>
    <w:rsid w:val="000113FB"/>
    <w:rsid w:val="00011879"/>
    <w:rsid w:val="000119A3"/>
    <w:rsid w:val="00012065"/>
    <w:rsid w:val="00012AE7"/>
    <w:rsid w:val="000137F6"/>
    <w:rsid w:val="00013BDB"/>
    <w:rsid w:val="0001502B"/>
    <w:rsid w:val="00015715"/>
    <w:rsid w:val="00016049"/>
    <w:rsid w:val="0001615F"/>
    <w:rsid w:val="00016944"/>
    <w:rsid w:val="00016E19"/>
    <w:rsid w:val="0001701D"/>
    <w:rsid w:val="0001732C"/>
    <w:rsid w:val="000173A8"/>
    <w:rsid w:val="00017402"/>
    <w:rsid w:val="00017C31"/>
    <w:rsid w:val="00020006"/>
    <w:rsid w:val="00020056"/>
    <w:rsid w:val="0002036A"/>
    <w:rsid w:val="00020678"/>
    <w:rsid w:val="000208B5"/>
    <w:rsid w:val="000209C3"/>
    <w:rsid w:val="00020AE2"/>
    <w:rsid w:val="00022484"/>
    <w:rsid w:val="0002338F"/>
    <w:rsid w:val="00023587"/>
    <w:rsid w:val="00023665"/>
    <w:rsid w:val="00024105"/>
    <w:rsid w:val="000244F0"/>
    <w:rsid w:val="00024C92"/>
    <w:rsid w:val="00025386"/>
    <w:rsid w:val="00025C68"/>
    <w:rsid w:val="0002614E"/>
    <w:rsid w:val="00026AC5"/>
    <w:rsid w:val="00026C49"/>
    <w:rsid w:val="00026E3D"/>
    <w:rsid w:val="00027418"/>
    <w:rsid w:val="000277AB"/>
    <w:rsid w:val="00030DA5"/>
    <w:rsid w:val="00031A14"/>
    <w:rsid w:val="00032351"/>
    <w:rsid w:val="0003294C"/>
    <w:rsid w:val="000329B4"/>
    <w:rsid w:val="00033864"/>
    <w:rsid w:val="00034247"/>
    <w:rsid w:val="00035ED9"/>
    <w:rsid w:val="00036093"/>
    <w:rsid w:val="00036471"/>
    <w:rsid w:val="00036B60"/>
    <w:rsid w:val="00036B9B"/>
    <w:rsid w:val="00037518"/>
    <w:rsid w:val="000408AC"/>
    <w:rsid w:val="00040CE1"/>
    <w:rsid w:val="00041147"/>
    <w:rsid w:val="00041B53"/>
    <w:rsid w:val="00041CD0"/>
    <w:rsid w:val="00041D6A"/>
    <w:rsid w:val="000422B7"/>
    <w:rsid w:val="000424EA"/>
    <w:rsid w:val="00043582"/>
    <w:rsid w:val="00043616"/>
    <w:rsid w:val="0004394C"/>
    <w:rsid w:val="00043A39"/>
    <w:rsid w:val="00043ECF"/>
    <w:rsid w:val="000440BD"/>
    <w:rsid w:val="000445B1"/>
    <w:rsid w:val="000457D3"/>
    <w:rsid w:val="00046FA8"/>
    <w:rsid w:val="000472B2"/>
    <w:rsid w:val="00047497"/>
    <w:rsid w:val="000476B1"/>
    <w:rsid w:val="000479BC"/>
    <w:rsid w:val="00047C3D"/>
    <w:rsid w:val="00050DCE"/>
    <w:rsid w:val="000514C9"/>
    <w:rsid w:val="0005159D"/>
    <w:rsid w:val="00051812"/>
    <w:rsid w:val="00051919"/>
    <w:rsid w:val="00051B1A"/>
    <w:rsid w:val="00052778"/>
    <w:rsid w:val="000529E1"/>
    <w:rsid w:val="00053D67"/>
    <w:rsid w:val="00054095"/>
    <w:rsid w:val="000549B8"/>
    <w:rsid w:val="00055636"/>
    <w:rsid w:val="00055B1F"/>
    <w:rsid w:val="00055E36"/>
    <w:rsid w:val="00055EFD"/>
    <w:rsid w:val="0005653A"/>
    <w:rsid w:val="00056D9D"/>
    <w:rsid w:val="000575D8"/>
    <w:rsid w:val="000606AC"/>
    <w:rsid w:val="0006075F"/>
    <w:rsid w:val="00060EC5"/>
    <w:rsid w:val="00061FC3"/>
    <w:rsid w:val="00062329"/>
    <w:rsid w:val="000635F0"/>
    <w:rsid w:val="00064514"/>
    <w:rsid w:val="00065769"/>
    <w:rsid w:val="00065B30"/>
    <w:rsid w:val="0006641E"/>
    <w:rsid w:val="00066727"/>
    <w:rsid w:val="0006703E"/>
    <w:rsid w:val="000670B3"/>
    <w:rsid w:val="00071044"/>
    <w:rsid w:val="000710A8"/>
    <w:rsid w:val="0007183A"/>
    <w:rsid w:val="000719F3"/>
    <w:rsid w:val="00071BC1"/>
    <w:rsid w:val="00072B51"/>
    <w:rsid w:val="00072FDE"/>
    <w:rsid w:val="0007498A"/>
    <w:rsid w:val="00074BC3"/>
    <w:rsid w:val="00076028"/>
    <w:rsid w:val="00077422"/>
    <w:rsid w:val="0007752A"/>
    <w:rsid w:val="0007797C"/>
    <w:rsid w:val="00077F9E"/>
    <w:rsid w:val="000805E7"/>
    <w:rsid w:val="00080F31"/>
    <w:rsid w:val="00081018"/>
    <w:rsid w:val="00081266"/>
    <w:rsid w:val="00081479"/>
    <w:rsid w:val="00081A92"/>
    <w:rsid w:val="00081D4F"/>
    <w:rsid w:val="00081DE1"/>
    <w:rsid w:val="00082815"/>
    <w:rsid w:val="00082CD0"/>
    <w:rsid w:val="00082D4B"/>
    <w:rsid w:val="000833D7"/>
    <w:rsid w:val="000846BE"/>
    <w:rsid w:val="000846DA"/>
    <w:rsid w:val="00084BAA"/>
    <w:rsid w:val="000863E2"/>
    <w:rsid w:val="000866E5"/>
    <w:rsid w:val="000873F3"/>
    <w:rsid w:val="000875B0"/>
    <w:rsid w:val="0009083C"/>
    <w:rsid w:val="00090F78"/>
    <w:rsid w:val="00091B60"/>
    <w:rsid w:val="00092212"/>
    <w:rsid w:val="00093182"/>
    <w:rsid w:val="00093710"/>
    <w:rsid w:val="0009516E"/>
    <w:rsid w:val="00095E9B"/>
    <w:rsid w:val="0009652B"/>
    <w:rsid w:val="0009683F"/>
    <w:rsid w:val="000968A3"/>
    <w:rsid w:val="00096F31"/>
    <w:rsid w:val="000973AB"/>
    <w:rsid w:val="000A00D5"/>
    <w:rsid w:val="000A0B26"/>
    <w:rsid w:val="000A1005"/>
    <w:rsid w:val="000A17D9"/>
    <w:rsid w:val="000A19B3"/>
    <w:rsid w:val="000A1ADB"/>
    <w:rsid w:val="000A2373"/>
    <w:rsid w:val="000A2AC4"/>
    <w:rsid w:val="000A3EE0"/>
    <w:rsid w:val="000A4058"/>
    <w:rsid w:val="000A4668"/>
    <w:rsid w:val="000A5993"/>
    <w:rsid w:val="000A5FE8"/>
    <w:rsid w:val="000A608C"/>
    <w:rsid w:val="000A6B10"/>
    <w:rsid w:val="000A6C82"/>
    <w:rsid w:val="000A714A"/>
    <w:rsid w:val="000A75B2"/>
    <w:rsid w:val="000A7689"/>
    <w:rsid w:val="000A7D02"/>
    <w:rsid w:val="000B0194"/>
    <w:rsid w:val="000B03C0"/>
    <w:rsid w:val="000B08CF"/>
    <w:rsid w:val="000B0FFB"/>
    <w:rsid w:val="000B1618"/>
    <w:rsid w:val="000B1EF1"/>
    <w:rsid w:val="000B1FD4"/>
    <w:rsid w:val="000B271A"/>
    <w:rsid w:val="000B2B47"/>
    <w:rsid w:val="000B2F5A"/>
    <w:rsid w:val="000B3BB2"/>
    <w:rsid w:val="000B4086"/>
    <w:rsid w:val="000B415C"/>
    <w:rsid w:val="000B4B41"/>
    <w:rsid w:val="000B4E77"/>
    <w:rsid w:val="000B4F52"/>
    <w:rsid w:val="000B5481"/>
    <w:rsid w:val="000B58AA"/>
    <w:rsid w:val="000B5AB4"/>
    <w:rsid w:val="000B5E59"/>
    <w:rsid w:val="000B5FB7"/>
    <w:rsid w:val="000B617A"/>
    <w:rsid w:val="000B6AB4"/>
    <w:rsid w:val="000B6C10"/>
    <w:rsid w:val="000B6C17"/>
    <w:rsid w:val="000C02EE"/>
    <w:rsid w:val="000C0407"/>
    <w:rsid w:val="000C08F5"/>
    <w:rsid w:val="000C0E51"/>
    <w:rsid w:val="000C0EDC"/>
    <w:rsid w:val="000C195B"/>
    <w:rsid w:val="000C2709"/>
    <w:rsid w:val="000C2E2E"/>
    <w:rsid w:val="000C344F"/>
    <w:rsid w:val="000C350A"/>
    <w:rsid w:val="000C3A9C"/>
    <w:rsid w:val="000C4A36"/>
    <w:rsid w:val="000C6C1B"/>
    <w:rsid w:val="000C71A5"/>
    <w:rsid w:val="000C7531"/>
    <w:rsid w:val="000C7E63"/>
    <w:rsid w:val="000D0DB6"/>
    <w:rsid w:val="000D19AA"/>
    <w:rsid w:val="000D1BC3"/>
    <w:rsid w:val="000D1D72"/>
    <w:rsid w:val="000D1EF2"/>
    <w:rsid w:val="000D2593"/>
    <w:rsid w:val="000D3219"/>
    <w:rsid w:val="000D3406"/>
    <w:rsid w:val="000D39A1"/>
    <w:rsid w:val="000D3CF4"/>
    <w:rsid w:val="000D3EA1"/>
    <w:rsid w:val="000D4028"/>
    <w:rsid w:val="000D4BB7"/>
    <w:rsid w:val="000D5193"/>
    <w:rsid w:val="000E0DB1"/>
    <w:rsid w:val="000E1EBC"/>
    <w:rsid w:val="000E2235"/>
    <w:rsid w:val="000E2896"/>
    <w:rsid w:val="000E39E2"/>
    <w:rsid w:val="000E3A6B"/>
    <w:rsid w:val="000E4E2A"/>
    <w:rsid w:val="000E50E1"/>
    <w:rsid w:val="000E57AC"/>
    <w:rsid w:val="000E7D71"/>
    <w:rsid w:val="000F1A8E"/>
    <w:rsid w:val="000F2EFD"/>
    <w:rsid w:val="000F2F55"/>
    <w:rsid w:val="000F3BE5"/>
    <w:rsid w:val="000F3CC8"/>
    <w:rsid w:val="000F3E96"/>
    <w:rsid w:val="000F3EE0"/>
    <w:rsid w:val="000F5007"/>
    <w:rsid w:val="000F567F"/>
    <w:rsid w:val="000F5AFA"/>
    <w:rsid w:val="000F5BF6"/>
    <w:rsid w:val="000F67B0"/>
    <w:rsid w:val="000F6BB2"/>
    <w:rsid w:val="000F6D82"/>
    <w:rsid w:val="000F6F07"/>
    <w:rsid w:val="000F7A21"/>
    <w:rsid w:val="00100DF2"/>
    <w:rsid w:val="00100F82"/>
    <w:rsid w:val="00101E0A"/>
    <w:rsid w:val="00102627"/>
    <w:rsid w:val="00103892"/>
    <w:rsid w:val="00103C07"/>
    <w:rsid w:val="00104C66"/>
    <w:rsid w:val="0010634C"/>
    <w:rsid w:val="00106ECF"/>
    <w:rsid w:val="0010782D"/>
    <w:rsid w:val="001110EC"/>
    <w:rsid w:val="0011283E"/>
    <w:rsid w:val="001130C9"/>
    <w:rsid w:val="00113528"/>
    <w:rsid w:val="00113D9C"/>
    <w:rsid w:val="00114003"/>
    <w:rsid w:val="00114AA5"/>
    <w:rsid w:val="001151EC"/>
    <w:rsid w:val="0011751C"/>
    <w:rsid w:val="00117813"/>
    <w:rsid w:val="001206D7"/>
    <w:rsid w:val="001219C9"/>
    <w:rsid w:val="00122395"/>
    <w:rsid w:val="0012266F"/>
    <w:rsid w:val="00122869"/>
    <w:rsid w:val="00122E43"/>
    <w:rsid w:val="0012324B"/>
    <w:rsid w:val="00123AEF"/>
    <w:rsid w:val="00123BC2"/>
    <w:rsid w:val="00123FC8"/>
    <w:rsid w:val="001240D3"/>
    <w:rsid w:val="00124918"/>
    <w:rsid w:val="00124ED5"/>
    <w:rsid w:val="00124F72"/>
    <w:rsid w:val="00125651"/>
    <w:rsid w:val="001271C8"/>
    <w:rsid w:val="00127237"/>
    <w:rsid w:val="00127BFA"/>
    <w:rsid w:val="00130251"/>
    <w:rsid w:val="00130A6A"/>
    <w:rsid w:val="00130B16"/>
    <w:rsid w:val="00130D3C"/>
    <w:rsid w:val="00132457"/>
    <w:rsid w:val="001325B2"/>
    <w:rsid w:val="001325CA"/>
    <w:rsid w:val="001330A3"/>
    <w:rsid w:val="00133514"/>
    <w:rsid w:val="00133879"/>
    <w:rsid w:val="00134DBF"/>
    <w:rsid w:val="00134DC6"/>
    <w:rsid w:val="0013582E"/>
    <w:rsid w:val="0013625F"/>
    <w:rsid w:val="00136430"/>
    <w:rsid w:val="001369F1"/>
    <w:rsid w:val="00136CD3"/>
    <w:rsid w:val="001370C6"/>
    <w:rsid w:val="0013758C"/>
    <w:rsid w:val="00137619"/>
    <w:rsid w:val="00140C6B"/>
    <w:rsid w:val="00141075"/>
    <w:rsid w:val="00141D72"/>
    <w:rsid w:val="00141FEB"/>
    <w:rsid w:val="0014213E"/>
    <w:rsid w:val="001432F7"/>
    <w:rsid w:val="001433ED"/>
    <w:rsid w:val="00144301"/>
    <w:rsid w:val="0014493A"/>
    <w:rsid w:val="00144A16"/>
    <w:rsid w:val="00144BA7"/>
    <w:rsid w:val="00144E0F"/>
    <w:rsid w:val="00145330"/>
    <w:rsid w:val="00145725"/>
    <w:rsid w:val="00145E4F"/>
    <w:rsid w:val="00145F4E"/>
    <w:rsid w:val="001462D6"/>
    <w:rsid w:val="00146D51"/>
    <w:rsid w:val="001470F5"/>
    <w:rsid w:val="0014760D"/>
    <w:rsid w:val="0014784B"/>
    <w:rsid w:val="00147F6B"/>
    <w:rsid w:val="00150A73"/>
    <w:rsid w:val="00150DFA"/>
    <w:rsid w:val="0015166B"/>
    <w:rsid w:val="001521D2"/>
    <w:rsid w:val="00152600"/>
    <w:rsid w:val="00153C35"/>
    <w:rsid w:val="00153C61"/>
    <w:rsid w:val="00154519"/>
    <w:rsid w:val="0015477D"/>
    <w:rsid w:val="00154EFF"/>
    <w:rsid w:val="0015553A"/>
    <w:rsid w:val="0015647C"/>
    <w:rsid w:val="00156DAF"/>
    <w:rsid w:val="0015738D"/>
    <w:rsid w:val="00157747"/>
    <w:rsid w:val="001600C7"/>
    <w:rsid w:val="00160B73"/>
    <w:rsid w:val="00161BA2"/>
    <w:rsid w:val="00161D4D"/>
    <w:rsid w:val="001629FB"/>
    <w:rsid w:val="00162BD8"/>
    <w:rsid w:val="00162C58"/>
    <w:rsid w:val="0016341C"/>
    <w:rsid w:val="00163FB4"/>
    <w:rsid w:val="001647EE"/>
    <w:rsid w:val="0016488F"/>
    <w:rsid w:val="00164E4D"/>
    <w:rsid w:val="00165DAD"/>
    <w:rsid w:val="00166226"/>
    <w:rsid w:val="00166B7F"/>
    <w:rsid w:val="001672A9"/>
    <w:rsid w:val="0016742C"/>
    <w:rsid w:val="00170291"/>
    <w:rsid w:val="0017088F"/>
    <w:rsid w:val="00170A43"/>
    <w:rsid w:val="00170DB9"/>
    <w:rsid w:val="001710C1"/>
    <w:rsid w:val="001712E8"/>
    <w:rsid w:val="0017208D"/>
    <w:rsid w:val="00172342"/>
    <w:rsid w:val="0017273D"/>
    <w:rsid w:val="001737E5"/>
    <w:rsid w:val="00173FEB"/>
    <w:rsid w:val="001750AA"/>
    <w:rsid w:val="00175B2E"/>
    <w:rsid w:val="00175E47"/>
    <w:rsid w:val="00176640"/>
    <w:rsid w:val="001770C3"/>
    <w:rsid w:val="00180586"/>
    <w:rsid w:val="00180658"/>
    <w:rsid w:val="00181371"/>
    <w:rsid w:val="00182203"/>
    <w:rsid w:val="00182FF8"/>
    <w:rsid w:val="00185409"/>
    <w:rsid w:val="0018613E"/>
    <w:rsid w:val="00186626"/>
    <w:rsid w:val="0018705E"/>
    <w:rsid w:val="00190454"/>
    <w:rsid w:val="00190AE6"/>
    <w:rsid w:val="00190EA0"/>
    <w:rsid w:val="001915CE"/>
    <w:rsid w:val="00191701"/>
    <w:rsid w:val="0019170F"/>
    <w:rsid w:val="001918FE"/>
    <w:rsid w:val="00192464"/>
    <w:rsid w:val="00192CFD"/>
    <w:rsid w:val="00193A81"/>
    <w:rsid w:val="00193B94"/>
    <w:rsid w:val="00193BC0"/>
    <w:rsid w:val="00193E71"/>
    <w:rsid w:val="0019427E"/>
    <w:rsid w:val="001949E4"/>
    <w:rsid w:val="00195366"/>
    <w:rsid w:val="00195ABA"/>
    <w:rsid w:val="00196150"/>
    <w:rsid w:val="00196C9F"/>
    <w:rsid w:val="00196F4E"/>
    <w:rsid w:val="00197AFD"/>
    <w:rsid w:val="001A0565"/>
    <w:rsid w:val="001A0931"/>
    <w:rsid w:val="001A116E"/>
    <w:rsid w:val="001A143B"/>
    <w:rsid w:val="001A2241"/>
    <w:rsid w:val="001A415E"/>
    <w:rsid w:val="001A4848"/>
    <w:rsid w:val="001A4B88"/>
    <w:rsid w:val="001A74F5"/>
    <w:rsid w:val="001A7F30"/>
    <w:rsid w:val="001A7F7A"/>
    <w:rsid w:val="001B0023"/>
    <w:rsid w:val="001B0981"/>
    <w:rsid w:val="001B1EE1"/>
    <w:rsid w:val="001B22FE"/>
    <w:rsid w:val="001B2AF6"/>
    <w:rsid w:val="001B3340"/>
    <w:rsid w:val="001B35CE"/>
    <w:rsid w:val="001B372C"/>
    <w:rsid w:val="001B4273"/>
    <w:rsid w:val="001B4F93"/>
    <w:rsid w:val="001B6503"/>
    <w:rsid w:val="001B6695"/>
    <w:rsid w:val="001B6B09"/>
    <w:rsid w:val="001B6D4F"/>
    <w:rsid w:val="001B751E"/>
    <w:rsid w:val="001C0000"/>
    <w:rsid w:val="001C0994"/>
    <w:rsid w:val="001C0A39"/>
    <w:rsid w:val="001C0D06"/>
    <w:rsid w:val="001C16C4"/>
    <w:rsid w:val="001C1C4C"/>
    <w:rsid w:val="001C3291"/>
    <w:rsid w:val="001C3DE5"/>
    <w:rsid w:val="001C4100"/>
    <w:rsid w:val="001C415C"/>
    <w:rsid w:val="001C4B35"/>
    <w:rsid w:val="001C4D7F"/>
    <w:rsid w:val="001C62D0"/>
    <w:rsid w:val="001C634D"/>
    <w:rsid w:val="001C66E4"/>
    <w:rsid w:val="001C730D"/>
    <w:rsid w:val="001C73A6"/>
    <w:rsid w:val="001C748E"/>
    <w:rsid w:val="001C74F0"/>
    <w:rsid w:val="001C7CA2"/>
    <w:rsid w:val="001C7E5B"/>
    <w:rsid w:val="001C7FA5"/>
    <w:rsid w:val="001D2D33"/>
    <w:rsid w:val="001D36C2"/>
    <w:rsid w:val="001D411E"/>
    <w:rsid w:val="001D4172"/>
    <w:rsid w:val="001D4181"/>
    <w:rsid w:val="001D4E3B"/>
    <w:rsid w:val="001D5360"/>
    <w:rsid w:val="001D5FAD"/>
    <w:rsid w:val="001D6036"/>
    <w:rsid w:val="001D6470"/>
    <w:rsid w:val="001D7B8C"/>
    <w:rsid w:val="001D7EF1"/>
    <w:rsid w:val="001E068B"/>
    <w:rsid w:val="001E16E4"/>
    <w:rsid w:val="001E1D05"/>
    <w:rsid w:val="001E1F1A"/>
    <w:rsid w:val="001E2430"/>
    <w:rsid w:val="001E2581"/>
    <w:rsid w:val="001E26D0"/>
    <w:rsid w:val="001E2A31"/>
    <w:rsid w:val="001E44DA"/>
    <w:rsid w:val="001E54DB"/>
    <w:rsid w:val="001E6E87"/>
    <w:rsid w:val="001E7C5E"/>
    <w:rsid w:val="001F0797"/>
    <w:rsid w:val="001F127B"/>
    <w:rsid w:val="001F14F5"/>
    <w:rsid w:val="001F1C70"/>
    <w:rsid w:val="001F201E"/>
    <w:rsid w:val="001F2C0A"/>
    <w:rsid w:val="001F2D48"/>
    <w:rsid w:val="001F39FC"/>
    <w:rsid w:val="001F3A85"/>
    <w:rsid w:val="001F3C53"/>
    <w:rsid w:val="001F40B5"/>
    <w:rsid w:val="001F5098"/>
    <w:rsid w:val="001F59E9"/>
    <w:rsid w:val="001F5A77"/>
    <w:rsid w:val="001F5B1F"/>
    <w:rsid w:val="001F5CAF"/>
    <w:rsid w:val="001F6226"/>
    <w:rsid w:val="001F64AE"/>
    <w:rsid w:val="001F65DC"/>
    <w:rsid w:val="001F6C41"/>
    <w:rsid w:val="001F768A"/>
    <w:rsid w:val="001F7D6B"/>
    <w:rsid w:val="001F7EC1"/>
    <w:rsid w:val="00200918"/>
    <w:rsid w:val="002009DC"/>
    <w:rsid w:val="0020100B"/>
    <w:rsid w:val="00201B1D"/>
    <w:rsid w:val="00201D84"/>
    <w:rsid w:val="002022B1"/>
    <w:rsid w:val="002025E6"/>
    <w:rsid w:val="00202700"/>
    <w:rsid w:val="0020319E"/>
    <w:rsid w:val="002032E3"/>
    <w:rsid w:val="00204026"/>
    <w:rsid w:val="00204127"/>
    <w:rsid w:val="0020456C"/>
    <w:rsid w:val="00204852"/>
    <w:rsid w:val="00204AB4"/>
    <w:rsid w:val="00204EC6"/>
    <w:rsid w:val="00204FBE"/>
    <w:rsid w:val="0020585B"/>
    <w:rsid w:val="00205CB5"/>
    <w:rsid w:val="0020606E"/>
    <w:rsid w:val="00207706"/>
    <w:rsid w:val="0020782B"/>
    <w:rsid w:val="00210E04"/>
    <w:rsid w:val="00211942"/>
    <w:rsid w:val="002119C2"/>
    <w:rsid w:val="00212B76"/>
    <w:rsid w:val="00213528"/>
    <w:rsid w:val="002137F1"/>
    <w:rsid w:val="00213CAD"/>
    <w:rsid w:val="00214A45"/>
    <w:rsid w:val="00214FB4"/>
    <w:rsid w:val="002159DD"/>
    <w:rsid w:val="00216008"/>
    <w:rsid w:val="002165D2"/>
    <w:rsid w:val="0021737B"/>
    <w:rsid w:val="00220C10"/>
    <w:rsid w:val="00221655"/>
    <w:rsid w:val="002217C8"/>
    <w:rsid w:val="00221810"/>
    <w:rsid w:val="00222325"/>
    <w:rsid w:val="002225F3"/>
    <w:rsid w:val="00223741"/>
    <w:rsid w:val="002247FD"/>
    <w:rsid w:val="00225EC2"/>
    <w:rsid w:val="00225F32"/>
    <w:rsid w:val="00225F43"/>
    <w:rsid w:val="002260E0"/>
    <w:rsid w:val="00226D05"/>
    <w:rsid w:val="0022735D"/>
    <w:rsid w:val="0023076E"/>
    <w:rsid w:val="00230FBC"/>
    <w:rsid w:val="0023119C"/>
    <w:rsid w:val="002314A7"/>
    <w:rsid w:val="0023157F"/>
    <w:rsid w:val="00232C6B"/>
    <w:rsid w:val="00233388"/>
    <w:rsid w:val="00233D01"/>
    <w:rsid w:val="00234065"/>
    <w:rsid w:val="002349FA"/>
    <w:rsid w:val="002351B2"/>
    <w:rsid w:val="002351D8"/>
    <w:rsid w:val="002351E4"/>
    <w:rsid w:val="00235322"/>
    <w:rsid w:val="00235713"/>
    <w:rsid w:val="0023572F"/>
    <w:rsid w:val="00236C70"/>
    <w:rsid w:val="00236DEF"/>
    <w:rsid w:val="00236EF1"/>
    <w:rsid w:val="002376E8"/>
    <w:rsid w:val="002379BF"/>
    <w:rsid w:val="002379C0"/>
    <w:rsid w:val="00237B86"/>
    <w:rsid w:val="00237E98"/>
    <w:rsid w:val="00240733"/>
    <w:rsid w:val="00240F61"/>
    <w:rsid w:val="002410B7"/>
    <w:rsid w:val="00241869"/>
    <w:rsid w:val="002431A9"/>
    <w:rsid w:val="0024336D"/>
    <w:rsid w:val="002444FE"/>
    <w:rsid w:val="00244717"/>
    <w:rsid w:val="002453CB"/>
    <w:rsid w:val="00245556"/>
    <w:rsid w:val="00245F09"/>
    <w:rsid w:val="00246640"/>
    <w:rsid w:val="00246A75"/>
    <w:rsid w:val="00247151"/>
    <w:rsid w:val="00247FB5"/>
    <w:rsid w:val="00250928"/>
    <w:rsid w:val="00250F20"/>
    <w:rsid w:val="00252A26"/>
    <w:rsid w:val="00253193"/>
    <w:rsid w:val="002536EF"/>
    <w:rsid w:val="0025378B"/>
    <w:rsid w:val="00253AF3"/>
    <w:rsid w:val="002543C2"/>
    <w:rsid w:val="00254610"/>
    <w:rsid w:val="00255013"/>
    <w:rsid w:val="00255284"/>
    <w:rsid w:val="00255ABB"/>
    <w:rsid w:val="00256382"/>
    <w:rsid w:val="002568FF"/>
    <w:rsid w:val="002574F5"/>
    <w:rsid w:val="00257DAB"/>
    <w:rsid w:val="00257E30"/>
    <w:rsid w:val="00260C89"/>
    <w:rsid w:val="00260D19"/>
    <w:rsid w:val="00261775"/>
    <w:rsid w:val="00261ADF"/>
    <w:rsid w:val="00261F0E"/>
    <w:rsid w:val="00261F5F"/>
    <w:rsid w:val="0026212B"/>
    <w:rsid w:val="00262B0D"/>
    <w:rsid w:val="00262B60"/>
    <w:rsid w:val="00262FCF"/>
    <w:rsid w:val="00263BD5"/>
    <w:rsid w:val="00263DED"/>
    <w:rsid w:val="00264D81"/>
    <w:rsid w:val="00264FC8"/>
    <w:rsid w:val="002656E2"/>
    <w:rsid w:val="002656F9"/>
    <w:rsid w:val="00265AC3"/>
    <w:rsid w:val="00266607"/>
    <w:rsid w:val="00266842"/>
    <w:rsid w:val="00266B73"/>
    <w:rsid w:val="002674B1"/>
    <w:rsid w:val="00270111"/>
    <w:rsid w:val="0027110E"/>
    <w:rsid w:val="0027115D"/>
    <w:rsid w:val="0027198E"/>
    <w:rsid w:val="00271C09"/>
    <w:rsid w:val="0027238D"/>
    <w:rsid w:val="00272A8A"/>
    <w:rsid w:val="00272D63"/>
    <w:rsid w:val="00273481"/>
    <w:rsid w:val="0027468A"/>
    <w:rsid w:val="002747B3"/>
    <w:rsid w:val="0027494B"/>
    <w:rsid w:val="00274AB8"/>
    <w:rsid w:val="00274C29"/>
    <w:rsid w:val="00276306"/>
    <w:rsid w:val="0027687E"/>
    <w:rsid w:val="00277297"/>
    <w:rsid w:val="00277814"/>
    <w:rsid w:val="002779F7"/>
    <w:rsid w:val="00280194"/>
    <w:rsid w:val="00280475"/>
    <w:rsid w:val="00280518"/>
    <w:rsid w:val="002805AD"/>
    <w:rsid w:val="002814DC"/>
    <w:rsid w:val="00282013"/>
    <w:rsid w:val="00282037"/>
    <w:rsid w:val="002826A3"/>
    <w:rsid w:val="0028313E"/>
    <w:rsid w:val="002838F5"/>
    <w:rsid w:val="00283A7D"/>
    <w:rsid w:val="00283A93"/>
    <w:rsid w:val="00283F0E"/>
    <w:rsid w:val="002841E6"/>
    <w:rsid w:val="00284E5E"/>
    <w:rsid w:val="002858F1"/>
    <w:rsid w:val="002868C7"/>
    <w:rsid w:val="00287EAD"/>
    <w:rsid w:val="00290994"/>
    <w:rsid w:val="00290EAB"/>
    <w:rsid w:val="00291B5E"/>
    <w:rsid w:val="00291F76"/>
    <w:rsid w:val="002924B6"/>
    <w:rsid w:val="0029270E"/>
    <w:rsid w:val="00292D10"/>
    <w:rsid w:val="002936E6"/>
    <w:rsid w:val="002938EE"/>
    <w:rsid w:val="00293C2B"/>
    <w:rsid w:val="00293C2F"/>
    <w:rsid w:val="0029474E"/>
    <w:rsid w:val="00295251"/>
    <w:rsid w:val="00295F72"/>
    <w:rsid w:val="00296ACF"/>
    <w:rsid w:val="00296F70"/>
    <w:rsid w:val="0029758F"/>
    <w:rsid w:val="00297667"/>
    <w:rsid w:val="00297B9E"/>
    <w:rsid w:val="002A0D3E"/>
    <w:rsid w:val="002A10B0"/>
    <w:rsid w:val="002A1422"/>
    <w:rsid w:val="002A1648"/>
    <w:rsid w:val="002A1F00"/>
    <w:rsid w:val="002A2998"/>
    <w:rsid w:val="002A31D2"/>
    <w:rsid w:val="002A3CE8"/>
    <w:rsid w:val="002A476D"/>
    <w:rsid w:val="002A4AA9"/>
    <w:rsid w:val="002A504F"/>
    <w:rsid w:val="002A52C9"/>
    <w:rsid w:val="002A5E23"/>
    <w:rsid w:val="002A653D"/>
    <w:rsid w:val="002A786A"/>
    <w:rsid w:val="002B07D5"/>
    <w:rsid w:val="002B2B29"/>
    <w:rsid w:val="002B32D6"/>
    <w:rsid w:val="002B3B76"/>
    <w:rsid w:val="002B3C4E"/>
    <w:rsid w:val="002B3F85"/>
    <w:rsid w:val="002B4063"/>
    <w:rsid w:val="002B5D7A"/>
    <w:rsid w:val="002B669F"/>
    <w:rsid w:val="002B6BAD"/>
    <w:rsid w:val="002B755A"/>
    <w:rsid w:val="002B770C"/>
    <w:rsid w:val="002B7C2D"/>
    <w:rsid w:val="002B7E33"/>
    <w:rsid w:val="002C06B1"/>
    <w:rsid w:val="002C08ED"/>
    <w:rsid w:val="002C1207"/>
    <w:rsid w:val="002C1529"/>
    <w:rsid w:val="002C1777"/>
    <w:rsid w:val="002C2790"/>
    <w:rsid w:val="002C2974"/>
    <w:rsid w:val="002C495C"/>
    <w:rsid w:val="002C5486"/>
    <w:rsid w:val="002C691A"/>
    <w:rsid w:val="002C69E5"/>
    <w:rsid w:val="002C7144"/>
    <w:rsid w:val="002C719F"/>
    <w:rsid w:val="002D01ED"/>
    <w:rsid w:val="002D083E"/>
    <w:rsid w:val="002D08D0"/>
    <w:rsid w:val="002D09E7"/>
    <w:rsid w:val="002D0D97"/>
    <w:rsid w:val="002D0FB2"/>
    <w:rsid w:val="002D17D9"/>
    <w:rsid w:val="002D36F5"/>
    <w:rsid w:val="002D425D"/>
    <w:rsid w:val="002D48E7"/>
    <w:rsid w:val="002D49B7"/>
    <w:rsid w:val="002D54A2"/>
    <w:rsid w:val="002D5760"/>
    <w:rsid w:val="002D5D0D"/>
    <w:rsid w:val="002D6C87"/>
    <w:rsid w:val="002D7B9F"/>
    <w:rsid w:val="002E03AA"/>
    <w:rsid w:val="002E0B05"/>
    <w:rsid w:val="002E1621"/>
    <w:rsid w:val="002E1819"/>
    <w:rsid w:val="002E1B33"/>
    <w:rsid w:val="002E1D20"/>
    <w:rsid w:val="002E2004"/>
    <w:rsid w:val="002E273B"/>
    <w:rsid w:val="002E2DDE"/>
    <w:rsid w:val="002E316F"/>
    <w:rsid w:val="002E334E"/>
    <w:rsid w:val="002E36DE"/>
    <w:rsid w:val="002E3937"/>
    <w:rsid w:val="002E6688"/>
    <w:rsid w:val="002E68EF"/>
    <w:rsid w:val="002E757B"/>
    <w:rsid w:val="002E7629"/>
    <w:rsid w:val="002E7928"/>
    <w:rsid w:val="002E7BC3"/>
    <w:rsid w:val="002E7E2C"/>
    <w:rsid w:val="002F0B54"/>
    <w:rsid w:val="002F10EA"/>
    <w:rsid w:val="002F17F8"/>
    <w:rsid w:val="002F1A47"/>
    <w:rsid w:val="002F1F61"/>
    <w:rsid w:val="002F22F3"/>
    <w:rsid w:val="002F2EC9"/>
    <w:rsid w:val="002F304A"/>
    <w:rsid w:val="002F39AE"/>
    <w:rsid w:val="002F4690"/>
    <w:rsid w:val="002F47DB"/>
    <w:rsid w:val="002F4995"/>
    <w:rsid w:val="002F5DFB"/>
    <w:rsid w:val="002F617E"/>
    <w:rsid w:val="002F632B"/>
    <w:rsid w:val="002F6803"/>
    <w:rsid w:val="002F7196"/>
    <w:rsid w:val="002F7A9E"/>
    <w:rsid w:val="002F7CFD"/>
    <w:rsid w:val="003000A9"/>
    <w:rsid w:val="003010EE"/>
    <w:rsid w:val="00301206"/>
    <w:rsid w:val="00301CDB"/>
    <w:rsid w:val="0030231D"/>
    <w:rsid w:val="00303D59"/>
    <w:rsid w:val="003050C5"/>
    <w:rsid w:val="00305519"/>
    <w:rsid w:val="00306624"/>
    <w:rsid w:val="00307931"/>
    <w:rsid w:val="00307983"/>
    <w:rsid w:val="00307C8C"/>
    <w:rsid w:val="00307EB5"/>
    <w:rsid w:val="00307F05"/>
    <w:rsid w:val="00310259"/>
    <w:rsid w:val="00310707"/>
    <w:rsid w:val="00310792"/>
    <w:rsid w:val="00310EDF"/>
    <w:rsid w:val="00313075"/>
    <w:rsid w:val="00313A5A"/>
    <w:rsid w:val="003143F5"/>
    <w:rsid w:val="00314B31"/>
    <w:rsid w:val="00314DA3"/>
    <w:rsid w:val="00314FB8"/>
    <w:rsid w:val="00315753"/>
    <w:rsid w:val="00315B67"/>
    <w:rsid w:val="00315E26"/>
    <w:rsid w:val="003162F9"/>
    <w:rsid w:val="00316F82"/>
    <w:rsid w:val="00317F78"/>
    <w:rsid w:val="00317FE6"/>
    <w:rsid w:val="00320477"/>
    <w:rsid w:val="00321940"/>
    <w:rsid w:val="00321DED"/>
    <w:rsid w:val="00322822"/>
    <w:rsid w:val="003231B9"/>
    <w:rsid w:val="00324410"/>
    <w:rsid w:val="00327034"/>
    <w:rsid w:val="00327557"/>
    <w:rsid w:val="00330683"/>
    <w:rsid w:val="003307AD"/>
    <w:rsid w:val="00331208"/>
    <w:rsid w:val="003312D8"/>
    <w:rsid w:val="00335C4B"/>
    <w:rsid w:val="00336E6A"/>
    <w:rsid w:val="00336FE0"/>
    <w:rsid w:val="00337002"/>
    <w:rsid w:val="00340474"/>
    <w:rsid w:val="0034133C"/>
    <w:rsid w:val="003414D4"/>
    <w:rsid w:val="003415A3"/>
    <w:rsid w:val="003417C2"/>
    <w:rsid w:val="003422E0"/>
    <w:rsid w:val="003430D8"/>
    <w:rsid w:val="00343AE9"/>
    <w:rsid w:val="00344EAF"/>
    <w:rsid w:val="00345287"/>
    <w:rsid w:val="00347094"/>
    <w:rsid w:val="003475A5"/>
    <w:rsid w:val="00347F31"/>
    <w:rsid w:val="0035012C"/>
    <w:rsid w:val="0035042F"/>
    <w:rsid w:val="0035124B"/>
    <w:rsid w:val="0035155B"/>
    <w:rsid w:val="003519B2"/>
    <w:rsid w:val="00352401"/>
    <w:rsid w:val="0035386E"/>
    <w:rsid w:val="00353890"/>
    <w:rsid w:val="00353F21"/>
    <w:rsid w:val="00355AC3"/>
    <w:rsid w:val="00355AC9"/>
    <w:rsid w:val="00356192"/>
    <w:rsid w:val="0035634B"/>
    <w:rsid w:val="00356651"/>
    <w:rsid w:val="00357CAE"/>
    <w:rsid w:val="00361A89"/>
    <w:rsid w:val="003627BB"/>
    <w:rsid w:val="003627EF"/>
    <w:rsid w:val="00362A04"/>
    <w:rsid w:val="00363D5C"/>
    <w:rsid w:val="00364E46"/>
    <w:rsid w:val="00365107"/>
    <w:rsid w:val="00365E56"/>
    <w:rsid w:val="00366921"/>
    <w:rsid w:val="00366E9D"/>
    <w:rsid w:val="003673CD"/>
    <w:rsid w:val="00370049"/>
    <w:rsid w:val="003701C3"/>
    <w:rsid w:val="0037056F"/>
    <w:rsid w:val="003725DD"/>
    <w:rsid w:val="003732C6"/>
    <w:rsid w:val="003744D7"/>
    <w:rsid w:val="00374B6D"/>
    <w:rsid w:val="00375635"/>
    <w:rsid w:val="00375835"/>
    <w:rsid w:val="00376182"/>
    <w:rsid w:val="003763B1"/>
    <w:rsid w:val="003769EB"/>
    <w:rsid w:val="00376ADF"/>
    <w:rsid w:val="00376CF6"/>
    <w:rsid w:val="00376DAE"/>
    <w:rsid w:val="0037725F"/>
    <w:rsid w:val="00377ED0"/>
    <w:rsid w:val="003804C2"/>
    <w:rsid w:val="00380AD2"/>
    <w:rsid w:val="00381512"/>
    <w:rsid w:val="0038214C"/>
    <w:rsid w:val="0038244E"/>
    <w:rsid w:val="00383267"/>
    <w:rsid w:val="003836F7"/>
    <w:rsid w:val="00383857"/>
    <w:rsid w:val="00383DEB"/>
    <w:rsid w:val="00384CB3"/>
    <w:rsid w:val="00384CC0"/>
    <w:rsid w:val="00384E8B"/>
    <w:rsid w:val="003860D4"/>
    <w:rsid w:val="00386404"/>
    <w:rsid w:val="00386EB6"/>
    <w:rsid w:val="00387157"/>
    <w:rsid w:val="00387344"/>
    <w:rsid w:val="00390238"/>
    <w:rsid w:val="003902F0"/>
    <w:rsid w:val="003906E0"/>
    <w:rsid w:val="00390A8A"/>
    <w:rsid w:val="00390BBE"/>
    <w:rsid w:val="00390D39"/>
    <w:rsid w:val="00391E3C"/>
    <w:rsid w:val="00392572"/>
    <w:rsid w:val="00392AD2"/>
    <w:rsid w:val="00394BAD"/>
    <w:rsid w:val="00394EF6"/>
    <w:rsid w:val="003956F8"/>
    <w:rsid w:val="00395B64"/>
    <w:rsid w:val="003966CB"/>
    <w:rsid w:val="00396EA1"/>
    <w:rsid w:val="00397141"/>
    <w:rsid w:val="003971AF"/>
    <w:rsid w:val="00397E9B"/>
    <w:rsid w:val="003A00CB"/>
    <w:rsid w:val="003A0F0F"/>
    <w:rsid w:val="003A195D"/>
    <w:rsid w:val="003A1FBD"/>
    <w:rsid w:val="003A23D1"/>
    <w:rsid w:val="003A2587"/>
    <w:rsid w:val="003A2F72"/>
    <w:rsid w:val="003A3DF8"/>
    <w:rsid w:val="003A43A9"/>
    <w:rsid w:val="003A50A3"/>
    <w:rsid w:val="003A5526"/>
    <w:rsid w:val="003A6CA3"/>
    <w:rsid w:val="003A7F5D"/>
    <w:rsid w:val="003B0C23"/>
    <w:rsid w:val="003B0CD1"/>
    <w:rsid w:val="003B1977"/>
    <w:rsid w:val="003B32FB"/>
    <w:rsid w:val="003B3571"/>
    <w:rsid w:val="003B35AC"/>
    <w:rsid w:val="003B367C"/>
    <w:rsid w:val="003B3BFB"/>
    <w:rsid w:val="003B4B9C"/>
    <w:rsid w:val="003B4F47"/>
    <w:rsid w:val="003B4FFF"/>
    <w:rsid w:val="003B5107"/>
    <w:rsid w:val="003B5BAB"/>
    <w:rsid w:val="003B7387"/>
    <w:rsid w:val="003B7582"/>
    <w:rsid w:val="003C02B4"/>
    <w:rsid w:val="003C0358"/>
    <w:rsid w:val="003C0910"/>
    <w:rsid w:val="003C1CFF"/>
    <w:rsid w:val="003C25E0"/>
    <w:rsid w:val="003C2A33"/>
    <w:rsid w:val="003C2A55"/>
    <w:rsid w:val="003C2D93"/>
    <w:rsid w:val="003C2F5F"/>
    <w:rsid w:val="003C3578"/>
    <w:rsid w:val="003C3FE2"/>
    <w:rsid w:val="003C5C58"/>
    <w:rsid w:val="003C615C"/>
    <w:rsid w:val="003C6B67"/>
    <w:rsid w:val="003C6E41"/>
    <w:rsid w:val="003C70DD"/>
    <w:rsid w:val="003C785A"/>
    <w:rsid w:val="003D00AA"/>
    <w:rsid w:val="003D00B4"/>
    <w:rsid w:val="003D0941"/>
    <w:rsid w:val="003D09DD"/>
    <w:rsid w:val="003D12B5"/>
    <w:rsid w:val="003D1837"/>
    <w:rsid w:val="003D1913"/>
    <w:rsid w:val="003D1DEE"/>
    <w:rsid w:val="003D1EB5"/>
    <w:rsid w:val="003D2272"/>
    <w:rsid w:val="003D2991"/>
    <w:rsid w:val="003D3657"/>
    <w:rsid w:val="003D3DF4"/>
    <w:rsid w:val="003D3F1A"/>
    <w:rsid w:val="003D411A"/>
    <w:rsid w:val="003D4C56"/>
    <w:rsid w:val="003D4FDA"/>
    <w:rsid w:val="003D73EA"/>
    <w:rsid w:val="003D7C9E"/>
    <w:rsid w:val="003E01EC"/>
    <w:rsid w:val="003E05D7"/>
    <w:rsid w:val="003E086C"/>
    <w:rsid w:val="003E0967"/>
    <w:rsid w:val="003E0E4C"/>
    <w:rsid w:val="003E15D7"/>
    <w:rsid w:val="003E1670"/>
    <w:rsid w:val="003E1CA3"/>
    <w:rsid w:val="003E214C"/>
    <w:rsid w:val="003E2723"/>
    <w:rsid w:val="003E3265"/>
    <w:rsid w:val="003E5CE3"/>
    <w:rsid w:val="003E65F4"/>
    <w:rsid w:val="003E6DBC"/>
    <w:rsid w:val="003E794F"/>
    <w:rsid w:val="003F054B"/>
    <w:rsid w:val="003F13AF"/>
    <w:rsid w:val="003F2127"/>
    <w:rsid w:val="003F286F"/>
    <w:rsid w:val="003F2BB2"/>
    <w:rsid w:val="003F32FC"/>
    <w:rsid w:val="003F3401"/>
    <w:rsid w:val="003F34DA"/>
    <w:rsid w:val="003F4CD5"/>
    <w:rsid w:val="003F6C94"/>
    <w:rsid w:val="003F6E08"/>
    <w:rsid w:val="003F77C4"/>
    <w:rsid w:val="004001C7"/>
    <w:rsid w:val="00400398"/>
    <w:rsid w:val="0040061B"/>
    <w:rsid w:val="00403342"/>
    <w:rsid w:val="00404958"/>
    <w:rsid w:val="00405A84"/>
    <w:rsid w:val="00406125"/>
    <w:rsid w:val="0040629E"/>
    <w:rsid w:val="0040686C"/>
    <w:rsid w:val="00406D16"/>
    <w:rsid w:val="00406D2A"/>
    <w:rsid w:val="00407E6F"/>
    <w:rsid w:val="00407F04"/>
    <w:rsid w:val="00410445"/>
    <w:rsid w:val="00411133"/>
    <w:rsid w:val="00411694"/>
    <w:rsid w:val="004116BC"/>
    <w:rsid w:val="00411921"/>
    <w:rsid w:val="00411D2B"/>
    <w:rsid w:val="00411D7A"/>
    <w:rsid w:val="00411E46"/>
    <w:rsid w:val="00413FAE"/>
    <w:rsid w:val="00414107"/>
    <w:rsid w:val="004145B9"/>
    <w:rsid w:val="0041561F"/>
    <w:rsid w:val="00417751"/>
    <w:rsid w:val="00417907"/>
    <w:rsid w:val="00417BCB"/>
    <w:rsid w:val="00421EEF"/>
    <w:rsid w:val="0042424A"/>
    <w:rsid w:val="00424944"/>
    <w:rsid w:val="00424C5D"/>
    <w:rsid w:val="00425A3D"/>
    <w:rsid w:val="00425F7B"/>
    <w:rsid w:val="00426191"/>
    <w:rsid w:val="0042634B"/>
    <w:rsid w:val="004267E5"/>
    <w:rsid w:val="00426A39"/>
    <w:rsid w:val="00426D74"/>
    <w:rsid w:val="0042718C"/>
    <w:rsid w:val="00427419"/>
    <w:rsid w:val="00427578"/>
    <w:rsid w:val="004276F9"/>
    <w:rsid w:val="00427ACA"/>
    <w:rsid w:val="0043044C"/>
    <w:rsid w:val="00430A53"/>
    <w:rsid w:val="00430A8E"/>
    <w:rsid w:val="00430E1C"/>
    <w:rsid w:val="004315CB"/>
    <w:rsid w:val="00432993"/>
    <w:rsid w:val="00432AB1"/>
    <w:rsid w:val="00433B20"/>
    <w:rsid w:val="00434037"/>
    <w:rsid w:val="00434BD4"/>
    <w:rsid w:val="00435C92"/>
    <w:rsid w:val="00436284"/>
    <w:rsid w:val="00436A26"/>
    <w:rsid w:val="00437058"/>
    <w:rsid w:val="004370CF"/>
    <w:rsid w:val="0043729D"/>
    <w:rsid w:val="0043767F"/>
    <w:rsid w:val="00440B98"/>
    <w:rsid w:val="0044155A"/>
    <w:rsid w:val="00441699"/>
    <w:rsid w:val="00441F7A"/>
    <w:rsid w:val="004428DA"/>
    <w:rsid w:val="004437D6"/>
    <w:rsid w:val="004437FB"/>
    <w:rsid w:val="00443B48"/>
    <w:rsid w:val="00443D4B"/>
    <w:rsid w:val="0044492C"/>
    <w:rsid w:val="00444D09"/>
    <w:rsid w:val="00444EC8"/>
    <w:rsid w:val="0044529E"/>
    <w:rsid w:val="00446584"/>
    <w:rsid w:val="00446C22"/>
    <w:rsid w:val="00447DB5"/>
    <w:rsid w:val="00451358"/>
    <w:rsid w:val="00451B94"/>
    <w:rsid w:val="00451FF5"/>
    <w:rsid w:val="004537BA"/>
    <w:rsid w:val="00453FBF"/>
    <w:rsid w:val="004540CB"/>
    <w:rsid w:val="0045474F"/>
    <w:rsid w:val="0045482D"/>
    <w:rsid w:val="00454CDB"/>
    <w:rsid w:val="00454F19"/>
    <w:rsid w:val="004561ED"/>
    <w:rsid w:val="00456918"/>
    <w:rsid w:val="00456A9F"/>
    <w:rsid w:val="00457B06"/>
    <w:rsid w:val="00460CA4"/>
    <w:rsid w:val="00461272"/>
    <w:rsid w:val="00461D74"/>
    <w:rsid w:val="00461E8D"/>
    <w:rsid w:val="00461F46"/>
    <w:rsid w:val="00463591"/>
    <w:rsid w:val="0046360B"/>
    <w:rsid w:val="00463C58"/>
    <w:rsid w:val="00464A1E"/>
    <w:rsid w:val="00465BD5"/>
    <w:rsid w:val="00465CAD"/>
    <w:rsid w:val="004673E8"/>
    <w:rsid w:val="00467661"/>
    <w:rsid w:val="00467908"/>
    <w:rsid w:val="00467A00"/>
    <w:rsid w:val="00467A1D"/>
    <w:rsid w:val="00467B3F"/>
    <w:rsid w:val="004707C4"/>
    <w:rsid w:val="00471447"/>
    <w:rsid w:val="00471871"/>
    <w:rsid w:val="00472CF0"/>
    <w:rsid w:val="0047409B"/>
    <w:rsid w:val="004740E3"/>
    <w:rsid w:val="004741D0"/>
    <w:rsid w:val="004749F1"/>
    <w:rsid w:val="00475016"/>
    <w:rsid w:val="004772E5"/>
    <w:rsid w:val="00477375"/>
    <w:rsid w:val="004777AD"/>
    <w:rsid w:val="00477CEF"/>
    <w:rsid w:val="00477EC8"/>
    <w:rsid w:val="00480129"/>
    <w:rsid w:val="0048083F"/>
    <w:rsid w:val="00480CE0"/>
    <w:rsid w:val="00480E48"/>
    <w:rsid w:val="004816D2"/>
    <w:rsid w:val="004823C0"/>
    <w:rsid w:val="00482727"/>
    <w:rsid w:val="00482ECF"/>
    <w:rsid w:val="00483DF6"/>
    <w:rsid w:val="00483E31"/>
    <w:rsid w:val="00485148"/>
    <w:rsid w:val="004851AC"/>
    <w:rsid w:val="00485558"/>
    <w:rsid w:val="0048589D"/>
    <w:rsid w:val="004866D3"/>
    <w:rsid w:val="00486A0B"/>
    <w:rsid w:val="004873E2"/>
    <w:rsid w:val="004904D0"/>
    <w:rsid w:val="00491159"/>
    <w:rsid w:val="00491A89"/>
    <w:rsid w:val="00493D7D"/>
    <w:rsid w:val="00493EDE"/>
    <w:rsid w:val="00494540"/>
    <w:rsid w:val="00495B0C"/>
    <w:rsid w:val="00495B83"/>
    <w:rsid w:val="004966D0"/>
    <w:rsid w:val="0049683F"/>
    <w:rsid w:val="00497088"/>
    <w:rsid w:val="00497178"/>
    <w:rsid w:val="004A16D4"/>
    <w:rsid w:val="004A1D9C"/>
    <w:rsid w:val="004A207E"/>
    <w:rsid w:val="004A21E3"/>
    <w:rsid w:val="004A2326"/>
    <w:rsid w:val="004A4632"/>
    <w:rsid w:val="004A47A8"/>
    <w:rsid w:val="004A4D04"/>
    <w:rsid w:val="004A5A24"/>
    <w:rsid w:val="004A5BF6"/>
    <w:rsid w:val="004A6092"/>
    <w:rsid w:val="004A6370"/>
    <w:rsid w:val="004A67E5"/>
    <w:rsid w:val="004A68A6"/>
    <w:rsid w:val="004A6ED4"/>
    <w:rsid w:val="004A7D9E"/>
    <w:rsid w:val="004B0A05"/>
    <w:rsid w:val="004B0B4D"/>
    <w:rsid w:val="004B0EC5"/>
    <w:rsid w:val="004B1615"/>
    <w:rsid w:val="004B195B"/>
    <w:rsid w:val="004B1AD0"/>
    <w:rsid w:val="004B1D64"/>
    <w:rsid w:val="004B20A4"/>
    <w:rsid w:val="004B2EE3"/>
    <w:rsid w:val="004B36D0"/>
    <w:rsid w:val="004B3B7A"/>
    <w:rsid w:val="004B3EE9"/>
    <w:rsid w:val="004B53D9"/>
    <w:rsid w:val="004B604B"/>
    <w:rsid w:val="004B6177"/>
    <w:rsid w:val="004B63E3"/>
    <w:rsid w:val="004B665F"/>
    <w:rsid w:val="004B76E4"/>
    <w:rsid w:val="004C008C"/>
    <w:rsid w:val="004C147B"/>
    <w:rsid w:val="004C166E"/>
    <w:rsid w:val="004C1B71"/>
    <w:rsid w:val="004C2E29"/>
    <w:rsid w:val="004C3D66"/>
    <w:rsid w:val="004C3F46"/>
    <w:rsid w:val="004C3F9E"/>
    <w:rsid w:val="004C489F"/>
    <w:rsid w:val="004C4AB3"/>
    <w:rsid w:val="004C4F70"/>
    <w:rsid w:val="004C57EB"/>
    <w:rsid w:val="004C5A3A"/>
    <w:rsid w:val="004C6347"/>
    <w:rsid w:val="004C6545"/>
    <w:rsid w:val="004D064A"/>
    <w:rsid w:val="004D07D1"/>
    <w:rsid w:val="004D2131"/>
    <w:rsid w:val="004D2594"/>
    <w:rsid w:val="004D2EB8"/>
    <w:rsid w:val="004D32AA"/>
    <w:rsid w:val="004D3983"/>
    <w:rsid w:val="004D3A89"/>
    <w:rsid w:val="004D430C"/>
    <w:rsid w:val="004D43BB"/>
    <w:rsid w:val="004D46A7"/>
    <w:rsid w:val="004D73F4"/>
    <w:rsid w:val="004D756A"/>
    <w:rsid w:val="004D7890"/>
    <w:rsid w:val="004E1386"/>
    <w:rsid w:val="004E1FA5"/>
    <w:rsid w:val="004E22D0"/>
    <w:rsid w:val="004E26F4"/>
    <w:rsid w:val="004E282F"/>
    <w:rsid w:val="004E2ABF"/>
    <w:rsid w:val="004E2CCC"/>
    <w:rsid w:val="004E319B"/>
    <w:rsid w:val="004E343D"/>
    <w:rsid w:val="004E34CE"/>
    <w:rsid w:val="004E3551"/>
    <w:rsid w:val="004E367C"/>
    <w:rsid w:val="004E389E"/>
    <w:rsid w:val="004E46DB"/>
    <w:rsid w:val="004E4DFF"/>
    <w:rsid w:val="004E4EAA"/>
    <w:rsid w:val="004E54EC"/>
    <w:rsid w:val="004E5A7A"/>
    <w:rsid w:val="004E5EF7"/>
    <w:rsid w:val="004E6080"/>
    <w:rsid w:val="004E6390"/>
    <w:rsid w:val="004E6DDE"/>
    <w:rsid w:val="004E7B12"/>
    <w:rsid w:val="004E7DAA"/>
    <w:rsid w:val="004F02DE"/>
    <w:rsid w:val="004F0527"/>
    <w:rsid w:val="004F0736"/>
    <w:rsid w:val="004F0E27"/>
    <w:rsid w:val="004F13BD"/>
    <w:rsid w:val="004F154D"/>
    <w:rsid w:val="004F1EC7"/>
    <w:rsid w:val="004F2884"/>
    <w:rsid w:val="004F2EA0"/>
    <w:rsid w:val="004F3DD6"/>
    <w:rsid w:val="004F40EC"/>
    <w:rsid w:val="004F44E1"/>
    <w:rsid w:val="004F4B4B"/>
    <w:rsid w:val="004F4FEA"/>
    <w:rsid w:val="004F5437"/>
    <w:rsid w:val="004F5578"/>
    <w:rsid w:val="004F621C"/>
    <w:rsid w:val="004F63AB"/>
    <w:rsid w:val="004F6840"/>
    <w:rsid w:val="004F6B0A"/>
    <w:rsid w:val="004F6EC8"/>
    <w:rsid w:val="0050034B"/>
    <w:rsid w:val="00500928"/>
    <w:rsid w:val="0050103E"/>
    <w:rsid w:val="0050141F"/>
    <w:rsid w:val="00501C29"/>
    <w:rsid w:val="00501FEE"/>
    <w:rsid w:val="00502169"/>
    <w:rsid w:val="00502669"/>
    <w:rsid w:val="005026B5"/>
    <w:rsid w:val="00502E31"/>
    <w:rsid w:val="00503133"/>
    <w:rsid w:val="005032F3"/>
    <w:rsid w:val="00503932"/>
    <w:rsid w:val="00503F14"/>
    <w:rsid w:val="00503FA1"/>
    <w:rsid w:val="00504244"/>
    <w:rsid w:val="005043CF"/>
    <w:rsid w:val="00504443"/>
    <w:rsid w:val="00505332"/>
    <w:rsid w:val="005065FA"/>
    <w:rsid w:val="00506CE9"/>
    <w:rsid w:val="00506ED8"/>
    <w:rsid w:val="0051000F"/>
    <w:rsid w:val="00510019"/>
    <w:rsid w:val="005114E8"/>
    <w:rsid w:val="00511DA0"/>
    <w:rsid w:val="00512685"/>
    <w:rsid w:val="00512719"/>
    <w:rsid w:val="00513184"/>
    <w:rsid w:val="0051328D"/>
    <w:rsid w:val="00513415"/>
    <w:rsid w:val="00513716"/>
    <w:rsid w:val="00514098"/>
    <w:rsid w:val="005142A1"/>
    <w:rsid w:val="0051435B"/>
    <w:rsid w:val="005144A8"/>
    <w:rsid w:val="00514D75"/>
    <w:rsid w:val="00515273"/>
    <w:rsid w:val="005177EA"/>
    <w:rsid w:val="00517E9E"/>
    <w:rsid w:val="00520160"/>
    <w:rsid w:val="0052031D"/>
    <w:rsid w:val="00520439"/>
    <w:rsid w:val="00520A30"/>
    <w:rsid w:val="0052191C"/>
    <w:rsid w:val="00522798"/>
    <w:rsid w:val="0052290E"/>
    <w:rsid w:val="00523957"/>
    <w:rsid w:val="005239B6"/>
    <w:rsid w:val="00523A1C"/>
    <w:rsid w:val="00523AFE"/>
    <w:rsid w:val="0052475C"/>
    <w:rsid w:val="00524784"/>
    <w:rsid w:val="00524A97"/>
    <w:rsid w:val="00524AF3"/>
    <w:rsid w:val="00524C71"/>
    <w:rsid w:val="005255DA"/>
    <w:rsid w:val="00527461"/>
    <w:rsid w:val="005274C7"/>
    <w:rsid w:val="005277BC"/>
    <w:rsid w:val="005279CE"/>
    <w:rsid w:val="00527B33"/>
    <w:rsid w:val="00527DFC"/>
    <w:rsid w:val="0053088F"/>
    <w:rsid w:val="005313E3"/>
    <w:rsid w:val="005314F2"/>
    <w:rsid w:val="00531A61"/>
    <w:rsid w:val="00532001"/>
    <w:rsid w:val="00532724"/>
    <w:rsid w:val="0053275E"/>
    <w:rsid w:val="005327DA"/>
    <w:rsid w:val="00532CF9"/>
    <w:rsid w:val="00532D87"/>
    <w:rsid w:val="005338D0"/>
    <w:rsid w:val="00533CA4"/>
    <w:rsid w:val="005349DB"/>
    <w:rsid w:val="00535091"/>
    <w:rsid w:val="005353A2"/>
    <w:rsid w:val="005361A1"/>
    <w:rsid w:val="00536E30"/>
    <w:rsid w:val="005373E5"/>
    <w:rsid w:val="00537C44"/>
    <w:rsid w:val="00537DB0"/>
    <w:rsid w:val="0054018B"/>
    <w:rsid w:val="00540240"/>
    <w:rsid w:val="00540FBB"/>
    <w:rsid w:val="0054146E"/>
    <w:rsid w:val="00541492"/>
    <w:rsid w:val="0054228A"/>
    <w:rsid w:val="00542A7A"/>
    <w:rsid w:val="00542BFA"/>
    <w:rsid w:val="00543666"/>
    <w:rsid w:val="00543C2E"/>
    <w:rsid w:val="00543D85"/>
    <w:rsid w:val="00544616"/>
    <w:rsid w:val="00544764"/>
    <w:rsid w:val="00546DB4"/>
    <w:rsid w:val="00547C86"/>
    <w:rsid w:val="00547E47"/>
    <w:rsid w:val="005507AD"/>
    <w:rsid w:val="0055098D"/>
    <w:rsid w:val="0055185A"/>
    <w:rsid w:val="00551CF4"/>
    <w:rsid w:val="00551D32"/>
    <w:rsid w:val="00551FAB"/>
    <w:rsid w:val="00552641"/>
    <w:rsid w:val="005528F0"/>
    <w:rsid w:val="005529A9"/>
    <w:rsid w:val="00553084"/>
    <w:rsid w:val="0055355D"/>
    <w:rsid w:val="00553BD3"/>
    <w:rsid w:val="005540CC"/>
    <w:rsid w:val="00554397"/>
    <w:rsid w:val="00555181"/>
    <w:rsid w:val="00555B0C"/>
    <w:rsid w:val="00556849"/>
    <w:rsid w:val="00557286"/>
    <w:rsid w:val="00557872"/>
    <w:rsid w:val="00561A96"/>
    <w:rsid w:val="00561E56"/>
    <w:rsid w:val="00561EE3"/>
    <w:rsid w:val="00561F0A"/>
    <w:rsid w:val="005623D6"/>
    <w:rsid w:val="005634F1"/>
    <w:rsid w:val="005637DC"/>
    <w:rsid w:val="00563C97"/>
    <w:rsid w:val="0056453F"/>
    <w:rsid w:val="0056472C"/>
    <w:rsid w:val="005648F3"/>
    <w:rsid w:val="00565EE5"/>
    <w:rsid w:val="0056632C"/>
    <w:rsid w:val="005663EF"/>
    <w:rsid w:val="00566FFE"/>
    <w:rsid w:val="005676D7"/>
    <w:rsid w:val="00567DA4"/>
    <w:rsid w:val="00570018"/>
    <w:rsid w:val="00570606"/>
    <w:rsid w:val="00570B6E"/>
    <w:rsid w:val="005710B8"/>
    <w:rsid w:val="005710C1"/>
    <w:rsid w:val="005717EF"/>
    <w:rsid w:val="00571F8E"/>
    <w:rsid w:val="00572C3E"/>
    <w:rsid w:val="00574290"/>
    <w:rsid w:val="0057455B"/>
    <w:rsid w:val="005745B5"/>
    <w:rsid w:val="00574BAD"/>
    <w:rsid w:val="00574C26"/>
    <w:rsid w:val="005751BA"/>
    <w:rsid w:val="00575C4E"/>
    <w:rsid w:val="0057661B"/>
    <w:rsid w:val="00576F6F"/>
    <w:rsid w:val="00576F72"/>
    <w:rsid w:val="005776D1"/>
    <w:rsid w:val="00577714"/>
    <w:rsid w:val="00582BA6"/>
    <w:rsid w:val="005836B2"/>
    <w:rsid w:val="005846E0"/>
    <w:rsid w:val="00584CEC"/>
    <w:rsid w:val="00584FF2"/>
    <w:rsid w:val="00585127"/>
    <w:rsid w:val="00585580"/>
    <w:rsid w:val="00585D5F"/>
    <w:rsid w:val="0058673A"/>
    <w:rsid w:val="0058678A"/>
    <w:rsid w:val="005870FB"/>
    <w:rsid w:val="005904BC"/>
    <w:rsid w:val="0059052D"/>
    <w:rsid w:val="00590850"/>
    <w:rsid w:val="00590931"/>
    <w:rsid w:val="0059114C"/>
    <w:rsid w:val="005911D5"/>
    <w:rsid w:val="00591597"/>
    <w:rsid w:val="00591DBF"/>
    <w:rsid w:val="00592207"/>
    <w:rsid w:val="00592563"/>
    <w:rsid w:val="005927E4"/>
    <w:rsid w:val="00592C2D"/>
    <w:rsid w:val="005936CE"/>
    <w:rsid w:val="00593A03"/>
    <w:rsid w:val="00593C53"/>
    <w:rsid w:val="005940F2"/>
    <w:rsid w:val="005942EA"/>
    <w:rsid w:val="00594347"/>
    <w:rsid w:val="00594375"/>
    <w:rsid w:val="00595004"/>
    <w:rsid w:val="00595582"/>
    <w:rsid w:val="005958A1"/>
    <w:rsid w:val="00595DA5"/>
    <w:rsid w:val="0059605B"/>
    <w:rsid w:val="00596453"/>
    <w:rsid w:val="005966AC"/>
    <w:rsid w:val="005974DF"/>
    <w:rsid w:val="00597ECE"/>
    <w:rsid w:val="00597FFA"/>
    <w:rsid w:val="005A0420"/>
    <w:rsid w:val="005A1144"/>
    <w:rsid w:val="005A1AE3"/>
    <w:rsid w:val="005A2081"/>
    <w:rsid w:val="005A23AE"/>
    <w:rsid w:val="005A29E4"/>
    <w:rsid w:val="005A2CA6"/>
    <w:rsid w:val="005A313C"/>
    <w:rsid w:val="005A351D"/>
    <w:rsid w:val="005A44EF"/>
    <w:rsid w:val="005A50AF"/>
    <w:rsid w:val="005A5D02"/>
    <w:rsid w:val="005A6D0E"/>
    <w:rsid w:val="005A6F26"/>
    <w:rsid w:val="005A761A"/>
    <w:rsid w:val="005B0090"/>
    <w:rsid w:val="005B0407"/>
    <w:rsid w:val="005B1B12"/>
    <w:rsid w:val="005B26AC"/>
    <w:rsid w:val="005B2906"/>
    <w:rsid w:val="005B38C1"/>
    <w:rsid w:val="005B3905"/>
    <w:rsid w:val="005B3A86"/>
    <w:rsid w:val="005B3C99"/>
    <w:rsid w:val="005B3F42"/>
    <w:rsid w:val="005B41E7"/>
    <w:rsid w:val="005B6874"/>
    <w:rsid w:val="005B6E75"/>
    <w:rsid w:val="005B6E9E"/>
    <w:rsid w:val="005B7331"/>
    <w:rsid w:val="005B7696"/>
    <w:rsid w:val="005B79B8"/>
    <w:rsid w:val="005C00E5"/>
    <w:rsid w:val="005C01DF"/>
    <w:rsid w:val="005C0444"/>
    <w:rsid w:val="005C0547"/>
    <w:rsid w:val="005C1E09"/>
    <w:rsid w:val="005C2574"/>
    <w:rsid w:val="005C2ECD"/>
    <w:rsid w:val="005C383F"/>
    <w:rsid w:val="005C4459"/>
    <w:rsid w:val="005C5258"/>
    <w:rsid w:val="005C559D"/>
    <w:rsid w:val="005C60A3"/>
    <w:rsid w:val="005C63CA"/>
    <w:rsid w:val="005C6401"/>
    <w:rsid w:val="005C7794"/>
    <w:rsid w:val="005C77B1"/>
    <w:rsid w:val="005D12BD"/>
    <w:rsid w:val="005D1696"/>
    <w:rsid w:val="005D1930"/>
    <w:rsid w:val="005D1C07"/>
    <w:rsid w:val="005D20AA"/>
    <w:rsid w:val="005D2150"/>
    <w:rsid w:val="005D2542"/>
    <w:rsid w:val="005D265E"/>
    <w:rsid w:val="005D2C00"/>
    <w:rsid w:val="005D3815"/>
    <w:rsid w:val="005D46FC"/>
    <w:rsid w:val="005D4A87"/>
    <w:rsid w:val="005D643B"/>
    <w:rsid w:val="005D6458"/>
    <w:rsid w:val="005E0437"/>
    <w:rsid w:val="005E04C6"/>
    <w:rsid w:val="005E0B74"/>
    <w:rsid w:val="005E108C"/>
    <w:rsid w:val="005E1A4C"/>
    <w:rsid w:val="005E1E8C"/>
    <w:rsid w:val="005E2185"/>
    <w:rsid w:val="005E2CA7"/>
    <w:rsid w:val="005E2FF2"/>
    <w:rsid w:val="005E35A3"/>
    <w:rsid w:val="005E4879"/>
    <w:rsid w:val="005E4907"/>
    <w:rsid w:val="005E4BB0"/>
    <w:rsid w:val="005E4D76"/>
    <w:rsid w:val="005E52EE"/>
    <w:rsid w:val="005E5707"/>
    <w:rsid w:val="005E5E01"/>
    <w:rsid w:val="005E646C"/>
    <w:rsid w:val="005E64BE"/>
    <w:rsid w:val="005F034E"/>
    <w:rsid w:val="005F043E"/>
    <w:rsid w:val="005F0E18"/>
    <w:rsid w:val="005F1458"/>
    <w:rsid w:val="005F14FF"/>
    <w:rsid w:val="005F18A2"/>
    <w:rsid w:val="005F19D4"/>
    <w:rsid w:val="005F1BD4"/>
    <w:rsid w:val="005F1E57"/>
    <w:rsid w:val="005F2216"/>
    <w:rsid w:val="005F2A9B"/>
    <w:rsid w:val="005F33B7"/>
    <w:rsid w:val="005F34B2"/>
    <w:rsid w:val="005F4854"/>
    <w:rsid w:val="005F4BAC"/>
    <w:rsid w:val="005F5988"/>
    <w:rsid w:val="005F5A11"/>
    <w:rsid w:val="005F5CE3"/>
    <w:rsid w:val="005F5D0B"/>
    <w:rsid w:val="005F63AF"/>
    <w:rsid w:val="005F7628"/>
    <w:rsid w:val="005F7934"/>
    <w:rsid w:val="005F7B98"/>
    <w:rsid w:val="005F7C79"/>
    <w:rsid w:val="005F7E29"/>
    <w:rsid w:val="006000AA"/>
    <w:rsid w:val="0060054B"/>
    <w:rsid w:val="00600F08"/>
    <w:rsid w:val="00601607"/>
    <w:rsid w:val="0060187D"/>
    <w:rsid w:val="00601B80"/>
    <w:rsid w:val="00603FA6"/>
    <w:rsid w:val="0060414C"/>
    <w:rsid w:val="00604348"/>
    <w:rsid w:val="00604437"/>
    <w:rsid w:val="006045C4"/>
    <w:rsid w:val="00604820"/>
    <w:rsid w:val="006049D0"/>
    <w:rsid w:val="00604BFB"/>
    <w:rsid w:val="00605B48"/>
    <w:rsid w:val="00606D6F"/>
    <w:rsid w:val="00607302"/>
    <w:rsid w:val="006103E2"/>
    <w:rsid w:val="006110BB"/>
    <w:rsid w:val="00612DD3"/>
    <w:rsid w:val="00613227"/>
    <w:rsid w:val="006132E2"/>
    <w:rsid w:val="006134E4"/>
    <w:rsid w:val="006142A2"/>
    <w:rsid w:val="00614669"/>
    <w:rsid w:val="00614B09"/>
    <w:rsid w:val="00614BCF"/>
    <w:rsid w:val="006151D3"/>
    <w:rsid w:val="00615A98"/>
    <w:rsid w:val="00616611"/>
    <w:rsid w:val="006168C9"/>
    <w:rsid w:val="00616EB2"/>
    <w:rsid w:val="00616ED8"/>
    <w:rsid w:val="0061707E"/>
    <w:rsid w:val="00621118"/>
    <w:rsid w:val="00621748"/>
    <w:rsid w:val="00621A3F"/>
    <w:rsid w:val="00621F43"/>
    <w:rsid w:val="00622699"/>
    <w:rsid w:val="00623B87"/>
    <w:rsid w:val="00624376"/>
    <w:rsid w:val="0062452B"/>
    <w:rsid w:val="006250FD"/>
    <w:rsid w:val="00626B15"/>
    <w:rsid w:val="00626D35"/>
    <w:rsid w:val="00626F15"/>
    <w:rsid w:val="006309C1"/>
    <w:rsid w:val="0063165F"/>
    <w:rsid w:val="0063269F"/>
    <w:rsid w:val="006326A8"/>
    <w:rsid w:val="006334EC"/>
    <w:rsid w:val="00634432"/>
    <w:rsid w:val="0063461A"/>
    <w:rsid w:val="006357E3"/>
    <w:rsid w:val="006371C6"/>
    <w:rsid w:val="006372A3"/>
    <w:rsid w:val="006375A6"/>
    <w:rsid w:val="00637D7B"/>
    <w:rsid w:val="006412A7"/>
    <w:rsid w:val="00641580"/>
    <w:rsid w:val="00641AF5"/>
    <w:rsid w:val="006423D8"/>
    <w:rsid w:val="006427DF"/>
    <w:rsid w:val="00642BBC"/>
    <w:rsid w:val="00642E4B"/>
    <w:rsid w:val="006435DA"/>
    <w:rsid w:val="0064375F"/>
    <w:rsid w:val="006452B7"/>
    <w:rsid w:val="006452C0"/>
    <w:rsid w:val="00646B58"/>
    <w:rsid w:val="00646E8B"/>
    <w:rsid w:val="00647579"/>
    <w:rsid w:val="00650295"/>
    <w:rsid w:val="00650662"/>
    <w:rsid w:val="00650BE9"/>
    <w:rsid w:val="00652E25"/>
    <w:rsid w:val="00653D78"/>
    <w:rsid w:val="00654364"/>
    <w:rsid w:val="006543AF"/>
    <w:rsid w:val="00654AB4"/>
    <w:rsid w:val="00654E08"/>
    <w:rsid w:val="00654E4E"/>
    <w:rsid w:val="00655144"/>
    <w:rsid w:val="0065553F"/>
    <w:rsid w:val="0065579F"/>
    <w:rsid w:val="006559B5"/>
    <w:rsid w:val="00656190"/>
    <w:rsid w:val="006575AB"/>
    <w:rsid w:val="00657F45"/>
    <w:rsid w:val="0066008B"/>
    <w:rsid w:val="006606B2"/>
    <w:rsid w:val="0066159E"/>
    <w:rsid w:val="006615EA"/>
    <w:rsid w:val="00661F5E"/>
    <w:rsid w:val="006633F7"/>
    <w:rsid w:val="00663936"/>
    <w:rsid w:val="006639CF"/>
    <w:rsid w:val="00664346"/>
    <w:rsid w:val="00665157"/>
    <w:rsid w:val="006656CF"/>
    <w:rsid w:val="00665A44"/>
    <w:rsid w:val="00665A4C"/>
    <w:rsid w:val="00666E7F"/>
    <w:rsid w:val="00666F76"/>
    <w:rsid w:val="00667343"/>
    <w:rsid w:val="0066783C"/>
    <w:rsid w:val="006709DF"/>
    <w:rsid w:val="00670C64"/>
    <w:rsid w:val="00670D9F"/>
    <w:rsid w:val="00670EB0"/>
    <w:rsid w:val="00670F66"/>
    <w:rsid w:val="006710B8"/>
    <w:rsid w:val="00671685"/>
    <w:rsid w:val="00673184"/>
    <w:rsid w:val="00674861"/>
    <w:rsid w:val="00675269"/>
    <w:rsid w:val="00675386"/>
    <w:rsid w:val="00675E30"/>
    <w:rsid w:val="006767CE"/>
    <w:rsid w:val="0067743E"/>
    <w:rsid w:val="006779DE"/>
    <w:rsid w:val="00677A1F"/>
    <w:rsid w:val="00677ED1"/>
    <w:rsid w:val="0068009F"/>
    <w:rsid w:val="0068161B"/>
    <w:rsid w:val="0068182B"/>
    <w:rsid w:val="006819C6"/>
    <w:rsid w:val="00681DCE"/>
    <w:rsid w:val="0068218C"/>
    <w:rsid w:val="006825D6"/>
    <w:rsid w:val="00682A16"/>
    <w:rsid w:val="00683AFC"/>
    <w:rsid w:val="00684936"/>
    <w:rsid w:val="00684977"/>
    <w:rsid w:val="00684C44"/>
    <w:rsid w:val="00684D58"/>
    <w:rsid w:val="0068519E"/>
    <w:rsid w:val="00685D28"/>
    <w:rsid w:val="00685FC9"/>
    <w:rsid w:val="0068608E"/>
    <w:rsid w:val="006877B2"/>
    <w:rsid w:val="00690354"/>
    <w:rsid w:val="0069037F"/>
    <w:rsid w:val="00690C8C"/>
    <w:rsid w:val="00691A9D"/>
    <w:rsid w:val="00691B7B"/>
    <w:rsid w:val="00691BDC"/>
    <w:rsid w:val="00692520"/>
    <w:rsid w:val="00692A0A"/>
    <w:rsid w:val="00692A74"/>
    <w:rsid w:val="00692B93"/>
    <w:rsid w:val="00692E41"/>
    <w:rsid w:val="00692E48"/>
    <w:rsid w:val="006932B9"/>
    <w:rsid w:val="006939EF"/>
    <w:rsid w:val="00694534"/>
    <w:rsid w:val="00694E40"/>
    <w:rsid w:val="00695524"/>
    <w:rsid w:val="00695B99"/>
    <w:rsid w:val="00695E39"/>
    <w:rsid w:val="00695F0B"/>
    <w:rsid w:val="006960C1"/>
    <w:rsid w:val="00696A8D"/>
    <w:rsid w:val="0069737C"/>
    <w:rsid w:val="0069771C"/>
    <w:rsid w:val="006A0121"/>
    <w:rsid w:val="006A08C1"/>
    <w:rsid w:val="006A0A4D"/>
    <w:rsid w:val="006A1944"/>
    <w:rsid w:val="006A250C"/>
    <w:rsid w:val="006A2931"/>
    <w:rsid w:val="006A35C6"/>
    <w:rsid w:val="006A3B2C"/>
    <w:rsid w:val="006A476F"/>
    <w:rsid w:val="006A49B2"/>
    <w:rsid w:val="006A4CD2"/>
    <w:rsid w:val="006A591E"/>
    <w:rsid w:val="006A60B2"/>
    <w:rsid w:val="006A65EA"/>
    <w:rsid w:val="006A6DE5"/>
    <w:rsid w:val="006A7167"/>
    <w:rsid w:val="006B048D"/>
    <w:rsid w:val="006B08BE"/>
    <w:rsid w:val="006B0ACB"/>
    <w:rsid w:val="006B10D8"/>
    <w:rsid w:val="006B18D3"/>
    <w:rsid w:val="006B1C7D"/>
    <w:rsid w:val="006B2FD1"/>
    <w:rsid w:val="006B3247"/>
    <w:rsid w:val="006B4659"/>
    <w:rsid w:val="006B494A"/>
    <w:rsid w:val="006B4E8F"/>
    <w:rsid w:val="006B511D"/>
    <w:rsid w:val="006B5474"/>
    <w:rsid w:val="006B55C0"/>
    <w:rsid w:val="006B5F8F"/>
    <w:rsid w:val="006B69F9"/>
    <w:rsid w:val="006B6C94"/>
    <w:rsid w:val="006B6FF5"/>
    <w:rsid w:val="006B791A"/>
    <w:rsid w:val="006B7F55"/>
    <w:rsid w:val="006C04C2"/>
    <w:rsid w:val="006C1945"/>
    <w:rsid w:val="006C1B2F"/>
    <w:rsid w:val="006C1C15"/>
    <w:rsid w:val="006C2425"/>
    <w:rsid w:val="006C2EC2"/>
    <w:rsid w:val="006C2F38"/>
    <w:rsid w:val="006C33B9"/>
    <w:rsid w:val="006C441C"/>
    <w:rsid w:val="006C4DBA"/>
    <w:rsid w:val="006C5335"/>
    <w:rsid w:val="006C597F"/>
    <w:rsid w:val="006C5BFB"/>
    <w:rsid w:val="006C6384"/>
    <w:rsid w:val="006C6E49"/>
    <w:rsid w:val="006C73E5"/>
    <w:rsid w:val="006C7465"/>
    <w:rsid w:val="006C7903"/>
    <w:rsid w:val="006D045B"/>
    <w:rsid w:val="006D1B50"/>
    <w:rsid w:val="006D26D2"/>
    <w:rsid w:val="006D26EB"/>
    <w:rsid w:val="006D48F7"/>
    <w:rsid w:val="006D4DF0"/>
    <w:rsid w:val="006D54B4"/>
    <w:rsid w:val="006D577C"/>
    <w:rsid w:val="006D60AE"/>
    <w:rsid w:val="006D6A9C"/>
    <w:rsid w:val="006D6B10"/>
    <w:rsid w:val="006D7147"/>
    <w:rsid w:val="006D7B6A"/>
    <w:rsid w:val="006E0FB2"/>
    <w:rsid w:val="006E1529"/>
    <w:rsid w:val="006E1576"/>
    <w:rsid w:val="006E17FA"/>
    <w:rsid w:val="006E1A4E"/>
    <w:rsid w:val="006E3718"/>
    <w:rsid w:val="006E3727"/>
    <w:rsid w:val="006E433D"/>
    <w:rsid w:val="006E44C7"/>
    <w:rsid w:val="006E5589"/>
    <w:rsid w:val="006E7EBB"/>
    <w:rsid w:val="006F1A3D"/>
    <w:rsid w:val="006F1A83"/>
    <w:rsid w:val="006F1ED5"/>
    <w:rsid w:val="006F2B9D"/>
    <w:rsid w:val="006F2D22"/>
    <w:rsid w:val="006F384E"/>
    <w:rsid w:val="006F43E4"/>
    <w:rsid w:val="006F44BE"/>
    <w:rsid w:val="006F4667"/>
    <w:rsid w:val="006F5169"/>
    <w:rsid w:val="006F53F6"/>
    <w:rsid w:val="006F565B"/>
    <w:rsid w:val="006F5CD4"/>
    <w:rsid w:val="006F69BF"/>
    <w:rsid w:val="006F7CF6"/>
    <w:rsid w:val="006F7E24"/>
    <w:rsid w:val="0070029D"/>
    <w:rsid w:val="00700644"/>
    <w:rsid w:val="00700CC9"/>
    <w:rsid w:val="00702858"/>
    <w:rsid w:val="0070415A"/>
    <w:rsid w:val="00704A97"/>
    <w:rsid w:val="00704CFB"/>
    <w:rsid w:val="00704D6F"/>
    <w:rsid w:val="0070543C"/>
    <w:rsid w:val="007058D2"/>
    <w:rsid w:val="00705987"/>
    <w:rsid w:val="00706292"/>
    <w:rsid w:val="0070671D"/>
    <w:rsid w:val="00707865"/>
    <w:rsid w:val="00707C29"/>
    <w:rsid w:val="00707DA9"/>
    <w:rsid w:val="00710973"/>
    <w:rsid w:val="00710B4F"/>
    <w:rsid w:val="00710E11"/>
    <w:rsid w:val="0071125C"/>
    <w:rsid w:val="00711700"/>
    <w:rsid w:val="00712035"/>
    <w:rsid w:val="00712CF2"/>
    <w:rsid w:val="007138F7"/>
    <w:rsid w:val="00713C14"/>
    <w:rsid w:val="0071472B"/>
    <w:rsid w:val="00714D68"/>
    <w:rsid w:val="007152C3"/>
    <w:rsid w:val="0071578D"/>
    <w:rsid w:val="00715B1F"/>
    <w:rsid w:val="00715BCF"/>
    <w:rsid w:val="00716F31"/>
    <w:rsid w:val="00717A1E"/>
    <w:rsid w:val="00717B6A"/>
    <w:rsid w:val="00717C91"/>
    <w:rsid w:val="00720069"/>
    <w:rsid w:val="00720506"/>
    <w:rsid w:val="00721062"/>
    <w:rsid w:val="00721A64"/>
    <w:rsid w:val="00721A9B"/>
    <w:rsid w:val="00721CDC"/>
    <w:rsid w:val="00722296"/>
    <w:rsid w:val="0072383E"/>
    <w:rsid w:val="007244B1"/>
    <w:rsid w:val="00724F80"/>
    <w:rsid w:val="00725E25"/>
    <w:rsid w:val="00725E27"/>
    <w:rsid w:val="00725EA8"/>
    <w:rsid w:val="00726BC2"/>
    <w:rsid w:val="00726EAD"/>
    <w:rsid w:val="007272D3"/>
    <w:rsid w:val="00731B0A"/>
    <w:rsid w:val="00732DC2"/>
    <w:rsid w:val="00733300"/>
    <w:rsid w:val="007338B3"/>
    <w:rsid w:val="00733E9B"/>
    <w:rsid w:val="00734059"/>
    <w:rsid w:val="00734AC8"/>
    <w:rsid w:val="00735263"/>
    <w:rsid w:val="007359F6"/>
    <w:rsid w:val="00735BE4"/>
    <w:rsid w:val="00735DE0"/>
    <w:rsid w:val="00737967"/>
    <w:rsid w:val="00737EC6"/>
    <w:rsid w:val="00741E35"/>
    <w:rsid w:val="00742CCE"/>
    <w:rsid w:val="00742DFC"/>
    <w:rsid w:val="00744370"/>
    <w:rsid w:val="00744AEB"/>
    <w:rsid w:val="00744C51"/>
    <w:rsid w:val="007451FA"/>
    <w:rsid w:val="00745F6A"/>
    <w:rsid w:val="00747061"/>
    <w:rsid w:val="007475C0"/>
    <w:rsid w:val="0075047B"/>
    <w:rsid w:val="007507D4"/>
    <w:rsid w:val="00750B1F"/>
    <w:rsid w:val="00750EB7"/>
    <w:rsid w:val="007515F2"/>
    <w:rsid w:val="00751A6F"/>
    <w:rsid w:val="00751F07"/>
    <w:rsid w:val="007526D3"/>
    <w:rsid w:val="00752740"/>
    <w:rsid w:val="007527E3"/>
    <w:rsid w:val="00752DED"/>
    <w:rsid w:val="00752FA9"/>
    <w:rsid w:val="007531A5"/>
    <w:rsid w:val="0075370C"/>
    <w:rsid w:val="00753C0F"/>
    <w:rsid w:val="00753D7B"/>
    <w:rsid w:val="00754052"/>
    <w:rsid w:val="007547F3"/>
    <w:rsid w:val="007557EC"/>
    <w:rsid w:val="00755A4B"/>
    <w:rsid w:val="00755FB6"/>
    <w:rsid w:val="007564D6"/>
    <w:rsid w:val="0075656E"/>
    <w:rsid w:val="00757217"/>
    <w:rsid w:val="00757E17"/>
    <w:rsid w:val="0076004C"/>
    <w:rsid w:val="007602E8"/>
    <w:rsid w:val="007606F9"/>
    <w:rsid w:val="00760B8A"/>
    <w:rsid w:val="00760E76"/>
    <w:rsid w:val="0076152F"/>
    <w:rsid w:val="0076162F"/>
    <w:rsid w:val="00762741"/>
    <w:rsid w:val="007634B9"/>
    <w:rsid w:val="007637A2"/>
    <w:rsid w:val="00763887"/>
    <w:rsid w:val="00763D0E"/>
    <w:rsid w:val="007645B3"/>
    <w:rsid w:val="00764ED5"/>
    <w:rsid w:val="007652E9"/>
    <w:rsid w:val="007654EC"/>
    <w:rsid w:val="00765795"/>
    <w:rsid w:val="007657E7"/>
    <w:rsid w:val="0076640A"/>
    <w:rsid w:val="00766BB2"/>
    <w:rsid w:val="007701A8"/>
    <w:rsid w:val="007701E4"/>
    <w:rsid w:val="007708FE"/>
    <w:rsid w:val="00770F46"/>
    <w:rsid w:val="00771269"/>
    <w:rsid w:val="007719DA"/>
    <w:rsid w:val="00771A9B"/>
    <w:rsid w:val="00772114"/>
    <w:rsid w:val="007724D9"/>
    <w:rsid w:val="007725E6"/>
    <w:rsid w:val="0077272B"/>
    <w:rsid w:val="00772FFF"/>
    <w:rsid w:val="00773B45"/>
    <w:rsid w:val="00773FF3"/>
    <w:rsid w:val="0077419A"/>
    <w:rsid w:val="007743AC"/>
    <w:rsid w:val="00774CA8"/>
    <w:rsid w:val="00775559"/>
    <w:rsid w:val="007756B1"/>
    <w:rsid w:val="0077585E"/>
    <w:rsid w:val="00775C5D"/>
    <w:rsid w:val="007767F2"/>
    <w:rsid w:val="00776A6D"/>
    <w:rsid w:val="00781DDF"/>
    <w:rsid w:val="00782160"/>
    <w:rsid w:val="0078236B"/>
    <w:rsid w:val="007833CF"/>
    <w:rsid w:val="00783714"/>
    <w:rsid w:val="00783802"/>
    <w:rsid w:val="007839E4"/>
    <w:rsid w:val="00784A28"/>
    <w:rsid w:val="00784BFA"/>
    <w:rsid w:val="007850FB"/>
    <w:rsid w:val="007854EB"/>
    <w:rsid w:val="00786089"/>
    <w:rsid w:val="00786786"/>
    <w:rsid w:val="007909D1"/>
    <w:rsid w:val="00790C74"/>
    <w:rsid w:val="0079179F"/>
    <w:rsid w:val="00791895"/>
    <w:rsid w:val="00791A8C"/>
    <w:rsid w:val="0079214B"/>
    <w:rsid w:val="007934DD"/>
    <w:rsid w:val="00793B04"/>
    <w:rsid w:val="00794459"/>
    <w:rsid w:val="007949C0"/>
    <w:rsid w:val="00794D51"/>
    <w:rsid w:val="00795465"/>
    <w:rsid w:val="00795AD8"/>
    <w:rsid w:val="00795DB2"/>
    <w:rsid w:val="00796538"/>
    <w:rsid w:val="007966E8"/>
    <w:rsid w:val="0079724B"/>
    <w:rsid w:val="007974B0"/>
    <w:rsid w:val="00797783"/>
    <w:rsid w:val="00797980"/>
    <w:rsid w:val="007A034B"/>
    <w:rsid w:val="007A0413"/>
    <w:rsid w:val="007A0671"/>
    <w:rsid w:val="007A1607"/>
    <w:rsid w:val="007A17EE"/>
    <w:rsid w:val="007A1CE4"/>
    <w:rsid w:val="007A2020"/>
    <w:rsid w:val="007A20D5"/>
    <w:rsid w:val="007A2635"/>
    <w:rsid w:val="007A3328"/>
    <w:rsid w:val="007A3F2F"/>
    <w:rsid w:val="007A4964"/>
    <w:rsid w:val="007A4EAD"/>
    <w:rsid w:val="007A540E"/>
    <w:rsid w:val="007A54E7"/>
    <w:rsid w:val="007A5B24"/>
    <w:rsid w:val="007A5D07"/>
    <w:rsid w:val="007A6058"/>
    <w:rsid w:val="007A6C06"/>
    <w:rsid w:val="007A7572"/>
    <w:rsid w:val="007B0FD6"/>
    <w:rsid w:val="007B1773"/>
    <w:rsid w:val="007B1C73"/>
    <w:rsid w:val="007B365C"/>
    <w:rsid w:val="007B3E3D"/>
    <w:rsid w:val="007B3E8A"/>
    <w:rsid w:val="007B3E94"/>
    <w:rsid w:val="007B4B8F"/>
    <w:rsid w:val="007B4BE3"/>
    <w:rsid w:val="007B6821"/>
    <w:rsid w:val="007B6BBF"/>
    <w:rsid w:val="007B79BB"/>
    <w:rsid w:val="007B7B0D"/>
    <w:rsid w:val="007B7FD8"/>
    <w:rsid w:val="007C05E4"/>
    <w:rsid w:val="007C07D5"/>
    <w:rsid w:val="007C08BD"/>
    <w:rsid w:val="007C12E8"/>
    <w:rsid w:val="007C2B1C"/>
    <w:rsid w:val="007C30C8"/>
    <w:rsid w:val="007C39DE"/>
    <w:rsid w:val="007C5B8B"/>
    <w:rsid w:val="007C5DC3"/>
    <w:rsid w:val="007D00D1"/>
    <w:rsid w:val="007D02FD"/>
    <w:rsid w:val="007D09E0"/>
    <w:rsid w:val="007D135C"/>
    <w:rsid w:val="007D19C7"/>
    <w:rsid w:val="007D1B69"/>
    <w:rsid w:val="007D20D2"/>
    <w:rsid w:val="007D24AD"/>
    <w:rsid w:val="007D30EC"/>
    <w:rsid w:val="007D3C30"/>
    <w:rsid w:val="007D3E8D"/>
    <w:rsid w:val="007D413A"/>
    <w:rsid w:val="007D43CA"/>
    <w:rsid w:val="007D4ED9"/>
    <w:rsid w:val="007D698D"/>
    <w:rsid w:val="007D6A63"/>
    <w:rsid w:val="007D6B12"/>
    <w:rsid w:val="007D70DD"/>
    <w:rsid w:val="007D7819"/>
    <w:rsid w:val="007D79CF"/>
    <w:rsid w:val="007E008E"/>
    <w:rsid w:val="007E0903"/>
    <w:rsid w:val="007E0A89"/>
    <w:rsid w:val="007E114B"/>
    <w:rsid w:val="007E1645"/>
    <w:rsid w:val="007E1668"/>
    <w:rsid w:val="007E16D6"/>
    <w:rsid w:val="007E2A87"/>
    <w:rsid w:val="007E2B5E"/>
    <w:rsid w:val="007E3AFB"/>
    <w:rsid w:val="007E3D73"/>
    <w:rsid w:val="007E3F65"/>
    <w:rsid w:val="007E4260"/>
    <w:rsid w:val="007E4DF5"/>
    <w:rsid w:val="007E4F5B"/>
    <w:rsid w:val="007E52A0"/>
    <w:rsid w:val="007E5CEF"/>
    <w:rsid w:val="007E5D71"/>
    <w:rsid w:val="007E67A3"/>
    <w:rsid w:val="007E7181"/>
    <w:rsid w:val="007E7518"/>
    <w:rsid w:val="007E7D1B"/>
    <w:rsid w:val="007E7F74"/>
    <w:rsid w:val="007F00FA"/>
    <w:rsid w:val="007F0BD0"/>
    <w:rsid w:val="007F1318"/>
    <w:rsid w:val="007F1929"/>
    <w:rsid w:val="007F234D"/>
    <w:rsid w:val="007F24E6"/>
    <w:rsid w:val="007F2A50"/>
    <w:rsid w:val="007F2B4F"/>
    <w:rsid w:val="007F33AC"/>
    <w:rsid w:val="007F5D6C"/>
    <w:rsid w:val="007F6238"/>
    <w:rsid w:val="007F6657"/>
    <w:rsid w:val="007F6EC0"/>
    <w:rsid w:val="007F6FE4"/>
    <w:rsid w:val="007F7172"/>
    <w:rsid w:val="007F72A4"/>
    <w:rsid w:val="00801254"/>
    <w:rsid w:val="00802033"/>
    <w:rsid w:val="00802653"/>
    <w:rsid w:val="00803349"/>
    <w:rsid w:val="008041ED"/>
    <w:rsid w:val="00805301"/>
    <w:rsid w:val="008056A0"/>
    <w:rsid w:val="00806B0F"/>
    <w:rsid w:val="0080717B"/>
    <w:rsid w:val="00810523"/>
    <w:rsid w:val="0081072A"/>
    <w:rsid w:val="00810752"/>
    <w:rsid w:val="0081086B"/>
    <w:rsid w:val="00812439"/>
    <w:rsid w:val="00813559"/>
    <w:rsid w:val="00813730"/>
    <w:rsid w:val="00813B2A"/>
    <w:rsid w:val="0081401C"/>
    <w:rsid w:val="00814455"/>
    <w:rsid w:val="00814A66"/>
    <w:rsid w:val="00814C89"/>
    <w:rsid w:val="00814E62"/>
    <w:rsid w:val="008153FF"/>
    <w:rsid w:val="008177C6"/>
    <w:rsid w:val="008179A0"/>
    <w:rsid w:val="00820997"/>
    <w:rsid w:val="00820DD1"/>
    <w:rsid w:val="008214BA"/>
    <w:rsid w:val="008216D7"/>
    <w:rsid w:val="008225D9"/>
    <w:rsid w:val="0082267C"/>
    <w:rsid w:val="008226FC"/>
    <w:rsid w:val="00823F25"/>
    <w:rsid w:val="0082467B"/>
    <w:rsid w:val="0082599B"/>
    <w:rsid w:val="0082617A"/>
    <w:rsid w:val="008261BA"/>
    <w:rsid w:val="00827C4D"/>
    <w:rsid w:val="0083044A"/>
    <w:rsid w:val="0083102F"/>
    <w:rsid w:val="00831ABA"/>
    <w:rsid w:val="00831F88"/>
    <w:rsid w:val="00832C28"/>
    <w:rsid w:val="00833082"/>
    <w:rsid w:val="0083321B"/>
    <w:rsid w:val="0083324E"/>
    <w:rsid w:val="008332AC"/>
    <w:rsid w:val="0083375A"/>
    <w:rsid w:val="00833801"/>
    <w:rsid w:val="00833A84"/>
    <w:rsid w:val="00833BE3"/>
    <w:rsid w:val="008344FA"/>
    <w:rsid w:val="00834BEA"/>
    <w:rsid w:val="00835286"/>
    <w:rsid w:val="00835F34"/>
    <w:rsid w:val="00836392"/>
    <w:rsid w:val="008363B5"/>
    <w:rsid w:val="00836F4A"/>
    <w:rsid w:val="00837043"/>
    <w:rsid w:val="00837214"/>
    <w:rsid w:val="00837E67"/>
    <w:rsid w:val="008404F0"/>
    <w:rsid w:val="00840602"/>
    <w:rsid w:val="008408CB"/>
    <w:rsid w:val="00840F0C"/>
    <w:rsid w:val="00841582"/>
    <w:rsid w:val="008420B1"/>
    <w:rsid w:val="00842BA6"/>
    <w:rsid w:val="00843860"/>
    <w:rsid w:val="00844BF7"/>
    <w:rsid w:val="0084525D"/>
    <w:rsid w:val="0084526F"/>
    <w:rsid w:val="0084543B"/>
    <w:rsid w:val="008460D7"/>
    <w:rsid w:val="008471AD"/>
    <w:rsid w:val="0084763D"/>
    <w:rsid w:val="0084773E"/>
    <w:rsid w:val="00847847"/>
    <w:rsid w:val="008502A8"/>
    <w:rsid w:val="00853E35"/>
    <w:rsid w:val="00853EBA"/>
    <w:rsid w:val="00853FDD"/>
    <w:rsid w:val="00854351"/>
    <w:rsid w:val="0085479D"/>
    <w:rsid w:val="00854BC1"/>
    <w:rsid w:val="00854D6C"/>
    <w:rsid w:val="00854FAE"/>
    <w:rsid w:val="00855018"/>
    <w:rsid w:val="00855C72"/>
    <w:rsid w:val="00856508"/>
    <w:rsid w:val="008569CA"/>
    <w:rsid w:val="00856B25"/>
    <w:rsid w:val="0085765A"/>
    <w:rsid w:val="00857D89"/>
    <w:rsid w:val="00860CD7"/>
    <w:rsid w:val="00861204"/>
    <w:rsid w:val="008619FF"/>
    <w:rsid w:val="00862225"/>
    <w:rsid w:val="008623DB"/>
    <w:rsid w:val="00862592"/>
    <w:rsid w:val="0086344F"/>
    <w:rsid w:val="00864186"/>
    <w:rsid w:val="00864BCB"/>
    <w:rsid w:val="00864F8B"/>
    <w:rsid w:val="00865591"/>
    <w:rsid w:val="00867894"/>
    <w:rsid w:val="008700F4"/>
    <w:rsid w:val="00870DFF"/>
    <w:rsid w:val="00871377"/>
    <w:rsid w:val="00871EBE"/>
    <w:rsid w:val="00872075"/>
    <w:rsid w:val="008720E3"/>
    <w:rsid w:val="008721A1"/>
    <w:rsid w:val="00872486"/>
    <w:rsid w:val="00872B44"/>
    <w:rsid w:val="00873A7B"/>
    <w:rsid w:val="00874B47"/>
    <w:rsid w:val="0087539A"/>
    <w:rsid w:val="008757E4"/>
    <w:rsid w:val="008765A7"/>
    <w:rsid w:val="008767FA"/>
    <w:rsid w:val="008771EA"/>
    <w:rsid w:val="008802F1"/>
    <w:rsid w:val="0088073A"/>
    <w:rsid w:val="008818A9"/>
    <w:rsid w:val="00882786"/>
    <w:rsid w:val="008841AF"/>
    <w:rsid w:val="00884880"/>
    <w:rsid w:val="00887EE2"/>
    <w:rsid w:val="00890474"/>
    <w:rsid w:val="00890B63"/>
    <w:rsid w:val="00890C98"/>
    <w:rsid w:val="00890D5B"/>
    <w:rsid w:val="00891008"/>
    <w:rsid w:val="00891275"/>
    <w:rsid w:val="008912E3"/>
    <w:rsid w:val="00891EAF"/>
    <w:rsid w:val="00892CC4"/>
    <w:rsid w:val="00893161"/>
    <w:rsid w:val="008937DD"/>
    <w:rsid w:val="00893D03"/>
    <w:rsid w:val="00893D40"/>
    <w:rsid w:val="00893EBE"/>
    <w:rsid w:val="008940DC"/>
    <w:rsid w:val="00894580"/>
    <w:rsid w:val="008946D6"/>
    <w:rsid w:val="00895415"/>
    <w:rsid w:val="0089550C"/>
    <w:rsid w:val="0089558D"/>
    <w:rsid w:val="008956D3"/>
    <w:rsid w:val="00895C75"/>
    <w:rsid w:val="00896489"/>
    <w:rsid w:val="00896A93"/>
    <w:rsid w:val="00896F0B"/>
    <w:rsid w:val="00896F1F"/>
    <w:rsid w:val="0089765F"/>
    <w:rsid w:val="008978EF"/>
    <w:rsid w:val="00897A32"/>
    <w:rsid w:val="00897D2C"/>
    <w:rsid w:val="00897F20"/>
    <w:rsid w:val="008A037C"/>
    <w:rsid w:val="008A0528"/>
    <w:rsid w:val="008A125E"/>
    <w:rsid w:val="008A1DCE"/>
    <w:rsid w:val="008A2099"/>
    <w:rsid w:val="008A2DEB"/>
    <w:rsid w:val="008A37DC"/>
    <w:rsid w:val="008A3D12"/>
    <w:rsid w:val="008A485A"/>
    <w:rsid w:val="008A52C3"/>
    <w:rsid w:val="008A5FAD"/>
    <w:rsid w:val="008A60D3"/>
    <w:rsid w:val="008A710B"/>
    <w:rsid w:val="008A7EF1"/>
    <w:rsid w:val="008B0D58"/>
    <w:rsid w:val="008B1A24"/>
    <w:rsid w:val="008B2506"/>
    <w:rsid w:val="008B2989"/>
    <w:rsid w:val="008B2AD3"/>
    <w:rsid w:val="008B2AF7"/>
    <w:rsid w:val="008B320B"/>
    <w:rsid w:val="008B347B"/>
    <w:rsid w:val="008B36D2"/>
    <w:rsid w:val="008B3CBC"/>
    <w:rsid w:val="008B433F"/>
    <w:rsid w:val="008B4C95"/>
    <w:rsid w:val="008B5A01"/>
    <w:rsid w:val="008B5A2B"/>
    <w:rsid w:val="008B5B9E"/>
    <w:rsid w:val="008B683A"/>
    <w:rsid w:val="008B694D"/>
    <w:rsid w:val="008B6CE9"/>
    <w:rsid w:val="008B72ED"/>
    <w:rsid w:val="008C0385"/>
    <w:rsid w:val="008C0753"/>
    <w:rsid w:val="008C0AC7"/>
    <w:rsid w:val="008C1ABB"/>
    <w:rsid w:val="008C1B3A"/>
    <w:rsid w:val="008C1BF6"/>
    <w:rsid w:val="008C1CD2"/>
    <w:rsid w:val="008C1FC0"/>
    <w:rsid w:val="008C2295"/>
    <w:rsid w:val="008C22F3"/>
    <w:rsid w:val="008C248F"/>
    <w:rsid w:val="008C2654"/>
    <w:rsid w:val="008C38CA"/>
    <w:rsid w:val="008C56DE"/>
    <w:rsid w:val="008C5841"/>
    <w:rsid w:val="008C62EE"/>
    <w:rsid w:val="008C6E4C"/>
    <w:rsid w:val="008C7292"/>
    <w:rsid w:val="008C7346"/>
    <w:rsid w:val="008D0B9D"/>
    <w:rsid w:val="008D10E4"/>
    <w:rsid w:val="008D11CC"/>
    <w:rsid w:val="008D1FAD"/>
    <w:rsid w:val="008D2328"/>
    <w:rsid w:val="008D2849"/>
    <w:rsid w:val="008D2EA7"/>
    <w:rsid w:val="008D2FB0"/>
    <w:rsid w:val="008D408C"/>
    <w:rsid w:val="008D51B0"/>
    <w:rsid w:val="008D558F"/>
    <w:rsid w:val="008D577A"/>
    <w:rsid w:val="008D5B5B"/>
    <w:rsid w:val="008D6833"/>
    <w:rsid w:val="008D6F10"/>
    <w:rsid w:val="008D6FAA"/>
    <w:rsid w:val="008D7E69"/>
    <w:rsid w:val="008E02E5"/>
    <w:rsid w:val="008E0C7B"/>
    <w:rsid w:val="008E13C9"/>
    <w:rsid w:val="008E18C5"/>
    <w:rsid w:val="008E1B6E"/>
    <w:rsid w:val="008E218C"/>
    <w:rsid w:val="008E2198"/>
    <w:rsid w:val="008E2361"/>
    <w:rsid w:val="008E2B15"/>
    <w:rsid w:val="008E2CE7"/>
    <w:rsid w:val="008E318C"/>
    <w:rsid w:val="008E352C"/>
    <w:rsid w:val="008E3990"/>
    <w:rsid w:val="008E4908"/>
    <w:rsid w:val="008E49B6"/>
    <w:rsid w:val="008E5B93"/>
    <w:rsid w:val="008E68BD"/>
    <w:rsid w:val="008E6A0F"/>
    <w:rsid w:val="008E6D0C"/>
    <w:rsid w:val="008E764A"/>
    <w:rsid w:val="008E7FE0"/>
    <w:rsid w:val="008F00D6"/>
    <w:rsid w:val="008F0384"/>
    <w:rsid w:val="008F0AC1"/>
    <w:rsid w:val="008F160B"/>
    <w:rsid w:val="008F1791"/>
    <w:rsid w:val="008F2C9C"/>
    <w:rsid w:val="008F2F58"/>
    <w:rsid w:val="008F34A9"/>
    <w:rsid w:val="008F4F93"/>
    <w:rsid w:val="008F5D6A"/>
    <w:rsid w:val="008F615D"/>
    <w:rsid w:val="008F62B6"/>
    <w:rsid w:val="008F6A5C"/>
    <w:rsid w:val="008F714F"/>
    <w:rsid w:val="008F7790"/>
    <w:rsid w:val="008F7C2E"/>
    <w:rsid w:val="009002B8"/>
    <w:rsid w:val="00900F5A"/>
    <w:rsid w:val="00901CBD"/>
    <w:rsid w:val="0090221A"/>
    <w:rsid w:val="00902D9D"/>
    <w:rsid w:val="00903587"/>
    <w:rsid w:val="00903DBB"/>
    <w:rsid w:val="00905B3D"/>
    <w:rsid w:val="009068AC"/>
    <w:rsid w:val="009073D3"/>
    <w:rsid w:val="00907CF3"/>
    <w:rsid w:val="00907EB7"/>
    <w:rsid w:val="00910165"/>
    <w:rsid w:val="009103EF"/>
    <w:rsid w:val="0091075E"/>
    <w:rsid w:val="00910E03"/>
    <w:rsid w:val="00911A0C"/>
    <w:rsid w:val="009122C5"/>
    <w:rsid w:val="00912580"/>
    <w:rsid w:val="00912CD3"/>
    <w:rsid w:val="0091322D"/>
    <w:rsid w:val="009139FC"/>
    <w:rsid w:val="00913FB7"/>
    <w:rsid w:val="0091458F"/>
    <w:rsid w:val="00915233"/>
    <w:rsid w:val="009155A9"/>
    <w:rsid w:val="00915710"/>
    <w:rsid w:val="00915A34"/>
    <w:rsid w:val="00916A35"/>
    <w:rsid w:val="00917480"/>
    <w:rsid w:val="00917910"/>
    <w:rsid w:val="00917A51"/>
    <w:rsid w:val="00920B08"/>
    <w:rsid w:val="00920B6D"/>
    <w:rsid w:val="009216B8"/>
    <w:rsid w:val="0092204F"/>
    <w:rsid w:val="0092489D"/>
    <w:rsid w:val="009251A5"/>
    <w:rsid w:val="009255F3"/>
    <w:rsid w:val="009257DC"/>
    <w:rsid w:val="00926A3C"/>
    <w:rsid w:val="009305DD"/>
    <w:rsid w:val="00930F8A"/>
    <w:rsid w:val="009313AF"/>
    <w:rsid w:val="009314B8"/>
    <w:rsid w:val="00931AAD"/>
    <w:rsid w:val="00931E2A"/>
    <w:rsid w:val="009321F9"/>
    <w:rsid w:val="00932590"/>
    <w:rsid w:val="009327B5"/>
    <w:rsid w:val="00932A32"/>
    <w:rsid w:val="00933159"/>
    <w:rsid w:val="0093354E"/>
    <w:rsid w:val="00934245"/>
    <w:rsid w:val="00934678"/>
    <w:rsid w:val="00934E69"/>
    <w:rsid w:val="00936835"/>
    <w:rsid w:val="00936C93"/>
    <w:rsid w:val="00937B35"/>
    <w:rsid w:val="009407FB"/>
    <w:rsid w:val="00940834"/>
    <w:rsid w:val="00940926"/>
    <w:rsid w:val="00940968"/>
    <w:rsid w:val="00941159"/>
    <w:rsid w:val="0094141C"/>
    <w:rsid w:val="00942117"/>
    <w:rsid w:val="0094253F"/>
    <w:rsid w:val="009427C8"/>
    <w:rsid w:val="00942ABC"/>
    <w:rsid w:val="00943213"/>
    <w:rsid w:val="00943511"/>
    <w:rsid w:val="0094400F"/>
    <w:rsid w:val="009441C6"/>
    <w:rsid w:val="0094424D"/>
    <w:rsid w:val="00944DE9"/>
    <w:rsid w:val="00944F19"/>
    <w:rsid w:val="00945049"/>
    <w:rsid w:val="00945268"/>
    <w:rsid w:val="00945804"/>
    <w:rsid w:val="00945908"/>
    <w:rsid w:val="00947613"/>
    <w:rsid w:val="009501B2"/>
    <w:rsid w:val="009502E2"/>
    <w:rsid w:val="009503B0"/>
    <w:rsid w:val="00950879"/>
    <w:rsid w:val="009509DC"/>
    <w:rsid w:val="00951499"/>
    <w:rsid w:val="00951D87"/>
    <w:rsid w:val="00952B2A"/>
    <w:rsid w:val="00953710"/>
    <w:rsid w:val="00953BCA"/>
    <w:rsid w:val="009543C1"/>
    <w:rsid w:val="009549F3"/>
    <w:rsid w:val="00954EAC"/>
    <w:rsid w:val="00954F00"/>
    <w:rsid w:val="00956352"/>
    <w:rsid w:val="00960AE9"/>
    <w:rsid w:val="00961067"/>
    <w:rsid w:val="00961320"/>
    <w:rsid w:val="0096183B"/>
    <w:rsid w:val="00961C7F"/>
    <w:rsid w:val="0096288F"/>
    <w:rsid w:val="009629A5"/>
    <w:rsid w:val="009648BA"/>
    <w:rsid w:val="00964BEC"/>
    <w:rsid w:val="00965AB3"/>
    <w:rsid w:val="00966315"/>
    <w:rsid w:val="00966446"/>
    <w:rsid w:val="0096674E"/>
    <w:rsid w:val="0096684F"/>
    <w:rsid w:val="009673AC"/>
    <w:rsid w:val="00967465"/>
    <w:rsid w:val="00967BC6"/>
    <w:rsid w:val="0097019E"/>
    <w:rsid w:val="00970EC3"/>
    <w:rsid w:val="0097182E"/>
    <w:rsid w:val="00972098"/>
    <w:rsid w:val="00972435"/>
    <w:rsid w:val="0097294B"/>
    <w:rsid w:val="0097329A"/>
    <w:rsid w:val="00973632"/>
    <w:rsid w:val="00973841"/>
    <w:rsid w:val="00973BAF"/>
    <w:rsid w:val="00973C39"/>
    <w:rsid w:val="00973D20"/>
    <w:rsid w:val="00973F97"/>
    <w:rsid w:val="00974B43"/>
    <w:rsid w:val="00974D4A"/>
    <w:rsid w:val="00974E75"/>
    <w:rsid w:val="00976895"/>
    <w:rsid w:val="00976D88"/>
    <w:rsid w:val="009772F4"/>
    <w:rsid w:val="0097755B"/>
    <w:rsid w:val="0097756B"/>
    <w:rsid w:val="00977C6F"/>
    <w:rsid w:val="00977DF4"/>
    <w:rsid w:val="00977E34"/>
    <w:rsid w:val="009807A8"/>
    <w:rsid w:val="009813B9"/>
    <w:rsid w:val="0098197D"/>
    <w:rsid w:val="00981BA0"/>
    <w:rsid w:val="00981FB9"/>
    <w:rsid w:val="0098274D"/>
    <w:rsid w:val="0098347B"/>
    <w:rsid w:val="009839A8"/>
    <w:rsid w:val="00984174"/>
    <w:rsid w:val="009841C0"/>
    <w:rsid w:val="009844C3"/>
    <w:rsid w:val="009845B4"/>
    <w:rsid w:val="00984D40"/>
    <w:rsid w:val="00985CD1"/>
    <w:rsid w:val="00986C7F"/>
    <w:rsid w:val="00986F86"/>
    <w:rsid w:val="0098752B"/>
    <w:rsid w:val="00990477"/>
    <w:rsid w:val="00990EE6"/>
    <w:rsid w:val="009911AE"/>
    <w:rsid w:val="00991673"/>
    <w:rsid w:val="00991829"/>
    <w:rsid w:val="00991CAC"/>
    <w:rsid w:val="00993825"/>
    <w:rsid w:val="00994F02"/>
    <w:rsid w:val="00995673"/>
    <w:rsid w:val="00995C49"/>
    <w:rsid w:val="00996AAC"/>
    <w:rsid w:val="00996D1B"/>
    <w:rsid w:val="009976C7"/>
    <w:rsid w:val="00997CEF"/>
    <w:rsid w:val="009A033A"/>
    <w:rsid w:val="009A060E"/>
    <w:rsid w:val="009A07A8"/>
    <w:rsid w:val="009A0A4A"/>
    <w:rsid w:val="009A0D1C"/>
    <w:rsid w:val="009A1214"/>
    <w:rsid w:val="009A1651"/>
    <w:rsid w:val="009A1AA9"/>
    <w:rsid w:val="009A20DD"/>
    <w:rsid w:val="009A22DD"/>
    <w:rsid w:val="009A2337"/>
    <w:rsid w:val="009A26D4"/>
    <w:rsid w:val="009A2BC7"/>
    <w:rsid w:val="009A2CEF"/>
    <w:rsid w:val="009A2E82"/>
    <w:rsid w:val="009A4A8D"/>
    <w:rsid w:val="009A4E66"/>
    <w:rsid w:val="009A4F5F"/>
    <w:rsid w:val="009A5D26"/>
    <w:rsid w:val="009A6ACE"/>
    <w:rsid w:val="009A7203"/>
    <w:rsid w:val="009B06C0"/>
    <w:rsid w:val="009B06E8"/>
    <w:rsid w:val="009B0761"/>
    <w:rsid w:val="009B08FB"/>
    <w:rsid w:val="009B0C17"/>
    <w:rsid w:val="009B10C3"/>
    <w:rsid w:val="009B38D1"/>
    <w:rsid w:val="009B3D9B"/>
    <w:rsid w:val="009B3F21"/>
    <w:rsid w:val="009B43B9"/>
    <w:rsid w:val="009B4414"/>
    <w:rsid w:val="009B5C65"/>
    <w:rsid w:val="009B6032"/>
    <w:rsid w:val="009B6B1B"/>
    <w:rsid w:val="009B6B7B"/>
    <w:rsid w:val="009B7670"/>
    <w:rsid w:val="009B78E4"/>
    <w:rsid w:val="009B79D9"/>
    <w:rsid w:val="009B7AAD"/>
    <w:rsid w:val="009B7B42"/>
    <w:rsid w:val="009B7CE3"/>
    <w:rsid w:val="009C00E7"/>
    <w:rsid w:val="009C049C"/>
    <w:rsid w:val="009C0A42"/>
    <w:rsid w:val="009C1E54"/>
    <w:rsid w:val="009C2117"/>
    <w:rsid w:val="009C37AC"/>
    <w:rsid w:val="009C3E84"/>
    <w:rsid w:val="009C3FB3"/>
    <w:rsid w:val="009C4225"/>
    <w:rsid w:val="009C45CC"/>
    <w:rsid w:val="009C481D"/>
    <w:rsid w:val="009C4C57"/>
    <w:rsid w:val="009C4F28"/>
    <w:rsid w:val="009C5322"/>
    <w:rsid w:val="009C5DD5"/>
    <w:rsid w:val="009C6A79"/>
    <w:rsid w:val="009C6F84"/>
    <w:rsid w:val="009C78BE"/>
    <w:rsid w:val="009C798D"/>
    <w:rsid w:val="009C7A71"/>
    <w:rsid w:val="009C7DE1"/>
    <w:rsid w:val="009D011A"/>
    <w:rsid w:val="009D0D1C"/>
    <w:rsid w:val="009D0E6F"/>
    <w:rsid w:val="009D121E"/>
    <w:rsid w:val="009D18BD"/>
    <w:rsid w:val="009D1A8F"/>
    <w:rsid w:val="009D1D88"/>
    <w:rsid w:val="009D29F3"/>
    <w:rsid w:val="009D2C1C"/>
    <w:rsid w:val="009D2F11"/>
    <w:rsid w:val="009D3038"/>
    <w:rsid w:val="009D380F"/>
    <w:rsid w:val="009D3BC5"/>
    <w:rsid w:val="009D5565"/>
    <w:rsid w:val="009D5673"/>
    <w:rsid w:val="009D5A58"/>
    <w:rsid w:val="009D5F37"/>
    <w:rsid w:val="009D670F"/>
    <w:rsid w:val="009D72C1"/>
    <w:rsid w:val="009D7B38"/>
    <w:rsid w:val="009D7C9E"/>
    <w:rsid w:val="009E0B94"/>
    <w:rsid w:val="009E0ED0"/>
    <w:rsid w:val="009E268B"/>
    <w:rsid w:val="009E2C29"/>
    <w:rsid w:val="009E3550"/>
    <w:rsid w:val="009E47B0"/>
    <w:rsid w:val="009E4A2C"/>
    <w:rsid w:val="009E4BE1"/>
    <w:rsid w:val="009E4F22"/>
    <w:rsid w:val="009E5451"/>
    <w:rsid w:val="009E5505"/>
    <w:rsid w:val="009E55A3"/>
    <w:rsid w:val="009E5745"/>
    <w:rsid w:val="009E6228"/>
    <w:rsid w:val="009E7882"/>
    <w:rsid w:val="009E78A4"/>
    <w:rsid w:val="009E7D68"/>
    <w:rsid w:val="009E7DEE"/>
    <w:rsid w:val="009E7EF5"/>
    <w:rsid w:val="009F0525"/>
    <w:rsid w:val="009F065E"/>
    <w:rsid w:val="009F2264"/>
    <w:rsid w:val="009F35BC"/>
    <w:rsid w:val="009F3619"/>
    <w:rsid w:val="009F3940"/>
    <w:rsid w:val="009F3E2E"/>
    <w:rsid w:val="009F3E8C"/>
    <w:rsid w:val="009F4841"/>
    <w:rsid w:val="009F5A04"/>
    <w:rsid w:val="009F5A12"/>
    <w:rsid w:val="009F5A9E"/>
    <w:rsid w:val="009F5B8C"/>
    <w:rsid w:val="00A001FB"/>
    <w:rsid w:val="00A00379"/>
    <w:rsid w:val="00A006CE"/>
    <w:rsid w:val="00A0073C"/>
    <w:rsid w:val="00A00A48"/>
    <w:rsid w:val="00A00ED3"/>
    <w:rsid w:val="00A011D0"/>
    <w:rsid w:val="00A023A8"/>
    <w:rsid w:val="00A024BE"/>
    <w:rsid w:val="00A02A9D"/>
    <w:rsid w:val="00A02B14"/>
    <w:rsid w:val="00A03090"/>
    <w:rsid w:val="00A03387"/>
    <w:rsid w:val="00A03C9B"/>
    <w:rsid w:val="00A04042"/>
    <w:rsid w:val="00A040DB"/>
    <w:rsid w:val="00A04EC1"/>
    <w:rsid w:val="00A05095"/>
    <w:rsid w:val="00A050D2"/>
    <w:rsid w:val="00A05864"/>
    <w:rsid w:val="00A06D78"/>
    <w:rsid w:val="00A0719A"/>
    <w:rsid w:val="00A07606"/>
    <w:rsid w:val="00A117B5"/>
    <w:rsid w:val="00A11CDF"/>
    <w:rsid w:val="00A1254C"/>
    <w:rsid w:val="00A12EEB"/>
    <w:rsid w:val="00A134EE"/>
    <w:rsid w:val="00A13728"/>
    <w:rsid w:val="00A14061"/>
    <w:rsid w:val="00A142F5"/>
    <w:rsid w:val="00A14B55"/>
    <w:rsid w:val="00A15BEC"/>
    <w:rsid w:val="00A16136"/>
    <w:rsid w:val="00A165EA"/>
    <w:rsid w:val="00A16662"/>
    <w:rsid w:val="00A169DE"/>
    <w:rsid w:val="00A16EE9"/>
    <w:rsid w:val="00A16EEE"/>
    <w:rsid w:val="00A16F18"/>
    <w:rsid w:val="00A170D6"/>
    <w:rsid w:val="00A174A1"/>
    <w:rsid w:val="00A17F1C"/>
    <w:rsid w:val="00A219ED"/>
    <w:rsid w:val="00A220C5"/>
    <w:rsid w:val="00A2225A"/>
    <w:rsid w:val="00A2296B"/>
    <w:rsid w:val="00A23229"/>
    <w:rsid w:val="00A23368"/>
    <w:rsid w:val="00A23AD7"/>
    <w:rsid w:val="00A23CEA"/>
    <w:rsid w:val="00A24255"/>
    <w:rsid w:val="00A2471A"/>
    <w:rsid w:val="00A248AC"/>
    <w:rsid w:val="00A24DBA"/>
    <w:rsid w:val="00A24E3F"/>
    <w:rsid w:val="00A25033"/>
    <w:rsid w:val="00A258EF"/>
    <w:rsid w:val="00A25A35"/>
    <w:rsid w:val="00A274F6"/>
    <w:rsid w:val="00A2752B"/>
    <w:rsid w:val="00A27590"/>
    <w:rsid w:val="00A278FA"/>
    <w:rsid w:val="00A27A95"/>
    <w:rsid w:val="00A27EA9"/>
    <w:rsid w:val="00A30047"/>
    <w:rsid w:val="00A3053D"/>
    <w:rsid w:val="00A3194D"/>
    <w:rsid w:val="00A31CEC"/>
    <w:rsid w:val="00A326AB"/>
    <w:rsid w:val="00A33926"/>
    <w:rsid w:val="00A339D8"/>
    <w:rsid w:val="00A33C8B"/>
    <w:rsid w:val="00A34132"/>
    <w:rsid w:val="00A34D63"/>
    <w:rsid w:val="00A357A3"/>
    <w:rsid w:val="00A35C14"/>
    <w:rsid w:val="00A3742A"/>
    <w:rsid w:val="00A37CF2"/>
    <w:rsid w:val="00A406E7"/>
    <w:rsid w:val="00A41CBE"/>
    <w:rsid w:val="00A42389"/>
    <w:rsid w:val="00A42610"/>
    <w:rsid w:val="00A42AAB"/>
    <w:rsid w:val="00A42AB0"/>
    <w:rsid w:val="00A43D8B"/>
    <w:rsid w:val="00A44342"/>
    <w:rsid w:val="00A44D5C"/>
    <w:rsid w:val="00A4519B"/>
    <w:rsid w:val="00A4592F"/>
    <w:rsid w:val="00A45E9B"/>
    <w:rsid w:val="00A465CE"/>
    <w:rsid w:val="00A468C2"/>
    <w:rsid w:val="00A46DD7"/>
    <w:rsid w:val="00A470CC"/>
    <w:rsid w:val="00A47C0F"/>
    <w:rsid w:val="00A47C7D"/>
    <w:rsid w:val="00A505CC"/>
    <w:rsid w:val="00A50672"/>
    <w:rsid w:val="00A517F4"/>
    <w:rsid w:val="00A5349E"/>
    <w:rsid w:val="00A5397C"/>
    <w:rsid w:val="00A53B60"/>
    <w:rsid w:val="00A53FD0"/>
    <w:rsid w:val="00A54DF9"/>
    <w:rsid w:val="00A552ED"/>
    <w:rsid w:val="00A56EA9"/>
    <w:rsid w:val="00A575EB"/>
    <w:rsid w:val="00A57A25"/>
    <w:rsid w:val="00A61120"/>
    <w:rsid w:val="00A611A3"/>
    <w:rsid w:val="00A61252"/>
    <w:rsid w:val="00A61B0A"/>
    <w:rsid w:val="00A63180"/>
    <w:rsid w:val="00A635DD"/>
    <w:rsid w:val="00A63F24"/>
    <w:rsid w:val="00A63F55"/>
    <w:rsid w:val="00A64EDF"/>
    <w:rsid w:val="00A65622"/>
    <w:rsid w:val="00A663B1"/>
    <w:rsid w:val="00A66C4E"/>
    <w:rsid w:val="00A67097"/>
    <w:rsid w:val="00A672BA"/>
    <w:rsid w:val="00A6762A"/>
    <w:rsid w:val="00A677F0"/>
    <w:rsid w:val="00A67D17"/>
    <w:rsid w:val="00A702E7"/>
    <w:rsid w:val="00A7081E"/>
    <w:rsid w:val="00A71078"/>
    <w:rsid w:val="00A71F3E"/>
    <w:rsid w:val="00A72A88"/>
    <w:rsid w:val="00A739B4"/>
    <w:rsid w:val="00A73F85"/>
    <w:rsid w:val="00A74539"/>
    <w:rsid w:val="00A74787"/>
    <w:rsid w:val="00A74804"/>
    <w:rsid w:val="00A74C61"/>
    <w:rsid w:val="00A75D2E"/>
    <w:rsid w:val="00A75D6C"/>
    <w:rsid w:val="00A76629"/>
    <w:rsid w:val="00A76A5D"/>
    <w:rsid w:val="00A77BDE"/>
    <w:rsid w:val="00A77C19"/>
    <w:rsid w:val="00A77CD2"/>
    <w:rsid w:val="00A80470"/>
    <w:rsid w:val="00A80617"/>
    <w:rsid w:val="00A816CF"/>
    <w:rsid w:val="00A81B67"/>
    <w:rsid w:val="00A81D3F"/>
    <w:rsid w:val="00A81FD3"/>
    <w:rsid w:val="00A823CB"/>
    <w:rsid w:val="00A826E8"/>
    <w:rsid w:val="00A83135"/>
    <w:rsid w:val="00A835A4"/>
    <w:rsid w:val="00A83EA9"/>
    <w:rsid w:val="00A8427B"/>
    <w:rsid w:val="00A849B6"/>
    <w:rsid w:val="00A84CEC"/>
    <w:rsid w:val="00A85501"/>
    <w:rsid w:val="00A85A8A"/>
    <w:rsid w:val="00A86112"/>
    <w:rsid w:val="00A86A8C"/>
    <w:rsid w:val="00A87008"/>
    <w:rsid w:val="00A902A9"/>
    <w:rsid w:val="00A90594"/>
    <w:rsid w:val="00A9162D"/>
    <w:rsid w:val="00A917BE"/>
    <w:rsid w:val="00A9224F"/>
    <w:rsid w:val="00A92867"/>
    <w:rsid w:val="00A92BA1"/>
    <w:rsid w:val="00A93F7B"/>
    <w:rsid w:val="00A94075"/>
    <w:rsid w:val="00A95ACB"/>
    <w:rsid w:val="00A95FF2"/>
    <w:rsid w:val="00A966CC"/>
    <w:rsid w:val="00A978CF"/>
    <w:rsid w:val="00AA0BEA"/>
    <w:rsid w:val="00AA0F6D"/>
    <w:rsid w:val="00AA1332"/>
    <w:rsid w:val="00AA16DF"/>
    <w:rsid w:val="00AA2A48"/>
    <w:rsid w:val="00AA2D11"/>
    <w:rsid w:val="00AA2FD0"/>
    <w:rsid w:val="00AA43B5"/>
    <w:rsid w:val="00AA444D"/>
    <w:rsid w:val="00AA50E1"/>
    <w:rsid w:val="00AA7105"/>
    <w:rsid w:val="00AA7570"/>
    <w:rsid w:val="00AA7B82"/>
    <w:rsid w:val="00AB03E6"/>
    <w:rsid w:val="00AB1A56"/>
    <w:rsid w:val="00AB1E08"/>
    <w:rsid w:val="00AB2552"/>
    <w:rsid w:val="00AB315F"/>
    <w:rsid w:val="00AB447D"/>
    <w:rsid w:val="00AB4CB4"/>
    <w:rsid w:val="00AB4D4F"/>
    <w:rsid w:val="00AB5A06"/>
    <w:rsid w:val="00AB68E2"/>
    <w:rsid w:val="00AB7A86"/>
    <w:rsid w:val="00AC00BB"/>
    <w:rsid w:val="00AC0140"/>
    <w:rsid w:val="00AC0E0A"/>
    <w:rsid w:val="00AC2D45"/>
    <w:rsid w:val="00AC376E"/>
    <w:rsid w:val="00AC390B"/>
    <w:rsid w:val="00AC3FC5"/>
    <w:rsid w:val="00AC407D"/>
    <w:rsid w:val="00AC4196"/>
    <w:rsid w:val="00AC46EF"/>
    <w:rsid w:val="00AC478A"/>
    <w:rsid w:val="00AC4A8C"/>
    <w:rsid w:val="00AC4F75"/>
    <w:rsid w:val="00AC517A"/>
    <w:rsid w:val="00AC54ED"/>
    <w:rsid w:val="00AC54FD"/>
    <w:rsid w:val="00AC55C1"/>
    <w:rsid w:val="00AC5957"/>
    <w:rsid w:val="00AC5BFC"/>
    <w:rsid w:val="00AC5DBA"/>
    <w:rsid w:val="00AC6150"/>
    <w:rsid w:val="00AC6595"/>
    <w:rsid w:val="00AC7974"/>
    <w:rsid w:val="00AC7C36"/>
    <w:rsid w:val="00AC7E71"/>
    <w:rsid w:val="00AD0129"/>
    <w:rsid w:val="00AD0EA1"/>
    <w:rsid w:val="00AD151C"/>
    <w:rsid w:val="00AD16C2"/>
    <w:rsid w:val="00AD2110"/>
    <w:rsid w:val="00AD3A4B"/>
    <w:rsid w:val="00AD3CB6"/>
    <w:rsid w:val="00AD3F3A"/>
    <w:rsid w:val="00AD403F"/>
    <w:rsid w:val="00AD50F6"/>
    <w:rsid w:val="00AD633E"/>
    <w:rsid w:val="00AD64DC"/>
    <w:rsid w:val="00AD69B1"/>
    <w:rsid w:val="00AD792E"/>
    <w:rsid w:val="00AE0DC9"/>
    <w:rsid w:val="00AE0F70"/>
    <w:rsid w:val="00AE1088"/>
    <w:rsid w:val="00AE1493"/>
    <w:rsid w:val="00AE19F3"/>
    <w:rsid w:val="00AE19FC"/>
    <w:rsid w:val="00AE1D3C"/>
    <w:rsid w:val="00AE3679"/>
    <w:rsid w:val="00AE3BCE"/>
    <w:rsid w:val="00AE40D3"/>
    <w:rsid w:val="00AE48E5"/>
    <w:rsid w:val="00AE5FDE"/>
    <w:rsid w:val="00AE75F4"/>
    <w:rsid w:val="00AE7C11"/>
    <w:rsid w:val="00AE7DDA"/>
    <w:rsid w:val="00AF00B9"/>
    <w:rsid w:val="00AF090A"/>
    <w:rsid w:val="00AF16FB"/>
    <w:rsid w:val="00AF17B4"/>
    <w:rsid w:val="00AF1D3F"/>
    <w:rsid w:val="00AF2FD7"/>
    <w:rsid w:val="00AF3213"/>
    <w:rsid w:val="00AF34C8"/>
    <w:rsid w:val="00AF3716"/>
    <w:rsid w:val="00AF3C7B"/>
    <w:rsid w:val="00AF42BD"/>
    <w:rsid w:val="00AF42DA"/>
    <w:rsid w:val="00AF4A30"/>
    <w:rsid w:val="00AF5869"/>
    <w:rsid w:val="00AF709B"/>
    <w:rsid w:val="00AF751C"/>
    <w:rsid w:val="00AF7B4B"/>
    <w:rsid w:val="00B0030D"/>
    <w:rsid w:val="00B008D5"/>
    <w:rsid w:val="00B008DA"/>
    <w:rsid w:val="00B00A8A"/>
    <w:rsid w:val="00B01712"/>
    <w:rsid w:val="00B0175F"/>
    <w:rsid w:val="00B01B89"/>
    <w:rsid w:val="00B01BA0"/>
    <w:rsid w:val="00B03110"/>
    <w:rsid w:val="00B03327"/>
    <w:rsid w:val="00B04E0B"/>
    <w:rsid w:val="00B05096"/>
    <w:rsid w:val="00B05B55"/>
    <w:rsid w:val="00B05C2C"/>
    <w:rsid w:val="00B062E0"/>
    <w:rsid w:val="00B0697B"/>
    <w:rsid w:val="00B06A55"/>
    <w:rsid w:val="00B06D22"/>
    <w:rsid w:val="00B07535"/>
    <w:rsid w:val="00B07972"/>
    <w:rsid w:val="00B1002C"/>
    <w:rsid w:val="00B1040C"/>
    <w:rsid w:val="00B1077E"/>
    <w:rsid w:val="00B12C97"/>
    <w:rsid w:val="00B13836"/>
    <w:rsid w:val="00B13F0A"/>
    <w:rsid w:val="00B1454D"/>
    <w:rsid w:val="00B158CB"/>
    <w:rsid w:val="00B15CEF"/>
    <w:rsid w:val="00B15FF0"/>
    <w:rsid w:val="00B163D7"/>
    <w:rsid w:val="00B16790"/>
    <w:rsid w:val="00B1693A"/>
    <w:rsid w:val="00B169D3"/>
    <w:rsid w:val="00B178DC"/>
    <w:rsid w:val="00B205AF"/>
    <w:rsid w:val="00B20767"/>
    <w:rsid w:val="00B21170"/>
    <w:rsid w:val="00B21422"/>
    <w:rsid w:val="00B2144D"/>
    <w:rsid w:val="00B219B8"/>
    <w:rsid w:val="00B22330"/>
    <w:rsid w:val="00B22B1B"/>
    <w:rsid w:val="00B23676"/>
    <w:rsid w:val="00B2798A"/>
    <w:rsid w:val="00B27CB2"/>
    <w:rsid w:val="00B3055B"/>
    <w:rsid w:val="00B3071E"/>
    <w:rsid w:val="00B307F5"/>
    <w:rsid w:val="00B30ABB"/>
    <w:rsid w:val="00B31EBA"/>
    <w:rsid w:val="00B320D1"/>
    <w:rsid w:val="00B32277"/>
    <w:rsid w:val="00B32A97"/>
    <w:rsid w:val="00B32EEE"/>
    <w:rsid w:val="00B331A6"/>
    <w:rsid w:val="00B33E9C"/>
    <w:rsid w:val="00B33FC2"/>
    <w:rsid w:val="00B341D6"/>
    <w:rsid w:val="00B343AF"/>
    <w:rsid w:val="00B35112"/>
    <w:rsid w:val="00B35317"/>
    <w:rsid w:val="00B355FB"/>
    <w:rsid w:val="00B37B63"/>
    <w:rsid w:val="00B4072C"/>
    <w:rsid w:val="00B41858"/>
    <w:rsid w:val="00B42FED"/>
    <w:rsid w:val="00B439D6"/>
    <w:rsid w:val="00B43A50"/>
    <w:rsid w:val="00B4440A"/>
    <w:rsid w:val="00B44445"/>
    <w:rsid w:val="00B44FA6"/>
    <w:rsid w:val="00B4519B"/>
    <w:rsid w:val="00B4523F"/>
    <w:rsid w:val="00B452BE"/>
    <w:rsid w:val="00B4547B"/>
    <w:rsid w:val="00B45BC2"/>
    <w:rsid w:val="00B469D3"/>
    <w:rsid w:val="00B46BC0"/>
    <w:rsid w:val="00B47325"/>
    <w:rsid w:val="00B476E6"/>
    <w:rsid w:val="00B517D0"/>
    <w:rsid w:val="00B51D3E"/>
    <w:rsid w:val="00B5297A"/>
    <w:rsid w:val="00B529F3"/>
    <w:rsid w:val="00B52EA7"/>
    <w:rsid w:val="00B52ED7"/>
    <w:rsid w:val="00B5452B"/>
    <w:rsid w:val="00B5475A"/>
    <w:rsid w:val="00B54DFA"/>
    <w:rsid w:val="00B5512D"/>
    <w:rsid w:val="00B5569E"/>
    <w:rsid w:val="00B5575A"/>
    <w:rsid w:val="00B55C52"/>
    <w:rsid w:val="00B56F06"/>
    <w:rsid w:val="00B5712A"/>
    <w:rsid w:val="00B579F8"/>
    <w:rsid w:val="00B57DA4"/>
    <w:rsid w:val="00B57E6A"/>
    <w:rsid w:val="00B605DB"/>
    <w:rsid w:val="00B607D2"/>
    <w:rsid w:val="00B60B9C"/>
    <w:rsid w:val="00B62064"/>
    <w:rsid w:val="00B621E2"/>
    <w:rsid w:val="00B6263A"/>
    <w:rsid w:val="00B62667"/>
    <w:rsid w:val="00B6286B"/>
    <w:rsid w:val="00B63508"/>
    <w:rsid w:val="00B63ABF"/>
    <w:rsid w:val="00B6472A"/>
    <w:rsid w:val="00B64E1E"/>
    <w:rsid w:val="00B65290"/>
    <w:rsid w:val="00B65413"/>
    <w:rsid w:val="00B66670"/>
    <w:rsid w:val="00B6735F"/>
    <w:rsid w:val="00B719FA"/>
    <w:rsid w:val="00B72DF7"/>
    <w:rsid w:val="00B72E20"/>
    <w:rsid w:val="00B72F06"/>
    <w:rsid w:val="00B73220"/>
    <w:rsid w:val="00B744BC"/>
    <w:rsid w:val="00B751D3"/>
    <w:rsid w:val="00B75D4C"/>
    <w:rsid w:val="00B76536"/>
    <w:rsid w:val="00B76794"/>
    <w:rsid w:val="00B768F4"/>
    <w:rsid w:val="00B76E45"/>
    <w:rsid w:val="00B770F9"/>
    <w:rsid w:val="00B8045F"/>
    <w:rsid w:val="00B80AC6"/>
    <w:rsid w:val="00B81C99"/>
    <w:rsid w:val="00B8268A"/>
    <w:rsid w:val="00B82872"/>
    <w:rsid w:val="00B83142"/>
    <w:rsid w:val="00B841DB"/>
    <w:rsid w:val="00B8520F"/>
    <w:rsid w:val="00B860C0"/>
    <w:rsid w:val="00B86CAF"/>
    <w:rsid w:val="00B86FA5"/>
    <w:rsid w:val="00B875B5"/>
    <w:rsid w:val="00B87651"/>
    <w:rsid w:val="00B87BBE"/>
    <w:rsid w:val="00B90103"/>
    <w:rsid w:val="00B90470"/>
    <w:rsid w:val="00B908E1"/>
    <w:rsid w:val="00B90DEE"/>
    <w:rsid w:val="00B90FF6"/>
    <w:rsid w:val="00B91212"/>
    <w:rsid w:val="00B916EB"/>
    <w:rsid w:val="00B9213B"/>
    <w:rsid w:val="00B929BC"/>
    <w:rsid w:val="00B92B30"/>
    <w:rsid w:val="00B93A4A"/>
    <w:rsid w:val="00B94586"/>
    <w:rsid w:val="00B94674"/>
    <w:rsid w:val="00B952E4"/>
    <w:rsid w:val="00B958B7"/>
    <w:rsid w:val="00B95A56"/>
    <w:rsid w:val="00B95FBD"/>
    <w:rsid w:val="00B9608B"/>
    <w:rsid w:val="00B96183"/>
    <w:rsid w:val="00B9637C"/>
    <w:rsid w:val="00B97137"/>
    <w:rsid w:val="00B97A8C"/>
    <w:rsid w:val="00B97AED"/>
    <w:rsid w:val="00BA0091"/>
    <w:rsid w:val="00BA02C3"/>
    <w:rsid w:val="00BA05C8"/>
    <w:rsid w:val="00BA079F"/>
    <w:rsid w:val="00BA08CD"/>
    <w:rsid w:val="00BA1EAF"/>
    <w:rsid w:val="00BA2394"/>
    <w:rsid w:val="00BA28ED"/>
    <w:rsid w:val="00BA29D9"/>
    <w:rsid w:val="00BA3569"/>
    <w:rsid w:val="00BA3648"/>
    <w:rsid w:val="00BA478F"/>
    <w:rsid w:val="00BA4E7E"/>
    <w:rsid w:val="00BA4F07"/>
    <w:rsid w:val="00BA509C"/>
    <w:rsid w:val="00BA59C9"/>
    <w:rsid w:val="00BA5F43"/>
    <w:rsid w:val="00BA6641"/>
    <w:rsid w:val="00BA6A2A"/>
    <w:rsid w:val="00BA6DFE"/>
    <w:rsid w:val="00BA7495"/>
    <w:rsid w:val="00BA7F56"/>
    <w:rsid w:val="00BB021E"/>
    <w:rsid w:val="00BB07E8"/>
    <w:rsid w:val="00BB0BAD"/>
    <w:rsid w:val="00BB14F4"/>
    <w:rsid w:val="00BB227E"/>
    <w:rsid w:val="00BB3058"/>
    <w:rsid w:val="00BB340D"/>
    <w:rsid w:val="00BB374E"/>
    <w:rsid w:val="00BB37DF"/>
    <w:rsid w:val="00BB4B9D"/>
    <w:rsid w:val="00BB4D01"/>
    <w:rsid w:val="00BB4F63"/>
    <w:rsid w:val="00BB526C"/>
    <w:rsid w:val="00BB599C"/>
    <w:rsid w:val="00BB6002"/>
    <w:rsid w:val="00BB6933"/>
    <w:rsid w:val="00BB6C20"/>
    <w:rsid w:val="00BB6C62"/>
    <w:rsid w:val="00BB7208"/>
    <w:rsid w:val="00BB74F6"/>
    <w:rsid w:val="00BB7994"/>
    <w:rsid w:val="00BC16DE"/>
    <w:rsid w:val="00BC1766"/>
    <w:rsid w:val="00BC2150"/>
    <w:rsid w:val="00BC25F9"/>
    <w:rsid w:val="00BC2C34"/>
    <w:rsid w:val="00BC2DC1"/>
    <w:rsid w:val="00BC369E"/>
    <w:rsid w:val="00BC36FD"/>
    <w:rsid w:val="00BC3B46"/>
    <w:rsid w:val="00BC3E5E"/>
    <w:rsid w:val="00BC501E"/>
    <w:rsid w:val="00BC51F7"/>
    <w:rsid w:val="00BC6097"/>
    <w:rsid w:val="00BC63FA"/>
    <w:rsid w:val="00BC652C"/>
    <w:rsid w:val="00BC69D9"/>
    <w:rsid w:val="00BC72A9"/>
    <w:rsid w:val="00BC7A1F"/>
    <w:rsid w:val="00BC7B39"/>
    <w:rsid w:val="00BD1135"/>
    <w:rsid w:val="00BD39C0"/>
    <w:rsid w:val="00BD40F8"/>
    <w:rsid w:val="00BD4671"/>
    <w:rsid w:val="00BD54F5"/>
    <w:rsid w:val="00BD5729"/>
    <w:rsid w:val="00BD5C61"/>
    <w:rsid w:val="00BD623D"/>
    <w:rsid w:val="00BD66DB"/>
    <w:rsid w:val="00BD6B17"/>
    <w:rsid w:val="00BD75A4"/>
    <w:rsid w:val="00BE0FC4"/>
    <w:rsid w:val="00BE1A36"/>
    <w:rsid w:val="00BE1CD9"/>
    <w:rsid w:val="00BE1D43"/>
    <w:rsid w:val="00BE1D50"/>
    <w:rsid w:val="00BE1FC6"/>
    <w:rsid w:val="00BE1FFD"/>
    <w:rsid w:val="00BE27DC"/>
    <w:rsid w:val="00BE3110"/>
    <w:rsid w:val="00BE383D"/>
    <w:rsid w:val="00BE3CAD"/>
    <w:rsid w:val="00BE413F"/>
    <w:rsid w:val="00BE43FE"/>
    <w:rsid w:val="00BE4477"/>
    <w:rsid w:val="00BE4D41"/>
    <w:rsid w:val="00BE54E8"/>
    <w:rsid w:val="00BE564F"/>
    <w:rsid w:val="00BE5661"/>
    <w:rsid w:val="00BE566D"/>
    <w:rsid w:val="00BE5ED5"/>
    <w:rsid w:val="00BE6168"/>
    <w:rsid w:val="00BE65C1"/>
    <w:rsid w:val="00BE66F0"/>
    <w:rsid w:val="00BE69CC"/>
    <w:rsid w:val="00BE6B82"/>
    <w:rsid w:val="00BE701F"/>
    <w:rsid w:val="00BE7C40"/>
    <w:rsid w:val="00BF055C"/>
    <w:rsid w:val="00BF0DEA"/>
    <w:rsid w:val="00BF0EE2"/>
    <w:rsid w:val="00BF1A75"/>
    <w:rsid w:val="00BF1F4B"/>
    <w:rsid w:val="00BF210B"/>
    <w:rsid w:val="00BF213C"/>
    <w:rsid w:val="00BF3344"/>
    <w:rsid w:val="00BF3B88"/>
    <w:rsid w:val="00BF3BB2"/>
    <w:rsid w:val="00BF3EA0"/>
    <w:rsid w:val="00BF4034"/>
    <w:rsid w:val="00BF42FF"/>
    <w:rsid w:val="00BF436A"/>
    <w:rsid w:val="00BF4424"/>
    <w:rsid w:val="00BF448C"/>
    <w:rsid w:val="00BF489E"/>
    <w:rsid w:val="00BF57C8"/>
    <w:rsid w:val="00BF7F05"/>
    <w:rsid w:val="00C0086B"/>
    <w:rsid w:val="00C010D9"/>
    <w:rsid w:val="00C0202C"/>
    <w:rsid w:val="00C020E5"/>
    <w:rsid w:val="00C0218B"/>
    <w:rsid w:val="00C023BA"/>
    <w:rsid w:val="00C023E1"/>
    <w:rsid w:val="00C02606"/>
    <w:rsid w:val="00C029CD"/>
    <w:rsid w:val="00C02B1A"/>
    <w:rsid w:val="00C02B8A"/>
    <w:rsid w:val="00C02F68"/>
    <w:rsid w:val="00C0303F"/>
    <w:rsid w:val="00C0424D"/>
    <w:rsid w:val="00C04591"/>
    <w:rsid w:val="00C0511A"/>
    <w:rsid w:val="00C05DC7"/>
    <w:rsid w:val="00C0612D"/>
    <w:rsid w:val="00C07709"/>
    <w:rsid w:val="00C10A2C"/>
    <w:rsid w:val="00C10BC9"/>
    <w:rsid w:val="00C10EA5"/>
    <w:rsid w:val="00C12469"/>
    <w:rsid w:val="00C12C0C"/>
    <w:rsid w:val="00C12D9D"/>
    <w:rsid w:val="00C12F05"/>
    <w:rsid w:val="00C1307B"/>
    <w:rsid w:val="00C1337D"/>
    <w:rsid w:val="00C13424"/>
    <w:rsid w:val="00C13444"/>
    <w:rsid w:val="00C141B4"/>
    <w:rsid w:val="00C14662"/>
    <w:rsid w:val="00C15987"/>
    <w:rsid w:val="00C15EC1"/>
    <w:rsid w:val="00C1681F"/>
    <w:rsid w:val="00C16C69"/>
    <w:rsid w:val="00C16F54"/>
    <w:rsid w:val="00C173A1"/>
    <w:rsid w:val="00C176C0"/>
    <w:rsid w:val="00C17F58"/>
    <w:rsid w:val="00C20D62"/>
    <w:rsid w:val="00C21406"/>
    <w:rsid w:val="00C216A6"/>
    <w:rsid w:val="00C21DFA"/>
    <w:rsid w:val="00C22E15"/>
    <w:rsid w:val="00C2326D"/>
    <w:rsid w:val="00C233A3"/>
    <w:rsid w:val="00C233AB"/>
    <w:rsid w:val="00C24848"/>
    <w:rsid w:val="00C2484F"/>
    <w:rsid w:val="00C25534"/>
    <w:rsid w:val="00C2575D"/>
    <w:rsid w:val="00C25E4D"/>
    <w:rsid w:val="00C26ADF"/>
    <w:rsid w:val="00C301FC"/>
    <w:rsid w:val="00C30723"/>
    <w:rsid w:val="00C31502"/>
    <w:rsid w:val="00C32C0A"/>
    <w:rsid w:val="00C32E0D"/>
    <w:rsid w:val="00C3339D"/>
    <w:rsid w:val="00C334AE"/>
    <w:rsid w:val="00C34936"/>
    <w:rsid w:val="00C364D2"/>
    <w:rsid w:val="00C366E8"/>
    <w:rsid w:val="00C37133"/>
    <w:rsid w:val="00C372D7"/>
    <w:rsid w:val="00C40464"/>
    <w:rsid w:val="00C40ABA"/>
    <w:rsid w:val="00C40AC2"/>
    <w:rsid w:val="00C40F20"/>
    <w:rsid w:val="00C411DE"/>
    <w:rsid w:val="00C41A23"/>
    <w:rsid w:val="00C424F5"/>
    <w:rsid w:val="00C428AC"/>
    <w:rsid w:val="00C431C5"/>
    <w:rsid w:val="00C4431E"/>
    <w:rsid w:val="00C44964"/>
    <w:rsid w:val="00C4726F"/>
    <w:rsid w:val="00C47501"/>
    <w:rsid w:val="00C4750E"/>
    <w:rsid w:val="00C4787A"/>
    <w:rsid w:val="00C50156"/>
    <w:rsid w:val="00C5016E"/>
    <w:rsid w:val="00C503D4"/>
    <w:rsid w:val="00C50AEF"/>
    <w:rsid w:val="00C516DC"/>
    <w:rsid w:val="00C51C98"/>
    <w:rsid w:val="00C52860"/>
    <w:rsid w:val="00C52B7C"/>
    <w:rsid w:val="00C52CD4"/>
    <w:rsid w:val="00C52F33"/>
    <w:rsid w:val="00C52F49"/>
    <w:rsid w:val="00C53268"/>
    <w:rsid w:val="00C539AA"/>
    <w:rsid w:val="00C53ABF"/>
    <w:rsid w:val="00C53D16"/>
    <w:rsid w:val="00C54445"/>
    <w:rsid w:val="00C5459E"/>
    <w:rsid w:val="00C549E0"/>
    <w:rsid w:val="00C54A77"/>
    <w:rsid w:val="00C551F0"/>
    <w:rsid w:val="00C555D7"/>
    <w:rsid w:val="00C5691D"/>
    <w:rsid w:val="00C5716D"/>
    <w:rsid w:val="00C5722B"/>
    <w:rsid w:val="00C578A7"/>
    <w:rsid w:val="00C57BC2"/>
    <w:rsid w:val="00C57D77"/>
    <w:rsid w:val="00C6029D"/>
    <w:rsid w:val="00C6055E"/>
    <w:rsid w:val="00C60563"/>
    <w:rsid w:val="00C60B85"/>
    <w:rsid w:val="00C61B75"/>
    <w:rsid w:val="00C62356"/>
    <w:rsid w:val="00C62DAF"/>
    <w:rsid w:val="00C62F09"/>
    <w:rsid w:val="00C63C79"/>
    <w:rsid w:val="00C64616"/>
    <w:rsid w:val="00C651C0"/>
    <w:rsid w:val="00C65AB5"/>
    <w:rsid w:val="00C660CC"/>
    <w:rsid w:val="00C6616D"/>
    <w:rsid w:val="00C66538"/>
    <w:rsid w:val="00C6708F"/>
    <w:rsid w:val="00C67475"/>
    <w:rsid w:val="00C675B3"/>
    <w:rsid w:val="00C7026E"/>
    <w:rsid w:val="00C7028F"/>
    <w:rsid w:val="00C717C7"/>
    <w:rsid w:val="00C71A4F"/>
    <w:rsid w:val="00C726A9"/>
    <w:rsid w:val="00C734DF"/>
    <w:rsid w:val="00C73EC8"/>
    <w:rsid w:val="00C73F6E"/>
    <w:rsid w:val="00C75530"/>
    <w:rsid w:val="00C759D0"/>
    <w:rsid w:val="00C75A0F"/>
    <w:rsid w:val="00C76B4E"/>
    <w:rsid w:val="00C77480"/>
    <w:rsid w:val="00C77CEE"/>
    <w:rsid w:val="00C8079A"/>
    <w:rsid w:val="00C808A0"/>
    <w:rsid w:val="00C8244E"/>
    <w:rsid w:val="00C825BC"/>
    <w:rsid w:val="00C82A95"/>
    <w:rsid w:val="00C830E9"/>
    <w:rsid w:val="00C834E0"/>
    <w:rsid w:val="00C83840"/>
    <w:rsid w:val="00C839C7"/>
    <w:rsid w:val="00C83CAB"/>
    <w:rsid w:val="00C844AA"/>
    <w:rsid w:val="00C847AC"/>
    <w:rsid w:val="00C84B33"/>
    <w:rsid w:val="00C851F2"/>
    <w:rsid w:val="00C85D78"/>
    <w:rsid w:val="00C8737A"/>
    <w:rsid w:val="00C87464"/>
    <w:rsid w:val="00C8780F"/>
    <w:rsid w:val="00C87C9C"/>
    <w:rsid w:val="00C87EB4"/>
    <w:rsid w:val="00C87FD7"/>
    <w:rsid w:val="00C90976"/>
    <w:rsid w:val="00C90A1B"/>
    <w:rsid w:val="00C9182F"/>
    <w:rsid w:val="00C91EB1"/>
    <w:rsid w:val="00C9221B"/>
    <w:rsid w:val="00C923E1"/>
    <w:rsid w:val="00C92F90"/>
    <w:rsid w:val="00C93384"/>
    <w:rsid w:val="00C93BAF"/>
    <w:rsid w:val="00C93FC5"/>
    <w:rsid w:val="00C94146"/>
    <w:rsid w:val="00C94198"/>
    <w:rsid w:val="00C94980"/>
    <w:rsid w:val="00C949EA"/>
    <w:rsid w:val="00C94B51"/>
    <w:rsid w:val="00C94EF0"/>
    <w:rsid w:val="00C9559C"/>
    <w:rsid w:val="00C95C2D"/>
    <w:rsid w:val="00C95DA2"/>
    <w:rsid w:val="00C96663"/>
    <w:rsid w:val="00C96BA9"/>
    <w:rsid w:val="00C96BBC"/>
    <w:rsid w:val="00C9758A"/>
    <w:rsid w:val="00C9766C"/>
    <w:rsid w:val="00C97BAB"/>
    <w:rsid w:val="00CA0EA4"/>
    <w:rsid w:val="00CA0FF5"/>
    <w:rsid w:val="00CA10DE"/>
    <w:rsid w:val="00CA14FF"/>
    <w:rsid w:val="00CA24A6"/>
    <w:rsid w:val="00CA2C58"/>
    <w:rsid w:val="00CA34DD"/>
    <w:rsid w:val="00CA3769"/>
    <w:rsid w:val="00CA412B"/>
    <w:rsid w:val="00CA4822"/>
    <w:rsid w:val="00CA4B3B"/>
    <w:rsid w:val="00CA4FD4"/>
    <w:rsid w:val="00CA5401"/>
    <w:rsid w:val="00CA55D4"/>
    <w:rsid w:val="00CA6106"/>
    <w:rsid w:val="00CA6242"/>
    <w:rsid w:val="00CA652B"/>
    <w:rsid w:val="00CA6BDE"/>
    <w:rsid w:val="00CA7E14"/>
    <w:rsid w:val="00CB0313"/>
    <w:rsid w:val="00CB0A30"/>
    <w:rsid w:val="00CB14FC"/>
    <w:rsid w:val="00CB16DF"/>
    <w:rsid w:val="00CB1E7B"/>
    <w:rsid w:val="00CB218F"/>
    <w:rsid w:val="00CB2A45"/>
    <w:rsid w:val="00CB313D"/>
    <w:rsid w:val="00CB356A"/>
    <w:rsid w:val="00CB4502"/>
    <w:rsid w:val="00CB5BB0"/>
    <w:rsid w:val="00CB6B3E"/>
    <w:rsid w:val="00CB6DBC"/>
    <w:rsid w:val="00CB7630"/>
    <w:rsid w:val="00CB7918"/>
    <w:rsid w:val="00CB7D46"/>
    <w:rsid w:val="00CC0D91"/>
    <w:rsid w:val="00CC1C73"/>
    <w:rsid w:val="00CC1F61"/>
    <w:rsid w:val="00CC22F4"/>
    <w:rsid w:val="00CC2901"/>
    <w:rsid w:val="00CC327B"/>
    <w:rsid w:val="00CC3A7F"/>
    <w:rsid w:val="00CC3ADC"/>
    <w:rsid w:val="00CC3C4E"/>
    <w:rsid w:val="00CC3E7B"/>
    <w:rsid w:val="00CC3FD8"/>
    <w:rsid w:val="00CC42B8"/>
    <w:rsid w:val="00CC4535"/>
    <w:rsid w:val="00CC4558"/>
    <w:rsid w:val="00CC4B6C"/>
    <w:rsid w:val="00CC4C3B"/>
    <w:rsid w:val="00CC4E42"/>
    <w:rsid w:val="00CC5169"/>
    <w:rsid w:val="00CC52F7"/>
    <w:rsid w:val="00CC6150"/>
    <w:rsid w:val="00CC63E5"/>
    <w:rsid w:val="00CC6C50"/>
    <w:rsid w:val="00CC762A"/>
    <w:rsid w:val="00CC77D4"/>
    <w:rsid w:val="00CC7C1B"/>
    <w:rsid w:val="00CD04B5"/>
    <w:rsid w:val="00CD0901"/>
    <w:rsid w:val="00CD0EAF"/>
    <w:rsid w:val="00CD11B6"/>
    <w:rsid w:val="00CD12D8"/>
    <w:rsid w:val="00CD1AFE"/>
    <w:rsid w:val="00CD1CE8"/>
    <w:rsid w:val="00CD22AD"/>
    <w:rsid w:val="00CD25BF"/>
    <w:rsid w:val="00CD2784"/>
    <w:rsid w:val="00CD39C5"/>
    <w:rsid w:val="00CD4279"/>
    <w:rsid w:val="00CD4F72"/>
    <w:rsid w:val="00CD516F"/>
    <w:rsid w:val="00CD528B"/>
    <w:rsid w:val="00CD6087"/>
    <w:rsid w:val="00CD6125"/>
    <w:rsid w:val="00CD6C15"/>
    <w:rsid w:val="00CD6F8F"/>
    <w:rsid w:val="00CD7154"/>
    <w:rsid w:val="00CD770C"/>
    <w:rsid w:val="00CE0014"/>
    <w:rsid w:val="00CE0996"/>
    <w:rsid w:val="00CE0C3B"/>
    <w:rsid w:val="00CE1009"/>
    <w:rsid w:val="00CE11D0"/>
    <w:rsid w:val="00CE1268"/>
    <w:rsid w:val="00CE1279"/>
    <w:rsid w:val="00CE18C9"/>
    <w:rsid w:val="00CE1D6E"/>
    <w:rsid w:val="00CE1DCA"/>
    <w:rsid w:val="00CE222B"/>
    <w:rsid w:val="00CE2698"/>
    <w:rsid w:val="00CE330E"/>
    <w:rsid w:val="00CE37A8"/>
    <w:rsid w:val="00CE3F09"/>
    <w:rsid w:val="00CE4717"/>
    <w:rsid w:val="00CE4AE4"/>
    <w:rsid w:val="00CE4C64"/>
    <w:rsid w:val="00CE5156"/>
    <w:rsid w:val="00CE5170"/>
    <w:rsid w:val="00CE6A43"/>
    <w:rsid w:val="00CE71C1"/>
    <w:rsid w:val="00CE79A0"/>
    <w:rsid w:val="00CE7AEA"/>
    <w:rsid w:val="00CE7C3A"/>
    <w:rsid w:val="00CE7D09"/>
    <w:rsid w:val="00CE7EE3"/>
    <w:rsid w:val="00CF05D1"/>
    <w:rsid w:val="00CF0798"/>
    <w:rsid w:val="00CF11D8"/>
    <w:rsid w:val="00CF14C6"/>
    <w:rsid w:val="00CF168C"/>
    <w:rsid w:val="00CF1C2B"/>
    <w:rsid w:val="00CF209B"/>
    <w:rsid w:val="00CF3671"/>
    <w:rsid w:val="00CF38EA"/>
    <w:rsid w:val="00CF391A"/>
    <w:rsid w:val="00CF40D9"/>
    <w:rsid w:val="00CF5190"/>
    <w:rsid w:val="00CF5783"/>
    <w:rsid w:val="00CF633F"/>
    <w:rsid w:val="00CF6801"/>
    <w:rsid w:val="00CF6983"/>
    <w:rsid w:val="00CF6D1E"/>
    <w:rsid w:val="00CF711D"/>
    <w:rsid w:val="00CF7BD7"/>
    <w:rsid w:val="00D0060C"/>
    <w:rsid w:val="00D006CC"/>
    <w:rsid w:val="00D00781"/>
    <w:rsid w:val="00D01B8D"/>
    <w:rsid w:val="00D01EA7"/>
    <w:rsid w:val="00D026EE"/>
    <w:rsid w:val="00D02EBD"/>
    <w:rsid w:val="00D02F6F"/>
    <w:rsid w:val="00D0322B"/>
    <w:rsid w:val="00D03856"/>
    <w:rsid w:val="00D03FCD"/>
    <w:rsid w:val="00D0416A"/>
    <w:rsid w:val="00D04700"/>
    <w:rsid w:val="00D05912"/>
    <w:rsid w:val="00D05C2F"/>
    <w:rsid w:val="00D05F6E"/>
    <w:rsid w:val="00D05FA2"/>
    <w:rsid w:val="00D05FB7"/>
    <w:rsid w:val="00D06563"/>
    <w:rsid w:val="00D07FFC"/>
    <w:rsid w:val="00D10082"/>
    <w:rsid w:val="00D106EC"/>
    <w:rsid w:val="00D1080A"/>
    <w:rsid w:val="00D10A1F"/>
    <w:rsid w:val="00D10D06"/>
    <w:rsid w:val="00D12026"/>
    <w:rsid w:val="00D12089"/>
    <w:rsid w:val="00D12143"/>
    <w:rsid w:val="00D1253C"/>
    <w:rsid w:val="00D13545"/>
    <w:rsid w:val="00D14D52"/>
    <w:rsid w:val="00D14FA1"/>
    <w:rsid w:val="00D15654"/>
    <w:rsid w:val="00D1639E"/>
    <w:rsid w:val="00D163CF"/>
    <w:rsid w:val="00D17366"/>
    <w:rsid w:val="00D17519"/>
    <w:rsid w:val="00D1782C"/>
    <w:rsid w:val="00D17958"/>
    <w:rsid w:val="00D17B73"/>
    <w:rsid w:val="00D2289A"/>
    <w:rsid w:val="00D237C8"/>
    <w:rsid w:val="00D237D1"/>
    <w:rsid w:val="00D23E77"/>
    <w:rsid w:val="00D24DEF"/>
    <w:rsid w:val="00D2562D"/>
    <w:rsid w:val="00D2567C"/>
    <w:rsid w:val="00D27C8B"/>
    <w:rsid w:val="00D30175"/>
    <w:rsid w:val="00D30783"/>
    <w:rsid w:val="00D308D4"/>
    <w:rsid w:val="00D30A7A"/>
    <w:rsid w:val="00D314B0"/>
    <w:rsid w:val="00D31753"/>
    <w:rsid w:val="00D3213E"/>
    <w:rsid w:val="00D32CCC"/>
    <w:rsid w:val="00D33125"/>
    <w:rsid w:val="00D333B6"/>
    <w:rsid w:val="00D335F0"/>
    <w:rsid w:val="00D33C92"/>
    <w:rsid w:val="00D348E1"/>
    <w:rsid w:val="00D34C9B"/>
    <w:rsid w:val="00D352DD"/>
    <w:rsid w:val="00D35651"/>
    <w:rsid w:val="00D357D3"/>
    <w:rsid w:val="00D3580E"/>
    <w:rsid w:val="00D35B6C"/>
    <w:rsid w:val="00D35D3E"/>
    <w:rsid w:val="00D36893"/>
    <w:rsid w:val="00D376C8"/>
    <w:rsid w:val="00D378D7"/>
    <w:rsid w:val="00D40656"/>
    <w:rsid w:val="00D4092C"/>
    <w:rsid w:val="00D40B64"/>
    <w:rsid w:val="00D40E67"/>
    <w:rsid w:val="00D4115E"/>
    <w:rsid w:val="00D412AE"/>
    <w:rsid w:val="00D41EFA"/>
    <w:rsid w:val="00D41FE9"/>
    <w:rsid w:val="00D42102"/>
    <w:rsid w:val="00D42A5C"/>
    <w:rsid w:val="00D42E6F"/>
    <w:rsid w:val="00D43EFD"/>
    <w:rsid w:val="00D440D9"/>
    <w:rsid w:val="00D44E75"/>
    <w:rsid w:val="00D464BD"/>
    <w:rsid w:val="00D465CA"/>
    <w:rsid w:val="00D469D7"/>
    <w:rsid w:val="00D46B56"/>
    <w:rsid w:val="00D47DDD"/>
    <w:rsid w:val="00D50051"/>
    <w:rsid w:val="00D51026"/>
    <w:rsid w:val="00D5196C"/>
    <w:rsid w:val="00D52A95"/>
    <w:rsid w:val="00D52C2D"/>
    <w:rsid w:val="00D52C47"/>
    <w:rsid w:val="00D531A3"/>
    <w:rsid w:val="00D534D4"/>
    <w:rsid w:val="00D539B4"/>
    <w:rsid w:val="00D55B50"/>
    <w:rsid w:val="00D566DE"/>
    <w:rsid w:val="00D568DE"/>
    <w:rsid w:val="00D579A6"/>
    <w:rsid w:val="00D57B31"/>
    <w:rsid w:val="00D57CCE"/>
    <w:rsid w:val="00D60DB6"/>
    <w:rsid w:val="00D610F2"/>
    <w:rsid w:val="00D61E3D"/>
    <w:rsid w:val="00D62162"/>
    <w:rsid w:val="00D621DA"/>
    <w:rsid w:val="00D62832"/>
    <w:rsid w:val="00D62BAF"/>
    <w:rsid w:val="00D63923"/>
    <w:rsid w:val="00D63AA4"/>
    <w:rsid w:val="00D64999"/>
    <w:rsid w:val="00D64E37"/>
    <w:rsid w:val="00D65459"/>
    <w:rsid w:val="00D65F18"/>
    <w:rsid w:val="00D6631D"/>
    <w:rsid w:val="00D676BB"/>
    <w:rsid w:val="00D715E3"/>
    <w:rsid w:val="00D71831"/>
    <w:rsid w:val="00D71E8D"/>
    <w:rsid w:val="00D722B1"/>
    <w:rsid w:val="00D73ADE"/>
    <w:rsid w:val="00D73C74"/>
    <w:rsid w:val="00D7406C"/>
    <w:rsid w:val="00D74AEA"/>
    <w:rsid w:val="00D74F4E"/>
    <w:rsid w:val="00D75251"/>
    <w:rsid w:val="00D75E23"/>
    <w:rsid w:val="00D760B2"/>
    <w:rsid w:val="00D76137"/>
    <w:rsid w:val="00D763FB"/>
    <w:rsid w:val="00D77645"/>
    <w:rsid w:val="00D7776F"/>
    <w:rsid w:val="00D77D8D"/>
    <w:rsid w:val="00D800F1"/>
    <w:rsid w:val="00D80619"/>
    <w:rsid w:val="00D80E6F"/>
    <w:rsid w:val="00D810CC"/>
    <w:rsid w:val="00D81FEF"/>
    <w:rsid w:val="00D8290B"/>
    <w:rsid w:val="00D839E7"/>
    <w:rsid w:val="00D83B22"/>
    <w:rsid w:val="00D83FD4"/>
    <w:rsid w:val="00D844A2"/>
    <w:rsid w:val="00D8527D"/>
    <w:rsid w:val="00D86124"/>
    <w:rsid w:val="00D90589"/>
    <w:rsid w:val="00D906A1"/>
    <w:rsid w:val="00D90920"/>
    <w:rsid w:val="00D90F06"/>
    <w:rsid w:val="00D9228E"/>
    <w:rsid w:val="00D92BB5"/>
    <w:rsid w:val="00D92DDD"/>
    <w:rsid w:val="00D93295"/>
    <w:rsid w:val="00D932B1"/>
    <w:rsid w:val="00D93726"/>
    <w:rsid w:val="00D937B0"/>
    <w:rsid w:val="00D93F72"/>
    <w:rsid w:val="00D93F75"/>
    <w:rsid w:val="00D95A5C"/>
    <w:rsid w:val="00D95A68"/>
    <w:rsid w:val="00D95F53"/>
    <w:rsid w:val="00D9607A"/>
    <w:rsid w:val="00D96371"/>
    <w:rsid w:val="00D97318"/>
    <w:rsid w:val="00D979FF"/>
    <w:rsid w:val="00D97F27"/>
    <w:rsid w:val="00DA0055"/>
    <w:rsid w:val="00DA068B"/>
    <w:rsid w:val="00DA0845"/>
    <w:rsid w:val="00DA0AE8"/>
    <w:rsid w:val="00DA10D3"/>
    <w:rsid w:val="00DA12F9"/>
    <w:rsid w:val="00DA1BD9"/>
    <w:rsid w:val="00DA1D5F"/>
    <w:rsid w:val="00DA21CB"/>
    <w:rsid w:val="00DA23CE"/>
    <w:rsid w:val="00DA2A32"/>
    <w:rsid w:val="00DA2DDC"/>
    <w:rsid w:val="00DA30CF"/>
    <w:rsid w:val="00DA4142"/>
    <w:rsid w:val="00DA4D27"/>
    <w:rsid w:val="00DA4E3A"/>
    <w:rsid w:val="00DA5A5C"/>
    <w:rsid w:val="00DA5A76"/>
    <w:rsid w:val="00DA5C02"/>
    <w:rsid w:val="00DA6BE4"/>
    <w:rsid w:val="00DA6C91"/>
    <w:rsid w:val="00DA713C"/>
    <w:rsid w:val="00DA73D7"/>
    <w:rsid w:val="00DA7CC6"/>
    <w:rsid w:val="00DA7D32"/>
    <w:rsid w:val="00DA7F0D"/>
    <w:rsid w:val="00DB00EA"/>
    <w:rsid w:val="00DB04FF"/>
    <w:rsid w:val="00DB0BB0"/>
    <w:rsid w:val="00DB0C39"/>
    <w:rsid w:val="00DB17ED"/>
    <w:rsid w:val="00DB17F7"/>
    <w:rsid w:val="00DB1AA9"/>
    <w:rsid w:val="00DB1BDA"/>
    <w:rsid w:val="00DB1C8B"/>
    <w:rsid w:val="00DB21E1"/>
    <w:rsid w:val="00DB2C64"/>
    <w:rsid w:val="00DB2CF1"/>
    <w:rsid w:val="00DB3428"/>
    <w:rsid w:val="00DB3469"/>
    <w:rsid w:val="00DB4377"/>
    <w:rsid w:val="00DB44B7"/>
    <w:rsid w:val="00DB599D"/>
    <w:rsid w:val="00DB70E3"/>
    <w:rsid w:val="00DB769A"/>
    <w:rsid w:val="00DB7775"/>
    <w:rsid w:val="00DC0807"/>
    <w:rsid w:val="00DC086F"/>
    <w:rsid w:val="00DC0AE2"/>
    <w:rsid w:val="00DC1287"/>
    <w:rsid w:val="00DC19E4"/>
    <w:rsid w:val="00DC234A"/>
    <w:rsid w:val="00DC23C2"/>
    <w:rsid w:val="00DC2F26"/>
    <w:rsid w:val="00DC30EE"/>
    <w:rsid w:val="00DC35FE"/>
    <w:rsid w:val="00DC3BAF"/>
    <w:rsid w:val="00DC3FB7"/>
    <w:rsid w:val="00DC41C8"/>
    <w:rsid w:val="00DC4E24"/>
    <w:rsid w:val="00DC5378"/>
    <w:rsid w:val="00DC5412"/>
    <w:rsid w:val="00DC56C4"/>
    <w:rsid w:val="00DC56C7"/>
    <w:rsid w:val="00DC572F"/>
    <w:rsid w:val="00DC59A9"/>
    <w:rsid w:val="00DC5B68"/>
    <w:rsid w:val="00DC6159"/>
    <w:rsid w:val="00DC6616"/>
    <w:rsid w:val="00DC75F4"/>
    <w:rsid w:val="00DC78B3"/>
    <w:rsid w:val="00DD074C"/>
    <w:rsid w:val="00DD0859"/>
    <w:rsid w:val="00DD0DEE"/>
    <w:rsid w:val="00DD0F53"/>
    <w:rsid w:val="00DD12EE"/>
    <w:rsid w:val="00DD1539"/>
    <w:rsid w:val="00DD2234"/>
    <w:rsid w:val="00DD2366"/>
    <w:rsid w:val="00DD2A01"/>
    <w:rsid w:val="00DD30AC"/>
    <w:rsid w:val="00DD30F9"/>
    <w:rsid w:val="00DD4641"/>
    <w:rsid w:val="00DD4A2F"/>
    <w:rsid w:val="00DD506A"/>
    <w:rsid w:val="00DD5159"/>
    <w:rsid w:val="00DD54F8"/>
    <w:rsid w:val="00DD58A4"/>
    <w:rsid w:val="00DD64F9"/>
    <w:rsid w:val="00DD6672"/>
    <w:rsid w:val="00DD69C5"/>
    <w:rsid w:val="00DD6A17"/>
    <w:rsid w:val="00DD6B03"/>
    <w:rsid w:val="00DD74D1"/>
    <w:rsid w:val="00DD7895"/>
    <w:rsid w:val="00DE09AE"/>
    <w:rsid w:val="00DE1023"/>
    <w:rsid w:val="00DE27F0"/>
    <w:rsid w:val="00DE2968"/>
    <w:rsid w:val="00DE2A35"/>
    <w:rsid w:val="00DE2B37"/>
    <w:rsid w:val="00DE330C"/>
    <w:rsid w:val="00DE3995"/>
    <w:rsid w:val="00DE4BF1"/>
    <w:rsid w:val="00DE51A8"/>
    <w:rsid w:val="00DE5826"/>
    <w:rsid w:val="00DE5856"/>
    <w:rsid w:val="00DE5B33"/>
    <w:rsid w:val="00DE60EE"/>
    <w:rsid w:val="00DE6121"/>
    <w:rsid w:val="00DE6256"/>
    <w:rsid w:val="00DE7037"/>
    <w:rsid w:val="00DE7429"/>
    <w:rsid w:val="00DE77FD"/>
    <w:rsid w:val="00DE7FDF"/>
    <w:rsid w:val="00DF04A5"/>
    <w:rsid w:val="00DF0902"/>
    <w:rsid w:val="00DF1151"/>
    <w:rsid w:val="00DF1284"/>
    <w:rsid w:val="00DF2186"/>
    <w:rsid w:val="00DF22A9"/>
    <w:rsid w:val="00DF2421"/>
    <w:rsid w:val="00DF323E"/>
    <w:rsid w:val="00DF4031"/>
    <w:rsid w:val="00DF4B76"/>
    <w:rsid w:val="00DF516F"/>
    <w:rsid w:val="00DF5234"/>
    <w:rsid w:val="00DF55D4"/>
    <w:rsid w:val="00DF65BA"/>
    <w:rsid w:val="00DF67BE"/>
    <w:rsid w:val="00DF6813"/>
    <w:rsid w:val="00DF6F65"/>
    <w:rsid w:val="00DF7094"/>
    <w:rsid w:val="00DF7F4B"/>
    <w:rsid w:val="00E01111"/>
    <w:rsid w:val="00E012FE"/>
    <w:rsid w:val="00E01956"/>
    <w:rsid w:val="00E02DF9"/>
    <w:rsid w:val="00E03017"/>
    <w:rsid w:val="00E0325C"/>
    <w:rsid w:val="00E03E57"/>
    <w:rsid w:val="00E0413F"/>
    <w:rsid w:val="00E05046"/>
    <w:rsid w:val="00E0583A"/>
    <w:rsid w:val="00E05C3C"/>
    <w:rsid w:val="00E06DFC"/>
    <w:rsid w:val="00E0705E"/>
    <w:rsid w:val="00E07676"/>
    <w:rsid w:val="00E07CCE"/>
    <w:rsid w:val="00E1033F"/>
    <w:rsid w:val="00E121FB"/>
    <w:rsid w:val="00E1246F"/>
    <w:rsid w:val="00E125DE"/>
    <w:rsid w:val="00E1269E"/>
    <w:rsid w:val="00E12986"/>
    <w:rsid w:val="00E13038"/>
    <w:rsid w:val="00E134F0"/>
    <w:rsid w:val="00E1353C"/>
    <w:rsid w:val="00E13B07"/>
    <w:rsid w:val="00E146FD"/>
    <w:rsid w:val="00E14AD9"/>
    <w:rsid w:val="00E1528B"/>
    <w:rsid w:val="00E15CAD"/>
    <w:rsid w:val="00E15D81"/>
    <w:rsid w:val="00E15FAC"/>
    <w:rsid w:val="00E16067"/>
    <w:rsid w:val="00E1647C"/>
    <w:rsid w:val="00E16B2E"/>
    <w:rsid w:val="00E17119"/>
    <w:rsid w:val="00E17486"/>
    <w:rsid w:val="00E1758C"/>
    <w:rsid w:val="00E175C1"/>
    <w:rsid w:val="00E20A7B"/>
    <w:rsid w:val="00E2102C"/>
    <w:rsid w:val="00E21649"/>
    <w:rsid w:val="00E21A59"/>
    <w:rsid w:val="00E22406"/>
    <w:rsid w:val="00E2249D"/>
    <w:rsid w:val="00E22D55"/>
    <w:rsid w:val="00E23170"/>
    <w:rsid w:val="00E235AB"/>
    <w:rsid w:val="00E2378A"/>
    <w:rsid w:val="00E23C05"/>
    <w:rsid w:val="00E2453B"/>
    <w:rsid w:val="00E25466"/>
    <w:rsid w:val="00E255EF"/>
    <w:rsid w:val="00E25609"/>
    <w:rsid w:val="00E26FEE"/>
    <w:rsid w:val="00E27AEA"/>
    <w:rsid w:val="00E30791"/>
    <w:rsid w:val="00E308EE"/>
    <w:rsid w:val="00E30C90"/>
    <w:rsid w:val="00E30F49"/>
    <w:rsid w:val="00E31021"/>
    <w:rsid w:val="00E31725"/>
    <w:rsid w:val="00E3198F"/>
    <w:rsid w:val="00E32396"/>
    <w:rsid w:val="00E32865"/>
    <w:rsid w:val="00E3294B"/>
    <w:rsid w:val="00E32AEA"/>
    <w:rsid w:val="00E3352D"/>
    <w:rsid w:val="00E335CA"/>
    <w:rsid w:val="00E3372A"/>
    <w:rsid w:val="00E34FBE"/>
    <w:rsid w:val="00E357E2"/>
    <w:rsid w:val="00E35894"/>
    <w:rsid w:val="00E35C1C"/>
    <w:rsid w:val="00E36622"/>
    <w:rsid w:val="00E36867"/>
    <w:rsid w:val="00E36B48"/>
    <w:rsid w:val="00E37800"/>
    <w:rsid w:val="00E40483"/>
    <w:rsid w:val="00E40D1A"/>
    <w:rsid w:val="00E426A6"/>
    <w:rsid w:val="00E42885"/>
    <w:rsid w:val="00E42F1A"/>
    <w:rsid w:val="00E43DB4"/>
    <w:rsid w:val="00E4414A"/>
    <w:rsid w:val="00E443D3"/>
    <w:rsid w:val="00E444A3"/>
    <w:rsid w:val="00E45CC1"/>
    <w:rsid w:val="00E4654E"/>
    <w:rsid w:val="00E467EA"/>
    <w:rsid w:val="00E46DA3"/>
    <w:rsid w:val="00E4759B"/>
    <w:rsid w:val="00E50CA7"/>
    <w:rsid w:val="00E52414"/>
    <w:rsid w:val="00E535C8"/>
    <w:rsid w:val="00E54333"/>
    <w:rsid w:val="00E548A9"/>
    <w:rsid w:val="00E549D6"/>
    <w:rsid w:val="00E54AE0"/>
    <w:rsid w:val="00E560D0"/>
    <w:rsid w:val="00E5665C"/>
    <w:rsid w:val="00E5731B"/>
    <w:rsid w:val="00E576B0"/>
    <w:rsid w:val="00E5784F"/>
    <w:rsid w:val="00E60F06"/>
    <w:rsid w:val="00E610D9"/>
    <w:rsid w:val="00E617E6"/>
    <w:rsid w:val="00E6242E"/>
    <w:rsid w:val="00E62C0C"/>
    <w:rsid w:val="00E63449"/>
    <w:rsid w:val="00E63B3F"/>
    <w:rsid w:val="00E6436E"/>
    <w:rsid w:val="00E6444D"/>
    <w:rsid w:val="00E64D66"/>
    <w:rsid w:val="00E65AC0"/>
    <w:rsid w:val="00E66D70"/>
    <w:rsid w:val="00E66EF7"/>
    <w:rsid w:val="00E6717B"/>
    <w:rsid w:val="00E6760F"/>
    <w:rsid w:val="00E7005B"/>
    <w:rsid w:val="00E7042D"/>
    <w:rsid w:val="00E70DE3"/>
    <w:rsid w:val="00E7150C"/>
    <w:rsid w:val="00E7193C"/>
    <w:rsid w:val="00E71E3C"/>
    <w:rsid w:val="00E720C3"/>
    <w:rsid w:val="00E73D26"/>
    <w:rsid w:val="00E7428F"/>
    <w:rsid w:val="00E7455C"/>
    <w:rsid w:val="00E74A16"/>
    <w:rsid w:val="00E74D96"/>
    <w:rsid w:val="00E75E13"/>
    <w:rsid w:val="00E7783D"/>
    <w:rsid w:val="00E77B4F"/>
    <w:rsid w:val="00E80064"/>
    <w:rsid w:val="00E80546"/>
    <w:rsid w:val="00E807E7"/>
    <w:rsid w:val="00E8135D"/>
    <w:rsid w:val="00E81481"/>
    <w:rsid w:val="00E817B9"/>
    <w:rsid w:val="00E81BAB"/>
    <w:rsid w:val="00E8215E"/>
    <w:rsid w:val="00E82B68"/>
    <w:rsid w:val="00E82C39"/>
    <w:rsid w:val="00E82E64"/>
    <w:rsid w:val="00E838DC"/>
    <w:rsid w:val="00E83970"/>
    <w:rsid w:val="00E83A40"/>
    <w:rsid w:val="00E84651"/>
    <w:rsid w:val="00E84974"/>
    <w:rsid w:val="00E85293"/>
    <w:rsid w:val="00E8543F"/>
    <w:rsid w:val="00E857C8"/>
    <w:rsid w:val="00E867DF"/>
    <w:rsid w:val="00E86C88"/>
    <w:rsid w:val="00E8706A"/>
    <w:rsid w:val="00E873DF"/>
    <w:rsid w:val="00E87B79"/>
    <w:rsid w:val="00E913A5"/>
    <w:rsid w:val="00E917DF"/>
    <w:rsid w:val="00E922DE"/>
    <w:rsid w:val="00E9271F"/>
    <w:rsid w:val="00E92F70"/>
    <w:rsid w:val="00E9331D"/>
    <w:rsid w:val="00E9371A"/>
    <w:rsid w:val="00E938F9"/>
    <w:rsid w:val="00E93BDE"/>
    <w:rsid w:val="00E94DA5"/>
    <w:rsid w:val="00E94ED6"/>
    <w:rsid w:val="00E95964"/>
    <w:rsid w:val="00E95C97"/>
    <w:rsid w:val="00E95FB1"/>
    <w:rsid w:val="00E97797"/>
    <w:rsid w:val="00EA0080"/>
    <w:rsid w:val="00EA1230"/>
    <w:rsid w:val="00EA12F8"/>
    <w:rsid w:val="00EA1D83"/>
    <w:rsid w:val="00EA1EA5"/>
    <w:rsid w:val="00EA224A"/>
    <w:rsid w:val="00EA229C"/>
    <w:rsid w:val="00EA22DE"/>
    <w:rsid w:val="00EA2608"/>
    <w:rsid w:val="00EA2F2E"/>
    <w:rsid w:val="00EA367A"/>
    <w:rsid w:val="00EA4597"/>
    <w:rsid w:val="00EA5ABC"/>
    <w:rsid w:val="00EA6036"/>
    <w:rsid w:val="00EA6832"/>
    <w:rsid w:val="00EA7185"/>
    <w:rsid w:val="00EA7593"/>
    <w:rsid w:val="00EA78B2"/>
    <w:rsid w:val="00EB0B42"/>
    <w:rsid w:val="00EB0CFF"/>
    <w:rsid w:val="00EB0DDF"/>
    <w:rsid w:val="00EB1653"/>
    <w:rsid w:val="00EB1C26"/>
    <w:rsid w:val="00EB207B"/>
    <w:rsid w:val="00EB401A"/>
    <w:rsid w:val="00EB437D"/>
    <w:rsid w:val="00EB6F13"/>
    <w:rsid w:val="00EB7478"/>
    <w:rsid w:val="00EB76CF"/>
    <w:rsid w:val="00EB7E32"/>
    <w:rsid w:val="00EB7E3A"/>
    <w:rsid w:val="00EB7F0F"/>
    <w:rsid w:val="00EB7FB7"/>
    <w:rsid w:val="00EC1C11"/>
    <w:rsid w:val="00EC2520"/>
    <w:rsid w:val="00EC2C20"/>
    <w:rsid w:val="00EC2EA2"/>
    <w:rsid w:val="00EC339F"/>
    <w:rsid w:val="00EC3E57"/>
    <w:rsid w:val="00EC49EE"/>
    <w:rsid w:val="00EC6197"/>
    <w:rsid w:val="00EC63D2"/>
    <w:rsid w:val="00EC6689"/>
    <w:rsid w:val="00EC680E"/>
    <w:rsid w:val="00EC6B97"/>
    <w:rsid w:val="00EC6C9D"/>
    <w:rsid w:val="00EC7224"/>
    <w:rsid w:val="00EC7AD2"/>
    <w:rsid w:val="00ED14CA"/>
    <w:rsid w:val="00ED1ECA"/>
    <w:rsid w:val="00ED2967"/>
    <w:rsid w:val="00ED2C25"/>
    <w:rsid w:val="00ED31B0"/>
    <w:rsid w:val="00ED3232"/>
    <w:rsid w:val="00ED3A14"/>
    <w:rsid w:val="00ED3DFA"/>
    <w:rsid w:val="00ED3F17"/>
    <w:rsid w:val="00ED4320"/>
    <w:rsid w:val="00ED45DF"/>
    <w:rsid w:val="00ED4A70"/>
    <w:rsid w:val="00ED52C5"/>
    <w:rsid w:val="00ED561F"/>
    <w:rsid w:val="00ED6811"/>
    <w:rsid w:val="00ED6C04"/>
    <w:rsid w:val="00ED791F"/>
    <w:rsid w:val="00EE1143"/>
    <w:rsid w:val="00EE1987"/>
    <w:rsid w:val="00EE1E8B"/>
    <w:rsid w:val="00EE2002"/>
    <w:rsid w:val="00EE224A"/>
    <w:rsid w:val="00EE2F4D"/>
    <w:rsid w:val="00EE3809"/>
    <w:rsid w:val="00EE3BC5"/>
    <w:rsid w:val="00EE3F91"/>
    <w:rsid w:val="00EE42A8"/>
    <w:rsid w:val="00EE4F2D"/>
    <w:rsid w:val="00EE517A"/>
    <w:rsid w:val="00EE544B"/>
    <w:rsid w:val="00EE5C64"/>
    <w:rsid w:val="00EE62AC"/>
    <w:rsid w:val="00EE6789"/>
    <w:rsid w:val="00EF0822"/>
    <w:rsid w:val="00EF0C15"/>
    <w:rsid w:val="00EF1013"/>
    <w:rsid w:val="00EF1406"/>
    <w:rsid w:val="00EF1661"/>
    <w:rsid w:val="00EF16DB"/>
    <w:rsid w:val="00EF17E5"/>
    <w:rsid w:val="00EF21FE"/>
    <w:rsid w:val="00EF32B6"/>
    <w:rsid w:val="00EF3475"/>
    <w:rsid w:val="00EF3770"/>
    <w:rsid w:val="00EF3FBE"/>
    <w:rsid w:val="00EF4A42"/>
    <w:rsid w:val="00EF4C02"/>
    <w:rsid w:val="00EF50FF"/>
    <w:rsid w:val="00EF5225"/>
    <w:rsid w:val="00EF56D2"/>
    <w:rsid w:val="00EF57BE"/>
    <w:rsid w:val="00EF5B27"/>
    <w:rsid w:val="00EF62A7"/>
    <w:rsid w:val="00EF6D19"/>
    <w:rsid w:val="00EF71C4"/>
    <w:rsid w:val="00EF7BDA"/>
    <w:rsid w:val="00EF7CB7"/>
    <w:rsid w:val="00EF7E01"/>
    <w:rsid w:val="00F00639"/>
    <w:rsid w:val="00F00FBB"/>
    <w:rsid w:val="00F013AA"/>
    <w:rsid w:val="00F01951"/>
    <w:rsid w:val="00F01CC2"/>
    <w:rsid w:val="00F02597"/>
    <w:rsid w:val="00F02610"/>
    <w:rsid w:val="00F02811"/>
    <w:rsid w:val="00F03331"/>
    <w:rsid w:val="00F033C6"/>
    <w:rsid w:val="00F03436"/>
    <w:rsid w:val="00F03EFF"/>
    <w:rsid w:val="00F03F43"/>
    <w:rsid w:val="00F04758"/>
    <w:rsid w:val="00F050D7"/>
    <w:rsid w:val="00F0551C"/>
    <w:rsid w:val="00F05942"/>
    <w:rsid w:val="00F079F1"/>
    <w:rsid w:val="00F07F0B"/>
    <w:rsid w:val="00F10253"/>
    <w:rsid w:val="00F102FD"/>
    <w:rsid w:val="00F104F6"/>
    <w:rsid w:val="00F11F16"/>
    <w:rsid w:val="00F125D0"/>
    <w:rsid w:val="00F12D48"/>
    <w:rsid w:val="00F137F1"/>
    <w:rsid w:val="00F13846"/>
    <w:rsid w:val="00F14166"/>
    <w:rsid w:val="00F14278"/>
    <w:rsid w:val="00F14451"/>
    <w:rsid w:val="00F152B3"/>
    <w:rsid w:val="00F17898"/>
    <w:rsid w:val="00F178F5"/>
    <w:rsid w:val="00F17C69"/>
    <w:rsid w:val="00F2122C"/>
    <w:rsid w:val="00F21726"/>
    <w:rsid w:val="00F22C47"/>
    <w:rsid w:val="00F23E03"/>
    <w:rsid w:val="00F24628"/>
    <w:rsid w:val="00F24A0B"/>
    <w:rsid w:val="00F25247"/>
    <w:rsid w:val="00F25859"/>
    <w:rsid w:val="00F2641B"/>
    <w:rsid w:val="00F2767E"/>
    <w:rsid w:val="00F2772F"/>
    <w:rsid w:val="00F312DE"/>
    <w:rsid w:val="00F3206E"/>
    <w:rsid w:val="00F32825"/>
    <w:rsid w:val="00F32EF6"/>
    <w:rsid w:val="00F337D1"/>
    <w:rsid w:val="00F339B7"/>
    <w:rsid w:val="00F33A56"/>
    <w:rsid w:val="00F341FC"/>
    <w:rsid w:val="00F34A36"/>
    <w:rsid w:val="00F34AE1"/>
    <w:rsid w:val="00F34BAC"/>
    <w:rsid w:val="00F34C4E"/>
    <w:rsid w:val="00F35E1D"/>
    <w:rsid w:val="00F36B41"/>
    <w:rsid w:val="00F36EA1"/>
    <w:rsid w:val="00F371DD"/>
    <w:rsid w:val="00F4000B"/>
    <w:rsid w:val="00F42401"/>
    <w:rsid w:val="00F4245C"/>
    <w:rsid w:val="00F42953"/>
    <w:rsid w:val="00F42D09"/>
    <w:rsid w:val="00F450F2"/>
    <w:rsid w:val="00F45EB9"/>
    <w:rsid w:val="00F46167"/>
    <w:rsid w:val="00F461B6"/>
    <w:rsid w:val="00F465BB"/>
    <w:rsid w:val="00F46F39"/>
    <w:rsid w:val="00F471EB"/>
    <w:rsid w:val="00F50A88"/>
    <w:rsid w:val="00F50B06"/>
    <w:rsid w:val="00F50B67"/>
    <w:rsid w:val="00F515C6"/>
    <w:rsid w:val="00F51A38"/>
    <w:rsid w:val="00F523B1"/>
    <w:rsid w:val="00F52C7B"/>
    <w:rsid w:val="00F53A35"/>
    <w:rsid w:val="00F5462D"/>
    <w:rsid w:val="00F546E1"/>
    <w:rsid w:val="00F548D6"/>
    <w:rsid w:val="00F54D87"/>
    <w:rsid w:val="00F54DB2"/>
    <w:rsid w:val="00F55506"/>
    <w:rsid w:val="00F55B74"/>
    <w:rsid w:val="00F5632D"/>
    <w:rsid w:val="00F56613"/>
    <w:rsid w:val="00F56973"/>
    <w:rsid w:val="00F5731C"/>
    <w:rsid w:val="00F57A8C"/>
    <w:rsid w:val="00F57B90"/>
    <w:rsid w:val="00F57D10"/>
    <w:rsid w:val="00F600EB"/>
    <w:rsid w:val="00F60245"/>
    <w:rsid w:val="00F61D4C"/>
    <w:rsid w:val="00F62AB9"/>
    <w:rsid w:val="00F64BE8"/>
    <w:rsid w:val="00F6548A"/>
    <w:rsid w:val="00F6557F"/>
    <w:rsid w:val="00F655E6"/>
    <w:rsid w:val="00F65B67"/>
    <w:rsid w:val="00F66131"/>
    <w:rsid w:val="00F66A3D"/>
    <w:rsid w:val="00F67D2C"/>
    <w:rsid w:val="00F70009"/>
    <w:rsid w:val="00F70074"/>
    <w:rsid w:val="00F70514"/>
    <w:rsid w:val="00F70970"/>
    <w:rsid w:val="00F7130F"/>
    <w:rsid w:val="00F71AA1"/>
    <w:rsid w:val="00F72072"/>
    <w:rsid w:val="00F7388A"/>
    <w:rsid w:val="00F73C87"/>
    <w:rsid w:val="00F74FCB"/>
    <w:rsid w:val="00F762E0"/>
    <w:rsid w:val="00F767BE"/>
    <w:rsid w:val="00F76EF5"/>
    <w:rsid w:val="00F7719F"/>
    <w:rsid w:val="00F772BC"/>
    <w:rsid w:val="00F77412"/>
    <w:rsid w:val="00F77D53"/>
    <w:rsid w:val="00F803F4"/>
    <w:rsid w:val="00F8064B"/>
    <w:rsid w:val="00F8070A"/>
    <w:rsid w:val="00F80CBA"/>
    <w:rsid w:val="00F80CED"/>
    <w:rsid w:val="00F80CFD"/>
    <w:rsid w:val="00F823DE"/>
    <w:rsid w:val="00F82FBD"/>
    <w:rsid w:val="00F83190"/>
    <w:rsid w:val="00F83E97"/>
    <w:rsid w:val="00F85C4B"/>
    <w:rsid w:val="00F86312"/>
    <w:rsid w:val="00F86A6B"/>
    <w:rsid w:val="00F870BC"/>
    <w:rsid w:val="00F874E8"/>
    <w:rsid w:val="00F87660"/>
    <w:rsid w:val="00F90607"/>
    <w:rsid w:val="00F90877"/>
    <w:rsid w:val="00F91A03"/>
    <w:rsid w:val="00F91F46"/>
    <w:rsid w:val="00F92858"/>
    <w:rsid w:val="00F937CC"/>
    <w:rsid w:val="00F940EB"/>
    <w:rsid w:val="00F95984"/>
    <w:rsid w:val="00F95B8A"/>
    <w:rsid w:val="00F9624B"/>
    <w:rsid w:val="00F96BA5"/>
    <w:rsid w:val="00F9719B"/>
    <w:rsid w:val="00F9796A"/>
    <w:rsid w:val="00F97EE4"/>
    <w:rsid w:val="00F97F19"/>
    <w:rsid w:val="00FA04A8"/>
    <w:rsid w:val="00FA0728"/>
    <w:rsid w:val="00FA1452"/>
    <w:rsid w:val="00FA239D"/>
    <w:rsid w:val="00FA25B7"/>
    <w:rsid w:val="00FA268B"/>
    <w:rsid w:val="00FA351B"/>
    <w:rsid w:val="00FA3AA4"/>
    <w:rsid w:val="00FA458B"/>
    <w:rsid w:val="00FA4606"/>
    <w:rsid w:val="00FA4826"/>
    <w:rsid w:val="00FA51EA"/>
    <w:rsid w:val="00FA54BD"/>
    <w:rsid w:val="00FA56AC"/>
    <w:rsid w:val="00FA5BCF"/>
    <w:rsid w:val="00FA6561"/>
    <w:rsid w:val="00FA6AEA"/>
    <w:rsid w:val="00FA6CAD"/>
    <w:rsid w:val="00FA6E53"/>
    <w:rsid w:val="00FA7110"/>
    <w:rsid w:val="00FB017C"/>
    <w:rsid w:val="00FB07CC"/>
    <w:rsid w:val="00FB1077"/>
    <w:rsid w:val="00FB14AE"/>
    <w:rsid w:val="00FB1A00"/>
    <w:rsid w:val="00FB1B82"/>
    <w:rsid w:val="00FB1F7C"/>
    <w:rsid w:val="00FB208A"/>
    <w:rsid w:val="00FB2C57"/>
    <w:rsid w:val="00FB30B6"/>
    <w:rsid w:val="00FB330A"/>
    <w:rsid w:val="00FB58C0"/>
    <w:rsid w:val="00FB64E1"/>
    <w:rsid w:val="00FC09F1"/>
    <w:rsid w:val="00FC14E0"/>
    <w:rsid w:val="00FC1C9C"/>
    <w:rsid w:val="00FC1D5F"/>
    <w:rsid w:val="00FC2065"/>
    <w:rsid w:val="00FC29B9"/>
    <w:rsid w:val="00FC2F18"/>
    <w:rsid w:val="00FC3398"/>
    <w:rsid w:val="00FC49CA"/>
    <w:rsid w:val="00FC5BAE"/>
    <w:rsid w:val="00FC625D"/>
    <w:rsid w:val="00FC6DED"/>
    <w:rsid w:val="00FD132C"/>
    <w:rsid w:val="00FD1846"/>
    <w:rsid w:val="00FD1E6A"/>
    <w:rsid w:val="00FD287F"/>
    <w:rsid w:val="00FD2EC8"/>
    <w:rsid w:val="00FD3179"/>
    <w:rsid w:val="00FD491F"/>
    <w:rsid w:val="00FD4A68"/>
    <w:rsid w:val="00FD4C95"/>
    <w:rsid w:val="00FD4CF9"/>
    <w:rsid w:val="00FD597B"/>
    <w:rsid w:val="00FD5C3E"/>
    <w:rsid w:val="00FD61B9"/>
    <w:rsid w:val="00FD6B3B"/>
    <w:rsid w:val="00FD7340"/>
    <w:rsid w:val="00FD75D4"/>
    <w:rsid w:val="00FD790B"/>
    <w:rsid w:val="00FD790F"/>
    <w:rsid w:val="00FD7BD3"/>
    <w:rsid w:val="00FD7BDA"/>
    <w:rsid w:val="00FE012B"/>
    <w:rsid w:val="00FE0247"/>
    <w:rsid w:val="00FE0481"/>
    <w:rsid w:val="00FE0AE8"/>
    <w:rsid w:val="00FE0C1A"/>
    <w:rsid w:val="00FE0E1E"/>
    <w:rsid w:val="00FE2105"/>
    <w:rsid w:val="00FE3177"/>
    <w:rsid w:val="00FE4502"/>
    <w:rsid w:val="00FE5EDF"/>
    <w:rsid w:val="00FE67DD"/>
    <w:rsid w:val="00FE6EB5"/>
    <w:rsid w:val="00FE7209"/>
    <w:rsid w:val="00FF0660"/>
    <w:rsid w:val="00FF06DD"/>
    <w:rsid w:val="00FF098E"/>
    <w:rsid w:val="00FF1A6C"/>
    <w:rsid w:val="00FF274A"/>
    <w:rsid w:val="00FF3679"/>
    <w:rsid w:val="00FF3E9F"/>
    <w:rsid w:val="00FF433E"/>
    <w:rsid w:val="00FF49FC"/>
    <w:rsid w:val="00FF4B7B"/>
    <w:rsid w:val="00FF7760"/>
    <w:rsid w:val="00FF7BD9"/>
    <w:rsid w:val="00FF7D23"/>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63"/>
  </w:style>
  <w:style w:type="paragraph" w:styleId="Heading1">
    <w:name w:val="heading 1"/>
    <w:basedOn w:val="Normal"/>
    <w:next w:val="Normal"/>
    <w:link w:val="Heading1Char"/>
    <w:uiPriority w:val="9"/>
    <w:qFormat/>
    <w:rsid w:val="0001604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01604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uiPriority w:val="9"/>
    <w:unhideWhenUsed/>
    <w:qFormat/>
    <w:rsid w:val="0001604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eastAsia="en-US"/>
    </w:rPr>
  </w:style>
  <w:style w:type="paragraph" w:styleId="Heading4">
    <w:name w:val="heading 4"/>
    <w:basedOn w:val="Normal"/>
    <w:next w:val="Normal"/>
    <w:link w:val="Heading4Char"/>
    <w:uiPriority w:val="9"/>
    <w:unhideWhenUsed/>
    <w:qFormat/>
    <w:rsid w:val="00016049"/>
    <w:pPr>
      <w:keepNext/>
      <w:keepLines/>
      <w:spacing w:before="40" w:after="0" w:line="27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49"/>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016049"/>
    <w:rPr>
      <w:rFonts w:asciiTheme="majorHAnsi" w:eastAsiaTheme="majorEastAsia" w:hAnsiTheme="majorHAnsi" w:cstheme="majorBidi"/>
      <w:b/>
      <w:bCs/>
      <w:color w:val="4472C4" w:themeColor="accent1"/>
      <w:sz w:val="26"/>
      <w:szCs w:val="26"/>
      <w:lang w:val="en-GB"/>
    </w:rPr>
  </w:style>
  <w:style w:type="paragraph" w:styleId="ListParagraph">
    <w:name w:val="List Paragraph"/>
    <w:basedOn w:val="Normal"/>
    <w:uiPriority w:val="34"/>
    <w:qFormat/>
    <w:rsid w:val="00016049"/>
    <w:pPr>
      <w:spacing w:after="0" w:line="240" w:lineRule="auto"/>
      <w:ind w:left="720"/>
      <w:contextualSpacing/>
    </w:pPr>
    <w:rPr>
      <w:sz w:val="24"/>
      <w:szCs w:val="24"/>
      <w:lang w:val="en-US" w:eastAsia="en-US"/>
    </w:rPr>
  </w:style>
  <w:style w:type="paragraph" w:styleId="Header">
    <w:name w:val="header"/>
    <w:basedOn w:val="Normal"/>
    <w:link w:val="HeaderChar"/>
    <w:uiPriority w:val="99"/>
    <w:unhideWhenUsed/>
    <w:rsid w:val="0001604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16049"/>
    <w:rPr>
      <w:lang w:val="en-GB"/>
    </w:rPr>
  </w:style>
  <w:style w:type="paragraph" w:styleId="Footer">
    <w:name w:val="footer"/>
    <w:basedOn w:val="Normal"/>
    <w:link w:val="FooterChar"/>
    <w:uiPriority w:val="99"/>
    <w:unhideWhenUsed/>
    <w:rsid w:val="0001604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16049"/>
    <w:rPr>
      <w:lang w:val="en-GB"/>
    </w:rPr>
  </w:style>
  <w:style w:type="paragraph" w:styleId="FootnoteText">
    <w:name w:val="footnote text"/>
    <w:basedOn w:val="Normal"/>
    <w:link w:val="FootnoteTextChar"/>
    <w:uiPriority w:val="99"/>
    <w:unhideWhenUsed/>
    <w:rsid w:val="007E7F74"/>
    <w:pPr>
      <w:spacing w:after="0" w:line="240" w:lineRule="auto"/>
    </w:pPr>
    <w:rPr>
      <w:rFonts w:ascii="Garamond" w:hAnsi="Garamond"/>
      <w:sz w:val="20"/>
      <w:szCs w:val="20"/>
      <w:lang w:val="en-GB"/>
    </w:rPr>
  </w:style>
  <w:style w:type="character" w:customStyle="1" w:styleId="FootnoteTextChar">
    <w:name w:val="Footnote Text Char"/>
    <w:basedOn w:val="DefaultParagraphFont"/>
    <w:link w:val="FootnoteText"/>
    <w:uiPriority w:val="99"/>
    <w:rsid w:val="007E7F74"/>
    <w:rPr>
      <w:rFonts w:ascii="Garamond" w:hAnsi="Garamond"/>
      <w:sz w:val="20"/>
      <w:szCs w:val="20"/>
      <w:lang w:val="en-GB"/>
    </w:rPr>
  </w:style>
  <w:style w:type="character" w:styleId="FootnoteReference">
    <w:name w:val="footnote reference"/>
    <w:basedOn w:val="DefaultParagraphFont"/>
    <w:uiPriority w:val="99"/>
    <w:unhideWhenUsed/>
    <w:rsid w:val="00016049"/>
    <w:rPr>
      <w:vertAlign w:val="superscript"/>
    </w:rPr>
  </w:style>
  <w:style w:type="paragraph" w:styleId="DocumentMap">
    <w:name w:val="Document Map"/>
    <w:basedOn w:val="Normal"/>
    <w:link w:val="DocumentMapChar"/>
    <w:uiPriority w:val="99"/>
    <w:semiHidden/>
    <w:unhideWhenUsed/>
    <w:rsid w:val="00016049"/>
    <w:pPr>
      <w:spacing w:after="0" w:line="240" w:lineRule="auto"/>
    </w:pPr>
    <w:rPr>
      <w:rFonts w:ascii="Lucida Grande" w:hAnsi="Lucida Grande"/>
      <w:sz w:val="24"/>
      <w:szCs w:val="24"/>
      <w:lang w:val="en-GB"/>
    </w:rPr>
  </w:style>
  <w:style w:type="character" w:customStyle="1" w:styleId="DocumentMapChar">
    <w:name w:val="Document Map Char"/>
    <w:basedOn w:val="DefaultParagraphFont"/>
    <w:link w:val="DocumentMap"/>
    <w:uiPriority w:val="99"/>
    <w:semiHidden/>
    <w:rsid w:val="00016049"/>
    <w:rPr>
      <w:rFonts w:ascii="Lucida Grande" w:hAnsi="Lucida Grande"/>
      <w:sz w:val="24"/>
      <w:szCs w:val="24"/>
      <w:lang w:val="en-GB"/>
    </w:rPr>
  </w:style>
  <w:style w:type="character" w:styleId="CommentReference">
    <w:name w:val="annotation reference"/>
    <w:basedOn w:val="DefaultParagraphFont"/>
    <w:uiPriority w:val="99"/>
    <w:semiHidden/>
    <w:unhideWhenUsed/>
    <w:rsid w:val="00016049"/>
    <w:rPr>
      <w:sz w:val="18"/>
      <w:szCs w:val="18"/>
    </w:rPr>
  </w:style>
  <w:style w:type="paragraph" w:styleId="CommentText">
    <w:name w:val="annotation text"/>
    <w:basedOn w:val="Normal"/>
    <w:link w:val="CommentTextChar"/>
    <w:uiPriority w:val="99"/>
    <w:unhideWhenUsed/>
    <w:rsid w:val="00016049"/>
    <w:pPr>
      <w:spacing w:after="200" w:line="240" w:lineRule="auto"/>
    </w:pPr>
    <w:rPr>
      <w:sz w:val="24"/>
      <w:szCs w:val="24"/>
      <w:lang w:val="en-GB"/>
    </w:rPr>
  </w:style>
  <w:style w:type="character" w:customStyle="1" w:styleId="CommentTextChar">
    <w:name w:val="Comment Text Char"/>
    <w:basedOn w:val="DefaultParagraphFont"/>
    <w:link w:val="CommentText"/>
    <w:uiPriority w:val="99"/>
    <w:rsid w:val="00016049"/>
    <w:rPr>
      <w:sz w:val="24"/>
      <w:szCs w:val="24"/>
      <w:lang w:val="en-GB"/>
    </w:rPr>
  </w:style>
  <w:style w:type="paragraph" w:styleId="CommentSubject">
    <w:name w:val="annotation subject"/>
    <w:basedOn w:val="CommentText"/>
    <w:next w:val="CommentText"/>
    <w:link w:val="CommentSubjectChar"/>
    <w:uiPriority w:val="99"/>
    <w:semiHidden/>
    <w:unhideWhenUsed/>
    <w:rsid w:val="00016049"/>
    <w:rPr>
      <w:b/>
      <w:bCs/>
      <w:sz w:val="20"/>
      <w:szCs w:val="20"/>
    </w:rPr>
  </w:style>
  <w:style w:type="character" w:customStyle="1" w:styleId="CommentSubjectChar">
    <w:name w:val="Comment Subject Char"/>
    <w:basedOn w:val="CommentTextChar"/>
    <w:link w:val="CommentSubject"/>
    <w:uiPriority w:val="99"/>
    <w:semiHidden/>
    <w:rsid w:val="00016049"/>
    <w:rPr>
      <w:b/>
      <w:bCs/>
      <w:sz w:val="20"/>
      <w:szCs w:val="20"/>
      <w:lang w:val="en-GB"/>
    </w:rPr>
  </w:style>
  <w:style w:type="paragraph" w:styleId="BalloonText">
    <w:name w:val="Balloon Text"/>
    <w:basedOn w:val="Normal"/>
    <w:link w:val="BalloonTextChar"/>
    <w:uiPriority w:val="99"/>
    <w:semiHidden/>
    <w:unhideWhenUsed/>
    <w:rsid w:val="00016049"/>
    <w:pPr>
      <w:spacing w:after="0" w:line="240" w:lineRule="auto"/>
    </w:pPr>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016049"/>
    <w:rPr>
      <w:rFonts w:ascii="Lucida Grande" w:hAnsi="Lucida Grande" w:cs="Lucida Grande"/>
      <w:sz w:val="18"/>
      <w:szCs w:val="18"/>
      <w:lang w:val="en-GB"/>
    </w:rPr>
  </w:style>
  <w:style w:type="character" w:customStyle="1" w:styleId="fontstyle01">
    <w:name w:val="fontstyle01"/>
    <w:basedOn w:val="DefaultParagraphFont"/>
    <w:rsid w:val="00016049"/>
    <w:rPr>
      <w:rFonts w:ascii="Fd292624-Identity-H" w:hAnsi="Fd292624-Identity-H" w:hint="default"/>
      <w:b w:val="0"/>
      <w:bCs w:val="0"/>
      <w:i w:val="0"/>
      <w:iCs w:val="0"/>
      <w:color w:val="000000"/>
      <w:sz w:val="22"/>
      <w:szCs w:val="22"/>
    </w:rPr>
  </w:style>
  <w:style w:type="character" w:customStyle="1" w:styleId="fontstyle21">
    <w:name w:val="fontstyle21"/>
    <w:basedOn w:val="DefaultParagraphFont"/>
    <w:rsid w:val="00016049"/>
    <w:rPr>
      <w:rFonts w:ascii="Fd993181-Identity-H" w:hAnsi="Fd993181-Identity-H" w:hint="default"/>
      <w:b w:val="0"/>
      <w:bCs w:val="0"/>
      <w:i w:val="0"/>
      <w:iCs w:val="0"/>
      <w:color w:val="000000"/>
      <w:sz w:val="10"/>
      <w:szCs w:val="10"/>
    </w:rPr>
  </w:style>
  <w:style w:type="character" w:customStyle="1" w:styleId="Heading3Char">
    <w:name w:val="Heading 3 Char"/>
    <w:basedOn w:val="DefaultParagraphFont"/>
    <w:link w:val="Heading3"/>
    <w:uiPriority w:val="9"/>
    <w:rsid w:val="00016049"/>
    <w:rPr>
      <w:rFonts w:asciiTheme="majorHAnsi" w:eastAsiaTheme="majorEastAsia" w:hAnsiTheme="majorHAnsi" w:cstheme="majorBidi"/>
      <w:color w:val="1F3763" w:themeColor="accent1" w:themeShade="7F"/>
      <w:sz w:val="24"/>
      <w:szCs w:val="24"/>
      <w:lang w:val="en-US" w:eastAsia="en-US"/>
    </w:rPr>
  </w:style>
  <w:style w:type="character" w:styleId="PageNumber">
    <w:name w:val="page number"/>
    <w:basedOn w:val="DefaultParagraphFont"/>
    <w:uiPriority w:val="99"/>
    <w:semiHidden/>
    <w:unhideWhenUsed/>
    <w:rsid w:val="00016049"/>
  </w:style>
  <w:style w:type="paragraph" w:styleId="EndnoteText">
    <w:name w:val="endnote text"/>
    <w:basedOn w:val="Normal"/>
    <w:link w:val="EndnoteTextChar"/>
    <w:uiPriority w:val="99"/>
    <w:semiHidden/>
    <w:unhideWhenUsed/>
    <w:rsid w:val="00016049"/>
    <w:pPr>
      <w:spacing w:after="0" w:line="240" w:lineRule="auto"/>
    </w:pPr>
    <w:rPr>
      <w:sz w:val="20"/>
      <w:szCs w:val="20"/>
      <w:lang w:val="en-US" w:eastAsia="en-US"/>
    </w:rPr>
  </w:style>
  <w:style w:type="character" w:customStyle="1" w:styleId="EndnoteTextChar">
    <w:name w:val="Endnote Text Char"/>
    <w:basedOn w:val="DefaultParagraphFont"/>
    <w:link w:val="EndnoteText"/>
    <w:uiPriority w:val="99"/>
    <w:semiHidden/>
    <w:rsid w:val="00016049"/>
    <w:rPr>
      <w:sz w:val="20"/>
      <w:szCs w:val="20"/>
      <w:lang w:val="en-US" w:eastAsia="en-US"/>
    </w:rPr>
  </w:style>
  <w:style w:type="character" w:styleId="EndnoteReference">
    <w:name w:val="endnote reference"/>
    <w:basedOn w:val="DefaultParagraphFont"/>
    <w:uiPriority w:val="99"/>
    <w:semiHidden/>
    <w:unhideWhenUsed/>
    <w:rsid w:val="00016049"/>
    <w:rPr>
      <w:vertAlign w:val="superscript"/>
    </w:rPr>
  </w:style>
  <w:style w:type="paragraph" w:styleId="Revision">
    <w:name w:val="Revision"/>
    <w:hidden/>
    <w:uiPriority w:val="99"/>
    <w:semiHidden/>
    <w:rsid w:val="00016049"/>
    <w:pPr>
      <w:spacing w:after="0" w:line="240" w:lineRule="auto"/>
    </w:pPr>
    <w:rPr>
      <w:sz w:val="24"/>
      <w:szCs w:val="24"/>
      <w:lang w:val="en-US" w:eastAsia="en-US"/>
    </w:rPr>
  </w:style>
  <w:style w:type="character" w:styleId="Emphasis">
    <w:name w:val="Emphasis"/>
    <w:basedOn w:val="DefaultParagraphFont"/>
    <w:uiPriority w:val="20"/>
    <w:qFormat/>
    <w:rsid w:val="00016049"/>
    <w:rPr>
      <w:i/>
      <w:iCs/>
    </w:rPr>
  </w:style>
  <w:style w:type="paragraph" w:customStyle="1" w:styleId="EndNoteBibliographyTitle">
    <w:name w:val="EndNote Bibliography Title"/>
    <w:basedOn w:val="Normal"/>
    <w:link w:val="EndNoteBibliographyTitleChar"/>
    <w:rsid w:val="00016049"/>
    <w:pPr>
      <w:spacing w:after="0" w:line="276" w:lineRule="auto"/>
      <w:jc w:val="center"/>
    </w:pPr>
    <w:rPr>
      <w:rFonts w:ascii="Calibri" w:hAnsi="Calibri" w:cs="Calibri"/>
      <w:noProof/>
      <w:lang w:val="en-GB"/>
    </w:rPr>
  </w:style>
  <w:style w:type="character" w:customStyle="1" w:styleId="EndNoteBibliographyTitleChar">
    <w:name w:val="EndNote Bibliography Title Char"/>
    <w:basedOn w:val="FootnoteTextChar"/>
    <w:link w:val="EndNoteBibliographyTitle"/>
    <w:rsid w:val="00016049"/>
    <w:rPr>
      <w:rFonts w:ascii="Calibri" w:hAnsi="Calibri" w:cs="Calibri"/>
      <w:noProof/>
    </w:rPr>
  </w:style>
  <w:style w:type="paragraph" w:customStyle="1" w:styleId="EndNoteBibliography">
    <w:name w:val="EndNote Bibliography"/>
    <w:basedOn w:val="Normal"/>
    <w:link w:val="EndNoteBibliographyChar"/>
    <w:rsid w:val="00016049"/>
    <w:pPr>
      <w:spacing w:after="200" w:line="240" w:lineRule="auto"/>
    </w:pPr>
    <w:rPr>
      <w:rFonts w:ascii="Calibri" w:hAnsi="Calibri" w:cs="Calibri"/>
      <w:noProof/>
      <w:lang w:val="en-GB"/>
    </w:rPr>
  </w:style>
  <w:style w:type="character" w:customStyle="1" w:styleId="EndNoteBibliographyChar">
    <w:name w:val="EndNote Bibliography Char"/>
    <w:basedOn w:val="FootnoteTextChar"/>
    <w:link w:val="EndNoteBibliography"/>
    <w:rsid w:val="00016049"/>
    <w:rPr>
      <w:rFonts w:ascii="Calibri" w:hAnsi="Calibri" w:cs="Calibri"/>
      <w:noProof/>
    </w:rPr>
  </w:style>
  <w:style w:type="character" w:customStyle="1" w:styleId="Heading4Char">
    <w:name w:val="Heading 4 Char"/>
    <w:basedOn w:val="DefaultParagraphFont"/>
    <w:link w:val="Heading4"/>
    <w:uiPriority w:val="9"/>
    <w:rsid w:val="00016049"/>
    <w:rPr>
      <w:rFonts w:asciiTheme="majorHAnsi" w:eastAsiaTheme="majorEastAsia" w:hAnsiTheme="majorHAnsi" w:cstheme="majorBidi"/>
      <w:i/>
      <w:iCs/>
      <w:color w:val="2F5496" w:themeColor="accent1" w:themeShade="BF"/>
      <w:lang w:val="en-GB"/>
    </w:rPr>
  </w:style>
  <w:style w:type="character" w:customStyle="1" w:styleId="uficommentbody">
    <w:name w:val="uficommentbody"/>
    <w:basedOn w:val="DefaultParagraphFont"/>
    <w:rsid w:val="00016049"/>
  </w:style>
  <w:style w:type="character" w:customStyle="1" w:styleId="apple-converted-space">
    <w:name w:val="apple-converted-space"/>
    <w:basedOn w:val="DefaultParagraphFont"/>
    <w:rsid w:val="00016049"/>
  </w:style>
  <w:style w:type="character" w:customStyle="1" w:styleId="fontstyle31">
    <w:name w:val="fontstyle31"/>
    <w:basedOn w:val="DefaultParagraphFont"/>
    <w:rsid w:val="00553084"/>
    <w:rPr>
      <w:rFonts w:ascii="Fd993181-Identity-H" w:hAnsi="Fd993181-Identity-H" w:hint="default"/>
      <w:b w:val="0"/>
      <w:bCs w:val="0"/>
      <w:i w:val="0"/>
      <w:iCs w:val="0"/>
      <w:color w:val="000000"/>
      <w:sz w:val="10"/>
      <w:szCs w:val="10"/>
    </w:rPr>
  </w:style>
  <w:style w:type="character" w:customStyle="1" w:styleId="fontstyle41">
    <w:name w:val="fontstyle41"/>
    <w:basedOn w:val="DefaultParagraphFont"/>
    <w:rsid w:val="00553084"/>
    <w:rPr>
      <w:rFonts w:ascii="Fd810667-Identity-H" w:hAnsi="Fd810667-Identity-H" w:hint="default"/>
      <w:b w:val="0"/>
      <w:bCs w:val="0"/>
      <w:i w:val="0"/>
      <w:iCs w:val="0"/>
      <w:color w:val="000000"/>
      <w:sz w:val="20"/>
      <w:szCs w:val="20"/>
    </w:rPr>
  </w:style>
  <w:style w:type="character" w:customStyle="1" w:styleId="fontstyle51">
    <w:name w:val="fontstyle51"/>
    <w:basedOn w:val="DefaultParagraphFont"/>
    <w:rsid w:val="00553084"/>
    <w:rPr>
      <w:rFonts w:ascii="Fd1012963-Identity-H" w:hAnsi="Fd1012963-Identity-H" w:hint="default"/>
      <w:b w:val="0"/>
      <w:bCs w:val="0"/>
      <w:i w:val="0"/>
      <w:iCs w:val="0"/>
      <w:color w:val="000000"/>
      <w:sz w:val="18"/>
      <w:szCs w:val="18"/>
    </w:rPr>
  </w:style>
  <w:style w:type="paragraph" w:customStyle="1" w:styleId="Standard">
    <w:name w:val="Standard"/>
    <w:rsid w:val="00C549E0"/>
    <w:pPr>
      <w:widowControl w:val="0"/>
      <w:suppressAutoHyphens/>
      <w:autoSpaceDN w:val="0"/>
      <w:spacing w:after="0" w:line="240" w:lineRule="auto"/>
      <w:ind w:firstLine="360"/>
      <w:textAlignment w:val="baseline"/>
    </w:pPr>
    <w:rPr>
      <w:rFonts w:ascii="Times New Roman" w:eastAsia="DejaVu Sans" w:hAnsi="Times New Roman" w:cs="DejaVu Sans"/>
      <w:kern w:val="3"/>
      <w:sz w:val="24"/>
      <w:szCs w:val="24"/>
      <w:lang w:val="en-GB" w:bidi="hi-IN"/>
    </w:rPr>
  </w:style>
  <w:style w:type="character" w:styleId="Hyperlink">
    <w:name w:val="Hyperlink"/>
    <w:basedOn w:val="DefaultParagraphFont"/>
    <w:uiPriority w:val="99"/>
    <w:unhideWhenUsed/>
    <w:rsid w:val="009D0E6F"/>
    <w:rPr>
      <w:color w:val="0563C1" w:themeColor="hyperlink"/>
      <w:u w:val="single"/>
    </w:rPr>
  </w:style>
  <w:style w:type="paragraph" w:styleId="TOCHeading">
    <w:name w:val="TOC Heading"/>
    <w:basedOn w:val="Heading1"/>
    <w:next w:val="Normal"/>
    <w:uiPriority w:val="39"/>
    <w:unhideWhenUsed/>
    <w:qFormat/>
    <w:rsid w:val="00F32EF6"/>
    <w:pPr>
      <w:outlineLvl w:val="9"/>
    </w:pPr>
    <w:rPr>
      <w:lang w:val="en-US" w:eastAsia="en-US"/>
    </w:rPr>
  </w:style>
  <w:style w:type="paragraph" w:styleId="TOC1">
    <w:name w:val="toc 1"/>
    <w:basedOn w:val="Normal"/>
    <w:next w:val="Normal"/>
    <w:autoRedefine/>
    <w:uiPriority w:val="39"/>
    <w:unhideWhenUsed/>
    <w:rsid w:val="00F32EF6"/>
    <w:pPr>
      <w:spacing w:after="100"/>
    </w:pPr>
  </w:style>
  <w:style w:type="paragraph" w:styleId="TOC2">
    <w:name w:val="toc 2"/>
    <w:basedOn w:val="Normal"/>
    <w:next w:val="Normal"/>
    <w:autoRedefine/>
    <w:uiPriority w:val="39"/>
    <w:unhideWhenUsed/>
    <w:rsid w:val="001F59E9"/>
    <w:pPr>
      <w:tabs>
        <w:tab w:val="left" w:pos="660"/>
        <w:tab w:val="right" w:leader="dot" w:pos="7694"/>
      </w:tabs>
      <w:spacing w:after="100"/>
      <w:ind w:left="220"/>
    </w:pPr>
    <w:rPr>
      <w:rFonts w:asciiTheme="majorHAnsi" w:eastAsiaTheme="majorEastAsia" w:hAnsiTheme="majorHAnsi" w:cstheme="majorHAnsi"/>
      <w:bCs/>
      <w:noProof/>
    </w:rPr>
  </w:style>
  <w:style w:type="paragraph" w:styleId="TOC3">
    <w:name w:val="toc 3"/>
    <w:basedOn w:val="Normal"/>
    <w:next w:val="Normal"/>
    <w:autoRedefine/>
    <w:uiPriority w:val="39"/>
    <w:unhideWhenUsed/>
    <w:rsid w:val="00F32EF6"/>
    <w:pPr>
      <w:spacing w:after="100"/>
      <w:ind w:left="440"/>
    </w:pPr>
  </w:style>
  <w:style w:type="paragraph" w:styleId="Date">
    <w:name w:val="Date"/>
    <w:basedOn w:val="Normal"/>
    <w:next w:val="Normal"/>
    <w:link w:val="DateChar"/>
    <w:uiPriority w:val="99"/>
    <w:semiHidden/>
    <w:unhideWhenUsed/>
    <w:rsid w:val="00503F14"/>
  </w:style>
  <w:style w:type="character" w:customStyle="1" w:styleId="DateChar">
    <w:name w:val="Date Char"/>
    <w:basedOn w:val="DefaultParagraphFont"/>
    <w:link w:val="Date"/>
    <w:uiPriority w:val="99"/>
    <w:semiHidden/>
    <w:rsid w:val="00503F14"/>
  </w:style>
</w:styles>
</file>

<file path=word/webSettings.xml><?xml version="1.0" encoding="utf-8"?>
<w:webSettings xmlns:r="http://schemas.openxmlformats.org/officeDocument/2006/relationships" xmlns:w="http://schemas.openxmlformats.org/wordprocessingml/2006/main">
  <w:divs>
    <w:div w:id="293949049">
      <w:bodyDiv w:val="1"/>
      <w:marLeft w:val="0"/>
      <w:marRight w:val="0"/>
      <w:marTop w:val="0"/>
      <w:marBottom w:val="0"/>
      <w:divBdr>
        <w:top w:val="none" w:sz="0" w:space="0" w:color="auto"/>
        <w:left w:val="none" w:sz="0" w:space="0" w:color="auto"/>
        <w:bottom w:val="none" w:sz="0" w:space="0" w:color="auto"/>
        <w:right w:val="none" w:sz="0" w:space="0" w:color="auto"/>
      </w:divBdr>
    </w:div>
    <w:div w:id="19244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magazine/archive/2018/03/america-is-not-a-democracy/550931/" TargetMode="External"/><Relationship Id="rId5" Type="http://schemas.openxmlformats.org/officeDocument/2006/relationships/webSettings" Target="webSettings.xml"/><Relationship Id="rId10" Type="http://schemas.openxmlformats.org/officeDocument/2006/relationships/hyperlink" Target="https://www.jacobinmag.com/2016/09/local-democracy-dillons-rule-commerce-clause-minimum-wag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39F43-6607-44EF-9DB4-D7670296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331</Pages>
  <Words>93035</Words>
  <Characters>530302</Characters>
  <Application>Microsoft Office Word</Application>
  <DocSecurity>0</DocSecurity>
  <Lines>4419</Lines>
  <Paragraphs>1244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Fattah</dc:creator>
  <cp:lastModifiedBy>Ahmad Fattah</cp:lastModifiedBy>
  <cp:revision>3</cp:revision>
  <cp:lastPrinted>2018-06-24T14:51:00Z</cp:lastPrinted>
  <dcterms:created xsi:type="dcterms:W3CDTF">2018-11-29T17:40:00Z</dcterms:created>
  <dcterms:modified xsi:type="dcterms:W3CDTF">2018-11-30T16:54:00Z</dcterms:modified>
</cp:coreProperties>
</file>